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9BF70" w14:textId="77777777" w:rsidR="0072694B" w:rsidRPr="007C0DCB" w:rsidRDefault="0072694B" w:rsidP="0072694B">
      <w:pPr>
        <w:pStyle w:val="RepertoireFootnoteText"/>
        <w:spacing w:line="240" w:lineRule="auto"/>
        <w:ind w:left="0" w:right="0" w:firstLine="0"/>
        <w:jc w:val="both"/>
        <w:rPr>
          <w:sz w:val="2"/>
          <w:lang w:val="es-ES_tradnl"/>
        </w:rPr>
        <w:sectPr w:rsidR="0072694B" w:rsidRPr="007C0DCB" w:rsidSect="00627CA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C0DCB">
        <w:rPr>
          <w:rStyle w:val="CommentReference"/>
          <w:rFonts w:ascii="Times New Roman" w:hAnsi="Times New Roman" w:cs="Times New Roman"/>
          <w:szCs w:val="20"/>
          <w:lang w:val="es-ES_tradnl"/>
        </w:rPr>
        <w:commentReference w:id="0"/>
      </w:r>
    </w:p>
    <w:p w14:paraId="7DDE72C7" w14:textId="77777777" w:rsidR="00627CAE" w:rsidRPr="00195CF4" w:rsidRDefault="00627CAE" w:rsidP="00D50B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195CF4">
        <w:rPr>
          <w:lang w:val="es-ES_tradnl"/>
        </w:rPr>
        <w:t>Comité para la Eliminación de la Discriminación contra la Mujer</w:t>
      </w:r>
    </w:p>
    <w:p w14:paraId="52542328" w14:textId="77777777" w:rsidR="00D50B21" w:rsidRPr="00195CF4" w:rsidRDefault="00D50B21" w:rsidP="00D50B21">
      <w:pPr>
        <w:pStyle w:val="SingleTxt"/>
        <w:spacing w:after="0" w:line="120" w:lineRule="exact"/>
        <w:rPr>
          <w:b/>
          <w:sz w:val="10"/>
          <w:lang w:val="es-ES_tradnl"/>
        </w:rPr>
      </w:pPr>
    </w:p>
    <w:p w14:paraId="605382BC" w14:textId="77777777" w:rsidR="00D50B21" w:rsidRPr="00195CF4" w:rsidRDefault="00D50B21" w:rsidP="00D50B21">
      <w:pPr>
        <w:pStyle w:val="SingleTxt"/>
        <w:spacing w:after="0" w:line="120" w:lineRule="exact"/>
        <w:rPr>
          <w:b/>
          <w:sz w:val="10"/>
          <w:lang w:val="es-ES_tradnl"/>
        </w:rPr>
      </w:pPr>
    </w:p>
    <w:p w14:paraId="564B91AE" w14:textId="77777777" w:rsidR="00D50B21" w:rsidRPr="00195CF4" w:rsidRDefault="00D50B21" w:rsidP="00D50B21">
      <w:pPr>
        <w:pStyle w:val="SingleTxt"/>
        <w:spacing w:after="0" w:line="120" w:lineRule="exact"/>
        <w:rPr>
          <w:b/>
          <w:sz w:val="10"/>
          <w:lang w:val="es-ES_tradnl"/>
        </w:rPr>
      </w:pPr>
    </w:p>
    <w:p w14:paraId="59E647E2" w14:textId="480F2278" w:rsidR="00627CAE" w:rsidRPr="007C0DCB" w:rsidRDefault="00627CAE" w:rsidP="00D50B21">
      <w:pPr>
        <w:pStyle w:val="TitleHCH"/>
        <w:ind w:right="1260"/>
        <w:rPr>
          <w:b w:val="0"/>
          <w:bCs/>
          <w:sz w:val="20"/>
          <w:szCs w:val="20"/>
          <w:lang w:val="es-ES_tradnl"/>
        </w:rPr>
      </w:pPr>
      <w:r w:rsidRPr="00195CF4">
        <w:rPr>
          <w:lang w:val="es-ES_tradnl"/>
        </w:rPr>
        <w:tab/>
      </w:r>
      <w:r w:rsidRPr="00195CF4">
        <w:rPr>
          <w:lang w:val="es-ES_tradnl"/>
        </w:rPr>
        <w:tab/>
        <w:t>Noveno informe periódico que Australia debía presentar en</w:t>
      </w:r>
      <w:r w:rsidR="00D50B21" w:rsidRPr="00195CF4">
        <w:rPr>
          <w:lang w:val="es-ES_tradnl"/>
        </w:rPr>
        <w:t> </w:t>
      </w:r>
      <w:r w:rsidRPr="00195CF4">
        <w:rPr>
          <w:lang w:val="es-ES_tradnl"/>
        </w:rPr>
        <w:t>2024 en virtud del artículo 18 de la Convención</w:t>
      </w:r>
      <w:r w:rsidRPr="007C0DCB">
        <w:rPr>
          <w:b w:val="0"/>
          <w:bCs/>
          <w:sz w:val="20"/>
          <w:szCs w:val="20"/>
          <w:lang w:val="es-ES_tradnl"/>
        </w:rPr>
        <w:footnoteReference w:customMarkFollows="1" w:id="1"/>
        <w:t>*</w:t>
      </w:r>
      <w:r w:rsidRPr="007C0DCB">
        <w:rPr>
          <w:b w:val="0"/>
          <w:bCs/>
          <w:sz w:val="20"/>
          <w:szCs w:val="20"/>
          <w:vertAlign w:val="superscript"/>
          <w:lang w:val="es-ES_tradnl"/>
        </w:rPr>
        <w:t>,</w:t>
      </w:r>
      <w:r w:rsidRPr="007C0DCB">
        <w:rPr>
          <w:b w:val="0"/>
          <w:bCs/>
          <w:sz w:val="20"/>
          <w:szCs w:val="20"/>
          <w:lang w:val="es-ES_tradnl"/>
        </w:rPr>
        <w:t xml:space="preserve"> **</w:t>
      </w:r>
      <w:r w:rsidRPr="007C0DCB">
        <w:rPr>
          <w:b w:val="0"/>
          <w:bCs/>
          <w:sz w:val="20"/>
          <w:szCs w:val="20"/>
          <w:vertAlign w:val="superscript"/>
          <w:lang w:val="es-ES_tradnl"/>
        </w:rPr>
        <w:t>,</w:t>
      </w:r>
      <w:r w:rsidRPr="007C0DCB">
        <w:rPr>
          <w:b w:val="0"/>
          <w:bCs/>
          <w:sz w:val="20"/>
          <w:szCs w:val="20"/>
          <w:lang w:val="es-ES_tradnl"/>
        </w:rPr>
        <w:t xml:space="preserve"> </w:t>
      </w:r>
      <w:r w:rsidRPr="007C0DCB">
        <w:rPr>
          <w:b w:val="0"/>
          <w:bCs/>
          <w:sz w:val="20"/>
          <w:szCs w:val="20"/>
          <w:lang w:val="es-ES_tradnl"/>
        </w:rPr>
        <w:footnoteReference w:customMarkFollows="1" w:id="2"/>
        <w:t>***</w:t>
      </w:r>
    </w:p>
    <w:p w14:paraId="40E79292" w14:textId="77777777" w:rsidR="00D50B21" w:rsidRPr="007C0DCB" w:rsidRDefault="00D50B21" w:rsidP="00D50B21">
      <w:pPr>
        <w:pStyle w:val="SingleTxt"/>
        <w:spacing w:after="0" w:line="120" w:lineRule="exact"/>
        <w:rPr>
          <w:sz w:val="10"/>
          <w:lang w:val="es-ES_tradnl"/>
        </w:rPr>
      </w:pPr>
    </w:p>
    <w:p w14:paraId="7B6521FD" w14:textId="77777777" w:rsidR="00D50B21" w:rsidRPr="007C0DCB" w:rsidRDefault="00D50B21" w:rsidP="00D50B21">
      <w:pPr>
        <w:pStyle w:val="SingleTxt"/>
        <w:spacing w:after="0" w:line="120" w:lineRule="exact"/>
        <w:rPr>
          <w:sz w:val="10"/>
          <w:lang w:val="es-ES_tradnl"/>
        </w:rPr>
      </w:pPr>
    </w:p>
    <w:p w14:paraId="72609239" w14:textId="0EEED4C4" w:rsidR="00627CAE" w:rsidRPr="00627CAE" w:rsidRDefault="00627CAE" w:rsidP="00D50B21">
      <w:pPr>
        <w:pStyle w:val="SingleTxt"/>
        <w:jc w:val="right"/>
        <w:rPr>
          <w:lang w:val="es-ES_tradnl"/>
        </w:rPr>
      </w:pPr>
      <w:r w:rsidRPr="00627CAE">
        <w:rPr>
          <w:lang w:val="es-ES_tradnl"/>
        </w:rPr>
        <w:t>[Fecha de recepción: 28 de febrero de 2025]</w:t>
      </w:r>
    </w:p>
    <w:p w14:paraId="7DD68ED6" w14:textId="46CB526C" w:rsidR="00627CAE" w:rsidRPr="00627CAE" w:rsidRDefault="005B2074" w:rsidP="00627CAE">
      <w:pPr>
        <w:pStyle w:val="SingleTxt"/>
        <w:rPr>
          <w:lang w:val="es-ES_tradnl"/>
        </w:rPr>
      </w:pPr>
      <w:r>
        <w:rPr>
          <w:lang w:val="es-ES_tradnl"/>
        </w:rPr>
        <w:t xml:space="preserve"> </w:t>
      </w:r>
      <w:r w:rsidR="00627CAE" w:rsidRPr="00627CAE">
        <w:rPr>
          <w:lang w:val="es-ES_tradnl"/>
        </w:rPr>
        <w:br w:type="page"/>
      </w:r>
    </w:p>
    <w:p w14:paraId="61CBC13B" w14:textId="77777777" w:rsidR="00D50B21" w:rsidRPr="007C0DCB" w:rsidRDefault="00D50B21" w:rsidP="00D50B21">
      <w:pPr>
        <w:pStyle w:val="HCh"/>
        <w:spacing w:after="120"/>
        <w:rPr>
          <w:b w:val="0"/>
          <w:lang w:val="es-ES_tradnl"/>
        </w:rPr>
      </w:pPr>
      <w:bookmarkStart w:id="1" w:name="_Toc174011657"/>
      <w:bookmarkStart w:id="2" w:name="_Toc190878874"/>
      <w:r w:rsidRPr="007C0DCB">
        <w:rPr>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D50B21" w:rsidRPr="007C0DCB" w14:paraId="2628530A" w14:textId="77777777" w:rsidTr="002B6DF4">
        <w:tc>
          <w:tcPr>
            <w:tcW w:w="1060" w:type="dxa"/>
            <w:shd w:val="clear" w:color="auto" w:fill="auto"/>
          </w:tcPr>
          <w:p w14:paraId="256BAEDF" w14:textId="77777777" w:rsidR="00D50B21" w:rsidRPr="007C0DCB" w:rsidRDefault="00D50B21" w:rsidP="002B6DF4">
            <w:pPr>
              <w:spacing w:after="120" w:line="240" w:lineRule="auto"/>
              <w:jc w:val="right"/>
              <w:rPr>
                <w:i/>
                <w:sz w:val="14"/>
                <w:lang w:val="es-ES_tradnl"/>
              </w:rPr>
            </w:pPr>
          </w:p>
        </w:tc>
        <w:tc>
          <w:tcPr>
            <w:tcW w:w="7315" w:type="dxa"/>
            <w:shd w:val="clear" w:color="auto" w:fill="auto"/>
          </w:tcPr>
          <w:p w14:paraId="2F206F77" w14:textId="77777777" w:rsidR="00D50B21" w:rsidRPr="007C0DCB" w:rsidRDefault="00D50B21" w:rsidP="002B6DF4">
            <w:pPr>
              <w:spacing w:after="120" w:line="240" w:lineRule="auto"/>
              <w:rPr>
                <w:i/>
                <w:sz w:val="14"/>
                <w:lang w:val="es-ES_tradnl"/>
              </w:rPr>
            </w:pPr>
          </w:p>
        </w:tc>
        <w:tc>
          <w:tcPr>
            <w:tcW w:w="994" w:type="dxa"/>
            <w:shd w:val="clear" w:color="auto" w:fill="auto"/>
          </w:tcPr>
          <w:p w14:paraId="0A60E287" w14:textId="77777777" w:rsidR="00D50B21" w:rsidRPr="007C0DCB" w:rsidRDefault="00D50B21" w:rsidP="002B6DF4">
            <w:pPr>
              <w:spacing w:after="120" w:line="240" w:lineRule="auto"/>
              <w:jc w:val="right"/>
              <w:rPr>
                <w:i/>
                <w:sz w:val="14"/>
                <w:lang w:val="es-ES_tradnl"/>
              </w:rPr>
            </w:pPr>
          </w:p>
        </w:tc>
        <w:tc>
          <w:tcPr>
            <w:tcW w:w="533" w:type="dxa"/>
            <w:shd w:val="clear" w:color="auto" w:fill="auto"/>
          </w:tcPr>
          <w:p w14:paraId="41DF14A8" w14:textId="4048D9BC" w:rsidR="00D50B21" w:rsidRPr="00195CF4" w:rsidRDefault="00D50B21" w:rsidP="002B6DF4">
            <w:pPr>
              <w:spacing w:after="120" w:line="240" w:lineRule="auto"/>
              <w:jc w:val="right"/>
              <w:rPr>
                <w:i/>
                <w:sz w:val="14"/>
                <w:lang w:val="es-ES_tradnl"/>
              </w:rPr>
            </w:pPr>
            <w:r w:rsidRPr="00195CF4">
              <w:rPr>
                <w:i/>
                <w:sz w:val="14"/>
                <w:lang w:val="es-ES_tradnl"/>
              </w:rPr>
              <w:t>Página</w:t>
            </w:r>
          </w:p>
        </w:tc>
      </w:tr>
      <w:tr w:rsidR="00D50B21" w:rsidRPr="007C0DCB" w14:paraId="20C01036" w14:textId="77777777" w:rsidTr="002B6DF4">
        <w:tc>
          <w:tcPr>
            <w:tcW w:w="9369" w:type="dxa"/>
            <w:gridSpan w:val="3"/>
            <w:shd w:val="clear" w:color="auto" w:fill="auto"/>
          </w:tcPr>
          <w:p w14:paraId="74067096" w14:textId="16079F03" w:rsidR="00D50B21" w:rsidRPr="007C0DCB" w:rsidRDefault="00D50B21" w:rsidP="002B6DF4">
            <w:pPr>
              <w:tabs>
                <w:tab w:val="right" w:pos="1080"/>
                <w:tab w:val="left" w:pos="1296"/>
                <w:tab w:val="left" w:pos="1728"/>
                <w:tab w:val="right" w:leader="dot" w:pos="9360"/>
              </w:tabs>
              <w:spacing w:after="120"/>
              <w:ind w:left="1080"/>
              <w:rPr>
                <w:spacing w:val="60"/>
                <w:sz w:val="17"/>
                <w:lang w:val="es-ES_tradnl"/>
              </w:rPr>
            </w:pPr>
            <w:r w:rsidRPr="007C0DCB">
              <w:rPr>
                <w:lang w:val="es-ES_tradnl"/>
              </w:rPr>
              <w:t>Introduc</w:t>
            </w:r>
            <w:r w:rsidR="00C1172F">
              <w:rPr>
                <w:lang w:val="es-ES_tradnl"/>
              </w:rPr>
              <w:t>ción</w:t>
            </w:r>
            <w:r w:rsidRPr="007C0DCB">
              <w:rPr>
                <w:spacing w:val="60"/>
                <w:sz w:val="17"/>
                <w:lang w:val="es-ES_tradnl"/>
              </w:rPr>
              <w:tab/>
            </w:r>
          </w:p>
        </w:tc>
        <w:tc>
          <w:tcPr>
            <w:tcW w:w="533" w:type="dxa"/>
            <w:shd w:val="clear" w:color="auto" w:fill="auto"/>
            <w:vAlign w:val="bottom"/>
          </w:tcPr>
          <w:p w14:paraId="361A0F0C" w14:textId="367A8790" w:rsidR="00D50B21" w:rsidRPr="007C0DCB" w:rsidRDefault="00340746" w:rsidP="002B6DF4">
            <w:pPr>
              <w:spacing w:after="120"/>
              <w:jc w:val="right"/>
              <w:rPr>
                <w:lang w:val="es-ES_tradnl"/>
              </w:rPr>
            </w:pPr>
            <w:r>
              <w:rPr>
                <w:lang w:val="es-ES_tradnl"/>
              </w:rPr>
              <w:t>3</w:t>
            </w:r>
          </w:p>
        </w:tc>
      </w:tr>
      <w:tr w:rsidR="00D50B21" w:rsidRPr="00340746" w14:paraId="2AE0F945" w14:textId="77777777" w:rsidTr="002B6DF4">
        <w:tc>
          <w:tcPr>
            <w:tcW w:w="9369" w:type="dxa"/>
            <w:gridSpan w:val="3"/>
            <w:shd w:val="clear" w:color="auto" w:fill="auto"/>
          </w:tcPr>
          <w:p w14:paraId="033A9AB9" w14:textId="1E6E49F4" w:rsidR="00D50B21" w:rsidRPr="00340746" w:rsidRDefault="00340746" w:rsidP="00340746">
            <w:pPr>
              <w:tabs>
                <w:tab w:val="right" w:pos="1080"/>
                <w:tab w:val="left" w:pos="1296"/>
                <w:tab w:val="right" w:leader="dot" w:pos="9360"/>
              </w:tabs>
              <w:spacing w:after="120"/>
              <w:ind w:left="1080"/>
              <w:rPr>
                <w:spacing w:val="60"/>
                <w:sz w:val="17"/>
              </w:rPr>
            </w:pPr>
            <w:r w:rsidRPr="00340746">
              <w:t>Pregunta 1: Derechos de las mujeres e igualdad de género en relación con la pandemia, las</w:t>
            </w:r>
            <w:r>
              <w:t> </w:t>
            </w:r>
            <w:r w:rsidRPr="00340746">
              <w:t>actividades de recuperación y las crisis mundiales</w:t>
            </w:r>
            <w:r w:rsidR="00D50B21" w:rsidRPr="00340746">
              <w:rPr>
                <w:spacing w:val="60"/>
                <w:sz w:val="17"/>
              </w:rPr>
              <w:tab/>
            </w:r>
          </w:p>
        </w:tc>
        <w:tc>
          <w:tcPr>
            <w:tcW w:w="533" w:type="dxa"/>
            <w:shd w:val="clear" w:color="auto" w:fill="auto"/>
            <w:vAlign w:val="bottom"/>
          </w:tcPr>
          <w:p w14:paraId="7A4E5A09" w14:textId="0D4834A8" w:rsidR="00D50B21" w:rsidRPr="00340746" w:rsidRDefault="00340746" w:rsidP="002B6DF4">
            <w:pPr>
              <w:spacing w:after="120"/>
              <w:jc w:val="right"/>
            </w:pPr>
            <w:r>
              <w:t>5</w:t>
            </w:r>
          </w:p>
        </w:tc>
      </w:tr>
      <w:tr w:rsidR="00D50B21" w:rsidRPr="00340746" w14:paraId="298B4204" w14:textId="77777777" w:rsidTr="002B6DF4">
        <w:tc>
          <w:tcPr>
            <w:tcW w:w="9369" w:type="dxa"/>
            <w:gridSpan w:val="3"/>
            <w:shd w:val="clear" w:color="auto" w:fill="auto"/>
          </w:tcPr>
          <w:p w14:paraId="13C78923" w14:textId="39DB1685" w:rsidR="00D50B21" w:rsidRPr="00340746" w:rsidRDefault="00340746" w:rsidP="00340746">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080"/>
              <w:rPr>
                <w:spacing w:val="60"/>
                <w:sz w:val="17"/>
              </w:rPr>
            </w:pPr>
            <w:r w:rsidRPr="00340746">
              <w:t>Preguntas 2 y 3: Marco legislativo e institucional</w:t>
            </w:r>
            <w:r>
              <w:rPr>
                <w:spacing w:val="60"/>
                <w:sz w:val="17"/>
              </w:rPr>
              <w:tab/>
            </w:r>
          </w:p>
        </w:tc>
        <w:tc>
          <w:tcPr>
            <w:tcW w:w="533" w:type="dxa"/>
            <w:shd w:val="clear" w:color="auto" w:fill="auto"/>
            <w:vAlign w:val="bottom"/>
          </w:tcPr>
          <w:p w14:paraId="68E4B89D" w14:textId="24FBC9C1" w:rsidR="00D50B21" w:rsidRPr="00340746" w:rsidRDefault="00340746" w:rsidP="002B6DF4">
            <w:pPr>
              <w:spacing w:after="120"/>
              <w:jc w:val="right"/>
            </w:pPr>
            <w:r>
              <w:t>8</w:t>
            </w:r>
          </w:p>
        </w:tc>
      </w:tr>
      <w:tr w:rsidR="00D50B21" w:rsidRPr="00340746" w14:paraId="5D5290B6" w14:textId="77777777" w:rsidTr="002B6DF4">
        <w:tc>
          <w:tcPr>
            <w:tcW w:w="9369" w:type="dxa"/>
            <w:gridSpan w:val="3"/>
            <w:shd w:val="clear" w:color="auto" w:fill="auto"/>
          </w:tcPr>
          <w:p w14:paraId="5E706B44" w14:textId="1F638865" w:rsidR="00D50B21" w:rsidRPr="00340746" w:rsidRDefault="00340746" w:rsidP="00340746">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080"/>
              <w:rPr>
                <w:spacing w:val="60"/>
                <w:sz w:val="17"/>
              </w:rPr>
            </w:pPr>
            <w:r w:rsidRPr="00340746">
              <w:t>Pregunta 4: Marco constitucional y jurídico</w:t>
            </w:r>
            <w:r>
              <w:rPr>
                <w:spacing w:val="60"/>
                <w:sz w:val="17"/>
              </w:rPr>
              <w:tab/>
            </w:r>
          </w:p>
        </w:tc>
        <w:tc>
          <w:tcPr>
            <w:tcW w:w="533" w:type="dxa"/>
            <w:shd w:val="clear" w:color="auto" w:fill="auto"/>
            <w:vAlign w:val="bottom"/>
          </w:tcPr>
          <w:p w14:paraId="19D00B6A" w14:textId="2E034EFC" w:rsidR="00D50B21" w:rsidRPr="00340746" w:rsidRDefault="00340746" w:rsidP="002B6DF4">
            <w:pPr>
              <w:spacing w:after="120"/>
              <w:jc w:val="right"/>
            </w:pPr>
            <w:r>
              <w:t>10</w:t>
            </w:r>
          </w:p>
        </w:tc>
      </w:tr>
      <w:tr w:rsidR="00D50B21" w:rsidRPr="007C0DCB" w14:paraId="0CE528F8" w14:textId="77777777" w:rsidTr="002B6DF4">
        <w:tc>
          <w:tcPr>
            <w:tcW w:w="9369" w:type="dxa"/>
            <w:gridSpan w:val="3"/>
            <w:shd w:val="clear" w:color="auto" w:fill="auto"/>
          </w:tcPr>
          <w:p w14:paraId="43868097" w14:textId="68FC392A" w:rsidR="00D50B21" w:rsidRPr="007C0DCB" w:rsidRDefault="00340746" w:rsidP="002B6DF4">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lang w:val="es-ES_tradnl"/>
              </w:rPr>
            </w:pPr>
            <w:r w:rsidRPr="00340746">
              <w:rPr>
                <w:lang w:val="es-ES_tradnl"/>
              </w:rPr>
              <w:t>Pregunta 5: Acceso a la justicia</w:t>
            </w:r>
            <w:r w:rsidR="00D50B21" w:rsidRPr="007C0DCB">
              <w:rPr>
                <w:spacing w:val="60"/>
                <w:sz w:val="17"/>
                <w:lang w:val="es-ES_tradnl"/>
              </w:rPr>
              <w:tab/>
            </w:r>
          </w:p>
        </w:tc>
        <w:tc>
          <w:tcPr>
            <w:tcW w:w="533" w:type="dxa"/>
            <w:shd w:val="clear" w:color="auto" w:fill="auto"/>
            <w:vAlign w:val="bottom"/>
          </w:tcPr>
          <w:p w14:paraId="19FFFEF8" w14:textId="7527B12A" w:rsidR="00D50B21" w:rsidRPr="007C0DCB" w:rsidRDefault="00340746" w:rsidP="002B6DF4">
            <w:pPr>
              <w:spacing w:after="120"/>
              <w:jc w:val="right"/>
              <w:rPr>
                <w:lang w:val="es-ES_tradnl"/>
              </w:rPr>
            </w:pPr>
            <w:r>
              <w:rPr>
                <w:lang w:val="es-ES_tradnl"/>
              </w:rPr>
              <w:t>13</w:t>
            </w:r>
          </w:p>
        </w:tc>
      </w:tr>
      <w:tr w:rsidR="00D50B21" w:rsidRPr="00340746" w14:paraId="313D8C0D" w14:textId="77777777" w:rsidTr="002B6DF4">
        <w:tc>
          <w:tcPr>
            <w:tcW w:w="9369" w:type="dxa"/>
            <w:gridSpan w:val="3"/>
            <w:shd w:val="clear" w:color="auto" w:fill="auto"/>
          </w:tcPr>
          <w:p w14:paraId="4E616066" w14:textId="45052477" w:rsidR="00D50B21" w:rsidRPr="00340746" w:rsidRDefault="00340746" w:rsidP="002B6DF4">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340746">
              <w:t>Pregunta 6: Institución nacional de derechos humanos</w:t>
            </w:r>
            <w:r w:rsidR="00D50B21" w:rsidRPr="00340746">
              <w:rPr>
                <w:spacing w:val="60"/>
                <w:sz w:val="17"/>
              </w:rPr>
              <w:tab/>
            </w:r>
          </w:p>
        </w:tc>
        <w:tc>
          <w:tcPr>
            <w:tcW w:w="533" w:type="dxa"/>
            <w:shd w:val="clear" w:color="auto" w:fill="auto"/>
            <w:vAlign w:val="bottom"/>
          </w:tcPr>
          <w:p w14:paraId="08BC0CA3" w14:textId="5AF7A4C8" w:rsidR="00D50B21" w:rsidRPr="00340746" w:rsidRDefault="00340746" w:rsidP="002B6DF4">
            <w:pPr>
              <w:spacing w:after="120"/>
              <w:jc w:val="right"/>
            </w:pPr>
            <w:r>
              <w:t>15</w:t>
            </w:r>
          </w:p>
        </w:tc>
      </w:tr>
      <w:tr w:rsidR="00D50B21" w:rsidRPr="007C0DCB" w14:paraId="0BCA2CA1" w14:textId="77777777" w:rsidTr="002B6DF4">
        <w:tc>
          <w:tcPr>
            <w:tcW w:w="9369" w:type="dxa"/>
            <w:gridSpan w:val="3"/>
            <w:shd w:val="clear" w:color="auto" w:fill="auto"/>
          </w:tcPr>
          <w:p w14:paraId="2132A977" w14:textId="56E64083" w:rsidR="00D50B21" w:rsidRPr="007C0DCB" w:rsidRDefault="00340746" w:rsidP="002B6DF4">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lang w:val="es-ES_tradnl"/>
              </w:rPr>
            </w:pPr>
            <w:r w:rsidRPr="00340746">
              <w:rPr>
                <w:lang w:val="es-ES_tradnl"/>
              </w:rPr>
              <w:t>Pregunta 7: Medidas especiales de carácter temporal</w:t>
            </w:r>
            <w:r w:rsidR="00D50B21" w:rsidRPr="007C0DCB">
              <w:rPr>
                <w:spacing w:val="60"/>
                <w:sz w:val="17"/>
                <w:lang w:val="es-ES_tradnl"/>
              </w:rPr>
              <w:tab/>
            </w:r>
          </w:p>
        </w:tc>
        <w:tc>
          <w:tcPr>
            <w:tcW w:w="533" w:type="dxa"/>
            <w:shd w:val="clear" w:color="auto" w:fill="auto"/>
            <w:vAlign w:val="bottom"/>
          </w:tcPr>
          <w:p w14:paraId="2F9BEC6F" w14:textId="43CC1340" w:rsidR="00D50B21" w:rsidRPr="007C0DCB" w:rsidRDefault="00340746" w:rsidP="002B6DF4">
            <w:pPr>
              <w:spacing w:after="120"/>
              <w:jc w:val="right"/>
              <w:rPr>
                <w:lang w:val="es-ES_tradnl"/>
              </w:rPr>
            </w:pPr>
            <w:r>
              <w:rPr>
                <w:lang w:val="es-ES_tradnl"/>
              </w:rPr>
              <w:t>15</w:t>
            </w:r>
          </w:p>
        </w:tc>
      </w:tr>
      <w:tr w:rsidR="00D50B21" w:rsidRPr="00340746" w14:paraId="53B6E532" w14:textId="77777777" w:rsidTr="002B6DF4">
        <w:tc>
          <w:tcPr>
            <w:tcW w:w="9369" w:type="dxa"/>
            <w:gridSpan w:val="3"/>
            <w:shd w:val="clear" w:color="auto" w:fill="auto"/>
          </w:tcPr>
          <w:p w14:paraId="661EC8D8" w14:textId="3B279637" w:rsidR="00D50B21" w:rsidRPr="00340746" w:rsidRDefault="00340746" w:rsidP="002B6DF4">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340746">
              <w:t>Pregunta 8: Estereotipos y prácticas nocivas</w:t>
            </w:r>
            <w:r w:rsidR="00D50B21" w:rsidRPr="00340746">
              <w:rPr>
                <w:spacing w:val="60"/>
                <w:sz w:val="17"/>
              </w:rPr>
              <w:tab/>
            </w:r>
          </w:p>
        </w:tc>
        <w:tc>
          <w:tcPr>
            <w:tcW w:w="533" w:type="dxa"/>
            <w:shd w:val="clear" w:color="auto" w:fill="auto"/>
            <w:vAlign w:val="bottom"/>
          </w:tcPr>
          <w:p w14:paraId="460BF4B0" w14:textId="2AB8F7F4" w:rsidR="00D50B21" w:rsidRPr="00340746" w:rsidRDefault="00340746" w:rsidP="002B6DF4">
            <w:pPr>
              <w:spacing w:after="120"/>
              <w:jc w:val="right"/>
            </w:pPr>
            <w:r>
              <w:t>16</w:t>
            </w:r>
          </w:p>
        </w:tc>
      </w:tr>
      <w:tr w:rsidR="00D50B21" w:rsidRPr="00340746" w14:paraId="3B8B0C90" w14:textId="77777777" w:rsidTr="002B6DF4">
        <w:tc>
          <w:tcPr>
            <w:tcW w:w="9369" w:type="dxa"/>
            <w:gridSpan w:val="3"/>
            <w:shd w:val="clear" w:color="auto" w:fill="auto"/>
          </w:tcPr>
          <w:p w14:paraId="2A83802A" w14:textId="087CF320" w:rsidR="00D50B21" w:rsidRPr="00340746" w:rsidRDefault="00340746" w:rsidP="002B6DF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340746">
              <w:t>Pregunta 9: Violencia de género contra la mujer</w:t>
            </w:r>
            <w:r w:rsidR="00D50B21" w:rsidRPr="00340746">
              <w:rPr>
                <w:spacing w:val="60"/>
                <w:sz w:val="17"/>
              </w:rPr>
              <w:tab/>
            </w:r>
          </w:p>
        </w:tc>
        <w:tc>
          <w:tcPr>
            <w:tcW w:w="533" w:type="dxa"/>
            <w:shd w:val="clear" w:color="auto" w:fill="auto"/>
            <w:vAlign w:val="bottom"/>
          </w:tcPr>
          <w:p w14:paraId="11D88C4C" w14:textId="4276A635" w:rsidR="00D50B21" w:rsidRPr="00340746" w:rsidRDefault="00340746" w:rsidP="002B6DF4">
            <w:pPr>
              <w:spacing w:after="120"/>
              <w:jc w:val="right"/>
            </w:pPr>
            <w:r>
              <w:t>19</w:t>
            </w:r>
          </w:p>
        </w:tc>
      </w:tr>
      <w:tr w:rsidR="00D50B21" w:rsidRPr="007C0DCB" w14:paraId="5249AFF8" w14:textId="77777777" w:rsidTr="002B6DF4">
        <w:tc>
          <w:tcPr>
            <w:tcW w:w="9369" w:type="dxa"/>
            <w:gridSpan w:val="3"/>
            <w:shd w:val="clear" w:color="auto" w:fill="auto"/>
          </w:tcPr>
          <w:p w14:paraId="606DB8B1" w14:textId="0A3B910F" w:rsidR="00D50B21" w:rsidRPr="007C0DCB" w:rsidRDefault="00340746" w:rsidP="002B6DF4">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lang w:val="es-ES_tradnl"/>
              </w:rPr>
            </w:pPr>
            <w:r w:rsidRPr="00340746">
              <w:rPr>
                <w:lang w:val="es-ES_tradnl"/>
              </w:rPr>
              <w:t>Pregunta 10: Obligaciones extraterritoriales</w:t>
            </w:r>
            <w:r w:rsidR="00D50B21" w:rsidRPr="007C0DCB">
              <w:rPr>
                <w:spacing w:val="60"/>
                <w:sz w:val="17"/>
                <w:lang w:val="es-ES_tradnl"/>
              </w:rPr>
              <w:tab/>
            </w:r>
          </w:p>
        </w:tc>
        <w:tc>
          <w:tcPr>
            <w:tcW w:w="533" w:type="dxa"/>
            <w:shd w:val="clear" w:color="auto" w:fill="auto"/>
            <w:vAlign w:val="bottom"/>
          </w:tcPr>
          <w:p w14:paraId="6C5349F8" w14:textId="5A5BED42" w:rsidR="00D50B21" w:rsidRPr="007C0DCB" w:rsidRDefault="00340746" w:rsidP="002B6DF4">
            <w:pPr>
              <w:spacing w:after="120"/>
              <w:jc w:val="right"/>
              <w:rPr>
                <w:lang w:val="es-ES_tradnl"/>
              </w:rPr>
            </w:pPr>
            <w:r>
              <w:rPr>
                <w:lang w:val="es-ES_tradnl"/>
              </w:rPr>
              <w:t>23</w:t>
            </w:r>
          </w:p>
        </w:tc>
      </w:tr>
      <w:tr w:rsidR="00D50B21" w:rsidRPr="00340746" w14:paraId="2BE3DA10" w14:textId="77777777" w:rsidTr="002B6DF4">
        <w:tc>
          <w:tcPr>
            <w:tcW w:w="9369" w:type="dxa"/>
            <w:gridSpan w:val="3"/>
            <w:shd w:val="clear" w:color="auto" w:fill="auto"/>
          </w:tcPr>
          <w:p w14:paraId="6FF0A71D" w14:textId="45F856B1" w:rsidR="00D50B21" w:rsidRPr="00340746" w:rsidRDefault="00340746" w:rsidP="002B6DF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340746">
              <w:t>Pregunta 11: Cambio climático y reducción del riesgo de desastres</w:t>
            </w:r>
            <w:r w:rsidR="00D50B21" w:rsidRPr="00340746">
              <w:rPr>
                <w:spacing w:val="60"/>
                <w:sz w:val="17"/>
              </w:rPr>
              <w:tab/>
            </w:r>
          </w:p>
        </w:tc>
        <w:tc>
          <w:tcPr>
            <w:tcW w:w="533" w:type="dxa"/>
            <w:shd w:val="clear" w:color="auto" w:fill="auto"/>
            <w:vAlign w:val="bottom"/>
          </w:tcPr>
          <w:p w14:paraId="7E48048F" w14:textId="42365B75" w:rsidR="00D50B21" w:rsidRPr="00340746" w:rsidRDefault="00340746" w:rsidP="002B6DF4">
            <w:pPr>
              <w:spacing w:after="120"/>
              <w:jc w:val="right"/>
            </w:pPr>
            <w:r>
              <w:t>24</w:t>
            </w:r>
          </w:p>
        </w:tc>
      </w:tr>
      <w:tr w:rsidR="00D50B21" w:rsidRPr="00340746" w14:paraId="7E88B25A" w14:textId="77777777" w:rsidTr="002B6DF4">
        <w:tc>
          <w:tcPr>
            <w:tcW w:w="9369" w:type="dxa"/>
            <w:gridSpan w:val="3"/>
            <w:shd w:val="clear" w:color="auto" w:fill="auto"/>
          </w:tcPr>
          <w:p w14:paraId="5F3151E1" w14:textId="4DDB3479" w:rsidR="00D50B21" w:rsidRPr="00340746" w:rsidRDefault="00340746" w:rsidP="00340746">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080"/>
              <w:rPr>
                <w:spacing w:val="60"/>
                <w:sz w:val="17"/>
              </w:rPr>
            </w:pPr>
            <w:r w:rsidRPr="00340746">
              <w:t>Pregunta 12: Trata y explotación de la prostitución</w:t>
            </w:r>
            <w:r>
              <w:rPr>
                <w:spacing w:val="60"/>
                <w:sz w:val="17"/>
              </w:rPr>
              <w:tab/>
            </w:r>
          </w:p>
        </w:tc>
        <w:tc>
          <w:tcPr>
            <w:tcW w:w="533" w:type="dxa"/>
            <w:shd w:val="clear" w:color="auto" w:fill="auto"/>
            <w:vAlign w:val="bottom"/>
          </w:tcPr>
          <w:p w14:paraId="021F1C2E" w14:textId="52DAB383" w:rsidR="00D50B21" w:rsidRPr="00340746" w:rsidRDefault="00340746" w:rsidP="002B6DF4">
            <w:pPr>
              <w:spacing w:after="120"/>
              <w:jc w:val="right"/>
            </w:pPr>
            <w:r>
              <w:t>25</w:t>
            </w:r>
          </w:p>
        </w:tc>
      </w:tr>
      <w:tr w:rsidR="00D50B21" w:rsidRPr="00340746" w14:paraId="0E315873" w14:textId="77777777" w:rsidTr="002B6DF4">
        <w:tc>
          <w:tcPr>
            <w:tcW w:w="9369" w:type="dxa"/>
            <w:gridSpan w:val="3"/>
            <w:shd w:val="clear" w:color="auto" w:fill="auto"/>
          </w:tcPr>
          <w:p w14:paraId="5D2F15E4" w14:textId="3843D69A" w:rsidR="00D50B21" w:rsidRPr="00340746" w:rsidRDefault="00340746" w:rsidP="002B6DF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340746">
              <w:t>Pregunta 13: Participación en la vida política y pública</w:t>
            </w:r>
            <w:r w:rsidR="00D50B21" w:rsidRPr="00340746">
              <w:rPr>
                <w:spacing w:val="60"/>
                <w:sz w:val="17"/>
              </w:rPr>
              <w:tab/>
            </w:r>
          </w:p>
        </w:tc>
        <w:tc>
          <w:tcPr>
            <w:tcW w:w="533" w:type="dxa"/>
            <w:shd w:val="clear" w:color="auto" w:fill="auto"/>
            <w:vAlign w:val="bottom"/>
          </w:tcPr>
          <w:p w14:paraId="7267ABA9" w14:textId="38C0EE87" w:rsidR="00D50B21" w:rsidRPr="00340746" w:rsidRDefault="00340746" w:rsidP="002B6DF4">
            <w:pPr>
              <w:spacing w:after="120"/>
              <w:jc w:val="right"/>
            </w:pPr>
            <w:r>
              <w:t>29</w:t>
            </w:r>
          </w:p>
        </w:tc>
      </w:tr>
      <w:tr w:rsidR="00D50B21" w:rsidRPr="00340746" w14:paraId="3C4A7D9B" w14:textId="77777777" w:rsidTr="002B6DF4">
        <w:tc>
          <w:tcPr>
            <w:tcW w:w="9369" w:type="dxa"/>
            <w:gridSpan w:val="3"/>
            <w:shd w:val="clear" w:color="auto" w:fill="auto"/>
          </w:tcPr>
          <w:p w14:paraId="161AF68B" w14:textId="235304E5" w:rsidR="00D50B21" w:rsidRPr="00340746" w:rsidRDefault="00340746" w:rsidP="002B6DF4">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340746">
              <w:t>Pregunta 14: Las mujeres y la paz y la seguridad</w:t>
            </w:r>
            <w:r w:rsidR="00D50B21" w:rsidRPr="00340746">
              <w:rPr>
                <w:spacing w:val="60"/>
                <w:sz w:val="17"/>
              </w:rPr>
              <w:tab/>
            </w:r>
          </w:p>
        </w:tc>
        <w:tc>
          <w:tcPr>
            <w:tcW w:w="533" w:type="dxa"/>
            <w:shd w:val="clear" w:color="auto" w:fill="auto"/>
            <w:vAlign w:val="bottom"/>
          </w:tcPr>
          <w:p w14:paraId="2370DFE8" w14:textId="7848746D" w:rsidR="00D50B21" w:rsidRPr="00340746" w:rsidRDefault="00340746" w:rsidP="002B6DF4">
            <w:pPr>
              <w:spacing w:after="120"/>
              <w:jc w:val="right"/>
            </w:pPr>
            <w:r>
              <w:t>30</w:t>
            </w:r>
          </w:p>
        </w:tc>
      </w:tr>
      <w:tr w:rsidR="00D50B21" w:rsidRPr="007C0DCB" w14:paraId="76C31917" w14:textId="77777777" w:rsidTr="002B6DF4">
        <w:tc>
          <w:tcPr>
            <w:tcW w:w="9369" w:type="dxa"/>
            <w:gridSpan w:val="3"/>
            <w:shd w:val="clear" w:color="auto" w:fill="auto"/>
          </w:tcPr>
          <w:p w14:paraId="10C1713D" w14:textId="5F8806EA" w:rsidR="00D50B21" w:rsidRPr="007C0DCB" w:rsidRDefault="0006706E" w:rsidP="002B6DF4">
            <w:pPr>
              <w:tabs>
                <w:tab w:val="right" w:pos="1080"/>
                <w:tab w:val="left" w:pos="1296"/>
                <w:tab w:val="left" w:pos="1728"/>
                <w:tab w:val="left" w:pos="2160"/>
                <w:tab w:val="left" w:pos="2592"/>
                <w:tab w:val="left" w:pos="3024"/>
                <w:tab w:val="right" w:leader="dot" w:pos="9360"/>
              </w:tabs>
              <w:spacing w:after="120"/>
              <w:ind w:left="1080"/>
              <w:rPr>
                <w:lang w:val="es-ES_tradnl"/>
              </w:rPr>
            </w:pPr>
            <w:r w:rsidRPr="0006706E">
              <w:rPr>
                <w:lang w:val="es-ES_tradnl"/>
              </w:rPr>
              <w:t>Pregunta 15: Nacionalidad</w:t>
            </w:r>
            <w:r w:rsidR="00D50B21" w:rsidRPr="007C0DCB">
              <w:rPr>
                <w:spacing w:val="60"/>
                <w:sz w:val="17"/>
                <w:lang w:val="es-ES_tradnl"/>
              </w:rPr>
              <w:tab/>
            </w:r>
          </w:p>
        </w:tc>
        <w:tc>
          <w:tcPr>
            <w:tcW w:w="533" w:type="dxa"/>
            <w:shd w:val="clear" w:color="auto" w:fill="auto"/>
            <w:vAlign w:val="bottom"/>
          </w:tcPr>
          <w:p w14:paraId="6821E10A" w14:textId="03970B76" w:rsidR="00D50B21" w:rsidRPr="007C0DCB" w:rsidRDefault="0006706E" w:rsidP="002B6DF4">
            <w:pPr>
              <w:spacing w:after="120"/>
              <w:jc w:val="right"/>
              <w:rPr>
                <w:lang w:val="es-ES_tradnl"/>
              </w:rPr>
            </w:pPr>
            <w:r>
              <w:rPr>
                <w:lang w:val="es-ES_tradnl"/>
              </w:rPr>
              <w:t>31</w:t>
            </w:r>
          </w:p>
        </w:tc>
      </w:tr>
      <w:tr w:rsidR="00D50B21" w:rsidRPr="007C0DCB" w14:paraId="36B80AEF" w14:textId="77777777" w:rsidTr="002B6DF4">
        <w:tc>
          <w:tcPr>
            <w:tcW w:w="9369" w:type="dxa"/>
            <w:gridSpan w:val="3"/>
            <w:shd w:val="clear" w:color="auto" w:fill="auto"/>
          </w:tcPr>
          <w:p w14:paraId="35A68D1A" w14:textId="38C22437" w:rsidR="00D50B21" w:rsidRPr="007C0DCB" w:rsidRDefault="0006706E" w:rsidP="002B6DF4">
            <w:pPr>
              <w:tabs>
                <w:tab w:val="right" w:pos="1080"/>
                <w:tab w:val="left" w:pos="1296"/>
                <w:tab w:val="left" w:pos="1728"/>
                <w:tab w:val="left" w:pos="2160"/>
                <w:tab w:val="left" w:pos="2592"/>
                <w:tab w:val="left" w:pos="3024"/>
                <w:tab w:val="right" w:leader="dot" w:pos="9360"/>
              </w:tabs>
              <w:spacing w:after="120"/>
              <w:ind w:left="1080"/>
              <w:rPr>
                <w:spacing w:val="60"/>
                <w:sz w:val="17"/>
                <w:lang w:val="es-ES_tradnl"/>
              </w:rPr>
            </w:pPr>
            <w:r w:rsidRPr="0006706E">
              <w:rPr>
                <w:lang w:val="es-ES_tradnl"/>
              </w:rPr>
              <w:t>Pregunta 16: Educación</w:t>
            </w:r>
            <w:r w:rsidR="00D50B21" w:rsidRPr="007C0DCB">
              <w:rPr>
                <w:spacing w:val="60"/>
                <w:sz w:val="17"/>
                <w:lang w:val="es-ES_tradnl"/>
              </w:rPr>
              <w:tab/>
            </w:r>
          </w:p>
        </w:tc>
        <w:tc>
          <w:tcPr>
            <w:tcW w:w="533" w:type="dxa"/>
            <w:shd w:val="clear" w:color="auto" w:fill="auto"/>
            <w:vAlign w:val="bottom"/>
          </w:tcPr>
          <w:p w14:paraId="51800120" w14:textId="5081D428" w:rsidR="00D50B21" w:rsidRPr="007C0DCB" w:rsidRDefault="0006706E" w:rsidP="002B6DF4">
            <w:pPr>
              <w:spacing w:after="120"/>
              <w:jc w:val="right"/>
              <w:rPr>
                <w:lang w:val="es-ES_tradnl"/>
              </w:rPr>
            </w:pPr>
            <w:r>
              <w:rPr>
                <w:lang w:val="es-ES_tradnl"/>
              </w:rPr>
              <w:t>33</w:t>
            </w:r>
          </w:p>
        </w:tc>
      </w:tr>
      <w:tr w:rsidR="00D50B21" w:rsidRPr="007C0DCB" w14:paraId="3A76A6D6" w14:textId="77777777" w:rsidTr="002B6DF4">
        <w:tc>
          <w:tcPr>
            <w:tcW w:w="9369" w:type="dxa"/>
            <w:gridSpan w:val="3"/>
            <w:shd w:val="clear" w:color="auto" w:fill="auto"/>
          </w:tcPr>
          <w:p w14:paraId="4D88324A" w14:textId="33BB5760" w:rsidR="00D50B21" w:rsidRPr="0006706E" w:rsidRDefault="0006706E" w:rsidP="0006706E">
            <w:pPr>
              <w:tabs>
                <w:tab w:val="right" w:pos="1080"/>
                <w:tab w:val="left" w:pos="1300"/>
                <w:tab w:val="left" w:pos="1740"/>
                <w:tab w:val="left" w:pos="2180"/>
                <w:tab w:val="left" w:pos="2620"/>
                <w:tab w:val="right" w:leader="dot" w:pos="9245"/>
              </w:tabs>
              <w:spacing w:after="120"/>
              <w:ind w:left="1080"/>
              <w:rPr>
                <w:spacing w:val="60"/>
                <w:sz w:val="17"/>
                <w:lang w:val="es-ES_tradnl"/>
              </w:rPr>
            </w:pPr>
            <w:r w:rsidRPr="0006706E">
              <w:rPr>
                <w:lang w:val="es-ES_tradnl"/>
              </w:rPr>
              <w:t>Pregunta 17: Empleo</w:t>
            </w:r>
            <w:r>
              <w:rPr>
                <w:spacing w:val="60"/>
                <w:sz w:val="17"/>
                <w:lang w:val="es-ES_tradnl"/>
              </w:rPr>
              <w:tab/>
            </w:r>
          </w:p>
        </w:tc>
        <w:tc>
          <w:tcPr>
            <w:tcW w:w="533" w:type="dxa"/>
            <w:shd w:val="clear" w:color="auto" w:fill="auto"/>
            <w:vAlign w:val="bottom"/>
          </w:tcPr>
          <w:p w14:paraId="7CFE14F3" w14:textId="521F9D7E" w:rsidR="00D50B21" w:rsidRPr="007C0DCB" w:rsidRDefault="0006706E" w:rsidP="002B6DF4">
            <w:pPr>
              <w:spacing w:after="120"/>
              <w:jc w:val="right"/>
              <w:rPr>
                <w:lang w:val="es-ES_tradnl"/>
              </w:rPr>
            </w:pPr>
            <w:r>
              <w:rPr>
                <w:lang w:val="es-ES_tradnl"/>
              </w:rPr>
              <w:t>37</w:t>
            </w:r>
          </w:p>
        </w:tc>
      </w:tr>
      <w:tr w:rsidR="00D50B21" w:rsidRPr="007C0DCB" w14:paraId="640E3136" w14:textId="77777777" w:rsidTr="002B6DF4">
        <w:tc>
          <w:tcPr>
            <w:tcW w:w="9369" w:type="dxa"/>
            <w:gridSpan w:val="3"/>
            <w:shd w:val="clear" w:color="auto" w:fill="auto"/>
          </w:tcPr>
          <w:p w14:paraId="74EB439E" w14:textId="094BF2E3" w:rsidR="00D50B21" w:rsidRPr="0006706E" w:rsidRDefault="0006706E" w:rsidP="0006706E">
            <w:pPr>
              <w:tabs>
                <w:tab w:val="right" w:pos="1080"/>
                <w:tab w:val="left" w:pos="1300"/>
                <w:tab w:val="left" w:pos="1740"/>
                <w:tab w:val="left" w:pos="2180"/>
                <w:tab w:val="left" w:pos="2620"/>
                <w:tab w:val="left" w:pos="3060"/>
                <w:tab w:val="right" w:leader="dot" w:pos="9245"/>
              </w:tabs>
              <w:spacing w:after="120"/>
              <w:ind w:left="1080"/>
              <w:rPr>
                <w:spacing w:val="60"/>
                <w:sz w:val="17"/>
                <w:lang w:val="es-ES_tradnl"/>
              </w:rPr>
            </w:pPr>
            <w:r w:rsidRPr="0006706E">
              <w:rPr>
                <w:lang w:val="es-ES_tradnl"/>
              </w:rPr>
              <w:t>Pregunta 18: Acoso sexual</w:t>
            </w:r>
            <w:r>
              <w:rPr>
                <w:spacing w:val="60"/>
                <w:sz w:val="17"/>
                <w:lang w:val="es-ES_tradnl"/>
              </w:rPr>
              <w:tab/>
            </w:r>
          </w:p>
        </w:tc>
        <w:tc>
          <w:tcPr>
            <w:tcW w:w="533" w:type="dxa"/>
            <w:shd w:val="clear" w:color="auto" w:fill="auto"/>
            <w:vAlign w:val="bottom"/>
          </w:tcPr>
          <w:p w14:paraId="008E097A" w14:textId="578461E0" w:rsidR="00D50B21" w:rsidRPr="007C0DCB" w:rsidRDefault="0006706E" w:rsidP="002B6DF4">
            <w:pPr>
              <w:spacing w:after="120"/>
              <w:jc w:val="right"/>
              <w:rPr>
                <w:lang w:val="es-ES_tradnl"/>
              </w:rPr>
            </w:pPr>
            <w:r>
              <w:rPr>
                <w:lang w:val="es-ES_tradnl"/>
              </w:rPr>
              <w:t>41</w:t>
            </w:r>
          </w:p>
        </w:tc>
      </w:tr>
      <w:tr w:rsidR="00D50B21" w:rsidRPr="007C0DCB" w14:paraId="38EE819F" w14:textId="77777777" w:rsidTr="002B6DF4">
        <w:tc>
          <w:tcPr>
            <w:tcW w:w="9369" w:type="dxa"/>
            <w:gridSpan w:val="3"/>
            <w:shd w:val="clear" w:color="auto" w:fill="auto"/>
          </w:tcPr>
          <w:p w14:paraId="0F82BEAF" w14:textId="01C7EAB0" w:rsidR="00D50B21" w:rsidRPr="007C0DCB" w:rsidRDefault="0006706E" w:rsidP="002B6DF4">
            <w:pPr>
              <w:tabs>
                <w:tab w:val="right" w:pos="1080"/>
                <w:tab w:val="left" w:pos="1296"/>
                <w:tab w:val="left" w:pos="1728"/>
                <w:tab w:val="left" w:pos="2160"/>
                <w:tab w:val="left" w:pos="2592"/>
                <w:tab w:val="right" w:leader="dot" w:pos="9360"/>
              </w:tabs>
              <w:spacing w:after="120"/>
              <w:ind w:left="1080"/>
              <w:rPr>
                <w:spacing w:val="60"/>
                <w:sz w:val="17"/>
                <w:lang w:val="es-ES_tradnl"/>
              </w:rPr>
            </w:pPr>
            <w:r w:rsidRPr="0006706E">
              <w:rPr>
                <w:lang w:val="es-ES_tradnl"/>
              </w:rPr>
              <w:t>Pregunta 19: Salud</w:t>
            </w:r>
            <w:r w:rsidR="00D50B21" w:rsidRPr="007C0DCB">
              <w:rPr>
                <w:spacing w:val="60"/>
                <w:sz w:val="17"/>
                <w:lang w:val="es-ES_tradnl"/>
              </w:rPr>
              <w:tab/>
            </w:r>
          </w:p>
        </w:tc>
        <w:tc>
          <w:tcPr>
            <w:tcW w:w="533" w:type="dxa"/>
            <w:shd w:val="clear" w:color="auto" w:fill="auto"/>
            <w:vAlign w:val="bottom"/>
          </w:tcPr>
          <w:p w14:paraId="25DA0B41" w14:textId="5B041C39" w:rsidR="00D50B21" w:rsidRPr="007C0DCB" w:rsidRDefault="0006706E" w:rsidP="002B6DF4">
            <w:pPr>
              <w:spacing w:after="120"/>
              <w:jc w:val="right"/>
              <w:rPr>
                <w:lang w:val="es-ES_tradnl"/>
              </w:rPr>
            </w:pPr>
            <w:r>
              <w:rPr>
                <w:lang w:val="es-ES_tradnl"/>
              </w:rPr>
              <w:t>42</w:t>
            </w:r>
          </w:p>
        </w:tc>
      </w:tr>
      <w:tr w:rsidR="00D50B21" w:rsidRPr="0006706E" w14:paraId="351DB37F" w14:textId="77777777" w:rsidTr="002B6DF4">
        <w:tc>
          <w:tcPr>
            <w:tcW w:w="9369" w:type="dxa"/>
            <w:gridSpan w:val="3"/>
            <w:shd w:val="clear" w:color="auto" w:fill="auto"/>
          </w:tcPr>
          <w:p w14:paraId="30EF95C4" w14:textId="5DF59336" w:rsidR="00D50B21" w:rsidRPr="0006706E" w:rsidRDefault="0006706E" w:rsidP="002B6DF4">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06706E">
              <w:t>Pregunta 20: Prestaciones sociales y económicas</w:t>
            </w:r>
            <w:r w:rsidR="00D50B21" w:rsidRPr="0006706E">
              <w:rPr>
                <w:spacing w:val="60"/>
                <w:sz w:val="17"/>
              </w:rPr>
              <w:tab/>
            </w:r>
          </w:p>
        </w:tc>
        <w:tc>
          <w:tcPr>
            <w:tcW w:w="533" w:type="dxa"/>
            <w:shd w:val="clear" w:color="auto" w:fill="auto"/>
            <w:vAlign w:val="bottom"/>
          </w:tcPr>
          <w:p w14:paraId="72515458" w14:textId="5066B4B0" w:rsidR="00D50B21" w:rsidRPr="0006706E" w:rsidRDefault="0006706E" w:rsidP="002B6DF4">
            <w:pPr>
              <w:spacing w:after="120"/>
              <w:jc w:val="right"/>
            </w:pPr>
            <w:r>
              <w:t>50</w:t>
            </w:r>
          </w:p>
        </w:tc>
      </w:tr>
      <w:tr w:rsidR="00D50B21" w:rsidRPr="007C0DCB" w14:paraId="63A6226A" w14:textId="77777777" w:rsidTr="002B6DF4">
        <w:tc>
          <w:tcPr>
            <w:tcW w:w="9369" w:type="dxa"/>
            <w:gridSpan w:val="3"/>
            <w:shd w:val="clear" w:color="auto" w:fill="auto"/>
          </w:tcPr>
          <w:p w14:paraId="4F7BEEF8" w14:textId="2450A730" w:rsidR="00D50B21" w:rsidRPr="007C0DCB" w:rsidRDefault="0006706E" w:rsidP="002B6DF4">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lang w:val="es-ES_tradnl"/>
              </w:rPr>
            </w:pPr>
            <w:r w:rsidRPr="0006706E">
              <w:rPr>
                <w:lang w:val="es-ES_tradnl"/>
              </w:rPr>
              <w:t>Pregunta 21: Mujeres indígenas</w:t>
            </w:r>
            <w:r w:rsidR="00D50B21" w:rsidRPr="007C0DCB">
              <w:rPr>
                <w:spacing w:val="60"/>
                <w:sz w:val="17"/>
                <w:lang w:val="es-ES_tradnl"/>
              </w:rPr>
              <w:tab/>
            </w:r>
          </w:p>
        </w:tc>
        <w:tc>
          <w:tcPr>
            <w:tcW w:w="533" w:type="dxa"/>
            <w:shd w:val="clear" w:color="auto" w:fill="auto"/>
            <w:vAlign w:val="bottom"/>
          </w:tcPr>
          <w:p w14:paraId="608B8625" w14:textId="0DDFAA2C" w:rsidR="00D50B21" w:rsidRPr="007C0DCB" w:rsidRDefault="0006706E" w:rsidP="002B6DF4">
            <w:pPr>
              <w:spacing w:after="120"/>
              <w:jc w:val="right"/>
              <w:rPr>
                <w:lang w:val="es-ES_tradnl"/>
              </w:rPr>
            </w:pPr>
            <w:r>
              <w:rPr>
                <w:lang w:val="es-ES_tradnl"/>
              </w:rPr>
              <w:t>51</w:t>
            </w:r>
          </w:p>
        </w:tc>
      </w:tr>
      <w:tr w:rsidR="00D50B21" w:rsidRPr="0006706E" w14:paraId="660B250A" w14:textId="77777777" w:rsidTr="002B6DF4">
        <w:tc>
          <w:tcPr>
            <w:tcW w:w="9369" w:type="dxa"/>
            <w:gridSpan w:val="3"/>
            <w:shd w:val="clear" w:color="auto" w:fill="auto"/>
          </w:tcPr>
          <w:p w14:paraId="778328B4" w14:textId="4E0F57C2" w:rsidR="00D50B21" w:rsidRPr="0006706E" w:rsidRDefault="0006706E" w:rsidP="002B6DF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06706E">
              <w:t>Pregunta 22: Mujeres refugiadas y solicitantes de asilo</w:t>
            </w:r>
            <w:r w:rsidR="00D50B21" w:rsidRPr="0006706E">
              <w:rPr>
                <w:spacing w:val="60"/>
                <w:sz w:val="17"/>
              </w:rPr>
              <w:tab/>
            </w:r>
          </w:p>
        </w:tc>
        <w:tc>
          <w:tcPr>
            <w:tcW w:w="533" w:type="dxa"/>
            <w:shd w:val="clear" w:color="auto" w:fill="auto"/>
            <w:vAlign w:val="bottom"/>
          </w:tcPr>
          <w:p w14:paraId="7DBD6651" w14:textId="38A20019" w:rsidR="00D50B21" w:rsidRPr="0006706E" w:rsidRDefault="0006706E" w:rsidP="002B6DF4">
            <w:pPr>
              <w:spacing w:after="120"/>
              <w:jc w:val="right"/>
            </w:pPr>
            <w:r>
              <w:t>52</w:t>
            </w:r>
          </w:p>
        </w:tc>
      </w:tr>
      <w:tr w:rsidR="00D50B21" w:rsidRPr="00C1172F" w14:paraId="4B0FC392" w14:textId="77777777" w:rsidTr="002B6DF4">
        <w:tc>
          <w:tcPr>
            <w:tcW w:w="9369" w:type="dxa"/>
            <w:gridSpan w:val="3"/>
            <w:shd w:val="clear" w:color="auto" w:fill="auto"/>
          </w:tcPr>
          <w:p w14:paraId="5498D4F6" w14:textId="2703F088" w:rsidR="00D50B21" w:rsidRPr="0006706E" w:rsidRDefault="0006706E" w:rsidP="0006706E">
            <w:pPr>
              <w:tabs>
                <w:tab w:val="right" w:pos="1080"/>
                <w:tab w:val="left" w:pos="1300"/>
                <w:tab w:val="left" w:pos="1740"/>
                <w:tab w:val="left" w:pos="2180"/>
                <w:tab w:val="left" w:pos="2620"/>
                <w:tab w:val="left" w:pos="3060"/>
                <w:tab w:val="left" w:pos="3500"/>
                <w:tab w:val="right" w:leader="dot" w:pos="9245"/>
              </w:tabs>
              <w:spacing w:after="120"/>
              <w:ind w:left="1080"/>
              <w:rPr>
                <w:spacing w:val="60"/>
                <w:sz w:val="17"/>
                <w:lang w:val="en-US"/>
              </w:rPr>
            </w:pPr>
            <w:r w:rsidRPr="0006706E">
              <w:rPr>
                <w:lang w:val="en-US"/>
              </w:rPr>
              <w:t>Pregunta 23: Mujeres reclusas</w:t>
            </w:r>
            <w:r>
              <w:rPr>
                <w:spacing w:val="60"/>
                <w:sz w:val="17"/>
                <w:lang w:val="en-US"/>
              </w:rPr>
              <w:tab/>
            </w:r>
          </w:p>
        </w:tc>
        <w:tc>
          <w:tcPr>
            <w:tcW w:w="533" w:type="dxa"/>
            <w:shd w:val="clear" w:color="auto" w:fill="auto"/>
            <w:vAlign w:val="bottom"/>
          </w:tcPr>
          <w:p w14:paraId="062EC387" w14:textId="7E5A8B41" w:rsidR="00D50B21" w:rsidRPr="00C1172F" w:rsidRDefault="0006706E" w:rsidP="002B6DF4">
            <w:pPr>
              <w:spacing w:after="120"/>
              <w:jc w:val="right"/>
              <w:rPr>
                <w:lang w:val="en-US"/>
              </w:rPr>
            </w:pPr>
            <w:r>
              <w:rPr>
                <w:lang w:val="en-US"/>
              </w:rPr>
              <w:t>55</w:t>
            </w:r>
          </w:p>
        </w:tc>
      </w:tr>
      <w:tr w:rsidR="00D50B21" w:rsidRPr="0006706E" w14:paraId="52AAD9ED" w14:textId="77777777" w:rsidTr="002B6DF4">
        <w:tc>
          <w:tcPr>
            <w:tcW w:w="9369" w:type="dxa"/>
            <w:gridSpan w:val="3"/>
            <w:shd w:val="clear" w:color="auto" w:fill="auto"/>
          </w:tcPr>
          <w:p w14:paraId="36CE945A" w14:textId="3C7C5D7F" w:rsidR="00D50B21" w:rsidRPr="0006706E" w:rsidRDefault="0006706E" w:rsidP="002B6DF4">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06706E">
              <w:t>Pregunta 24: Matrimonio y relaciones familiares</w:t>
            </w:r>
            <w:r w:rsidR="00D50B21" w:rsidRPr="0006706E">
              <w:rPr>
                <w:spacing w:val="60"/>
                <w:sz w:val="17"/>
              </w:rPr>
              <w:tab/>
            </w:r>
          </w:p>
        </w:tc>
        <w:tc>
          <w:tcPr>
            <w:tcW w:w="533" w:type="dxa"/>
            <w:shd w:val="clear" w:color="auto" w:fill="auto"/>
            <w:vAlign w:val="bottom"/>
          </w:tcPr>
          <w:p w14:paraId="2E1E1225" w14:textId="63DC9A95" w:rsidR="00D50B21" w:rsidRPr="0006706E" w:rsidRDefault="0006706E" w:rsidP="002B6DF4">
            <w:pPr>
              <w:spacing w:after="120"/>
              <w:jc w:val="right"/>
            </w:pPr>
            <w:r>
              <w:t>61</w:t>
            </w:r>
          </w:p>
        </w:tc>
      </w:tr>
      <w:tr w:rsidR="00D50B21" w:rsidRPr="007C0DCB" w14:paraId="6AD6DE37" w14:textId="77777777" w:rsidTr="002B6DF4">
        <w:tc>
          <w:tcPr>
            <w:tcW w:w="9369" w:type="dxa"/>
            <w:gridSpan w:val="3"/>
            <w:shd w:val="clear" w:color="auto" w:fill="auto"/>
          </w:tcPr>
          <w:p w14:paraId="7F7733AF" w14:textId="12A1027B" w:rsidR="00D50B21" w:rsidRPr="007C0DCB" w:rsidRDefault="0006706E" w:rsidP="002B6DF4">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lang w:val="es-ES_tradnl"/>
              </w:rPr>
            </w:pPr>
            <w:r w:rsidRPr="0006706E">
              <w:rPr>
                <w:lang w:val="es-ES_tradnl"/>
              </w:rPr>
              <w:t>Pregunta 25: Información adicional</w:t>
            </w:r>
            <w:r w:rsidR="00D50B21" w:rsidRPr="007C0DCB">
              <w:rPr>
                <w:spacing w:val="60"/>
                <w:sz w:val="17"/>
                <w:lang w:val="es-ES_tradnl"/>
              </w:rPr>
              <w:tab/>
            </w:r>
          </w:p>
        </w:tc>
        <w:tc>
          <w:tcPr>
            <w:tcW w:w="533" w:type="dxa"/>
            <w:shd w:val="clear" w:color="auto" w:fill="auto"/>
            <w:vAlign w:val="bottom"/>
          </w:tcPr>
          <w:p w14:paraId="1B06B192" w14:textId="14553FE9" w:rsidR="00D50B21" w:rsidRPr="007C0DCB" w:rsidRDefault="0006706E" w:rsidP="002B6DF4">
            <w:pPr>
              <w:spacing w:after="120"/>
              <w:jc w:val="right"/>
              <w:rPr>
                <w:lang w:val="es-ES_tradnl"/>
              </w:rPr>
            </w:pPr>
            <w:r>
              <w:rPr>
                <w:lang w:val="es-ES_tradnl"/>
              </w:rPr>
              <w:t>62</w:t>
            </w:r>
          </w:p>
        </w:tc>
      </w:tr>
    </w:tbl>
    <w:p w14:paraId="40BE4E31" w14:textId="7749B5AE" w:rsidR="00D50B21" w:rsidRPr="007C0DCB" w:rsidRDefault="00D50B21" w:rsidP="00D50B21">
      <w:pPr>
        <w:rPr>
          <w:lang w:val="es-ES_tradnl"/>
        </w:rPr>
      </w:pPr>
    </w:p>
    <w:p w14:paraId="69297F60" w14:textId="695A1AAD" w:rsidR="00627CAE" w:rsidRPr="00627CAE" w:rsidRDefault="00627CAE" w:rsidP="00627CAE">
      <w:pPr>
        <w:pStyle w:val="SingleTxt"/>
        <w:rPr>
          <w:b/>
          <w:lang w:val="es-ES_tradnl"/>
        </w:rPr>
      </w:pPr>
      <w:r w:rsidRPr="00627CAE">
        <w:rPr>
          <w:lang w:val="es-ES_tradnl"/>
        </w:rPr>
        <w:br w:type="page"/>
      </w:r>
    </w:p>
    <w:p w14:paraId="78088553" w14:textId="77777777" w:rsidR="00627CAE" w:rsidRPr="00195CF4" w:rsidRDefault="00627CAE" w:rsidP="00327A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lastRenderedPageBreak/>
        <w:tab/>
      </w:r>
      <w:r w:rsidRPr="00195CF4">
        <w:rPr>
          <w:lang w:val="es-ES_tradnl"/>
        </w:rPr>
        <w:tab/>
        <w:t xml:space="preserve">Introducción </w:t>
      </w:r>
      <w:bookmarkEnd w:id="1"/>
      <w:bookmarkEnd w:id="2"/>
    </w:p>
    <w:p w14:paraId="2D8EF1B3" w14:textId="77777777" w:rsidR="00327A25" w:rsidRPr="007C0DCB" w:rsidRDefault="00327A25" w:rsidP="00327A25">
      <w:pPr>
        <w:pStyle w:val="SingleTxt"/>
        <w:spacing w:after="0" w:line="120" w:lineRule="exact"/>
        <w:rPr>
          <w:iCs/>
          <w:sz w:val="10"/>
          <w:lang w:val="es-ES_tradnl"/>
        </w:rPr>
      </w:pPr>
    </w:p>
    <w:p w14:paraId="73DB3E46" w14:textId="77777777" w:rsidR="00327A25" w:rsidRPr="007C0DCB" w:rsidRDefault="00327A25" w:rsidP="00327A25">
      <w:pPr>
        <w:pStyle w:val="SingleTxt"/>
        <w:spacing w:after="0" w:line="120" w:lineRule="exact"/>
        <w:rPr>
          <w:iCs/>
          <w:sz w:val="10"/>
          <w:lang w:val="es-ES_tradnl"/>
        </w:rPr>
      </w:pPr>
    </w:p>
    <w:p w14:paraId="79EFC03A" w14:textId="73683229" w:rsidR="00627CAE" w:rsidRPr="00627CAE" w:rsidRDefault="00627CAE" w:rsidP="00A02D7A">
      <w:pPr>
        <w:pStyle w:val="SingleTxt"/>
        <w:numPr>
          <w:ilvl w:val="0"/>
          <w:numId w:val="22"/>
        </w:numPr>
        <w:ind w:left="1267"/>
        <w:rPr>
          <w:lang w:val="es-ES_tradnl"/>
        </w:rPr>
      </w:pPr>
      <w:r w:rsidRPr="00627CAE">
        <w:rPr>
          <w:lang w:val="es-ES_tradnl"/>
        </w:rPr>
        <w:t>Australia agradece la oportunidad de poder presentar su noveno informe periódico (</w:t>
      </w:r>
      <w:r w:rsidR="00285E6B">
        <w:rPr>
          <w:lang w:val="es-ES_tradnl"/>
        </w:rPr>
        <w:t>“</w:t>
      </w:r>
      <w:r w:rsidRPr="00627CAE">
        <w:rPr>
          <w:lang w:val="es-ES_tradnl"/>
        </w:rPr>
        <w:t>el informe periódico</w:t>
      </w:r>
      <w:r w:rsidR="00285E6B">
        <w:rPr>
          <w:lang w:val="es-ES_tradnl"/>
        </w:rPr>
        <w:t>”</w:t>
      </w:r>
      <w:r w:rsidRPr="00627CAE">
        <w:rPr>
          <w:lang w:val="es-ES_tradnl"/>
        </w:rPr>
        <w:t>) en virtud de la Convención sobre la Eliminación de Todas las Formas de Discriminación contra la Mujer al Comité para la Eliminación de la Discriminación contra la Mujer (</w:t>
      </w:r>
      <w:r w:rsidR="00285E6B">
        <w:rPr>
          <w:lang w:val="es-ES_tradnl"/>
        </w:rPr>
        <w:t>“</w:t>
      </w:r>
      <w:r w:rsidRPr="00627CAE">
        <w:rPr>
          <w:lang w:val="es-ES_tradnl"/>
        </w:rPr>
        <w:t>el Comité</w:t>
      </w:r>
      <w:r w:rsidR="00285E6B">
        <w:rPr>
          <w:lang w:val="es-ES_tradnl"/>
        </w:rPr>
        <w:t>”</w:t>
      </w:r>
      <w:r w:rsidRPr="00627CAE">
        <w:rPr>
          <w:lang w:val="es-ES_tradnl"/>
        </w:rPr>
        <w:t>). En el informe periódico se describen a grandes rasgos las medidas adoptadas en Australia para promover la igualdad de género y se responde a la lista de cuestiones facilitada por el Comité el 6 de marzo de 2023.</w:t>
      </w:r>
    </w:p>
    <w:p w14:paraId="7DAE73AB" w14:textId="79FC5B35" w:rsidR="00627CAE" w:rsidRPr="00627CAE" w:rsidRDefault="00627CAE" w:rsidP="00A02D7A">
      <w:pPr>
        <w:pStyle w:val="SingleTxt"/>
        <w:numPr>
          <w:ilvl w:val="0"/>
          <w:numId w:val="22"/>
        </w:numPr>
        <w:ind w:left="1267"/>
        <w:rPr>
          <w:lang w:val="es-ES_tradnl"/>
        </w:rPr>
      </w:pPr>
      <w:r w:rsidRPr="00627CAE">
        <w:rPr>
          <w:lang w:val="es-ES_tradnl"/>
        </w:rPr>
        <w:t>Australia se compromete a ser un líder mundial en el ámbito de la igualdad de género y a primar esa igualdad al formular políticas y adoptar decisiones. Australia ha avanzado en la consecución de la igualdad de género en los últimos 40 años</w:t>
      </w:r>
      <w:r w:rsidRPr="00627CAE">
        <w:rPr>
          <w:vertAlign w:val="superscript"/>
          <w:lang w:val="es-ES_tradnl"/>
        </w:rPr>
        <w:footnoteReference w:id="3"/>
      </w:r>
      <w:r w:rsidRPr="00627CAE">
        <w:rPr>
          <w:lang w:val="es-ES_tradnl"/>
        </w:rPr>
        <w:t>. El programa de reformas del Gobierno australiano (</w:t>
      </w:r>
      <w:r w:rsidR="00285E6B">
        <w:rPr>
          <w:lang w:val="es-ES_tradnl"/>
        </w:rPr>
        <w:t>“</w:t>
      </w:r>
      <w:r w:rsidRPr="00627CAE">
        <w:rPr>
          <w:lang w:val="es-ES_tradnl"/>
        </w:rPr>
        <w:t>el Gobierno</w:t>
      </w:r>
      <w:r w:rsidR="00285E6B">
        <w:rPr>
          <w:lang w:val="es-ES_tradnl"/>
        </w:rPr>
        <w:t>”</w:t>
      </w:r>
      <w:r w:rsidRPr="00627CAE">
        <w:rPr>
          <w:lang w:val="es-ES_tradnl"/>
        </w:rPr>
        <w:t>)</w:t>
      </w:r>
      <w:r w:rsidRPr="00627CAE">
        <w:rPr>
          <w:vertAlign w:val="superscript"/>
          <w:lang w:val="es-ES_tradnl"/>
        </w:rPr>
        <w:footnoteReference w:id="4"/>
      </w:r>
      <w:r w:rsidRPr="00627CAE">
        <w:rPr>
          <w:lang w:val="es-ES_tradnl"/>
        </w:rPr>
        <w:t xml:space="preserve"> se lleva a cabo en colaboración con las administraciones de los estados y los territorios, en consulta con el público, la sociedad civil y las comunidades de las Primeras Naciones del país</w:t>
      </w:r>
      <w:r w:rsidRPr="00627CAE">
        <w:rPr>
          <w:vertAlign w:val="superscript"/>
          <w:lang w:val="es-ES_tradnl"/>
        </w:rPr>
        <w:footnoteReference w:id="5"/>
      </w:r>
      <w:r w:rsidRPr="00627CAE">
        <w:rPr>
          <w:lang w:val="es-ES_tradnl"/>
        </w:rPr>
        <w:t xml:space="preserve">. </w:t>
      </w:r>
    </w:p>
    <w:p w14:paraId="2898580A" w14:textId="6411A1C2" w:rsidR="00627CAE" w:rsidRPr="00627CAE" w:rsidRDefault="00627CAE" w:rsidP="00A02D7A">
      <w:pPr>
        <w:pStyle w:val="SingleTxt"/>
        <w:numPr>
          <w:ilvl w:val="0"/>
          <w:numId w:val="22"/>
        </w:numPr>
        <w:ind w:left="1267"/>
        <w:rPr>
          <w:lang w:val="es-ES_tradnl"/>
        </w:rPr>
      </w:pPr>
      <w:r w:rsidRPr="00627CAE">
        <w:rPr>
          <w:lang w:val="es-ES_tradnl"/>
        </w:rPr>
        <w:t>La primera estrategia nacional de Australia para lograr la igualdad de género, Trabajar en favor de la Mujer: Estrategia para la Igualdad de Género</w:t>
      </w:r>
      <w:r w:rsidRPr="00627CAE">
        <w:rPr>
          <w:i/>
          <w:iCs/>
          <w:lang w:val="es-ES_tradnl"/>
        </w:rPr>
        <w:t xml:space="preserve"> </w:t>
      </w:r>
      <w:r w:rsidRPr="00627CAE">
        <w:rPr>
          <w:lang w:val="es-ES_tradnl"/>
        </w:rPr>
        <w:t>(Trabajar en favor de la Mujer), se publicó en marzo de 2024 para orientar las intervenciones del Gobierno y de toda la comunidad con miras a crear una sociedad igualitaria en términos de género de aquí a 2034. Entre las prioridades de la estrategia figuran la violencia de género; los cuidados remunerados y no remunerados; la igualdad económica y la seguridad; la salud; el liderazgo, la representación y la adopción de decisiones.</w:t>
      </w:r>
    </w:p>
    <w:p w14:paraId="77764747" w14:textId="785075C8" w:rsidR="00627CAE" w:rsidRPr="00627CAE" w:rsidRDefault="00627CAE" w:rsidP="00A02D7A">
      <w:pPr>
        <w:pStyle w:val="SingleTxt"/>
        <w:numPr>
          <w:ilvl w:val="0"/>
          <w:numId w:val="22"/>
        </w:numPr>
        <w:ind w:left="1267"/>
        <w:rPr>
          <w:lang w:val="es-ES_tradnl"/>
        </w:rPr>
      </w:pPr>
      <w:r w:rsidRPr="00627CAE">
        <w:rPr>
          <w:lang w:val="es-ES_tradnl"/>
        </w:rPr>
        <w:t xml:space="preserve">La Estrategia </w:t>
      </w:r>
      <w:r w:rsidR="00285E6B">
        <w:rPr>
          <w:lang w:val="es-ES_tradnl"/>
        </w:rPr>
        <w:t>“</w:t>
      </w:r>
      <w:r w:rsidRPr="00627CAE">
        <w:rPr>
          <w:lang w:val="es-ES_tradnl"/>
        </w:rPr>
        <w:t>Trabajar en favor de la Mujer</w:t>
      </w:r>
      <w:r w:rsidR="00285E6B">
        <w:rPr>
          <w:lang w:val="es-ES_tradnl"/>
        </w:rPr>
        <w:t>”</w:t>
      </w:r>
      <w:r w:rsidRPr="00627CAE">
        <w:rPr>
          <w:lang w:val="es-ES_tradnl"/>
        </w:rPr>
        <w:t xml:space="preserve"> complementa otras iniciativas del Gobierno para lograr la igualdad de género, como el Plan Nacional para Acabar con la Violencia contra las Mujeres y los Niños (2022–2032) (Plan Nacional), la Estrategia Nacional de Salud de la Mujer (2020-2030) (Estrategia Nacional de Salud de la Mujer) o los planes de igualdad de género a nivel estatal y territorial.</w:t>
      </w:r>
    </w:p>
    <w:p w14:paraId="0F997238" w14:textId="2B417EE4" w:rsidR="00627CAE" w:rsidRPr="00627CAE" w:rsidRDefault="00627CAE" w:rsidP="00A02D7A">
      <w:pPr>
        <w:pStyle w:val="SingleTxt"/>
        <w:numPr>
          <w:ilvl w:val="0"/>
          <w:numId w:val="22"/>
        </w:numPr>
        <w:ind w:left="1267"/>
        <w:rPr>
          <w:lang w:val="es-ES_tradnl"/>
        </w:rPr>
      </w:pPr>
      <w:r w:rsidRPr="00627CAE">
        <w:rPr>
          <w:lang w:val="es-ES_tradnl"/>
        </w:rPr>
        <w:t>A pesar de que el número de iniciativas de ámbito nacional ha aumentado, los índices de violencia contra las mujeres en Australia han seguido siendo elevados durante los últimos decenios. Junto con las administraciones de los estados y los territorios, el Gobierno anunció en octubre de 2022 el Plan Nacional para orientar las intervenciones dirigidas a poner fin a la violencia contra las mujeres y los niños en una generación. El Plan Nacional incluye el Primer Plan de Acción (2023-2027)</w:t>
      </w:r>
      <w:r w:rsidRPr="00627CAE">
        <w:rPr>
          <w:i/>
          <w:iCs/>
          <w:lang w:val="es-ES_tradnl"/>
        </w:rPr>
        <w:t xml:space="preserve"> </w:t>
      </w:r>
      <w:r w:rsidRPr="00627CAE">
        <w:rPr>
          <w:lang w:val="es-ES_tradnl"/>
        </w:rPr>
        <w:t xml:space="preserve">y prevé el diseño de otro plan de acción separado para los aborígenes e isleños del estrecho de Torres correspondiente al período 2023-2025 (el Plan de Acción para los Aborígenes e Isleños del Estrecho de Torres) en colaboración con el Consejo Asesor de Aborígenes e Isleños del Estrecho de Torres en materia de violencia familiar, doméstica y sexual. </w:t>
      </w:r>
    </w:p>
    <w:p w14:paraId="0CBF98E7" w14:textId="01B44A44" w:rsidR="00627CAE" w:rsidRPr="00627CAE" w:rsidRDefault="00627CAE" w:rsidP="00A02D7A">
      <w:pPr>
        <w:pStyle w:val="SingleTxt"/>
        <w:numPr>
          <w:ilvl w:val="0"/>
          <w:numId w:val="22"/>
        </w:numPr>
        <w:ind w:left="1267"/>
        <w:rPr>
          <w:lang w:val="es-ES_tradnl"/>
        </w:rPr>
      </w:pPr>
      <w:r w:rsidRPr="00627CAE">
        <w:rPr>
          <w:lang w:val="es-ES_tradnl"/>
        </w:rPr>
        <w:t>La igualdad económica de las mujeres ha mejorado, como constatan el aumento de su participación en el mercado laboral y de su nivel de instrucción, y la reducción de la brecha salarial de género y de las diferencias en los ingresos por jubilación. Australia logró en agosto de 2024 una brecha salarial de género sin precedentes, del 11,5 %. Entre las reformas legislativas, normativas y estructurales, cabe citar:</w:t>
      </w:r>
    </w:p>
    <w:p w14:paraId="2D597F21" w14:textId="473BFD59" w:rsidR="00627CAE" w:rsidRPr="00627CAE" w:rsidRDefault="00327A25" w:rsidP="00327A25">
      <w:pPr>
        <w:pStyle w:val="SingleTxt"/>
        <w:tabs>
          <w:tab w:val="right" w:pos="360"/>
          <w:tab w:val="right" w:pos="1685"/>
        </w:tabs>
        <w:ind w:left="1742" w:hanging="475"/>
        <w:rPr>
          <w:lang w:val="es-ES_tradnl"/>
        </w:rPr>
      </w:pPr>
      <w:r w:rsidRPr="007C0DCB">
        <w:rPr>
          <w:lang w:val="es-ES_tradnl"/>
        </w:rPr>
        <w:tab/>
        <w:t>•</w:t>
      </w:r>
      <w:r w:rsidR="00627CAE" w:rsidRPr="00627CAE">
        <w:rPr>
          <w:lang w:val="es-ES_tradnl"/>
        </w:rPr>
        <w:tab/>
        <w:t xml:space="preserve">La reintroducción de una presupuestación que responda a las cuestiones de género y las evaluaciones del impacto de género en el proceso presupuestario </w:t>
      </w:r>
      <w:r w:rsidR="00627CAE" w:rsidRPr="00627CAE">
        <w:rPr>
          <w:lang w:val="es-ES_tradnl"/>
        </w:rPr>
        <w:lastRenderedPageBreak/>
        <w:t>federal, lo que exige a los responsables de formular políticas que tengan en cuenta el impacto de género de cualquier propuesta nueva que se presente;</w:t>
      </w:r>
    </w:p>
    <w:p w14:paraId="5D6EEB14" w14:textId="73348B4A" w:rsidR="00627CAE" w:rsidRPr="00627CAE" w:rsidRDefault="00327A25" w:rsidP="00327A25">
      <w:pPr>
        <w:pStyle w:val="SingleTxt"/>
        <w:tabs>
          <w:tab w:val="right" w:pos="360"/>
          <w:tab w:val="right" w:pos="1685"/>
        </w:tabs>
        <w:ind w:left="1742" w:hanging="475"/>
        <w:rPr>
          <w:lang w:val="es-ES_tradnl"/>
        </w:rPr>
      </w:pPr>
      <w:r w:rsidRPr="007C0DCB">
        <w:rPr>
          <w:lang w:val="es-ES_tradnl"/>
        </w:rPr>
        <w:tab/>
        <w:t>•</w:t>
      </w:r>
      <w:r w:rsidR="00627CAE" w:rsidRPr="00627CAE">
        <w:rPr>
          <w:lang w:val="es-ES_tradnl"/>
        </w:rPr>
        <w:tab/>
        <w:t>La ampliación del régimen de licencia parental retribuida del Gobierno y un aumento de su flexibilidad, accesibilidad y equidad de género, reconociendo que ambos progenitores son importantes para cuidar de los hijos;</w:t>
      </w:r>
    </w:p>
    <w:p w14:paraId="033D5328" w14:textId="46FB0777" w:rsidR="00627CAE" w:rsidRPr="00627CAE" w:rsidRDefault="00327A25" w:rsidP="00327A25">
      <w:pPr>
        <w:pStyle w:val="SingleTxt"/>
        <w:tabs>
          <w:tab w:val="right" w:pos="360"/>
          <w:tab w:val="right" w:pos="1685"/>
        </w:tabs>
        <w:ind w:left="1742" w:hanging="475"/>
        <w:rPr>
          <w:lang w:val="es-ES_tradnl"/>
        </w:rPr>
      </w:pPr>
      <w:r w:rsidRPr="007C0DCB">
        <w:rPr>
          <w:lang w:val="es-ES_tradnl"/>
        </w:rPr>
        <w:tab/>
        <w:t>•</w:t>
      </w:r>
      <w:r w:rsidR="00627CAE" w:rsidRPr="00627CAE">
        <w:rPr>
          <w:lang w:val="es-ES_tradnl"/>
        </w:rPr>
        <w:tab/>
        <w:t xml:space="preserve">La modificación de la Ley de Igualdad de Género en el Trabajo de 2012 (Commonwealth) (Ley de Igualdad de Género en el Lugar de Trabajo), en virtud de la cual la Agencia de Igualdad de Género en el Lugar de Trabajo (WGEA) publica datos sobre la brecha salarial de género de las empresas con 100 o más trabajadores a nivel nacional por sector y por ocupación; </w:t>
      </w:r>
    </w:p>
    <w:p w14:paraId="62ABE6CB" w14:textId="16297860" w:rsidR="00627CAE" w:rsidRPr="00627CAE" w:rsidRDefault="00327A25" w:rsidP="00327A25">
      <w:pPr>
        <w:pStyle w:val="SingleTxt"/>
        <w:tabs>
          <w:tab w:val="right" w:pos="360"/>
          <w:tab w:val="right" w:pos="1685"/>
        </w:tabs>
        <w:ind w:left="1742" w:hanging="475"/>
        <w:rPr>
          <w:lang w:val="es-ES_tradnl"/>
        </w:rPr>
      </w:pPr>
      <w:r w:rsidRPr="007C0DCB">
        <w:rPr>
          <w:lang w:val="es-ES_tradnl"/>
        </w:rPr>
        <w:tab/>
        <w:t>•</w:t>
      </w:r>
      <w:r w:rsidR="00627CAE" w:rsidRPr="00627CAE">
        <w:rPr>
          <w:lang w:val="es-ES_tradnl"/>
        </w:rPr>
        <w:tab/>
        <w:t xml:space="preserve">La mejora de la asequibilidad de la atención y educación de la primera infancia, y un aumento de la inversión en la accesibilidad de las guarderías para las familias pertenecientes a las Primeras Naciones; </w:t>
      </w:r>
    </w:p>
    <w:p w14:paraId="77C1DB9A" w14:textId="7C184D5F" w:rsidR="00627CAE" w:rsidRPr="00627CAE" w:rsidRDefault="00327A25" w:rsidP="00327A25">
      <w:pPr>
        <w:pStyle w:val="SingleTxt"/>
        <w:tabs>
          <w:tab w:val="right" w:pos="360"/>
          <w:tab w:val="right" w:pos="1685"/>
        </w:tabs>
        <w:ind w:left="1742" w:hanging="475"/>
        <w:rPr>
          <w:lang w:val="es-ES_tradnl"/>
        </w:rPr>
      </w:pPr>
      <w:r w:rsidRPr="007C0DCB">
        <w:rPr>
          <w:lang w:val="es-ES_tradnl"/>
        </w:rPr>
        <w:tab/>
        <w:t>•</w:t>
      </w:r>
      <w:r w:rsidR="00627CAE" w:rsidRPr="00627CAE">
        <w:rPr>
          <w:lang w:val="es-ES_tradnl"/>
        </w:rPr>
        <w:tab/>
        <w:t xml:space="preserve">La inversión destinada a valorar más el trabajo de cuidados remunerado y las industrias con mayor presencia femenina mediante la reforma de la atención a las personas mayores, la atención y educación de la primera infancia, la atención a los veteranos y el apoyo a las personas con discapacidad, con miras a crear una economía de cuidados y apoyo que sea sostenible y productiva, y que ofrezca cuidados y apoyo de calidad con empleos de calidad; </w:t>
      </w:r>
    </w:p>
    <w:p w14:paraId="63129C54" w14:textId="18DD1886" w:rsidR="00627CAE" w:rsidRPr="00627CAE" w:rsidRDefault="00327A25" w:rsidP="00327A25">
      <w:pPr>
        <w:pStyle w:val="SingleTxt"/>
        <w:tabs>
          <w:tab w:val="right" w:pos="360"/>
          <w:tab w:val="right" w:pos="1685"/>
        </w:tabs>
        <w:ind w:left="1742" w:hanging="475"/>
        <w:rPr>
          <w:lang w:val="es-ES_tradnl"/>
        </w:rPr>
      </w:pPr>
      <w:r w:rsidRPr="007C0DCB">
        <w:rPr>
          <w:lang w:val="es-ES_tradnl"/>
        </w:rPr>
        <w:tab/>
        <w:t>•</w:t>
      </w:r>
      <w:r w:rsidR="00627CAE" w:rsidRPr="00627CAE">
        <w:rPr>
          <w:lang w:val="es-ES_tradnl"/>
        </w:rPr>
        <w:tab/>
        <w:t>La prohibición de la confidencialidad en materia de remuneración, la legislación del principio reglamentario de la igualdad de remuneración y la creación de un panel de expertos en igualdad salarial como parte de la Comisión Nacional de Trabajo Justo en virtud de la Ley de Trabajo Justo de 2009 (Commonwealth) (Ley de Trabajo Justo);</w:t>
      </w:r>
    </w:p>
    <w:p w14:paraId="5C04263E" w14:textId="288C93DE" w:rsidR="00627CAE" w:rsidRPr="00627CAE" w:rsidRDefault="00327A25" w:rsidP="00327A25">
      <w:pPr>
        <w:pStyle w:val="SingleTxt"/>
        <w:tabs>
          <w:tab w:val="right" w:pos="360"/>
          <w:tab w:val="right" w:pos="1685"/>
        </w:tabs>
        <w:ind w:left="1742" w:hanging="475"/>
        <w:rPr>
          <w:lang w:val="es-ES_tradnl"/>
        </w:rPr>
      </w:pPr>
      <w:r w:rsidRPr="007C0DCB">
        <w:rPr>
          <w:lang w:val="es-ES_tradnl"/>
        </w:rPr>
        <w:tab/>
        <w:t>•</w:t>
      </w:r>
      <w:r w:rsidR="00627CAE" w:rsidRPr="00627CAE">
        <w:rPr>
          <w:lang w:val="es-ES_tradnl"/>
        </w:rPr>
        <w:tab/>
        <w:t>La introducción de la licencia retribuida familiar y por violencia doméstica;</w:t>
      </w:r>
    </w:p>
    <w:p w14:paraId="263C0FA9" w14:textId="4F084DB8" w:rsidR="00627CAE" w:rsidRPr="00627CAE" w:rsidRDefault="00327A25" w:rsidP="00327A25">
      <w:pPr>
        <w:pStyle w:val="SingleTxt"/>
        <w:tabs>
          <w:tab w:val="right" w:pos="360"/>
          <w:tab w:val="right" w:pos="1685"/>
        </w:tabs>
        <w:ind w:left="1742" w:hanging="475"/>
        <w:rPr>
          <w:lang w:val="es-ES_tradnl"/>
        </w:rPr>
      </w:pPr>
      <w:r w:rsidRPr="007C0DCB">
        <w:rPr>
          <w:lang w:val="es-ES_tradnl"/>
        </w:rPr>
        <w:tab/>
        <w:t>•</w:t>
      </w:r>
      <w:r w:rsidR="00627CAE" w:rsidRPr="00627CAE">
        <w:rPr>
          <w:lang w:val="es-ES_tradnl"/>
        </w:rPr>
        <w:tab/>
        <w:t>La prohibición de la discriminación de los trabajadores por motivos de identidad de género, la condición de intersexual, la lactancia o la condición de víctimas de la violencia doméstica.</w:t>
      </w:r>
      <w:r w:rsidR="00652AE8">
        <w:rPr>
          <w:lang w:val="es-ES_tradnl"/>
        </w:rPr>
        <w:t xml:space="preserve"> </w:t>
      </w:r>
    </w:p>
    <w:p w14:paraId="693198E3" w14:textId="1B14C6EE" w:rsidR="00627CAE" w:rsidRPr="00627CAE" w:rsidRDefault="00627CAE" w:rsidP="00A02D7A">
      <w:pPr>
        <w:pStyle w:val="SingleTxt"/>
        <w:numPr>
          <w:ilvl w:val="0"/>
          <w:numId w:val="22"/>
        </w:numPr>
        <w:ind w:left="1267"/>
        <w:rPr>
          <w:lang w:val="es-ES_tradnl"/>
        </w:rPr>
      </w:pPr>
      <w:r w:rsidRPr="00627CAE">
        <w:rPr>
          <w:lang w:val="es-ES_tradnl"/>
        </w:rPr>
        <w:t xml:space="preserve">No es posible lograr la igualdad de género en Australia si no se garantizan la conciliación y la igualdad de las mujeres, niñas y personas de género diverso que pertenecen a las Primeras Naciones. El Gobierno se ha comprometido a trabajar con las mujeres de las Primeras Naciones, en consonancia con las reformas prioritarias previstas en el Acuerdo Nacional para Cerrar la Brecha (Cerrar la Brecha).  Las mujeres de las Primeras Naciones han llevado a cabo una serie de trabajos para abordar su singular experiencia del racismo y la desigualdad de género, incluido el informe </w:t>
      </w:r>
      <w:r w:rsidRPr="00627CAE">
        <w:rPr>
          <w:i/>
          <w:iCs/>
          <w:lang w:val="es-ES_tradnl"/>
        </w:rPr>
        <w:t>Wiyi Yani U Thangani (Voces de las Mujeres): Garantizar nuestros derechos, garantizar nuestro futuro</w:t>
      </w:r>
      <w:r w:rsidRPr="00627CAE">
        <w:rPr>
          <w:lang w:val="es-ES_tradnl"/>
        </w:rPr>
        <w:t xml:space="preserve"> (Wiyi Yani U Thangani), la Agenda del Cambio de Wiyi Yani U Thangani para la Justicia de Género de las Primeras Naciones, su marco de aplicación y agenda del cambio; y el Plan de Acción para los Aborígenes e Isleños del Estrecho de Torres como parte del Plan Nacional.</w:t>
      </w:r>
    </w:p>
    <w:p w14:paraId="2EC33C25" w14:textId="19499FB7" w:rsidR="00627CAE" w:rsidRPr="00627CAE" w:rsidRDefault="00627CAE" w:rsidP="00A02D7A">
      <w:pPr>
        <w:pStyle w:val="SingleTxt"/>
        <w:numPr>
          <w:ilvl w:val="0"/>
          <w:numId w:val="22"/>
        </w:numPr>
        <w:ind w:left="1267"/>
        <w:rPr>
          <w:lang w:val="es-ES_tradnl"/>
        </w:rPr>
      </w:pPr>
      <w:r w:rsidRPr="00627CAE">
        <w:rPr>
          <w:lang w:val="es-ES_tradnl"/>
        </w:rPr>
        <w:t>Australia trata de lograr la igualdad de género en su política exterior, su cooperación internacional para el desarrollo, su acción humanitaria, el comercio y sus iniciativas en materia de seguridad. El objetivo de la política de desarrollo internacional de Australia es que el 80 % de las inversiones para el desarrollo en el exterior aborden la igualdad de género, y que las inversiones que superen los tres millones de dólares tengan también un objetivo de igualdad de género.</w:t>
      </w:r>
    </w:p>
    <w:p w14:paraId="44AC35DF" w14:textId="77777777" w:rsidR="00327A25" w:rsidRPr="00195CF4" w:rsidRDefault="00327A25" w:rsidP="00327A25">
      <w:pPr>
        <w:pStyle w:val="SingleTxt"/>
        <w:spacing w:after="0" w:line="120" w:lineRule="exact"/>
        <w:rPr>
          <w:b/>
          <w:sz w:val="10"/>
          <w:lang w:val="es-ES_tradnl"/>
        </w:rPr>
      </w:pPr>
      <w:bookmarkStart w:id="3" w:name="_Toc188598194"/>
      <w:bookmarkStart w:id="4" w:name="_Toc190357091"/>
      <w:bookmarkStart w:id="5" w:name="_Toc190878875"/>
    </w:p>
    <w:p w14:paraId="74731675" w14:textId="31A72DD9" w:rsidR="0083075A" w:rsidRDefault="0083075A">
      <w:pPr>
        <w:suppressAutoHyphens w:val="0"/>
        <w:spacing w:after="160" w:line="259" w:lineRule="auto"/>
        <w:rPr>
          <w:b/>
          <w:kern w:val="14"/>
          <w:sz w:val="10"/>
          <w:lang w:val="es-ES_tradnl"/>
        </w:rPr>
      </w:pPr>
      <w:r>
        <w:rPr>
          <w:b/>
          <w:sz w:val="10"/>
          <w:lang w:val="es-ES_tradnl"/>
        </w:rPr>
        <w:br w:type="page"/>
      </w:r>
    </w:p>
    <w:p w14:paraId="12E71EB4" w14:textId="1D9B936A" w:rsidR="00627CAE" w:rsidRPr="00195CF4" w:rsidRDefault="00627CAE" w:rsidP="00B832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lastRenderedPageBreak/>
        <w:tab/>
      </w:r>
      <w:r w:rsidRPr="00195CF4">
        <w:rPr>
          <w:lang w:val="es-ES_tradnl"/>
        </w:rPr>
        <w:tab/>
        <w:t>El sistema de gobierno de Australia</w:t>
      </w:r>
      <w:bookmarkEnd w:id="3"/>
      <w:bookmarkEnd w:id="4"/>
      <w:bookmarkEnd w:id="5"/>
    </w:p>
    <w:p w14:paraId="29F2A061" w14:textId="77777777" w:rsidR="00327A25" w:rsidRPr="007C0DCB" w:rsidRDefault="00327A25" w:rsidP="00327A25">
      <w:pPr>
        <w:pStyle w:val="SingleTxt"/>
        <w:spacing w:after="0" w:line="120" w:lineRule="exact"/>
        <w:rPr>
          <w:iCs/>
          <w:sz w:val="10"/>
          <w:lang w:val="es-ES_tradnl"/>
        </w:rPr>
      </w:pPr>
    </w:p>
    <w:p w14:paraId="7340745A" w14:textId="77777777" w:rsidR="00327A25" w:rsidRPr="007C0DCB" w:rsidRDefault="00327A25" w:rsidP="00327A25">
      <w:pPr>
        <w:pStyle w:val="SingleTxt"/>
        <w:spacing w:after="0" w:line="120" w:lineRule="exact"/>
        <w:rPr>
          <w:iCs/>
          <w:sz w:val="10"/>
          <w:lang w:val="es-ES_tradnl"/>
        </w:rPr>
      </w:pPr>
    </w:p>
    <w:p w14:paraId="479188E7" w14:textId="0C697158" w:rsidR="00627CAE" w:rsidRPr="00627CAE" w:rsidRDefault="00627CAE" w:rsidP="00A02D7A">
      <w:pPr>
        <w:pStyle w:val="SingleTxt"/>
        <w:numPr>
          <w:ilvl w:val="0"/>
          <w:numId w:val="22"/>
        </w:numPr>
        <w:ind w:left="1267"/>
        <w:rPr>
          <w:lang w:val="es-ES_tradnl"/>
        </w:rPr>
      </w:pPr>
      <w:r w:rsidRPr="00627CAE">
        <w:rPr>
          <w:lang w:val="es-ES_tradnl"/>
        </w:rPr>
        <w:t>La Constitución de Australia establece un sistema federal de gobierno en virtud del cual las competencias se reparten entre el Commonwealth y los estados. En el sistema de gobierno australiano, los poderes se reparten entre:</w:t>
      </w:r>
    </w:p>
    <w:p w14:paraId="353DD186" w14:textId="4B678AB6" w:rsidR="00627CAE" w:rsidRPr="00627CAE" w:rsidRDefault="00327A25" w:rsidP="00327A25">
      <w:pPr>
        <w:pStyle w:val="SingleTxt"/>
        <w:tabs>
          <w:tab w:val="right" w:pos="1685"/>
        </w:tabs>
        <w:ind w:left="1742" w:hanging="475"/>
        <w:rPr>
          <w:lang w:val="es-ES_tradnl"/>
        </w:rPr>
      </w:pPr>
      <w:r w:rsidRPr="007C0DCB">
        <w:rPr>
          <w:lang w:val="es-ES_tradnl"/>
        </w:rPr>
        <w:tab/>
        <w:t>•</w:t>
      </w:r>
      <w:r w:rsidR="00627CAE" w:rsidRPr="00627CAE">
        <w:rPr>
          <w:lang w:val="es-ES_tradnl"/>
        </w:rPr>
        <w:tab/>
        <w:t>El Gobierno del Commonwealth;</w:t>
      </w:r>
    </w:p>
    <w:p w14:paraId="1F9BBFB9" w14:textId="34AEF739" w:rsidR="00627CAE" w:rsidRPr="00627CAE" w:rsidRDefault="00327A25" w:rsidP="00327A25">
      <w:pPr>
        <w:pStyle w:val="SingleTxt"/>
        <w:tabs>
          <w:tab w:val="right" w:pos="1685"/>
        </w:tabs>
        <w:ind w:left="1742" w:hanging="475"/>
        <w:rPr>
          <w:lang w:val="es-ES_tradnl"/>
        </w:rPr>
      </w:pPr>
      <w:r w:rsidRPr="007C0DCB">
        <w:rPr>
          <w:lang w:val="es-ES_tradnl"/>
        </w:rPr>
        <w:tab/>
        <w:t>•</w:t>
      </w:r>
      <w:r w:rsidR="00627CAE" w:rsidRPr="00627CAE">
        <w:rPr>
          <w:lang w:val="es-ES_tradnl"/>
        </w:rPr>
        <w:tab/>
        <w:t>Seis administraciones estatales: Nueva Gales del Sur, Queensland, Australia Meridional, Tasmania, Victoria y Australia Occidental;</w:t>
      </w:r>
    </w:p>
    <w:p w14:paraId="3516DEF8" w14:textId="23B450AD" w:rsidR="00627CAE" w:rsidRPr="00627CAE" w:rsidRDefault="00327A25" w:rsidP="00327A25">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Dos administraciones territoriales autónomas: el Territorio de la Capital de Australia y el Territorio del Norte; </w:t>
      </w:r>
    </w:p>
    <w:p w14:paraId="4974A3DD" w14:textId="0824C048" w:rsidR="00627CAE" w:rsidRPr="00627CAE" w:rsidRDefault="00327A25" w:rsidP="00327A25">
      <w:pPr>
        <w:pStyle w:val="SingleTxt"/>
        <w:tabs>
          <w:tab w:val="right" w:pos="1685"/>
        </w:tabs>
        <w:ind w:left="1742" w:hanging="475"/>
        <w:rPr>
          <w:lang w:val="es-ES_tradnl"/>
        </w:rPr>
      </w:pPr>
      <w:r w:rsidRPr="007C0DCB">
        <w:rPr>
          <w:lang w:val="es-ES_tradnl"/>
        </w:rPr>
        <w:tab/>
        <w:t>•</w:t>
      </w:r>
      <w:r w:rsidR="00627CAE" w:rsidRPr="00627CAE">
        <w:rPr>
          <w:lang w:val="es-ES_tradnl"/>
        </w:rPr>
        <w:tab/>
        <w:t>537 consejos de gobierno local.</w:t>
      </w:r>
    </w:p>
    <w:p w14:paraId="1ABF31F9" w14:textId="2F6720AA" w:rsidR="00627CAE" w:rsidRPr="00627CAE" w:rsidRDefault="00627CAE" w:rsidP="00A02D7A">
      <w:pPr>
        <w:pStyle w:val="SingleTxt"/>
        <w:numPr>
          <w:ilvl w:val="0"/>
          <w:numId w:val="22"/>
        </w:numPr>
        <w:ind w:left="1267"/>
        <w:rPr>
          <w:lang w:val="es-ES_tradnl"/>
        </w:rPr>
      </w:pPr>
      <w:r w:rsidRPr="00627CAE">
        <w:rPr>
          <w:lang w:val="es-ES_tradnl"/>
        </w:rPr>
        <w:t>Las administraciones australianas colaboran para avanzar en lo que respecta a la igualdad de género. El informe periódico incide en las intervenciones del Gobierno a nivel nacional y, cuando procede, describe a grandes rasgos las medidas adoptadas en los estados y los territorios</w:t>
      </w:r>
      <w:r w:rsidRPr="00627CAE">
        <w:rPr>
          <w:vertAlign w:val="superscript"/>
          <w:lang w:val="es-ES_tradnl"/>
        </w:rPr>
        <w:footnoteReference w:id="6"/>
      </w:r>
      <w:r w:rsidRPr="00627CAE">
        <w:rPr>
          <w:lang w:val="es-ES_tradnl"/>
        </w:rPr>
        <w:t xml:space="preserve">. </w:t>
      </w:r>
    </w:p>
    <w:p w14:paraId="60620420" w14:textId="77777777" w:rsidR="00327A25" w:rsidRPr="00195CF4" w:rsidRDefault="00327A25" w:rsidP="00B83258">
      <w:pPr>
        <w:pStyle w:val="SingleTxt"/>
        <w:spacing w:after="0" w:line="120" w:lineRule="exact"/>
        <w:rPr>
          <w:b/>
          <w:sz w:val="10"/>
          <w:lang w:val="es-ES_tradnl"/>
        </w:rPr>
      </w:pPr>
      <w:bookmarkStart w:id="6" w:name="_Toc188598195"/>
      <w:bookmarkStart w:id="7" w:name="_Toc190357092"/>
      <w:bookmarkStart w:id="8" w:name="_Toc190878876"/>
    </w:p>
    <w:p w14:paraId="72CE989E" w14:textId="77777777" w:rsidR="00B83258" w:rsidRPr="00195CF4" w:rsidRDefault="00B83258" w:rsidP="00327A25">
      <w:pPr>
        <w:pStyle w:val="SingleTxt"/>
        <w:spacing w:after="0" w:line="120" w:lineRule="exact"/>
        <w:rPr>
          <w:b/>
          <w:sz w:val="10"/>
          <w:lang w:val="es-ES_tradnl"/>
        </w:rPr>
      </w:pPr>
    </w:p>
    <w:p w14:paraId="33ECEB62" w14:textId="225CE24A" w:rsidR="00627CAE" w:rsidRPr="00195CF4" w:rsidRDefault="00627CAE" w:rsidP="00B832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Elaboración del informe periódico</w:t>
      </w:r>
      <w:bookmarkEnd w:id="6"/>
      <w:bookmarkEnd w:id="7"/>
      <w:bookmarkEnd w:id="8"/>
    </w:p>
    <w:p w14:paraId="431137BE" w14:textId="77777777" w:rsidR="00327A25" w:rsidRPr="007C0DCB" w:rsidRDefault="00327A25" w:rsidP="00B83258">
      <w:pPr>
        <w:pStyle w:val="SingleTxt"/>
        <w:spacing w:after="0" w:line="120" w:lineRule="exact"/>
        <w:rPr>
          <w:iCs/>
          <w:sz w:val="10"/>
          <w:lang w:val="es-ES_tradnl"/>
        </w:rPr>
      </w:pPr>
    </w:p>
    <w:p w14:paraId="785E28BB" w14:textId="77777777" w:rsidR="00B83258" w:rsidRPr="007C0DCB" w:rsidRDefault="00B83258" w:rsidP="00327A25">
      <w:pPr>
        <w:pStyle w:val="SingleTxt"/>
        <w:spacing w:after="0" w:line="120" w:lineRule="exact"/>
        <w:rPr>
          <w:iCs/>
          <w:sz w:val="10"/>
          <w:lang w:val="es-ES_tradnl"/>
        </w:rPr>
      </w:pPr>
    </w:p>
    <w:p w14:paraId="230EE4D9" w14:textId="0E1A32AD" w:rsidR="00627CAE" w:rsidRPr="00627CAE" w:rsidRDefault="00627CAE" w:rsidP="00A02D7A">
      <w:pPr>
        <w:pStyle w:val="SingleTxt"/>
        <w:numPr>
          <w:ilvl w:val="0"/>
          <w:numId w:val="22"/>
        </w:numPr>
        <w:ind w:left="1267"/>
        <w:rPr>
          <w:lang w:val="es-ES_tradnl"/>
        </w:rPr>
      </w:pPr>
      <w:r w:rsidRPr="00627CAE">
        <w:rPr>
          <w:lang w:val="es-ES_tradnl"/>
        </w:rPr>
        <w:t>Para elaborar el informe periódico, el Gobierno llevó a cabo una consulta pública (véase el anexo A).</w:t>
      </w:r>
    </w:p>
    <w:p w14:paraId="0D6E0EEF" w14:textId="00189D71" w:rsidR="00627CAE" w:rsidRPr="00627CAE" w:rsidRDefault="00627CAE" w:rsidP="00A02D7A">
      <w:pPr>
        <w:pStyle w:val="SingleTxt"/>
        <w:numPr>
          <w:ilvl w:val="0"/>
          <w:numId w:val="22"/>
        </w:numPr>
        <w:ind w:left="1267"/>
        <w:rPr>
          <w:lang w:val="es-ES_tradnl"/>
        </w:rPr>
      </w:pPr>
      <w:r w:rsidRPr="00627CAE">
        <w:rPr>
          <w:lang w:val="es-ES_tradnl"/>
        </w:rPr>
        <w:t xml:space="preserve">El Gobierno financió asimismo las alianzas nacionales de mujeres de Australia para que redactaran un informe alternativo independiente. </w:t>
      </w:r>
    </w:p>
    <w:p w14:paraId="3D1ECC5D" w14:textId="77777777" w:rsidR="00327A25" w:rsidRPr="00195CF4" w:rsidRDefault="00327A25" w:rsidP="00B83258">
      <w:pPr>
        <w:pStyle w:val="SingleTxt"/>
        <w:spacing w:after="0" w:line="120" w:lineRule="exact"/>
        <w:rPr>
          <w:b/>
          <w:sz w:val="10"/>
          <w:lang w:val="es-ES_tradnl"/>
        </w:rPr>
      </w:pPr>
      <w:bookmarkStart w:id="9" w:name="_Toc174011658"/>
      <w:bookmarkStart w:id="10" w:name="_Toc190878877"/>
    </w:p>
    <w:p w14:paraId="6C6CB0CE" w14:textId="77777777" w:rsidR="00B83258" w:rsidRPr="00195CF4" w:rsidRDefault="00B83258" w:rsidP="00327A25">
      <w:pPr>
        <w:pStyle w:val="SingleTxt"/>
        <w:spacing w:after="0" w:line="120" w:lineRule="exact"/>
        <w:rPr>
          <w:b/>
          <w:sz w:val="10"/>
          <w:lang w:val="es-ES_tradnl"/>
        </w:rPr>
      </w:pPr>
    </w:p>
    <w:p w14:paraId="523F9FD8" w14:textId="4B5CAB27" w:rsidR="00627CAE" w:rsidRPr="00195CF4" w:rsidRDefault="00627CAE" w:rsidP="00B832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 xml:space="preserve">Pregunta 1: Derechos de las mujeres e igualdad de género en relación con la pandemia, las actividades de recuperación y las crisis mundiales </w:t>
      </w:r>
      <w:bookmarkEnd w:id="9"/>
      <w:bookmarkEnd w:id="10"/>
    </w:p>
    <w:p w14:paraId="519BD89D" w14:textId="77777777" w:rsidR="00327A25" w:rsidRPr="007C0DCB" w:rsidRDefault="00327A25" w:rsidP="00B83258">
      <w:pPr>
        <w:pStyle w:val="SingleTxt"/>
        <w:spacing w:after="0" w:line="120" w:lineRule="exact"/>
        <w:rPr>
          <w:iCs/>
          <w:sz w:val="10"/>
          <w:lang w:val="es-ES_tradnl"/>
        </w:rPr>
      </w:pPr>
    </w:p>
    <w:p w14:paraId="7E26CC3A" w14:textId="77777777" w:rsidR="00B83258" w:rsidRPr="007C0DCB" w:rsidRDefault="00B83258" w:rsidP="00327A25">
      <w:pPr>
        <w:pStyle w:val="SingleTxt"/>
        <w:spacing w:after="0" w:line="120" w:lineRule="exact"/>
        <w:rPr>
          <w:iCs/>
          <w:sz w:val="10"/>
          <w:lang w:val="es-ES_tradnl"/>
        </w:rPr>
      </w:pPr>
    </w:p>
    <w:p w14:paraId="6DE40412" w14:textId="2F22C98D" w:rsidR="00627CAE" w:rsidRPr="00627CAE" w:rsidRDefault="00627CAE" w:rsidP="00A02D7A">
      <w:pPr>
        <w:pStyle w:val="SingleTxt"/>
        <w:numPr>
          <w:ilvl w:val="0"/>
          <w:numId w:val="22"/>
        </w:numPr>
        <w:ind w:left="1267"/>
        <w:rPr>
          <w:lang w:val="es-ES_tradnl"/>
        </w:rPr>
      </w:pPr>
      <w:r w:rsidRPr="00627CAE">
        <w:rPr>
          <w:lang w:val="es-ES_tradnl"/>
        </w:rPr>
        <w:t>Consciente de que la COVID-19 agravaría las desigualdades de género existentes y la violencia contra las mujeres en Australia, la respuesta del Gobierno a la COVID-19 consistió, entre otras cosas, en formular planes y estrategias nacionales en materia de salud que tuvieran en cuenta las diversas necesidades de los australianos</w:t>
      </w:r>
      <w:r w:rsidRPr="00627CAE">
        <w:rPr>
          <w:vertAlign w:val="superscript"/>
          <w:lang w:val="es-ES_tradnl"/>
        </w:rPr>
        <w:footnoteReference w:id="7"/>
      </w:r>
      <w:r w:rsidRPr="00627CAE">
        <w:rPr>
          <w:lang w:val="es-ES_tradnl"/>
        </w:rPr>
        <w:t xml:space="preserve">, además de medidas para impedir cualquier retroceso en el ámbito de la igualdad de género y el empoderamiento de las mujeres, y para prepararse de cara a futuras crisis mundiales. </w:t>
      </w:r>
    </w:p>
    <w:p w14:paraId="59853B60" w14:textId="77777777" w:rsidR="00327A25" w:rsidRPr="00195CF4" w:rsidRDefault="00327A25" w:rsidP="00B83258">
      <w:pPr>
        <w:pStyle w:val="SingleTxt"/>
        <w:spacing w:after="0" w:line="120" w:lineRule="exact"/>
        <w:rPr>
          <w:b/>
          <w:sz w:val="10"/>
          <w:lang w:val="es-ES_tradnl"/>
        </w:rPr>
      </w:pPr>
      <w:bookmarkStart w:id="11" w:name="_Toc188598197"/>
      <w:bookmarkStart w:id="12" w:name="_Toc190357094"/>
      <w:bookmarkStart w:id="13" w:name="_Toc190878878"/>
    </w:p>
    <w:p w14:paraId="0FEEE124" w14:textId="77777777" w:rsidR="00B83258" w:rsidRPr="00195CF4" w:rsidRDefault="00B83258" w:rsidP="00327A25">
      <w:pPr>
        <w:pStyle w:val="SingleTxt"/>
        <w:spacing w:after="0" w:line="120" w:lineRule="exact"/>
        <w:rPr>
          <w:b/>
          <w:sz w:val="10"/>
          <w:lang w:val="es-ES_tradnl"/>
        </w:rPr>
      </w:pPr>
    </w:p>
    <w:p w14:paraId="5F7D283D" w14:textId="0EF7F52B" w:rsidR="00627CAE" w:rsidRPr="00195CF4" w:rsidRDefault="00627CAE" w:rsidP="00B832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Respuesta de salud pública</w:t>
      </w:r>
      <w:bookmarkEnd w:id="11"/>
      <w:bookmarkEnd w:id="12"/>
      <w:bookmarkEnd w:id="13"/>
    </w:p>
    <w:p w14:paraId="10BD3640" w14:textId="77777777" w:rsidR="00327A25" w:rsidRPr="007C0DCB" w:rsidRDefault="00327A25" w:rsidP="00B83258">
      <w:pPr>
        <w:pStyle w:val="SingleTxt"/>
        <w:spacing w:after="0" w:line="120" w:lineRule="exact"/>
        <w:rPr>
          <w:iCs/>
          <w:sz w:val="10"/>
          <w:lang w:val="es-ES_tradnl"/>
        </w:rPr>
      </w:pPr>
    </w:p>
    <w:p w14:paraId="6F57D6DC" w14:textId="77777777" w:rsidR="00B83258" w:rsidRPr="007C0DCB" w:rsidRDefault="00B83258" w:rsidP="00327A25">
      <w:pPr>
        <w:pStyle w:val="SingleTxt"/>
        <w:spacing w:after="0" w:line="120" w:lineRule="exact"/>
        <w:rPr>
          <w:iCs/>
          <w:sz w:val="10"/>
          <w:lang w:val="es-ES_tradnl"/>
        </w:rPr>
      </w:pPr>
    </w:p>
    <w:p w14:paraId="5F7D962F" w14:textId="2D007DD1" w:rsidR="00627CAE" w:rsidRPr="00627CAE" w:rsidRDefault="00627CAE" w:rsidP="00A02D7A">
      <w:pPr>
        <w:pStyle w:val="SingleTxt"/>
        <w:numPr>
          <w:ilvl w:val="0"/>
          <w:numId w:val="22"/>
        </w:numPr>
        <w:ind w:left="1267"/>
        <w:rPr>
          <w:lang w:val="es-ES_tradnl"/>
        </w:rPr>
      </w:pPr>
      <w:r w:rsidRPr="00627CAE">
        <w:rPr>
          <w:lang w:val="es-ES_tradnl"/>
        </w:rPr>
        <w:t>El Gobierno puso en marcha varias iniciativas en materia de salud dirigidas a las mujeres:</w:t>
      </w:r>
    </w:p>
    <w:p w14:paraId="6FF763BC" w14:textId="4446B5EF" w:rsidR="00627CAE" w:rsidRPr="00627CAE" w:rsidRDefault="00327A25" w:rsidP="00327A25">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11,4 millones de dólares destinados al Multicultural Centre for Women’s Health (de marzo de 2022 a febrero de 2024) para crear programas de </w:t>
      </w:r>
      <w:r w:rsidR="00285E6B">
        <w:rPr>
          <w:lang w:val="es-ES_tradnl"/>
        </w:rPr>
        <w:t>“</w:t>
      </w:r>
      <w:r w:rsidR="00627CAE" w:rsidRPr="00627CAE">
        <w:rPr>
          <w:lang w:val="es-ES_tradnl"/>
        </w:rPr>
        <w:t xml:space="preserve">Salud en mi </w:t>
      </w:r>
      <w:r w:rsidR="00627CAE" w:rsidRPr="00627CAE">
        <w:rPr>
          <w:lang w:val="es-ES_tradnl"/>
        </w:rPr>
        <w:lastRenderedPageBreak/>
        <w:t>idioma</w:t>
      </w:r>
      <w:r w:rsidR="00285E6B">
        <w:rPr>
          <w:lang w:val="es-ES_tradnl"/>
        </w:rPr>
        <w:t>”</w:t>
      </w:r>
      <w:r w:rsidR="00627CAE" w:rsidRPr="00627CAE">
        <w:rPr>
          <w:lang w:val="es-ES_tradnl"/>
        </w:rPr>
        <w:t xml:space="preserve">, que informan sobre la vacuna contra la COVID-19 y ofrecen educación sanitaria a personas de orígenes culturales y lingüísticos diversos en sus respectivos idiomas; </w:t>
      </w:r>
    </w:p>
    <w:p w14:paraId="00BA1B43" w14:textId="3ED4CF61" w:rsidR="00627CAE" w:rsidRPr="00627CAE" w:rsidRDefault="00327A25" w:rsidP="00327A25">
      <w:pPr>
        <w:pStyle w:val="SingleTxt"/>
        <w:tabs>
          <w:tab w:val="right" w:pos="1685"/>
        </w:tabs>
        <w:ind w:left="1742" w:hanging="475"/>
        <w:rPr>
          <w:lang w:val="es-ES_tradnl"/>
        </w:rPr>
      </w:pPr>
      <w:r w:rsidRPr="007C0DCB">
        <w:rPr>
          <w:lang w:val="es-ES_tradnl"/>
        </w:rPr>
        <w:tab/>
        <w:t>•</w:t>
      </w:r>
      <w:r w:rsidR="00627CAE" w:rsidRPr="00627CAE">
        <w:rPr>
          <w:lang w:val="es-ES_tradnl"/>
        </w:rPr>
        <w:tab/>
        <w:t>9,7 millones de dólares destinados a BreastScreen Australia en 2022 para aumentar la capacidad de refuerzo dirigida a las mujeres que, debido a la COVID-19, no se sometieron a pruebas de detección del cáncer de mama y de cuello uterino, o lo hicieron más tarde de lo debido.</w:t>
      </w:r>
    </w:p>
    <w:p w14:paraId="7EB48578" w14:textId="1C02F217" w:rsidR="00627CAE" w:rsidRPr="00627CAE" w:rsidRDefault="00627CAE" w:rsidP="00A02D7A">
      <w:pPr>
        <w:pStyle w:val="SingleTxt"/>
        <w:numPr>
          <w:ilvl w:val="0"/>
          <w:numId w:val="22"/>
        </w:numPr>
        <w:ind w:left="1267"/>
        <w:rPr>
          <w:lang w:val="es-ES_tradnl"/>
        </w:rPr>
      </w:pPr>
      <w:r w:rsidRPr="00627CAE">
        <w:rPr>
          <w:lang w:val="es-ES_tradnl"/>
        </w:rPr>
        <w:t xml:space="preserve">Australia calificó su capacidad nacional de </w:t>
      </w:r>
      <w:r w:rsidR="00285E6B">
        <w:rPr>
          <w:lang w:val="es-ES_tradnl"/>
        </w:rPr>
        <w:t>“</w:t>
      </w:r>
      <w:r w:rsidRPr="00627CAE">
        <w:rPr>
          <w:lang w:val="es-ES_tradnl"/>
        </w:rPr>
        <w:t>alta</w:t>
      </w:r>
      <w:r w:rsidR="00285E6B">
        <w:rPr>
          <w:lang w:val="es-ES_tradnl"/>
        </w:rPr>
        <w:t>”</w:t>
      </w:r>
      <w:r w:rsidRPr="00627CAE">
        <w:rPr>
          <w:lang w:val="es-ES_tradnl"/>
        </w:rPr>
        <w:t xml:space="preserve"> (con una puntuación de cinco sobre cinco) en lo que respecta al indicador C1.2 del Reglamento Sanitario Internacional (igualdad de género durante emergencias sanitarias) en el instrumento de autoevaluación para la presentación anual de informes de los Estados Partes de 2022</w:t>
      </w:r>
      <w:r w:rsidRPr="00627CAE">
        <w:rPr>
          <w:vertAlign w:val="superscript"/>
          <w:lang w:val="es-ES_tradnl"/>
        </w:rPr>
        <w:footnoteReference w:id="8"/>
      </w:r>
      <w:r w:rsidRPr="00627CAE">
        <w:rPr>
          <w:lang w:val="es-ES_tradnl"/>
        </w:rPr>
        <w:t>. Las contribuciones incluyen:</w:t>
      </w:r>
    </w:p>
    <w:p w14:paraId="6E714C45" w14:textId="2F850559" w:rsidR="00627CAE" w:rsidRPr="00627CAE" w:rsidRDefault="00327A25" w:rsidP="00327A25">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El Gobierno amplió su enfoque respecto de la presupuestación que responde a las cuestiones de género. Desde 2023-24, se ha integrado este tipo de presupuestación en todo el proceso presupuestario. Todos los organismos públicos están obligados a realizar un análisis de género de las nuevas políticas que se propongan. </w:t>
      </w:r>
    </w:p>
    <w:p w14:paraId="0B87EC3B" w14:textId="54226427" w:rsidR="00627CAE" w:rsidRPr="00627CAE" w:rsidRDefault="00627CAE" w:rsidP="00A02D7A">
      <w:pPr>
        <w:pStyle w:val="SingleTxt"/>
        <w:numPr>
          <w:ilvl w:val="0"/>
          <w:numId w:val="22"/>
        </w:numPr>
        <w:ind w:left="1267"/>
        <w:rPr>
          <w:lang w:val="es-ES_tradnl"/>
        </w:rPr>
      </w:pPr>
      <w:r w:rsidRPr="00627CAE">
        <w:rPr>
          <w:lang w:val="es-ES_tradnl"/>
        </w:rPr>
        <w:t>Según el Plan de Acción Nacional de Australia sobre las Mujeres, la Paz y la Seguridad (2021-2031), las crisis humanitarias afectan de manera desproporcionada a mujeres y niñas, y el 60 % de la mortalidad materna se produce en contextos humanitarios y frágiles</w:t>
      </w:r>
      <w:r w:rsidRPr="00627CAE">
        <w:rPr>
          <w:vertAlign w:val="superscript"/>
          <w:lang w:val="es-ES_tradnl"/>
        </w:rPr>
        <w:footnoteReference w:id="9"/>
      </w:r>
      <w:r w:rsidRPr="00627CAE">
        <w:rPr>
          <w:lang w:val="es-ES_tradnl"/>
        </w:rPr>
        <w:t xml:space="preserve">. En sus intervenciones, el Gobierno adopta un enfoque que responda a las cuestiones de género en el ámbito de la resiliencia, el socorro y la recuperación para la acción humanitaria, la estabilización, el desarrollo y la gestión de desastres. Esto supone, entre otras cosas, implicar a hombres y niños en la protección y defensa de los derechos y la inclusión de mujeres y niñas en el ámbito de la ayuda humanitaria. </w:t>
      </w:r>
    </w:p>
    <w:p w14:paraId="46070D2D" w14:textId="77777777" w:rsidR="00327A25" w:rsidRPr="00195CF4" w:rsidRDefault="00327A25" w:rsidP="00B83258">
      <w:pPr>
        <w:pStyle w:val="SingleTxt"/>
        <w:spacing w:after="0" w:line="120" w:lineRule="exact"/>
        <w:rPr>
          <w:b/>
          <w:sz w:val="10"/>
          <w:lang w:val="es-ES_tradnl"/>
        </w:rPr>
      </w:pPr>
      <w:bookmarkStart w:id="14" w:name="_Toc188598198"/>
      <w:bookmarkStart w:id="15" w:name="_Toc190357095"/>
      <w:bookmarkStart w:id="16" w:name="_Toc190878879"/>
    </w:p>
    <w:p w14:paraId="3C16C08C" w14:textId="77777777" w:rsidR="00B83258" w:rsidRPr="00195CF4" w:rsidRDefault="00B83258" w:rsidP="00327A25">
      <w:pPr>
        <w:pStyle w:val="SingleTxt"/>
        <w:spacing w:after="0" w:line="120" w:lineRule="exact"/>
        <w:rPr>
          <w:b/>
          <w:sz w:val="10"/>
          <w:lang w:val="es-ES_tradnl"/>
        </w:rPr>
      </w:pPr>
    </w:p>
    <w:p w14:paraId="787E3BF7" w14:textId="4669058F" w:rsidR="00627CAE" w:rsidRPr="00195CF4" w:rsidRDefault="00627CAE" w:rsidP="00B832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Apoyo financiero</w:t>
      </w:r>
      <w:bookmarkEnd w:id="14"/>
      <w:bookmarkEnd w:id="15"/>
      <w:bookmarkEnd w:id="16"/>
    </w:p>
    <w:p w14:paraId="25EC9365" w14:textId="77777777" w:rsidR="00327A25" w:rsidRPr="007C0DCB" w:rsidRDefault="00327A25" w:rsidP="00B83258">
      <w:pPr>
        <w:pStyle w:val="SingleTxt"/>
        <w:spacing w:after="0" w:line="120" w:lineRule="exact"/>
        <w:rPr>
          <w:iCs/>
          <w:sz w:val="10"/>
          <w:lang w:val="es-ES_tradnl"/>
        </w:rPr>
      </w:pPr>
    </w:p>
    <w:p w14:paraId="1F64096C" w14:textId="77777777" w:rsidR="00B83258" w:rsidRPr="007C0DCB" w:rsidRDefault="00B83258" w:rsidP="00327A25">
      <w:pPr>
        <w:pStyle w:val="SingleTxt"/>
        <w:spacing w:after="0" w:line="120" w:lineRule="exact"/>
        <w:rPr>
          <w:iCs/>
          <w:sz w:val="10"/>
          <w:lang w:val="es-ES_tradnl"/>
        </w:rPr>
      </w:pPr>
    </w:p>
    <w:p w14:paraId="1DCF7D33" w14:textId="555AA0D2" w:rsidR="00627CAE" w:rsidRPr="00627CAE" w:rsidRDefault="00627CAE" w:rsidP="00A02D7A">
      <w:pPr>
        <w:pStyle w:val="SingleTxt"/>
        <w:numPr>
          <w:ilvl w:val="0"/>
          <w:numId w:val="22"/>
        </w:numPr>
        <w:ind w:left="1267"/>
        <w:rPr>
          <w:lang w:val="es-ES_tradnl"/>
        </w:rPr>
      </w:pPr>
      <w:r w:rsidRPr="00627CAE">
        <w:rPr>
          <w:lang w:val="es-ES_tradnl"/>
        </w:rPr>
        <w:t xml:space="preserve">Durante la COVID-19, las mujeres eran más susceptibles de experimentar inseguridad económica debido a factores como las desigualdades existentes en el mercado laboral, su participación desproporcionada en el trabajo doméstico y de cuidados no remunerado, y las restricciones sanitarias que afectaron principalmente a los sectores con mayor presencia femenina. </w:t>
      </w:r>
    </w:p>
    <w:p w14:paraId="3C02DAC7" w14:textId="2F5A4E45" w:rsidR="00627CAE" w:rsidRPr="00627CAE" w:rsidRDefault="00627CAE" w:rsidP="00A02D7A">
      <w:pPr>
        <w:pStyle w:val="SingleTxt"/>
        <w:numPr>
          <w:ilvl w:val="0"/>
          <w:numId w:val="22"/>
        </w:numPr>
        <w:ind w:left="1267"/>
        <w:rPr>
          <w:lang w:val="es-ES_tradnl"/>
        </w:rPr>
      </w:pPr>
      <w:r w:rsidRPr="00627CAE">
        <w:rPr>
          <w:lang w:val="es-ES_tradnl"/>
        </w:rPr>
        <w:t>Durante la COVID-19, el Gobierno concedió una serie de ayudas económicas que beneficiaron a las mujeres, entre ellas:</w:t>
      </w:r>
    </w:p>
    <w:p w14:paraId="548FE88C" w14:textId="22D45F56" w:rsidR="00627CAE" w:rsidRPr="00627CAE" w:rsidRDefault="00327A25" w:rsidP="00327A25">
      <w:pPr>
        <w:pStyle w:val="SingleTxt"/>
        <w:tabs>
          <w:tab w:val="right" w:pos="1685"/>
        </w:tabs>
        <w:ind w:left="1742" w:hanging="475"/>
        <w:rPr>
          <w:lang w:val="es-ES_tradnl"/>
        </w:rPr>
      </w:pPr>
      <w:r w:rsidRPr="007C0DCB">
        <w:rPr>
          <w:lang w:val="es-ES_tradnl"/>
        </w:rPr>
        <w:tab/>
        <w:t>•</w:t>
      </w:r>
      <w:r w:rsidR="00627CAE" w:rsidRPr="00627CAE">
        <w:rPr>
          <w:lang w:val="es-ES_tradnl"/>
        </w:rPr>
        <w:tab/>
        <w:t>Los pagos del Programa JobKeeper: la medida fiscal más importante de la historia de Australia, vigente entre marzo de 2020 y marzo de 2021, para ayudar a empresas y hogares con pagos temporales/selectivos. Por término medio, el 55 % de los beneficiarios de JobKeeper fueron hombres y el 45 % fueron mujeres, frente al porcentaje de hombres y mujeres que trabajaban antes de la pandemia, del 52,9 % y el 47,1 % respectivamente</w:t>
      </w:r>
      <w:r w:rsidR="00627CAE" w:rsidRPr="00627CAE">
        <w:rPr>
          <w:vertAlign w:val="superscript"/>
          <w:lang w:val="es-ES_tradnl"/>
        </w:rPr>
        <w:footnoteReference w:id="10"/>
      </w:r>
      <w:r w:rsidR="00627CAE" w:rsidRPr="00627CAE">
        <w:rPr>
          <w:lang w:val="es-ES_tradnl"/>
        </w:rPr>
        <w:t>;</w:t>
      </w:r>
    </w:p>
    <w:p w14:paraId="2FD91E0C" w14:textId="4674FFBD" w:rsidR="00627CAE" w:rsidRPr="00627CAE" w:rsidRDefault="00327A25" w:rsidP="00327A25">
      <w:pPr>
        <w:pStyle w:val="SingleTxt"/>
        <w:tabs>
          <w:tab w:val="right" w:pos="1685"/>
        </w:tabs>
        <w:ind w:left="1742" w:hanging="475"/>
        <w:rPr>
          <w:lang w:val="es-ES_tradnl"/>
        </w:rPr>
      </w:pPr>
      <w:r w:rsidRPr="007C0DCB">
        <w:rPr>
          <w:lang w:val="es-ES_tradnl"/>
        </w:rPr>
        <w:lastRenderedPageBreak/>
        <w:tab/>
        <w:t>•</w:t>
      </w:r>
      <w:r w:rsidR="00627CAE" w:rsidRPr="00627CAE">
        <w:rPr>
          <w:lang w:val="es-ES_tradnl"/>
        </w:rPr>
        <w:tab/>
        <w:t xml:space="preserve">El </w:t>
      </w:r>
      <w:r w:rsidR="00285E6B">
        <w:rPr>
          <w:lang w:val="es-ES_tradnl"/>
        </w:rPr>
        <w:t>“</w:t>
      </w:r>
      <w:r w:rsidR="00627CAE" w:rsidRPr="00627CAE">
        <w:rPr>
          <w:lang w:val="es-ES_tradnl"/>
        </w:rPr>
        <w:t>complemento por coronavirus</w:t>
      </w:r>
      <w:r w:rsidR="00285E6B">
        <w:rPr>
          <w:lang w:val="es-ES_tradnl"/>
        </w:rPr>
        <w:t>”</w:t>
      </w:r>
      <w:r w:rsidR="00627CAE" w:rsidRPr="00627CAE">
        <w:rPr>
          <w:lang w:val="es-ES_tradnl"/>
        </w:rPr>
        <w:t xml:space="preserve">, que se concedía para suplementar determinadas ayudas de la seguridad social para los beneficiarios nuevos y existentes, de los cuales aproximadamente el 54 % eran mujeres; </w:t>
      </w:r>
    </w:p>
    <w:p w14:paraId="37628E5F" w14:textId="1753807C" w:rsidR="00627CAE" w:rsidRPr="00627CAE" w:rsidRDefault="00327A25" w:rsidP="00327A25">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Las ayudas económicas para los beneficiarios de la seguridad social, beneficiarios de prestaciones fiscales familiares, veteranos, beneficiarios de ayudas a los ingresos y titulares de tarjetas de descuentos que reunieran los requisitos necesarios. De los beneficiarios del primer y segundo pago, el 58 % y el 60 % fueron mujeres, respectivamente; </w:t>
      </w:r>
    </w:p>
    <w:p w14:paraId="5AFCAE73" w14:textId="20BD241C" w:rsidR="00627CAE" w:rsidRPr="00627CAE" w:rsidRDefault="00327A25" w:rsidP="00327A25">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Los pagos por el desastre de la COVID superaron los 9.000 millones de dólares y se concedieron a cerca de dos millones de australianos, especialmente durante las últimas fases de la pandemia. El pago temporal comenzaba cuando el 70 % de la población (los mayores de 16 años) de un estado recibía la serie completa de vacunas. </w:t>
      </w:r>
      <w:bookmarkStart w:id="17" w:name="_Toc174011659"/>
    </w:p>
    <w:p w14:paraId="286A2F50" w14:textId="77777777" w:rsidR="00327A25" w:rsidRPr="00195CF4" w:rsidRDefault="00327A25" w:rsidP="00B83258">
      <w:pPr>
        <w:pStyle w:val="SingleTxt"/>
        <w:spacing w:after="0" w:line="120" w:lineRule="exact"/>
        <w:rPr>
          <w:b/>
          <w:sz w:val="10"/>
          <w:lang w:val="es-ES_tradnl"/>
        </w:rPr>
      </w:pPr>
      <w:bookmarkStart w:id="18" w:name="_Toc188598199"/>
      <w:bookmarkStart w:id="19" w:name="_Toc190357096"/>
      <w:bookmarkStart w:id="20" w:name="_Toc190878880"/>
    </w:p>
    <w:p w14:paraId="7A9526E8" w14:textId="77777777" w:rsidR="00B83258" w:rsidRPr="00195CF4" w:rsidRDefault="00B83258" w:rsidP="00327A25">
      <w:pPr>
        <w:pStyle w:val="SingleTxt"/>
        <w:spacing w:after="0" w:line="120" w:lineRule="exact"/>
        <w:rPr>
          <w:b/>
          <w:sz w:val="10"/>
          <w:lang w:val="es-ES_tradnl"/>
        </w:rPr>
      </w:pPr>
    </w:p>
    <w:p w14:paraId="2ABD46BF" w14:textId="131F075D" w:rsidR="00627CAE" w:rsidRPr="00195CF4" w:rsidRDefault="00627CAE" w:rsidP="00B832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Seguridad de las mujeres</w:t>
      </w:r>
      <w:bookmarkEnd w:id="17"/>
      <w:bookmarkEnd w:id="18"/>
      <w:bookmarkEnd w:id="19"/>
      <w:bookmarkEnd w:id="20"/>
    </w:p>
    <w:p w14:paraId="3753CDF9" w14:textId="77777777" w:rsidR="00327A25" w:rsidRPr="007C0DCB" w:rsidRDefault="00327A25" w:rsidP="00B83258">
      <w:pPr>
        <w:pStyle w:val="SingleTxt"/>
        <w:spacing w:after="0" w:line="120" w:lineRule="exact"/>
        <w:rPr>
          <w:iCs/>
          <w:sz w:val="10"/>
          <w:lang w:val="es-ES_tradnl"/>
        </w:rPr>
      </w:pPr>
    </w:p>
    <w:p w14:paraId="0EAEE699" w14:textId="77777777" w:rsidR="00B83258" w:rsidRPr="007C0DCB" w:rsidRDefault="00B83258" w:rsidP="00327A25">
      <w:pPr>
        <w:pStyle w:val="SingleTxt"/>
        <w:spacing w:after="0" w:line="120" w:lineRule="exact"/>
        <w:rPr>
          <w:iCs/>
          <w:sz w:val="10"/>
          <w:lang w:val="es-ES_tradnl"/>
        </w:rPr>
      </w:pPr>
    </w:p>
    <w:p w14:paraId="3A4FE67A" w14:textId="2044DDB3" w:rsidR="00627CAE" w:rsidRPr="00627CAE" w:rsidRDefault="00627CAE" w:rsidP="00A02D7A">
      <w:pPr>
        <w:pStyle w:val="SingleTxt"/>
        <w:numPr>
          <w:ilvl w:val="0"/>
          <w:numId w:val="22"/>
        </w:numPr>
        <w:ind w:left="1267"/>
        <w:rPr>
          <w:lang w:val="es-ES_tradnl"/>
        </w:rPr>
      </w:pPr>
      <w:r w:rsidRPr="00627CAE">
        <w:rPr>
          <w:lang w:val="es-ES_tradnl"/>
        </w:rPr>
        <w:t>La COVID-19 coincidió con el inicio o la intensificación de la violencia física y sexual contra las mujeres por parte de sus parejas actuales o anteriores. Entre los grupos más susceptibles de sufrir la violencia figuraban las mujeres pertenecientes a las Primeras Naciones, las jóvenes de 18 a 24 años, las mujeres con problemas de salud, las mujeres con una discapacidad, las embarazadas, las migrantes y las refugiadas (incluidas aquellas a quienes se habían concedido visados temporales) y las mujeres con problemas económicos</w:t>
      </w:r>
      <w:r w:rsidRPr="00627CAE">
        <w:rPr>
          <w:vertAlign w:val="superscript"/>
          <w:lang w:val="es-ES_tradnl"/>
        </w:rPr>
        <w:footnoteReference w:id="11"/>
      </w:r>
      <w:r w:rsidRPr="00627CAE">
        <w:rPr>
          <w:lang w:val="es-ES_tradnl"/>
        </w:rPr>
        <w:t>.</w:t>
      </w:r>
    </w:p>
    <w:p w14:paraId="2649AF0A" w14:textId="04B65EE2" w:rsidR="00627CAE" w:rsidRPr="00627CAE" w:rsidRDefault="00627CAE" w:rsidP="00A02D7A">
      <w:pPr>
        <w:pStyle w:val="SingleTxt"/>
        <w:numPr>
          <w:ilvl w:val="0"/>
          <w:numId w:val="22"/>
        </w:numPr>
        <w:ind w:left="1267"/>
        <w:rPr>
          <w:lang w:val="es-ES_tradnl"/>
        </w:rPr>
      </w:pPr>
      <w:r w:rsidRPr="00627CAE">
        <w:rPr>
          <w:lang w:val="es-ES_tradnl"/>
        </w:rPr>
        <w:t xml:space="preserve">El Gobierno proporcionó 130 millones de dólares a las administraciones estatales y territoriales en 2020 en el marco de la Alianza Nacional para Responder a la Violencia Doméstica y Familiar durante la COVID-19 con miras a prestar servicios de apoyo a las mujeres y los niños afectados por la violencia o susceptibles de sufrir la violencia durante la pandemia. El Gobierno destinó 260 millones de dólares a la Alianza Nacional durante el período 2021-23 y otros 159 millones para 2023-25, e invertirá 351 millones más en servicios de primera línea en los próximos cinco años en el marco del nuevo Acuerdo de Alianza Nacional para Responder a la Violencia Familiar, Doméstica y Sexual. El Gobierno siguió financiando los servicios de primera línea en los estados y los territorios durante este período. </w:t>
      </w:r>
    </w:p>
    <w:p w14:paraId="5C0A075E" w14:textId="77777777" w:rsidR="00327A25" w:rsidRPr="00195CF4" w:rsidRDefault="00327A25" w:rsidP="00B83258">
      <w:pPr>
        <w:pStyle w:val="SingleTxt"/>
        <w:spacing w:after="0" w:line="120" w:lineRule="exact"/>
        <w:rPr>
          <w:b/>
          <w:sz w:val="10"/>
          <w:lang w:val="es-ES_tradnl"/>
        </w:rPr>
      </w:pPr>
      <w:bookmarkStart w:id="21" w:name="_Toc188598200"/>
      <w:bookmarkStart w:id="22" w:name="_Toc190357097"/>
      <w:bookmarkStart w:id="23" w:name="_Toc190878881"/>
    </w:p>
    <w:p w14:paraId="014C4C88" w14:textId="77777777" w:rsidR="00B83258" w:rsidRPr="00195CF4" w:rsidRDefault="00B83258" w:rsidP="00327A25">
      <w:pPr>
        <w:pStyle w:val="SingleTxt"/>
        <w:spacing w:after="0" w:line="120" w:lineRule="exact"/>
        <w:rPr>
          <w:b/>
          <w:sz w:val="10"/>
          <w:lang w:val="es-ES_tradnl"/>
        </w:rPr>
      </w:pPr>
    </w:p>
    <w:p w14:paraId="73CCC881" w14:textId="6362B015" w:rsidR="00627CAE" w:rsidRPr="00195CF4" w:rsidRDefault="00627CAE" w:rsidP="00B832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Respuestas a crisis futuras</w:t>
      </w:r>
      <w:bookmarkEnd w:id="21"/>
      <w:bookmarkEnd w:id="22"/>
      <w:bookmarkEnd w:id="23"/>
    </w:p>
    <w:p w14:paraId="63AC12D3" w14:textId="77777777" w:rsidR="00327A25" w:rsidRPr="007C0DCB" w:rsidRDefault="00327A25" w:rsidP="00B83258">
      <w:pPr>
        <w:pStyle w:val="SingleTxt"/>
        <w:spacing w:after="0" w:line="120" w:lineRule="exact"/>
        <w:rPr>
          <w:iCs/>
          <w:sz w:val="10"/>
          <w:lang w:val="es-ES_tradnl"/>
        </w:rPr>
      </w:pPr>
    </w:p>
    <w:p w14:paraId="0A08EA69" w14:textId="77777777" w:rsidR="00B83258" w:rsidRPr="007C0DCB" w:rsidRDefault="00B83258" w:rsidP="00327A25">
      <w:pPr>
        <w:pStyle w:val="SingleTxt"/>
        <w:spacing w:after="0" w:line="120" w:lineRule="exact"/>
        <w:rPr>
          <w:iCs/>
          <w:sz w:val="10"/>
          <w:lang w:val="es-ES_tradnl"/>
        </w:rPr>
      </w:pPr>
    </w:p>
    <w:p w14:paraId="1234EDB5" w14:textId="0C41E2B6" w:rsidR="00627CAE" w:rsidRPr="00627CAE" w:rsidRDefault="00627CAE" w:rsidP="00A02D7A">
      <w:pPr>
        <w:pStyle w:val="SingleTxt"/>
        <w:numPr>
          <w:ilvl w:val="0"/>
          <w:numId w:val="22"/>
        </w:numPr>
        <w:ind w:left="1267"/>
        <w:rPr>
          <w:i/>
          <w:lang w:val="es-ES_tradnl"/>
        </w:rPr>
      </w:pPr>
      <w:r w:rsidRPr="00627CAE">
        <w:rPr>
          <w:lang w:val="es-ES_tradnl"/>
        </w:rPr>
        <w:t>En el estudio realizado por el Gobierno sobre la respuesta a la COVID-19</w:t>
      </w:r>
      <w:r w:rsidRPr="00627CAE">
        <w:rPr>
          <w:vertAlign w:val="superscript"/>
          <w:lang w:val="es-ES_tradnl"/>
        </w:rPr>
        <w:footnoteReference w:id="12"/>
      </w:r>
      <w:r w:rsidRPr="00627CAE">
        <w:rPr>
          <w:lang w:val="es-ES_tradnl"/>
        </w:rPr>
        <w:t xml:space="preserve"> (cuyo informe se presentó en octubre de 2024) se examinó la respuesta del Gobierno y se definieron las oportunidades para mejorar la preparación de Australia de cara a futuras pandemias. El estudio analizó los mecanismos para atender mejor las necesidades de distintos grupos en función del sexo, la edad, la discapacidad, la situación socioeconómica, la ubicación geográfica o la pertenencia a las Primeras Naciones y a comunidades de orígenes culturales y lingüísticos diversos. </w:t>
      </w:r>
    </w:p>
    <w:p w14:paraId="13900183" w14:textId="3836893B" w:rsidR="00627CAE" w:rsidRPr="00627CAE" w:rsidRDefault="00627CAE" w:rsidP="00A02D7A">
      <w:pPr>
        <w:pStyle w:val="SingleTxt"/>
        <w:numPr>
          <w:ilvl w:val="0"/>
          <w:numId w:val="22"/>
        </w:numPr>
        <w:ind w:left="1267"/>
        <w:rPr>
          <w:i/>
          <w:lang w:val="es-ES_tradnl"/>
        </w:rPr>
      </w:pPr>
      <w:r w:rsidRPr="00627CAE">
        <w:rPr>
          <w:lang w:val="es-ES_tradnl"/>
        </w:rPr>
        <w:t xml:space="preserve">El Gobierno se ha comprometido a emplear un enfoque que responda a las cuestiones de género en las actividades de mitigación, preparación, respuesta y </w:t>
      </w:r>
      <w:r w:rsidRPr="00627CAE">
        <w:rPr>
          <w:lang w:val="es-ES_tradnl"/>
        </w:rPr>
        <w:lastRenderedPageBreak/>
        <w:t>recuperación frente al cambio climático, los desastres y las crisis, incluidos los puestos de liderazgo y asesoramiento. Los futuros acuerdos de gestión de desastres deben ser inclusivos y ofrecer oportunidades para lograr una representación diversa y una participación significativa en la gobernanza.</w:t>
      </w:r>
    </w:p>
    <w:p w14:paraId="44668D6F" w14:textId="77777777" w:rsidR="00327A25" w:rsidRPr="00195CF4" w:rsidRDefault="00327A25" w:rsidP="00B83258">
      <w:pPr>
        <w:pStyle w:val="SingleTxt"/>
        <w:spacing w:after="0" w:line="120" w:lineRule="exact"/>
        <w:rPr>
          <w:b/>
          <w:sz w:val="10"/>
          <w:lang w:val="es-ES_tradnl"/>
        </w:rPr>
      </w:pPr>
      <w:bookmarkStart w:id="24" w:name="_Toc174011660"/>
      <w:bookmarkStart w:id="25" w:name="_Toc190878882"/>
    </w:p>
    <w:p w14:paraId="37F41B19" w14:textId="77777777" w:rsidR="00B83258" w:rsidRPr="00195CF4" w:rsidRDefault="00B83258" w:rsidP="00327A25">
      <w:pPr>
        <w:pStyle w:val="SingleTxt"/>
        <w:spacing w:after="0" w:line="120" w:lineRule="exact"/>
        <w:rPr>
          <w:b/>
          <w:sz w:val="10"/>
          <w:lang w:val="es-ES_tradnl"/>
        </w:rPr>
      </w:pPr>
    </w:p>
    <w:p w14:paraId="1696C061" w14:textId="1F3B638B" w:rsidR="00627CAE" w:rsidRPr="00195CF4" w:rsidRDefault="00627CAE" w:rsidP="00B832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 xml:space="preserve">Preguntas 2 y 3: Marco legislativo e institucional </w:t>
      </w:r>
      <w:bookmarkEnd w:id="24"/>
      <w:bookmarkEnd w:id="25"/>
    </w:p>
    <w:p w14:paraId="3C9C7DEF" w14:textId="77777777" w:rsidR="00327A25" w:rsidRPr="00195CF4" w:rsidRDefault="00327A25" w:rsidP="00B83258">
      <w:pPr>
        <w:pStyle w:val="SingleTxt"/>
        <w:spacing w:after="0" w:line="120" w:lineRule="exact"/>
        <w:rPr>
          <w:b/>
          <w:sz w:val="10"/>
          <w:lang w:val="es-ES_tradnl"/>
        </w:rPr>
      </w:pPr>
      <w:bookmarkStart w:id="26" w:name="_Toc188598202"/>
      <w:bookmarkStart w:id="27" w:name="_Toc190357099"/>
      <w:bookmarkStart w:id="28" w:name="_Toc190878883"/>
      <w:bookmarkStart w:id="29" w:name="_Toc174011661"/>
    </w:p>
    <w:p w14:paraId="6A479FD3" w14:textId="77777777" w:rsidR="00B83258" w:rsidRPr="00195CF4" w:rsidRDefault="00B83258" w:rsidP="00327A25">
      <w:pPr>
        <w:pStyle w:val="SingleTxt"/>
        <w:spacing w:after="0" w:line="120" w:lineRule="exact"/>
        <w:rPr>
          <w:b/>
          <w:sz w:val="10"/>
          <w:lang w:val="es-ES_tradnl"/>
        </w:rPr>
      </w:pPr>
    </w:p>
    <w:p w14:paraId="305F0F26" w14:textId="2D979D04" w:rsidR="00627CAE" w:rsidRPr="00195CF4" w:rsidRDefault="00627CAE" w:rsidP="00B832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195CF4">
        <w:rPr>
          <w:lang w:val="es-ES_tradnl"/>
        </w:rPr>
        <w:tab/>
      </w:r>
      <w:r w:rsidRPr="00195CF4">
        <w:rPr>
          <w:lang w:val="es-ES_tradnl"/>
        </w:rPr>
        <w:tab/>
        <w:t>Reservas al artículo 11, párrafo 2, de la Convención sobre la</w:t>
      </w:r>
      <w:r w:rsidR="00B83258" w:rsidRPr="00195CF4">
        <w:rPr>
          <w:lang w:val="es-ES_tradnl"/>
        </w:rPr>
        <w:t> </w:t>
      </w:r>
      <w:r w:rsidRPr="00195CF4">
        <w:rPr>
          <w:lang w:val="es-ES_tradnl"/>
        </w:rPr>
        <w:t>Eliminación de</w:t>
      </w:r>
      <w:r w:rsidR="00327A25" w:rsidRPr="00195CF4">
        <w:rPr>
          <w:lang w:val="es-ES_tradnl"/>
        </w:rPr>
        <w:t> </w:t>
      </w:r>
      <w:r w:rsidRPr="00195CF4">
        <w:rPr>
          <w:lang w:val="es-ES_tradnl"/>
        </w:rPr>
        <w:t xml:space="preserve">Todas las Formas de Discriminación contra la Mujer </w:t>
      </w:r>
      <w:bookmarkEnd w:id="26"/>
      <w:bookmarkEnd w:id="27"/>
      <w:bookmarkEnd w:id="28"/>
      <w:bookmarkEnd w:id="29"/>
    </w:p>
    <w:p w14:paraId="514BBD2A" w14:textId="77777777" w:rsidR="00327A25" w:rsidRPr="007C0DCB" w:rsidRDefault="00327A25" w:rsidP="00B83258">
      <w:pPr>
        <w:pStyle w:val="SingleTxt"/>
        <w:spacing w:after="0" w:line="120" w:lineRule="exact"/>
        <w:rPr>
          <w:iCs/>
          <w:sz w:val="10"/>
          <w:lang w:val="es-ES_tradnl"/>
        </w:rPr>
      </w:pPr>
    </w:p>
    <w:p w14:paraId="5D3DF44D" w14:textId="77777777" w:rsidR="00B83258" w:rsidRPr="007C0DCB" w:rsidRDefault="00B83258" w:rsidP="00327A25">
      <w:pPr>
        <w:pStyle w:val="SingleTxt"/>
        <w:spacing w:after="0" w:line="120" w:lineRule="exact"/>
        <w:rPr>
          <w:iCs/>
          <w:sz w:val="10"/>
          <w:lang w:val="es-ES_tradnl"/>
        </w:rPr>
      </w:pPr>
    </w:p>
    <w:p w14:paraId="49D4EA56" w14:textId="6320C2FD" w:rsidR="00627CAE" w:rsidRPr="00627CAE" w:rsidRDefault="00627CAE" w:rsidP="00A02D7A">
      <w:pPr>
        <w:pStyle w:val="SingleTxt"/>
        <w:numPr>
          <w:ilvl w:val="0"/>
          <w:numId w:val="22"/>
        </w:numPr>
        <w:ind w:left="1267"/>
        <w:rPr>
          <w:lang w:val="es-ES_tradnl"/>
        </w:rPr>
      </w:pPr>
      <w:r w:rsidRPr="00627CAE">
        <w:rPr>
          <w:lang w:val="es-ES_tradnl"/>
        </w:rPr>
        <w:t>Australia está revisando sus reservas al artículo 11, párrafo 2, de la Convención sobre la Eliminación de Todas las Formas de Discriminación contra la Mujer, teniendo en cuenta la existencia del régimen legislado de licencia parental retribuida en Australia y las recientes reformas introducidas en este ámbito.</w:t>
      </w:r>
    </w:p>
    <w:p w14:paraId="082ED4AA" w14:textId="2F45DE96" w:rsidR="00627CAE" w:rsidRPr="00627CAE" w:rsidRDefault="00627CAE" w:rsidP="00A02D7A">
      <w:pPr>
        <w:pStyle w:val="SingleTxt"/>
        <w:numPr>
          <w:ilvl w:val="0"/>
          <w:numId w:val="22"/>
        </w:numPr>
        <w:ind w:left="1267"/>
        <w:rPr>
          <w:lang w:val="es-ES_tradnl"/>
        </w:rPr>
      </w:pPr>
      <w:r w:rsidRPr="00627CAE">
        <w:rPr>
          <w:lang w:val="es-ES_tradnl"/>
        </w:rPr>
        <w:t>Financiado con fondos federales e introducido el 1 de enero de 2011, el régimen nacional de licencia parental retribuida de Australia ofrece a los progenitores que trabajan y reúnan los requisitos necesarios un pago por ausentarse del trabajo para cuidar de un niño menor de 1 año o un niño recién adoptado. Algunos requisitos para recibir estos pagos son los ingresos, una prueba de trabajo y una serie de normas de residencia</w:t>
      </w:r>
      <w:r w:rsidRPr="00627CAE">
        <w:rPr>
          <w:vertAlign w:val="superscript"/>
          <w:lang w:val="es-ES_tradnl"/>
        </w:rPr>
        <w:footnoteReference w:id="13"/>
      </w:r>
      <w:r w:rsidRPr="00627CAE">
        <w:rPr>
          <w:lang w:val="es-ES_tradnl"/>
        </w:rPr>
        <w:t xml:space="preserve">. </w:t>
      </w:r>
    </w:p>
    <w:p w14:paraId="07A1350F" w14:textId="2E966789" w:rsidR="00627CAE" w:rsidRPr="00627CAE" w:rsidRDefault="00627CAE" w:rsidP="00A02D7A">
      <w:pPr>
        <w:pStyle w:val="SingleTxt"/>
        <w:numPr>
          <w:ilvl w:val="0"/>
          <w:numId w:val="22"/>
        </w:numPr>
        <w:ind w:left="1267"/>
        <w:rPr>
          <w:lang w:val="es-ES_tradnl"/>
        </w:rPr>
      </w:pPr>
      <w:r w:rsidRPr="00627CAE">
        <w:rPr>
          <w:lang w:val="es-ES_tradnl"/>
        </w:rPr>
        <w:t>Entre las reformas llevadas a cabo por el Gobierno para modernizar el régimen de licencia parental remunerada, cabe citar:</w:t>
      </w:r>
    </w:p>
    <w:p w14:paraId="4E7D35DF" w14:textId="7C93F467" w:rsidR="00627CAE" w:rsidRPr="00627CAE" w:rsidRDefault="00327A25" w:rsidP="00B83258">
      <w:pPr>
        <w:pStyle w:val="SingleTxt"/>
        <w:tabs>
          <w:tab w:val="right" w:pos="1685"/>
        </w:tabs>
        <w:ind w:left="1742" w:hanging="475"/>
        <w:rPr>
          <w:lang w:val="es-ES_tradnl"/>
        </w:rPr>
      </w:pPr>
      <w:r w:rsidRPr="007C0DCB">
        <w:rPr>
          <w:lang w:val="es-ES_tradnl"/>
        </w:rPr>
        <w:tab/>
        <w:t>•</w:t>
      </w:r>
      <w:r w:rsidR="00627CAE" w:rsidRPr="00627CAE">
        <w:rPr>
          <w:lang w:val="es-ES_tradnl"/>
        </w:rPr>
        <w:tab/>
        <w:t>La ampliación de la duración de la licencia (20 semanas) añadiendo otras dos semanas al año a partir del 1 de julio de 2024, hasta alcanzar las 26 semanas por familia a partir del 1 de julio de 2026;</w:t>
      </w:r>
    </w:p>
    <w:p w14:paraId="34889968" w14:textId="31C643F9" w:rsidR="00627CAE" w:rsidRPr="00627CAE" w:rsidRDefault="00327A25" w:rsidP="00B83258">
      <w:pPr>
        <w:pStyle w:val="SingleTxt"/>
        <w:tabs>
          <w:tab w:val="right" w:pos="1685"/>
        </w:tabs>
        <w:ind w:left="1742" w:hanging="475"/>
        <w:rPr>
          <w:lang w:val="es-ES_tradnl"/>
        </w:rPr>
      </w:pPr>
      <w:r w:rsidRPr="007C0DCB">
        <w:rPr>
          <w:lang w:val="es-ES_tradnl"/>
        </w:rPr>
        <w:tab/>
        <w:t>•</w:t>
      </w:r>
      <w:r w:rsidR="00627CAE" w:rsidRPr="00627CAE">
        <w:rPr>
          <w:lang w:val="es-ES_tradnl"/>
        </w:rPr>
        <w:tab/>
        <w:t>La creación de un régimen más neutro en cuanto al género, de modo que cualquiera de los progenitores pueda ser el primero en solicitar la licencia;</w:t>
      </w:r>
    </w:p>
    <w:p w14:paraId="77720C1C" w14:textId="15656FF6" w:rsidR="00627CAE" w:rsidRPr="00627CAE" w:rsidRDefault="00327A25" w:rsidP="00B83258">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La introducción de una </w:t>
      </w:r>
      <w:r w:rsidR="00285E6B">
        <w:rPr>
          <w:lang w:val="es-ES_tradnl"/>
        </w:rPr>
        <w:t>“</w:t>
      </w:r>
      <w:r w:rsidR="00627CAE" w:rsidRPr="00627CAE">
        <w:rPr>
          <w:lang w:val="es-ES_tradnl"/>
        </w:rPr>
        <w:t>licencia reservada</w:t>
      </w:r>
      <w:r w:rsidR="00285E6B">
        <w:rPr>
          <w:lang w:val="es-ES_tradnl"/>
        </w:rPr>
        <w:t>”</w:t>
      </w:r>
      <w:r w:rsidR="00627CAE" w:rsidRPr="00627CAE">
        <w:rPr>
          <w:lang w:val="es-ES_tradnl"/>
        </w:rPr>
        <w:t xml:space="preserve"> a partir del 1 de julio de 2023, cuya duración aumentó en una semana al año a partir del 1 de julio de 2025. A partir del 1 de julio de 2026, cada progenitor tendrá derecho a una prestación de cuatro semanas de uso exclusivo, pudiéndose repartir las 18 semanas restantes;</w:t>
      </w:r>
    </w:p>
    <w:p w14:paraId="6D478C80" w14:textId="4CEC1AED" w:rsidR="00627CAE" w:rsidRPr="00627CAE" w:rsidRDefault="00327A25" w:rsidP="00B83258">
      <w:pPr>
        <w:pStyle w:val="SingleTxt"/>
        <w:tabs>
          <w:tab w:val="right" w:pos="1685"/>
        </w:tabs>
        <w:ind w:left="1742" w:hanging="475"/>
        <w:rPr>
          <w:lang w:val="es-ES_tradnl"/>
        </w:rPr>
      </w:pPr>
      <w:r w:rsidRPr="007C0DCB">
        <w:rPr>
          <w:lang w:val="es-ES_tradnl"/>
        </w:rPr>
        <w:tab/>
        <w:t>•</w:t>
      </w:r>
      <w:r w:rsidR="00627CAE" w:rsidRPr="00627CAE">
        <w:rPr>
          <w:lang w:val="es-ES_tradnl"/>
        </w:rPr>
        <w:tab/>
        <w:t>La legislación relativa al pago por jubilación en su régimen de licencia parental remunerada por nacimiento o adopción a partir del 1 de julio de 2025 a fin de reducir las diferencias generizadas en los saldos de la jubilación en el momento de la jubilación.</w:t>
      </w:r>
    </w:p>
    <w:p w14:paraId="6CE5EDED" w14:textId="1D4B5AE0" w:rsidR="00627CAE" w:rsidRPr="00627CAE" w:rsidRDefault="00627CAE" w:rsidP="00A02D7A">
      <w:pPr>
        <w:pStyle w:val="SingleTxt"/>
        <w:numPr>
          <w:ilvl w:val="0"/>
          <w:numId w:val="22"/>
        </w:numPr>
        <w:ind w:left="1267"/>
        <w:rPr>
          <w:lang w:val="es-ES_tradnl"/>
        </w:rPr>
      </w:pPr>
      <w:r w:rsidRPr="00627CAE">
        <w:rPr>
          <w:lang w:val="es-ES_tradnl"/>
        </w:rPr>
        <w:t>El régimen de licencia parental remunerada del Gobierno se suma a los regímenes financiados por las empresas que operan en virtud de los derechos a prestación, los acuerdos de empresa y las políticas en el lugar de trabajo. Aproximadamente el 63 % de las empresas australianas con 100 o más empleados ofrecen su propia licencia parental remunerada; el 86 % pagan la jubilación correspondiente a esa licencia; el 33</w:t>
      </w:r>
      <w:r w:rsidR="00285E6B">
        <w:rPr>
          <w:lang w:val="es-ES_tradnl"/>
        </w:rPr>
        <w:t xml:space="preserve"> </w:t>
      </w:r>
      <w:r w:rsidRPr="00627CAE">
        <w:rPr>
          <w:lang w:val="es-ES_tradnl"/>
        </w:rPr>
        <w:t>% ofrece la licencia parental remunerada con independencia del género del progenitor:</w:t>
      </w:r>
    </w:p>
    <w:p w14:paraId="4BE59ECC" w14:textId="38B14D41" w:rsidR="00627CAE" w:rsidRPr="00627CAE" w:rsidRDefault="00327A25" w:rsidP="00270FA9">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Con arreglo a las Normas Nacionales de Empleo, los trabajadores del sistema nacional de relaciones en el lugar de trabajo tienen derecho a disfrutar de una licencia parental no retribuida y las prestaciones correspondientes. Cada </w:t>
      </w:r>
      <w:r w:rsidR="00627CAE" w:rsidRPr="00627CAE">
        <w:rPr>
          <w:lang w:val="es-ES_tradnl"/>
        </w:rPr>
        <w:lastRenderedPageBreak/>
        <w:t xml:space="preserve">progenitor puede disfrutar de una licencia parental no remunerada de hasta 12 meses, e incluso de hasta 24 meses previo acuerdo con la empresa. A ninguno de los progenitores le afecta la duración de la licencia de que disfrute su pareja. </w:t>
      </w:r>
    </w:p>
    <w:p w14:paraId="27027861" w14:textId="77777777" w:rsidR="00327A25" w:rsidRPr="00195CF4" w:rsidRDefault="00327A25" w:rsidP="00270FA9">
      <w:pPr>
        <w:pStyle w:val="SingleTxt"/>
        <w:spacing w:after="0" w:line="120" w:lineRule="exact"/>
        <w:rPr>
          <w:b/>
          <w:sz w:val="10"/>
          <w:lang w:val="es-ES_tradnl"/>
        </w:rPr>
      </w:pPr>
      <w:bookmarkStart w:id="30" w:name="_Toc174011662"/>
      <w:bookmarkStart w:id="31" w:name="_Toc188598203"/>
      <w:bookmarkStart w:id="32" w:name="_Toc190357100"/>
      <w:bookmarkStart w:id="33" w:name="_Toc190878884"/>
    </w:p>
    <w:p w14:paraId="2720CDA3" w14:textId="77777777" w:rsidR="00270FA9" w:rsidRPr="00195CF4" w:rsidRDefault="00270FA9" w:rsidP="00327A25">
      <w:pPr>
        <w:pStyle w:val="SingleTxt"/>
        <w:spacing w:after="0" w:line="120" w:lineRule="exact"/>
        <w:rPr>
          <w:b/>
          <w:sz w:val="10"/>
          <w:lang w:val="es-ES_tradnl"/>
        </w:rPr>
      </w:pPr>
    </w:p>
    <w:p w14:paraId="4309E222" w14:textId="04ED848B" w:rsidR="00627CAE" w:rsidRPr="00195CF4" w:rsidRDefault="00627CAE" w:rsidP="00270F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 xml:space="preserve">Modificaciones legislativas introducidas a raíz de anteriores observaciones finales </w:t>
      </w:r>
      <w:bookmarkEnd w:id="30"/>
      <w:bookmarkEnd w:id="31"/>
      <w:bookmarkEnd w:id="32"/>
      <w:bookmarkEnd w:id="33"/>
    </w:p>
    <w:p w14:paraId="282F3B5D" w14:textId="77777777" w:rsidR="00327A25" w:rsidRPr="007C0DCB" w:rsidRDefault="00327A25" w:rsidP="00270FA9">
      <w:pPr>
        <w:pStyle w:val="SingleTxt"/>
        <w:spacing w:after="0" w:line="120" w:lineRule="exact"/>
        <w:rPr>
          <w:iCs/>
          <w:sz w:val="10"/>
          <w:lang w:val="es-ES_tradnl"/>
        </w:rPr>
      </w:pPr>
    </w:p>
    <w:p w14:paraId="0F318AB9" w14:textId="77777777" w:rsidR="00270FA9" w:rsidRPr="007C0DCB" w:rsidRDefault="00270FA9" w:rsidP="00327A25">
      <w:pPr>
        <w:pStyle w:val="SingleTxt"/>
        <w:spacing w:after="0" w:line="120" w:lineRule="exact"/>
        <w:rPr>
          <w:iCs/>
          <w:sz w:val="10"/>
          <w:lang w:val="es-ES_tradnl"/>
        </w:rPr>
      </w:pPr>
    </w:p>
    <w:p w14:paraId="6D350D03" w14:textId="0F994CBC" w:rsidR="00627CAE" w:rsidRPr="00627CAE" w:rsidRDefault="00627CAE" w:rsidP="00A02D7A">
      <w:pPr>
        <w:pStyle w:val="SingleTxt"/>
        <w:numPr>
          <w:ilvl w:val="0"/>
          <w:numId w:val="22"/>
        </w:numPr>
        <w:ind w:left="1267"/>
        <w:rPr>
          <w:lang w:val="es-ES_tradnl"/>
        </w:rPr>
      </w:pPr>
      <w:r w:rsidRPr="00627CAE">
        <w:rPr>
          <w:lang w:val="es-ES_tradnl"/>
        </w:rPr>
        <w:t>La Ley del Matrimonio de 1961 (Commonwealth) (Ley del Matrimonio) se modificó en 2017 para legalizar el matrimonio entre personas del mismo sexo en Australia. Los matrimonios entre personas del mismo sexo representaron el 6 % de todos los matrimonios registrados en 2018, el 5 % en 2019, el 4 % en 2020 y el 3 % en 2021</w:t>
      </w:r>
      <w:r w:rsidRPr="00627CAE">
        <w:rPr>
          <w:vertAlign w:val="superscript"/>
          <w:lang w:val="es-ES_tradnl"/>
        </w:rPr>
        <w:footnoteReference w:id="14"/>
      </w:r>
      <w:r w:rsidRPr="00627CAE">
        <w:rPr>
          <w:lang w:val="es-ES_tradnl"/>
        </w:rPr>
        <w:t>.</w:t>
      </w:r>
    </w:p>
    <w:p w14:paraId="2741240D" w14:textId="5717443D" w:rsidR="00627CAE" w:rsidRPr="00627CAE" w:rsidRDefault="00627CAE" w:rsidP="00A02D7A">
      <w:pPr>
        <w:pStyle w:val="SingleTxt"/>
        <w:numPr>
          <w:ilvl w:val="0"/>
          <w:numId w:val="22"/>
        </w:numPr>
        <w:ind w:left="1267"/>
        <w:rPr>
          <w:lang w:val="es-ES_tradnl"/>
        </w:rPr>
      </w:pPr>
      <w:r w:rsidRPr="00627CAE">
        <w:rPr>
          <w:lang w:val="es-ES_tradnl"/>
        </w:rPr>
        <w:t>En Nueva Gales del Sur, se ha modificado la Ley de Delitos (Violencia Doméstica y Personal) de 2007 para que se prime la seguridad y protección de las víctimas supervivientes de la violencia doméstica en la respuesta de la policía. Algunas modificaciones introducidas a partir de marzo de 2020-2021 consistieron en:</w:t>
      </w:r>
    </w:p>
    <w:p w14:paraId="0910D939" w14:textId="0780320F" w:rsidR="00627CAE" w:rsidRPr="00627CAE" w:rsidRDefault="00327A25" w:rsidP="00327A25">
      <w:pPr>
        <w:pStyle w:val="SingleTxt"/>
        <w:tabs>
          <w:tab w:val="right" w:pos="1685"/>
        </w:tabs>
        <w:ind w:left="1742" w:hanging="475"/>
        <w:rPr>
          <w:lang w:val="es-ES_tradnl"/>
        </w:rPr>
      </w:pPr>
      <w:r w:rsidRPr="007C0DCB">
        <w:rPr>
          <w:lang w:val="es-ES_tradnl"/>
        </w:rPr>
        <w:tab/>
        <w:t>•</w:t>
      </w:r>
      <w:r w:rsidR="00627CAE" w:rsidRPr="00627CAE">
        <w:rPr>
          <w:lang w:val="es-ES_tradnl"/>
        </w:rPr>
        <w:tab/>
        <w:t>Ampliar la duración estipulada para las órdenes de detención por violencia personal de uno a dos años (s79A);</w:t>
      </w:r>
    </w:p>
    <w:p w14:paraId="666A12A8" w14:textId="72DEE266" w:rsidR="00627CAE" w:rsidRPr="00627CAE" w:rsidRDefault="00327A25" w:rsidP="00327A25">
      <w:pPr>
        <w:pStyle w:val="SingleTxt"/>
        <w:tabs>
          <w:tab w:val="right" w:pos="1685"/>
        </w:tabs>
        <w:ind w:left="1742" w:hanging="475"/>
        <w:rPr>
          <w:lang w:val="es-ES_tradnl"/>
        </w:rPr>
      </w:pPr>
      <w:r w:rsidRPr="007C0DCB">
        <w:rPr>
          <w:lang w:val="es-ES_tradnl"/>
        </w:rPr>
        <w:tab/>
        <w:t>•</w:t>
      </w:r>
      <w:r w:rsidR="00627CAE" w:rsidRPr="00627CAE">
        <w:rPr>
          <w:lang w:val="es-ES_tradnl"/>
        </w:rPr>
        <w:tab/>
        <w:t>Aclarar que las órdenes de detención por violencia doméstica se pueden solicitar y dictar por tiempo indefinido en casos graves (s79B);</w:t>
      </w:r>
    </w:p>
    <w:p w14:paraId="0E5AA4A8" w14:textId="06B09CA4" w:rsidR="00627CAE" w:rsidRPr="00627CAE" w:rsidRDefault="00327A25" w:rsidP="00327A25">
      <w:pPr>
        <w:pStyle w:val="SingleTxt"/>
        <w:tabs>
          <w:tab w:val="right" w:pos="1685"/>
        </w:tabs>
        <w:ind w:left="1742" w:hanging="475"/>
        <w:rPr>
          <w:lang w:val="es-ES_tradnl"/>
        </w:rPr>
      </w:pPr>
      <w:r w:rsidRPr="007C0DCB">
        <w:rPr>
          <w:lang w:val="es-ES_tradnl"/>
        </w:rPr>
        <w:tab/>
        <w:t>•</w:t>
      </w:r>
      <w:r w:rsidR="00627CAE" w:rsidRPr="00627CAE">
        <w:rPr>
          <w:lang w:val="es-ES_tradnl"/>
        </w:rPr>
        <w:tab/>
        <w:t>Exigir que se dicten órdenes de detención por violencia doméstica contra delincuentes adultos condenados a penas privativas de la libertad cuya duración supere en dos años su pena de prisión (s39(2A) y (2C));</w:t>
      </w:r>
    </w:p>
    <w:p w14:paraId="466B6A8B" w14:textId="300E27ED" w:rsidR="00627CAE" w:rsidRPr="00627CAE" w:rsidRDefault="00327A25" w:rsidP="00327A25">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Estipular los aspectos que el tribunal debe tener en cuenta al determinar la duración de una orden de detención por violencia doméstica (s79A(3)); </w:t>
      </w:r>
    </w:p>
    <w:p w14:paraId="21E3221A" w14:textId="1A5E5F28" w:rsidR="00627CAE" w:rsidRPr="00627CAE" w:rsidRDefault="00327A25" w:rsidP="00327A25">
      <w:pPr>
        <w:pStyle w:val="SingleTxt"/>
        <w:tabs>
          <w:tab w:val="right" w:pos="1685"/>
        </w:tabs>
        <w:ind w:left="1742" w:hanging="475"/>
        <w:rPr>
          <w:lang w:val="es-ES_tradnl"/>
        </w:rPr>
      </w:pPr>
      <w:r w:rsidRPr="007C0DCB">
        <w:rPr>
          <w:lang w:val="es-ES_tradnl"/>
        </w:rPr>
        <w:tab/>
        <w:t>•</w:t>
      </w:r>
      <w:r w:rsidR="00627CAE" w:rsidRPr="00627CAE">
        <w:rPr>
          <w:lang w:val="es-ES_tradnl"/>
        </w:rPr>
        <w:tab/>
        <w:t>Definir las competencias de la policía para modificar las condiciones de las órdenes de detención por violencia cuando la situación sea urgente (disposiciones de la parte 7 (s27(3A), 28B, 29, 32(1)(c), 33(1)(b) y 33A(1)).</w:t>
      </w:r>
    </w:p>
    <w:p w14:paraId="219FFD7D" w14:textId="18840221" w:rsidR="00627CAE" w:rsidRPr="00627CAE" w:rsidRDefault="00627CAE" w:rsidP="00A02D7A">
      <w:pPr>
        <w:pStyle w:val="SingleTxt"/>
        <w:numPr>
          <w:ilvl w:val="0"/>
          <w:numId w:val="22"/>
        </w:numPr>
        <w:ind w:left="1267"/>
        <w:rPr>
          <w:lang w:val="es-ES_tradnl"/>
        </w:rPr>
      </w:pPr>
      <w:r w:rsidRPr="00627CAE">
        <w:rPr>
          <w:lang w:val="es-ES_tradnl"/>
        </w:rPr>
        <w:t>A raíz de las modificaciones introducidas respecto de la duración de las órdenes de detención por violencia doméstica, la Oficina de Estadísticas y Estudios sobre la Delincuencia en Nueva Gales del Sur publicó un informe en noviembre de 2023 sobre los efectos de la duración de estas órdenes en los delitos y las infracciones</w:t>
      </w:r>
      <w:r w:rsidRPr="00627CAE">
        <w:rPr>
          <w:vertAlign w:val="superscript"/>
          <w:lang w:val="es-ES_tradnl"/>
        </w:rPr>
        <w:footnoteReference w:id="15"/>
      </w:r>
      <w:r w:rsidRPr="00627CAE">
        <w:rPr>
          <w:lang w:val="es-ES_tradnl"/>
        </w:rPr>
        <w:t xml:space="preserve">. </w:t>
      </w:r>
    </w:p>
    <w:p w14:paraId="11CC672D" w14:textId="5B36B02E" w:rsidR="00627CAE" w:rsidRPr="00627CAE" w:rsidRDefault="00627CAE" w:rsidP="00A02D7A">
      <w:pPr>
        <w:pStyle w:val="SingleTxt"/>
        <w:numPr>
          <w:ilvl w:val="0"/>
          <w:numId w:val="22"/>
        </w:numPr>
        <w:ind w:left="1267"/>
        <w:rPr>
          <w:lang w:val="es-ES_tradnl"/>
        </w:rPr>
      </w:pPr>
      <w:r w:rsidRPr="00627CAE">
        <w:rPr>
          <w:lang w:val="es-ES_tradnl"/>
        </w:rPr>
        <w:t xml:space="preserve">Una de las modificaciones aprobadas en 2022 con arreglo a la Ley de Enmienda de la Ley de Delitos (Control Coercitivo) de 2022 en Nueva Gales del Sur fue la introducción de una definición legal de </w:t>
      </w:r>
      <w:r w:rsidR="00285E6B">
        <w:rPr>
          <w:lang w:val="es-ES_tradnl"/>
        </w:rPr>
        <w:t>“</w:t>
      </w:r>
      <w:r w:rsidRPr="00627CAE">
        <w:rPr>
          <w:lang w:val="es-ES_tradnl"/>
        </w:rPr>
        <w:t>maltrato doméstico</w:t>
      </w:r>
      <w:r w:rsidR="00285E6B">
        <w:rPr>
          <w:lang w:val="es-ES_tradnl"/>
        </w:rPr>
        <w:t>”</w:t>
      </w:r>
      <w:r w:rsidRPr="00627CAE">
        <w:rPr>
          <w:lang w:val="es-ES_tradnl"/>
        </w:rPr>
        <w:t xml:space="preserve"> en la Ley de Delitos (Violencia Doméstica y Personal) de 2007 (Nueva Gales del Sur) como s6A. </w:t>
      </w:r>
    </w:p>
    <w:p w14:paraId="699ED6C1" w14:textId="17C13DE8" w:rsidR="00627CAE" w:rsidRPr="00627CAE" w:rsidRDefault="00627CAE" w:rsidP="00A02D7A">
      <w:pPr>
        <w:pStyle w:val="SingleTxt"/>
        <w:numPr>
          <w:ilvl w:val="0"/>
          <w:numId w:val="22"/>
        </w:numPr>
        <w:ind w:left="1267"/>
        <w:rPr>
          <w:lang w:val="es-ES_tradnl"/>
        </w:rPr>
      </w:pPr>
      <w:r w:rsidRPr="00627CAE">
        <w:rPr>
          <w:lang w:val="es-ES_tradnl"/>
        </w:rPr>
        <w:t xml:space="preserve">La Ley de Enmienda de la Legislación Penal (Esclavitud, Condiciones Análogas a la Esclavitud y Trata de Personas) de 2013 (Commonwealth) tipificó como delito el matrimonio forzado y la acogida de víctimas de la trata, además de definir como delitos separados el trabajo obligatorio y el tráfico de órganos. Con enmiendas posteriores (la Ley de Enmienda de la Legislación Penal (Competencias, Infracciones y Otras Medidas) de 2015 (Commonwealth) y la Ley de Enmienda de la Legislación relativa a la Lucha contra la Explotación Sexual Infantil de 2019 (Commonwealth)), se amplió la definición de matrimonio forzado, se aumentaron las penas correspondientes y se incluyeron todos los matrimonios con menores de 16 años. </w:t>
      </w:r>
      <w:r w:rsidRPr="00627CAE">
        <w:rPr>
          <w:lang w:val="es-ES_tradnl"/>
        </w:rPr>
        <w:lastRenderedPageBreak/>
        <w:t xml:space="preserve">Según la Policía Federal Australiana, el matrimonio forzado es uno de los delitos más denunciados entre los delitos relacionados con la trata de personas y las formas contemporáneas de esclavitud. </w:t>
      </w:r>
    </w:p>
    <w:p w14:paraId="0DA186CE" w14:textId="0A50B67B" w:rsidR="00627CAE" w:rsidRPr="00627CAE" w:rsidRDefault="00627CAE" w:rsidP="00A02D7A">
      <w:pPr>
        <w:pStyle w:val="SingleTxt"/>
        <w:numPr>
          <w:ilvl w:val="0"/>
          <w:numId w:val="22"/>
        </w:numPr>
        <w:ind w:left="1267"/>
        <w:rPr>
          <w:lang w:val="es-ES_tradnl"/>
        </w:rPr>
      </w:pPr>
      <w:r w:rsidRPr="00627CAE">
        <w:rPr>
          <w:lang w:val="es-ES_tradnl"/>
        </w:rPr>
        <w:t>La Ley sobre Discriminación Sexual de 1984 (Commonwealth) (Ley sobre Discriminación Sexual) se modificó en 2013 para prohibir la discriminación directa de los trabajadores por motivos de orientación sexual, identidad de género y condición de intersexual. Desde 2013 hasta el 30 de septiembre de 2024, la Comisión Australiana de Derechos Humanos ha investigado más de 1.400 denuncias de discriminación ilegal por estos motivos.</w:t>
      </w:r>
    </w:p>
    <w:p w14:paraId="08BD3467" w14:textId="6F707352" w:rsidR="00627CAE" w:rsidRPr="00627CAE" w:rsidRDefault="00627CAE" w:rsidP="00A02D7A">
      <w:pPr>
        <w:pStyle w:val="SingleTxt"/>
        <w:numPr>
          <w:ilvl w:val="0"/>
          <w:numId w:val="22"/>
        </w:numPr>
        <w:ind w:left="1267"/>
        <w:rPr>
          <w:lang w:val="es-ES_tradnl"/>
        </w:rPr>
      </w:pPr>
      <w:r w:rsidRPr="00627CAE">
        <w:rPr>
          <w:lang w:val="es-ES_tradnl"/>
        </w:rPr>
        <w:t xml:space="preserve">Entre 2021 y 2024, el Gobierno modificó la Ley sobre Discriminación Sexual en respuesta a las recomendaciones que figuran en Respect@Work, el informe nacional del estudio sobre el acoso sexual (Informe Respect@Work). El Gobierno aprobó la Ley de Lucha contra la Discriminación y de los Derechos Humanos (Respect@Work) de 2022 (Commonwealth), por la que se establecen los lugares de trabajo seguros y libres de acoso sexual. También promulgó la Ley de Enmienda de la Comisión Australiana de Derechos Humanos (sobre la exención del pago de las costas judiciales) de 2024 (Commonwealth), por la que se modifica el régimen de exención de las costas judiciales para la </w:t>
      </w:r>
      <w:r w:rsidR="00285E6B">
        <w:rPr>
          <w:lang w:val="es-ES_tradnl"/>
        </w:rPr>
        <w:t>“</w:t>
      </w:r>
      <w:r w:rsidRPr="00627CAE">
        <w:rPr>
          <w:lang w:val="es-ES_tradnl"/>
        </w:rPr>
        <w:t>igualdad de acceso</w:t>
      </w:r>
      <w:r w:rsidR="00285E6B">
        <w:rPr>
          <w:lang w:val="es-ES_tradnl"/>
        </w:rPr>
        <w:t>”</w:t>
      </w:r>
      <w:r w:rsidRPr="00627CAE">
        <w:rPr>
          <w:lang w:val="es-ES_tradnl"/>
        </w:rPr>
        <w:t xml:space="preserve"> de modo que esta exención se incorpore de forma coherente a todas las leyes federales de lucha contra la discriminación a fin de superar las barreras a la justicia cuando las órdenes adversas en materia de costas puedan entrañar un riesgo para los demandantes.</w:t>
      </w:r>
    </w:p>
    <w:p w14:paraId="5D90034C" w14:textId="70BBFE16" w:rsidR="00627CAE" w:rsidRPr="00627CAE" w:rsidRDefault="00627CAE" w:rsidP="00A02D7A">
      <w:pPr>
        <w:pStyle w:val="SingleTxt"/>
        <w:numPr>
          <w:ilvl w:val="0"/>
          <w:numId w:val="22"/>
        </w:numPr>
        <w:ind w:left="1267"/>
        <w:rPr>
          <w:lang w:val="es-ES_tradnl"/>
        </w:rPr>
      </w:pPr>
      <w:r w:rsidRPr="00627CAE">
        <w:rPr>
          <w:lang w:val="es-ES_tradnl"/>
        </w:rPr>
        <w:t>La parte IAD de la Ley de Delitos de 1914 (Commonwealth) se modificó en 2024 para introducir medidas de apoyo dirigidas a las personas vulnerables que comparezcan como demandantes o testigos en actuaciones penales del Commonwealth. Con estas enmiendas se pretenden cumplir las recomendaciones de la Comisión Real sobre Respuestas Institucionales al Abuso Sexual de Niños.</w:t>
      </w:r>
    </w:p>
    <w:p w14:paraId="78DB5711" w14:textId="7F258868" w:rsidR="00627CAE" w:rsidRPr="00627CAE" w:rsidRDefault="00627CAE" w:rsidP="00A02D7A">
      <w:pPr>
        <w:pStyle w:val="SingleTxt"/>
        <w:numPr>
          <w:ilvl w:val="0"/>
          <w:numId w:val="22"/>
        </w:numPr>
        <w:ind w:left="1267"/>
        <w:rPr>
          <w:lang w:val="es-ES_tradnl"/>
        </w:rPr>
      </w:pPr>
      <w:r w:rsidRPr="00627CAE">
        <w:rPr>
          <w:lang w:val="es-ES_tradnl"/>
        </w:rPr>
        <w:t>En 2023, las enmiendas a la Ley de Derecho de Familia de 1975 (Commonwealth) (Ley de Derecho de Familia) permitieron crear un régimen de derecho de familia más seguro y sencillo para las familias en proceso de separación, exigiendo a los tribunales que consideraran la posibilidad de adoptar acuerdos que velen por la seguridad del niño y sus cuidadores, también frente a la violencia familiar, el abuso, el abandono u otros daños. Se han introducido varias medidas para proteger a las víctimas supervivientes de la violencia familiar frente a los abusos del sistema mediante la adopción de órdenes referidas a actuaciones perjudiciales.</w:t>
      </w:r>
    </w:p>
    <w:p w14:paraId="34E5DA78" w14:textId="77777777" w:rsidR="005A470A" w:rsidRPr="00195CF4" w:rsidRDefault="005A470A" w:rsidP="00270FA9">
      <w:pPr>
        <w:pStyle w:val="SingleTxt"/>
        <w:spacing w:after="0" w:line="120" w:lineRule="exact"/>
        <w:rPr>
          <w:b/>
          <w:sz w:val="10"/>
          <w:lang w:val="es-ES_tradnl"/>
        </w:rPr>
      </w:pPr>
      <w:bookmarkStart w:id="34" w:name="_Toc174011663"/>
      <w:bookmarkStart w:id="35" w:name="_Toc190878885"/>
    </w:p>
    <w:p w14:paraId="71DEC7A3" w14:textId="77777777" w:rsidR="00270FA9" w:rsidRPr="00195CF4" w:rsidRDefault="00270FA9" w:rsidP="005A470A">
      <w:pPr>
        <w:pStyle w:val="SingleTxt"/>
        <w:spacing w:after="0" w:line="120" w:lineRule="exact"/>
        <w:rPr>
          <w:b/>
          <w:sz w:val="10"/>
          <w:lang w:val="es-ES_tradnl"/>
        </w:rPr>
      </w:pPr>
    </w:p>
    <w:p w14:paraId="11A82CED" w14:textId="5DEF0028" w:rsidR="00627CAE" w:rsidRPr="00195CF4" w:rsidRDefault="00627CAE" w:rsidP="00270FA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Pregunta 4: Marco constitucional y jurídico</w:t>
      </w:r>
      <w:bookmarkEnd w:id="34"/>
      <w:bookmarkEnd w:id="35"/>
    </w:p>
    <w:p w14:paraId="2CE7DD4E" w14:textId="67901AF8" w:rsidR="00270FA9" w:rsidRPr="007C0DCB" w:rsidRDefault="00270FA9" w:rsidP="00270FA9">
      <w:pPr>
        <w:pStyle w:val="SingleTxt"/>
        <w:spacing w:after="0" w:line="120" w:lineRule="exact"/>
        <w:rPr>
          <w:sz w:val="10"/>
          <w:lang w:val="es-ES_tradnl"/>
        </w:rPr>
      </w:pPr>
      <w:bookmarkStart w:id="36" w:name="_Toc174011664"/>
      <w:bookmarkStart w:id="37" w:name="_Toc188598205"/>
      <w:bookmarkStart w:id="38" w:name="_Toc190357102"/>
      <w:bookmarkStart w:id="39" w:name="_Toc190878886"/>
    </w:p>
    <w:p w14:paraId="07096B1D" w14:textId="77777777" w:rsidR="00270FA9" w:rsidRPr="007C0DCB" w:rsidRDefault="00270FA9" w:rsidP="00270FA9">
      <w:pPr>
        <w:pStyle w:val="SingleTxt"/>
        <w:spacing w:after="0" w:line="120" w:lineRule="exact"/>
        <w:rPr>
          <w:sz w:val="10"/>
          <w:lang w:val="es-ES_tradnl"/>
        </w:rPr>
      </w:pPr>
    </w:p>
    <w:p w14:paraId="7BD03C69" w14:textId="73D8B07A" w:rsidR="00627CAE" w:rsidRPr="00195CF4" w:rsidRDefault="00270FA9" w:rsidP="00270F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r>
      <w:r w:rsidR="00627CAE" w:rsidRPr="00195CF4">
        <w:rPr>
          <w:lang w:val="es-ES_tradnl"/>
        </w:rPr>
        <w:t>Legislación federal sobre derechos humanos y de lucha contra la</w:t>
      </w:r>
      <w:r w:rsidRPr="00195CF4">
        <w:rPr>
          <w:lang w:val="es-ES_tradnl"/>
        </w:rPr>
        <w:t> </w:t>
      </w:r>
      <w:r w:rsidR="00627CAE" w:rsidRPr="00195CF4">
        <w:rPr>
          <w:lang w:val="es-ES_tradnl"/>
        </w:rPr>
        <w:t xml:space="preserve">discriminación </w:t>
      </w:r>
      <w:bookmarkEnd w:id="36"/>
      <w:bookmarkEnd w:id="37"/>
      <w:bookmarkEnd w:id="38"/>
      <w:bookmarkEnd w:id="39"/>
    </w:p>
    <w:p w14:paraId="080F167F" w14:textId="77777777" w:rsidR="005A470A" w:rsidRPr="007C0DCB" w:rsidRDefault="005A470A" w:rsidP="00270FA9">
      <w:pPr>
        <w:pStyle w:val="SingleTxt"/>
        <w:spacing w:after="0" w:line="120" w:lineRule="exact"/>
        <w:rPr>
          <w:iCs/>
          <w:sz w:val="10"/>
          <w:lang w:val="es-ES_tradnl"/>
        </w:rPr>
      </w:pPr>
    </w:p>
    <w:p w14:paraId="19B11293" w14:textId="77777777" w:rsidR="00270FA9" w:rsidRPr="007C0DCB" w:rsidRDefault="00270FA9" w:rsidP="005A470A">
      <w:pPr>
        <w:pStyle w:val="SingleTxt"/>
        <w:spacing w:after="0" w:line="120" w:lineRule="exact"/>
        <w:rPr>
          <w:iCs/>
          <w:sz w:val="10"/>
          <w:lang w:val="es-ES_tradnl"/>
        </w:rPr>
      </w:pPr>
    </w:p>
    <w:p w14:paraId="7EAA90CF" w14:textId="23108A4D" w:rsidR="00627CAE" w:rsidRPr="00627CAE" w:rsidRDefault="00627CAE" w:rsidP="00A02D7A">
      <w:pPr>
        <w:pStyle w:val="SingleTxt"/>
        <w:numPr>
          <w:ilvl w:val="0"/>
          <w:numId w:val="22"/>
        </w:numPr>
        <w:ind w:left="1267"/>
        <w:rPr>
          <w:lang w:val="es-ES_tradnl"/>
        </w:rPr>
      </w:pPr>
      <w:r w:rsidRPr="00627CAE">
        <w:rPr>
          <w:lang w:val="es-ES_tradnl"/>
        </w:rPr>
        <w:t>El marco adoptado por Australia para proteger y promover los derechos humanos combina el derecho consuetudinario, la legislación a nivel federal, estatal y territorial, medidas administrativas, normativas y prácticas, además de contar con un poder judicial independiente.</w:t>
      </w:r>
    </w:p>
    <w:p w14:paraId="70826163" w14:textId="78EE9DB3" w:rsidR="00627CAE" w:rsidRPr="00627CAE" w:rsidRDefault="00627CAE" w:rsidP="00A02D7A">
      <w:pPr>
        <w:pStyle w:val="SingleTxt"/>
        <w:numPr>
          <w:ilvl w:val="0"/>
          <w:numId w:val="22"/>
        </w:numPr>
        <w:ind w:left="1267"/>
        <w:rPr>
          <w:lang w:val="es-ES_tradnl"/>
        </w:rPr>
      </w:pPr>
      <w:r w:rsidRPr="00627CAE">
        <w:rPr>
          <w:lang w:val="es-ES_tradnl"/>
        </w:rPr>
        <w:t xml:space="preserve">Las leyes federales contra la discriminación prohíben la discriminación directa e indirecta basada en características protegidas en ámbitos fundamentales de la vida pública, como el empleo, la educación, la provisión de bienes y servicios, y las instalaciones y la vivienda. La legislación federal contra la discriminación regula la vida pública y no el ámbito privado, con miras a garantizar un equilibro entre los derechos a la igualdad, la no discriminación y la privacidad. </w:t>
      </w:r>
    </w:p>
    <w:p w14:paraId="54DF0D79" w14:textId="12AEC3C4" w:rsidR="00627CAE" w:rsidRPr="00627CAE" w:rsidRDefault="00627CAE" w:rsidP="00A02D7A">
      <w:pPr>
        <w:pStyle w:val="SingleTxt"/>
        <w:numPr>
          <w:ilvl w:val="0"/>
          <w:numId w:val="22"/>
        </w:numPr>
        <w:ind w:left="1267"/>
        <w:rPr>
          <w:lang w:val="es-ES_tradnl"/>
        </w:rPr>
      </w:pPr>
      <w:r w:rsidRPr="00627CAE">
        <w:rPr>
          <w:lang w:val="es-ES_tradnl"/>
        </w:rPr>
        <w:lastRenderedPageBreak/>
        <w:t xml:space="preserve">A nivel federal, la legislación australiana contra la discriminación comprende la Ley sobre Discriminación Sexual, la Ley de Lucha contra la Discriminación por Discapacidad de 1992 (Commonwealth), la Ley de Lucha contra la Discriminación Racial de 1975 (Commonwealth) y la Ley de Lucha contra la Discriminación por Edad de 2004 (Commonwealth). La legislación australiana contra la discriminación no prevé ningún proceso para denunciar la discriminación interseccional; a pesar de lo cual, se puede denunciar la discriminación por diversos motivos ante la Comisión Australiana de Derechos Humanos. </w:t>
      </w:r>
    </w:p>
    <w:p w14:paraId="0C14B433" w14:textId="74062690" w:rsidR="00627CAE" w:rsidRPr="00627CAE" w:rsidRDefault="00627CAE" w:rsidP="00A02D7A">
      <w:pPr>
        <w:pStyle w:val="SingleTxt"/>
        <w:numPr>
          <w:ilvl w:val="0"/>
          <w:numId w:val="22"/>
        </w:numPr>
        <w:ind w:left="1267"/>
        <w:rPr>
          <w:lang w:val="es-ES_tradnl"/>
        </w:rPr>
      </w:pPr>
      <w:r w:rsidRPr="00627CAE">
        <w:rPr>
          <w:lang w:val="es-ES_tradnl"/>
        </w:rPr>
        <w:t>La Ley sobre Discriminación Sexual declara ilegal la discriminación contra las mujeres, cumpliendo así muchas de las obligaciones contraídas por Australia en virtud de la Convención sobre la Eliminación de Todas las Formas de Discriminación contra la Mujer. La Ley prohíbe discriminar por razones de sexo, estado civil o relación de pareja, embarazo o posible embarazo, lactancia materna, orientación sexual e identidad de género o condición de intersexual. Prohíbe discriminar en el ámbito laboral por motivos relacionados con las obligaciones familiares, el acoso sexual y por razón de sexo, o crear un entorno hostil para cualquier persona, y prevé el deber positivo de los empresarios de eliminar determinadas formas de discriminación sexual.</w:t>
      </w:r>
    </w:p>
    <w:p w14:paraId="1151C8D2" w14:textId="25618646" w:rsidR="00627CAE" w:rsidRPr="00627CAE" w:rsidRDefault="00627CAE" w:rsidP="00A02D7A">
      <w:pPr>
        <w:pStyle w:val="SingleTxt"/>
        <w:numPr>
          <w:ilvl w:val="0"/>
          <w:numId w:val="22"/>
        </w:numPr>
        <w:ind w:left="1267"/>
        <w:rPr>
          <w:lang w:val="es-ES_tradnl"/>
        </w:rPr>
      </w:pPr>
      <w:r w:rsidRPr="00627CAE">
        <w:rPr>
          <w:lang w:val="es-ES_tradnl"/>
        </w:rPr>
        <w:t xml:space="preserve">El 15 de marzo de 2023, la Fiscalía General de Australia presentó el Marco de Derechos Humanos de Australia para someterlo a la consideración de la Comisión Parlamentaria Conjunta Federal de Derechos Humanos, presentándose el informe correspondiente en el Parlamento el 30 de mayo de 2024: </w:t>
      </w:r>
    </w:p>
    <w:p w14:paraId="0991CDED" w14:textId="45AEE8AC"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La Comisión Parlamentaria formuló 17 recomendaciones para proteger mejor los derechos humanos en Australia, proponiendo entre otras cosas que el Parlamento australiano promulgara una ley federal en materia de derechos humanos, y que el Gobierno se comprometiera a impartir educación sobre derechos humanos en todo el territorio nacional, mejorar el control parlamentario de los derechos humanos y revisar la legislación vigente para asegurarse de que fuera compatible con estos derechos. El Gobierno estudia en estos momentos el informe de la Comisión.</w:t>
      </w:r>
    </w:p>
    <w:p w14:paraId="255214BF" w14:textId="77777777" w:rsidR="005A470A" w:rsidRPr="00195CF4" w:rsidRDefault="005A470A" w:rsidP="00270FA9">
      <w:pPr>
        <w:pStyle w:val="SingleTxt"/>
        <w:spacing w:after="0" w:line="120" w:lineRule="exact"/>
        <w:rPr>
          <w:b/>
          <w:sz w:val="10"/>
          <w:lang w:val="es-ES_tradnl"/>
        </w:rPr>
      </w:pPr>
      <w:bookmarkStart w:id="40" w:name="_Toc174011665"/>
      <w:bookmarkStart w:id="41" w:name="_Toc188598206"/>
      <w:bookmarkStart w:id="42" w:name="_Toc190357103"/>
      <w:bookmarkStart w:id="43" w:name="_Toc190878887"/>
    </w:p>
    <w:p w14:paraId="54EAB058" w14:textId="77777777" w:rsidR="00270FA9" w:rsidRPr="00195CF4" w:rsidRDefault="00270FA9" w:rsidP="005A470A">
      <w:pPr>
        <w:pStyle w:val="SingleTxt"/>
        <w:spacing w:after="0" w:line="120" w:lineRule="exact"/>
        <w:rPr>
          <w:b/>
          <w:sz w:val="10"/>
          <w:lang w:val="es-ES_tradnl"/>
        </w:rPr>
      </w:pPr>
    </w:p>
    <w:p w14:paraId="3995A1F7" w14:textId="6220F489" w:rsidR="00627CAE" w:rsidRPr="00195CF4" w:rsidRDefault="00627CAE" w:rsidP="00270F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Reconocimiento constitucional del pueblo de las Primeras Naciones</w:t>
      </w:r>
      <w:bookmarkEnd w:id="40"/>
      <w:bookmarkEnd w:id="41"/>
      <w:bookmarkEnd w:id="42"/>
      <w:bookmarkEnd w:id="43"/>
    </w:p>
    <w:p w14:paraId="460D4E4C" w14:textId="77777777" w:rsidR="005A470A" w:rsidRPr="007C0DCB" w:rsidRDefault="005A470A" w:rsidP="00270FA9">
      <w:pPr>
        <w:pStyle w:val="SingleTxt"/>
        <w:spacing w:after="0" w:line="120" w:lineRule="exact"/>
        <w:rPr>
          <w:iCs/>
          <w:sz w:val="10"/>
          <w:lang w:val="es-ES_tradnl"/>
        </w:rPr>
      </w:pPr>
    </w:p>
    <w:p w14:paraId="4905E1FE" w14:textId="77777777" w:rsidR="00270FA9" w:rsidRPr="007C0DCB" w:rsidRDefault="00270FA9" w:rsidP="005A470A">
      <w:pPr>
        <w:pStyle w:val="SingleTxt"/>
        <w:spacing w:after="0" w:line="120" w:lineRule="exact"/>
        <w:rPr>
          <w:iCs/>
          <w:sz w:val="10"/>
          <w:lang w:val="es-ES_tradnl"/>
        </w:rPr>
      </w:pPr>
    </w:p>
    <w:p w14:paraId="3C73424B" w14:textId="0A1322C0" w:rsidR="00627CAE" w:rsidRPr="00627CAE" w:rsidRDefault="00627CAE" w:rsidP="00A02D7A">
      <w:pPr>
        <w:pStyle w:val="SingleTxt"/>
        <w:numPr>
          <w:ilvl w:val="0"/>
          <w:numId w:val="22"/>
        </w:numPr>
        <w:ind w:left="1267"/>
        <w:rPr>
          <w:lang w:val="es-ES_tradnl"/>
        </w:rPr>
      </w:pPr>
      <w:r w:rsidRPr="00627CAE">
        <w:rPr>
          <w:lang w:val="es-ES_tradnl"/>
        </w:rPr>
        <w:t xml:space="preserve">En octubre de 2023, el Gobierno celebró un referéndum para reconocer a los Primeros Pueblos de Australia en la Constitución mediante el establecimiento de una voz aborigen y de los isleños del estrecho de Torres. El referéndum no tuvo éxito. El Gobierno respeta el resultado de ese referéndum. </w:t>
      </w:r>
    </w:p>
    <w:p w14:paraId="2CC30E9D" w14:textId="6F447693" w:rsidR="00627CAE" w:rsidRPr="00627CAE" w:rsidRDefault="00627CAE" w:rsidP="00A02D7A">
      <w:pPr>
        <w:pStyle w:val="SingleTxt"/>
        <w:numPr>
          <w:ilvl w:val="0"/>
          <w:numId w:val="22"/>
        </w:numPr>
        <w:ind w:left="1267"/>
        <w:rPr>
          <w:lang w:val="es-ES_tradnl"/>
        </w:rPr>
      </w:pPr>
      <w:r w:rsidRPr="00627CAE">
        <w:rPr>
          <w:lang w:val="es-ES_tradnl"/>
        </w:rPr>
        <w:t>En el marco de la iniciativa Cerrar la Brecha, todas las administraciones del país acuerdan reforzar las alianzas formales existentes y los enfoques de adopción compartida de decisiones, por ejemplo mediante políticas nacionales y alianzas locales con los Pueblos Indígenas para garantizar que las políticas y los programas estén dirigidos por la comunidad y sean voluntarios a fin de lograr mejores resultados para los Pueblos Indígenas, incluidas las mujeres.</w:t>
      </w:r>
    </w:p>
    <w:p w14:paraId="1723128B" w14:textId="77777777" w:rsidR="005A470A" w:rsidRPr="00195CF4" w:rsidRDefault="005A470A" w:rsidP="00270FA9">
      <w:pPr>
        <w:pStyle w:val="SingleTxt"/>
        <w:spacing w:after="0" w:line="120" w:lineRule="exact"/>
        <w:rPr>
          <w:b/>
          <w:sz w:val="10"/>
          <w:lang w:val="es-ES_tradnl"/>
        </w:rPr>
      </w:pPr>
      <w:bookmarkStart w:id="44" w:name="_Toc174011666"/>
      <w:bookmarkStart w:id="45" w:name="_Toc188598207"/>
      <w:bookmarkStart w:id="46" w:name="_Toc190357104"/>
      <w:bookmarkStart w:id="47" w:name="_Toc190878888"/>
    </w:p>
    <w:p w14:paraId="7667113C" w14:textId="77777777" w:rsidR="00270FA9" w:rsidRPr="00195CF4" w:rsidRDefault="00270FA9" w:rsidP="00270FA9">
      <w:pPr>
        <w:pStyle w:val="SingleTxt"/>
        <w:spacing w:after="0" w:line="120" w:lineRule="exact"/>
        <w:rPr>
          <w:b/>
          <w:sz w:val="10"/>
          <w:lang w:val="es-ES_tradnl"/>
        </w:rPr>
      </w:pPr>
    </w:p>
    <w:p w14:paraId="52146EEE" w14:textId="3085C6A9" w:rsidR="00627CAE" w:rsidRPr="00195CF4" w:rsidRDefault="00627CAE" w:rsidP="00270F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Armonizar las leyes federales, estatales y territoriales</w:t>
      </w:r>
      <w:bookmarkEnd w:id="44"/>
      <w:bookmarkEnd w:id="45"/>
      <w:bookmarkEnd w:id="46"/>
      <w:bookmarkEnd w:id="47"/>
    </w:p>
    <w:p w14:paraId="5DE452BA" w14:textId="77777777" w:rsidR="005A470A" w:rsidRPr="007C0DCB" w:rsidRDefault="005A470A" w:rsidP="00270FA9">
      <w:pPr>
        <w:pStyle w:val="SingleTxt"/>
        <w:spacing w:after="0" w:line="120" w:lineRule="exact"/>
        <w:rPr>
          <w:iCs/>
          <w:sz w:val="10"/>
          <w:lang w:val="es-ES_tradnl"/>
        </w:rPr>
      </w:pPr>
    </w:p>
    <w:p w14:paraId="04BDCD13" w14:textId="77777777" w:rsidR="00270FA9" w:rsidRPr="007C0DCB" w:rsidRDefault="00270FA9" w:rsidP="005A470A">
      <w:pPr>
        <w:pStyle w:val="SingleTxt"/>
        <w:spacing w:after="0" w:line="120" w:lineRule="exact"/>
        <w:rPr>
          <w:iCs/>
          <w:sz w:val="10"/>
          <w:lang w:val="es-ES_tradnl"/>
        </w:rPr>
      </w:pPr>
    </w:p>
    <w:p w14:paraId="74F08EC1" w14:textId="15A89348" w:rsidR="00627CAE" w:rsidRPr="00627CAE" w:rsidRDefault="00627CAE" w:rsidP="00A02D7A">
      <w:pPr>
        <w:pStyle w:val="SingleTxt"/>
        <w:numPr>
          <w:ilvl w:val="0"/>
          <w:numId w:val="22"/>
        </w:numPr>
        <w:ind w:left="1267"/>
        <w:rPr>
          <w:lang w:val="es-ES_tradnl"/>
        </w:rPr>
      </w:pPr>
      <w:r w:rsidRPr="00627CAE">
        <w:rPr>
          <w:lang w:val="es-ES_tradnl"/>
        </w:rPr>
        <w:t>Las jurisdicciones estatales y territoriales en Australia han adoptado leyes de lucha contra la discriminación que declaran ilegal la discriminación por características protegidas como el sexo o la identidad de género:</w:t>
      </w:r>
    </w:p>
    <w:p w14:paraId="4BA16A57" w14:textId="2AA93B92" w:rsidR="00627CAE" w:rsidRPr="00627CAE" w:rsidRDefault="005A470A" w:rsidP="005A470A">
      <w:pPr>
        <w:pStyle w:val="SingleTxt"/>
        <w:tabs>
          <w:tab w:val="right" w:pos="1685"/>
        </w:tabs>
        <w:ind w:left="1742" w:hanging="475"/>
        <w:rPr>
          <w:lang w:val="es-ES_tradnl"/>
        </w:rPr>
      </w:pPr>
      <w:r w:rsidRPr="007C0DCB">
        <w:rPr>
          <w:lang w:val="es-ES_tradnl"/>
        </w:rPr>
        <w:lastRenderedPageBreak/>
        <w:tab/>
        <w:t>•</w:t>
      </w:r>
      <w:r w:rsidR="00627CAE" w:rsidRPr="00627CAE">
        <w:rPr>
          <w:lang w:val="es-ES_tradnl"/>
        </w:rPr>
        <w:tab/>
        <w:t>Territorio de la Capital de Australia: Ley sobre Discriminación de 1991, Ley de Derechos Humanos de 2004;</w:t>
      </w:r>
    </w:p>
    <w:p w14:paraId="0A79588F" w14:textId="359CF56D"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Nueva Gales del Sur: Ley de Lucha contra la Discriminación de 1977;</w:t>
      </w:r>
    </w:p>
    <w:p w14:paraId="6C472E54" w14:textId="3D8B3936"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Territorio del Norte: Ley de Lucha contra la Discriminación de 1992; </w:t>
      </w:r>
    </w:p>
    <w:p w14:paraId="01C93831" w14:textId="34CFD8BA"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Queensland: Ley de Lucha contra la Discriminación de 1991, Ley de Derechos Humanos de 2019; </w:t>
      </w:r>
    </w:p>
    <w:p w14:paraId="1F7D6407" w14:textId="09091531"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Australia Meridional: Ley de Igualdad de Oportunidades de 1984; </w:t>
      </w:r>
    </w:p>
    <w:p w14:paraId="28732B2D" w14:textId="7B9FFDF2"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Tasmania: Ley de Lucha contra la Discriminación de 1998; </w:t>
      </w:r>
    </w:p>
    <w:p w14:paraId="654C2487" w14:textId="2B37ADE3"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Victoria: Ley de Igualdad de Oportunidades de 2010, Ley sobre la Carta de Derechos Humanos y Responsabilidades de 2006; </w:t>
      </w:r>
    </w:p>
    <w:p w14:paraId="35223E50" w14:textId="164A2B0E"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Australia Occidental: Ley de Igualdad de Oportunidades de 1984.</w:t>
      </w:r>
    </w:p>
    <w:p w14:paraId="7DBD52C8" w14:textId="21D06798" w:rsidR="00627CAE" w:rsidRPr="00627CAE" w:rsidRDefault="00627CAE" w:rsidP="00A02D7A">
      <w:pPr>
        <w:pStyle w:val="SingleTxt"/>
        <w:numPr>
          <w:ilvl w:val="0"/>
          <w:numId w:val="22"/>
        </w:numPr>
        <w:ind w:left="1267"/>
        <w:rPr>
          <w:lang w:val="es-ES_tradnl"/>
        </w:rPr>
      </w:pPr>
      <w:r w:rsidRPr="00627CAE">
        <w:rPr>
          <w:lang w:val="es-ES_tradnl"/>
        </w:rPr>
        <w:t xml:space="preserve">Cuando una ley estatal es incompatible con una ley federal, el artículo 109 de la Constitución australiana establece que la ley de la Commonwealth prevalecerá en lo que se refiera a esa incompatibilidad en particular. Se aplican principios parecidos cuando se observan incoherencias entre las leyes territoriales y federales. Estas normas se aplican a las incoherencias entre las leyes estatales o territoriales de lucha contra la discriminación y la Ley sobre Discriminación Sexual. La legislación federal contra la discriminación no desplaza ni limita la aplicación de las leyes estatales y territoriales cuando estas se puedan aplicar simultáneamente. </w:t>
      </w:r>
    </w:p>
    <w:p w14:paraId="631DCD0C" w14:textId="1A250CB8" w:rsidR="00627CAE" w:rsidRPr="00627CAE" w:rsidRDefault="00627CAE" w:rsidP="00A02D7A">
      <w:pPr>
        <w:pStyle w:val="SingleTxt"/>
        <w:numPr>
          <w:ilvl w:val="0"/>
          <w:numId w:val="22"/>
        </w:numPr>
        <w:ind w:left="1267"/>
        <w:rPr>
          <w:lang w:val="es-ES_tradnl"/>
        </w:rPr>
      </w:pPr>
      <w:r w:rsidRPr="00627CAE">
        <w:rPr>
          <w:lang w:val="es-ES_tradnl"/>
        </w:rPr>
        <w:t>Algunos ejemplos de la colaboración entre las distintas administraciones australianas para garantizar la coherencia y la aplicación de la Convención sobre la Eliminación de Todas las Formas de Discriminación contra la Mujer son:</w:t>
      </w:r>
    </w:p>
    <w:p w14:paraId="09503216" w14:textId="3E6F43CE"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El examen que llevó a cabo el Consejo Permanente de las Fiscalías Generales (a nivel estatal, territorial y federal) en 2021-2023 para garantizar la coherencia de las leyes sobre acoso sexual y discriminación sexual en respuesta al Informe Respect@Work de la Comisión Australiana de Derechos Humanos. El acuerdo alcanzado en septiembre de 2023 por los fiscales generales para seguir armonizando la legislación de manera que la coherencia sea mayor entre las distintas jurisdicciones, recordando que, en un sistema federal, corresponde a las jurisdicciones correspondientes modificar las leyes de los estados y los territorios</w:t>
      </w:r>
      <w:r w:rsidR="00627CAE" w:rsidRPr="00627CAE">
        <w:rPr>
          <w:vertAlign w:val="superscript"/>
          <w:lang w:val="es-ES_tradnl"/>
        </w:rPr>
        <w:footnoteReference w:id="16"/>
      </w:r>
      <w:r w:rsidR="00627CAE" w:rsidRPr="00627CAE">
        <w:rPr>
          <w:lang w:val="es-ES_tradnl"/>
        </w:rPr>
        <w:t>.</w:t>
      </w:r>
    </w:p>
    <w:p w14:paraId="1E2E1164" w14:textId="77777777" w:rsidR="005A470A" w:rsidRPr="00195CF4" w:rsidRDefault="005A470A" w:rsidP="00D073E4">
      <w:pPr>
        <w:pStyle w:val="SingleTxt"/>
        <w:spacing w:after="0" w:line="120" w:lineRule="exact"/>
        <w:rPr>
          <w:b/>
          <w:sz w:val="10"/>
          <w:lang w:val="es-ES_tradnl"/>
        </w:rPr>
      </w:pPr>
      <w:bookmarkStart w:id="48" w:name="_Toc174011667"/>
      <w:bookmarkStart w:id="49" w:name="_Toc188598208"/>
      <w:bookmarkStart w:id="50" w:name="_Toc190357105"/>
      <w:bookmarkStart w:id="51" w:name="_Toc190878889"/>
    </w:p>
    <w:p w14:paraId="54D5DED4" w14:textId="77777777" w:rsidR="00D073E4" w:rsidRPr="00195CF4" w:rsidRDefault="00D073E4" w:rsidP="005A470A">
      <w:pPr>
        <w:pStyle w:val="SingleTxt"/>
        <w:spacing w:after="0" w:line="120" w:lineRule="exact"/>
        <w:rPr>
          <w:b/>
          <w:sz w:val="10"/>
          <w:lang w:val="es-ES_tradnl"/>
        </w:rPr>
      </w:pPr>
    </w:p>
    <w:p w14:paraId="649E189B" w14:textId="4D890FC0" w:rsidR="00627CAE" w:rsidRPr="00195CF4" w:rsidRDefault="00627CAE" w:rsidP="00D07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 xml:space="preserve">Mejorar la eficacia de la Ley sobre Discriminación Sexual </w:t>
      </w:r>
      <w:bookmarkEnd w:id="48"/>
      <w:bookmarkEnd w:id="49"/>
      <w:bookmarkEnd w:id="50"/>
      <w:bookmarkEnd w:id="51"/>
    </w:p>
    <w:p w14:paraId="3D979062" w14:textId="77777777" w:rsidR="005A470A" w:rsidRPr="007C0DCB" w:rsidRDefault="005A470A" w:rsidP="00D073E4">
      <w:pPr>
        <w:pStyle w:val="SingleTxt"/>
        <w:spacing w:after="0" w:line="120" w:lineRule="exact"/>
        <w:rPr>
          <w:iCs/>
          <w:sz w:val="10"/>
          <w:lang w:val="es-ES_tradnl"/>
        </w:rPr>
      </w:pPr>
    </w:p>
    <w:p w14:paraId="1240490E" w14:textId="77777777" w:rsidR="00D073E4" w:rsidRPr="007C0DCB" w:rsidRDefault="00D073E4" w:rsidP="005A470A">
      <w:pPr>
        <w:pStyle w:val="SingleTxt"/>
        <w:spacing w:after="0" w:line="120" w:lineRule="exact"/>
        <w:rPr>
          <w:iCs/>
          <w:sz w:val="10"/>
          <w:lang w:val="es-ES_tradnl"/>
        </w:rPr>
      </w:pPr>
    </w:p>
    <w:p w14:paraId="2022EF5E" w14:textId="7800D44C" w:rsidR="00627CAE" w:rsidRPr="00627CAE" w:rsidRDefault="00627CAE" w:rsidP="00A02D7A">
      <w:pPr>
        <w:pStyle w:val="SingleTxt"/>
        <w:numPr>
          <w:ilvl w:val="0"/>
          <w:numId w:val="22"/>
        </w:numPr>
        <w:ind w:left="1267"/>
        <w:rPr>
          <w:lang w:val="es-ES_tradnl"/>
        </w:rPr>
      </w:pPr>
      <w:r w:rsidRPr="00627CAE">
        <w:rPr>
          <w:lang w:val="es-ES_tradnl"/>
        </w:rPr>
        <w:t xml:space="preserve">El Gobierno estudia en estos momentos las recomendaciones para mejorar la eficacia de la Ley sobre Discriminación Sexual y ha introducido varias modificaciones en la ley en respuesta al Informe del Comité Permanente de Asuntos Jurídicos y Constitucionales de 2008. </w:t>
      </w:r>
    </w:p>
    <w:p w14:paraId="1088C379" w14:textId="77777777" w:rsidR="005A470A" w:rsidRPr="00195CF4" w:rsidRDefault="005A470A" w:rsidP="00D073E4">
      <w:pPr>
        <w:pStyle w:val="SingleTxt"/>
        <w:spacing w:after="0" w:line="120" w:lineRule="exact"/>
        <w:rPr>
          <w:b/>
          <w:sz w:val="10"/>
          <w:lang w:val="es-ES_tradnl"/>
        </w:rPr>
      </w:pPr>
      <w:bookmarkStart w:id="52" w:name="_Toc174011668"/>
      <w:bookmarkStart w:id="53" w:name="_Toc190878890"/>
    </w:p>
    <w:p w14:paraId="69DC0F5B" w14:textId="6F88B03E" w:rsidR="00D073E4" w:rsidRPr="00195CF4" w:rsidRDefault="00D073E4">
      <w:pPr>
        <w:suppressAutoHyphens w:val="0"/>
        <w:spacing w:after="160" w:line="259" w:lineRule="auto"/>
        <w:rPr>
          <w:b/>
          <w:kern w:val="14"/>
          <w:sz w:val="10"/>
          <w:lang w:val="es-ES_tradnl"/>
        </w:rPr>
      </w:pPr>
      <w:r w:rsidRPr="00195CF4">
        <w:rPr>
          <w:b/>
          <w:sz w:val="10"/>
          <w:lang w:val="es-ES_tradnl"/>
        </w:rPr>
        <w:br w:type="page"/>
      </w:r>
    </w:p>
    <w:p w14:paraId="7745A2B1" w14:textId="52DD5813" w:rsidR="00627CAE" w:rsidRPr="00195CF4" w:rsidRDefault="00627CAE" w:rsidP="00D073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lastRenderedPageBreak/>
        <w:tab/>
      </w:r>
      <w:r w:rsidRPr="00195CF4">
        <w:rPr>
          <w:lang w:val="es-ES_tradnl"/>
        </w:rPr>
        <w:tab/>
        <w:t xml:space="preserve">Pregunta 5: Acceso a la justicia </w:t>
      </w:r>
      <w:bookmarkEnd w:id="52"/>
      <w:bookmarkEnd w:id="53"/>
    </w:p>
    <w:p w14:paraId="013891F5" w14:textId="77777777" w:rsidR="005A470A" w:rsidRPr="00195CF4" w:rsidRDefault="005A470A" w:rsidP="00D073E4">
      <w:pPr>
        <w:pStyle w:val="SingleTxt"/>
        <w:spacing w:after="0" w:line="120" w:lineRule="exact"/>
        <w:rPr>
          <w:b/>
          <w:sz w:val="10"/>
          <w:lang w:val="es-ES_tradnl"/>
        </w:rPr>
      </w:pPr>
      <w:bookmarkStart w:id="54" w:name="_Toc174011669"/>
      <w:bookmarkStart w:id="55" w:name="_Toc188598210"/>
      <w:bookmarkStart w:id="56" w:name="_Toc190357107"/>
      <w:bookmarkStart w:id="57" w:name="_Toc190878891"/>
    </w:p>
    <w:p w14:paraId="624DDB67" w14:textId="77777777" w:rsidR="00D073E4" w:rsidRPr="00195CF4" w:rsidRDefault="00D073E4" w:rsidP="005A470A">
      <w:pPr>
        <w:pStyle w:val="SingleTxt"/>
        <w:spacing w:after="0" w:line="120" w:lineRule="exact"/>
        <w:rPr>
          <w:b/>
          <w:sz w:val="10"/>
          <w:lang w:val="es-ES_tradnl"/>
        </w:rPr>
      </w:pPr>
    </w:p>
    <w:p w14:paraId="457F4D52" w14:textId="62CA2D4B" w:rsidR="00627CAE" w:rsidRPr="00195CF4" w:rsidRDefault="00627CAE" w:rsidP="00D07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Recomendaciones de 1986 de la Comisión de Reforma Legislativa de Australia: Derecho consuetudinario indígena</w:t>
      </w:r>
      <w:bookmarkEnd w:id="54"/>
      <w:bookmarkEnd w:id="55"/>
      <w:bookmarkEnd w:id="56"/>
      <w:bookmarkEnd w:id="57"/>
    </w:p>
    <w:p w14:paraId="61EC6CE8" w14:textId="77777777" w:rsidR="005A470A" w:rsidRPr="007C0DCB" w:rsidRDefault="005A470A" w:rsidP="00D073E4">
      <w:pPr>
        <w:pStyle w:val="SingleTxt"/>
        <w:spacing w:after="0" w:line="120" w:lineRule="exact"/>
        <w:rPr>
          <w:iCs/>
          <w:sz w:val="10"/>
          <w:lang w:val="es-ES_tradnl"/>
        </w:rPr>
      </w:pPr>
    </w:p>
    <w:p w14:paraId="71875304" w14:textId="77777777" w:rsidR="00D073E4" w:rsidRPr="007C0DCB" w:rsidRDefault="00D073E4" w:rsidP="005A470A">
      <w:pPr>
        <w:pStyle w:val="SingleTxt"/>
        <w:spacing w:after="0" w:line="120" w:lineRule="exact"/>
        <w:rPr>
          <w:iCs/>
          <w:sz w:val="10"/>
          <w:lang w:val="es-ES_tradnl"/>
        </w:rPr>
      </w:pPr>
    </w:p>
    <w:p w14:paraId="3FC627B8" w14:textId="4C0E775B" w:rsidR="00627CAE" w:rsidRPr="00627CAE" w:rsidRDefault="00627CAE" w:rsidP="00A02D7A">
      <w:pPr>
        <w:pStyle w:val="SingleTxt"/>
        <w:numPr>
          <w:ilvl w:val="0"/>
          <w:numId w:val="22"/>
        </w:numPr>
        <w:ind w:left="1267"/>
        <w:rPr>
          <w:lang w:val="es-ES_tradnl"/>
        </w:rPr>
      </w:pPr>
      <w:r w:rsidRPr="00627CAE">
        <w:rPr>
          <w:lang w:val="es-ES_tradnl"/>
        </w:rPr>
        <w:t xml:space="preserve">En 1992, el Tribunal Superior de Australia dictó sentencia en la causa </w:t>
      </w:r>
      <w:r w:rsidRPr="00627CAE">
        <w:rPr>
          <w:i/>
          <w:iCs/>
          <w:lang w:val="es-ES_tradnl"/>
        </w:rPr>
        <w:t>Mabo vs. Queensland</w:t>
      </w:r>
      <w:r w:rsidRPr="00627CAE">
        <w:rPr>
          <w:lang w:val="es-ES_tradnl"/>
        </w:rPr>
        <w:t xml:space="preserve"> (núm. 2) [1992] HCA 23; (1992) 175 CLR 1 (3 de junio de 1992) (Mabo núm. 2). El tribunal reconoció que el pueblo Meriam del estrecho de Torres era </w:t>
      </w:r>
      <w:r w:rsidR="00285E6B">
        <w:rPr>
          <w:lang w:val="es-ES_tradnl"/>
        </w:rPr>
        <w:t>“</w:t>
      </w:r>
      <w:r w:rsidRPr="00627CAE">
        <w:rPr>
          <w:lang w:val="es-ES_tradnl"/>
        </w:rPr>
        <w:t>titular nativo</w:t>
      </w:r>
      <w:r w:rsidR="00285E6B">
        <w:rPr>
          <w:lang w:val="es-ES_tradnl"/>
        </w:rPr>
        <w:t>”</w:t>
      </w:r>
      <w:r w:rsidRPr="00627CAE">
        <w:rPr>
          <w:lang w:val="es-ES_tradnl"/>
        </w:rPr>
        <w:t xml:space="preserve"> de una parte de sus tierras tradicionales. El tribunal concluyó que el derecho consuetudinario australiano reconocía los derechos e intereses de los Pueblos Indígenas sobre la tierra en virtud de sus leyes y costumbres tradicionales. Los derechos e intereses de los nativos en lo que respecta a los títulos de propiedad varían de una comunidad a otra.</w:t>
      </w:r>
    </w:p>
    <w:p w14:paraId="2FEE8B05" w14:textId="45D18AB0" w:rsidR="00627CAE" w:rsidRPr="00627CAE" w:rsidRDefault="00627CAE" w:rsidP="00A02D7A">
      <w:pPr>
        <w:pStyle w:val="SingleTxt"/>
        <w:numPr>
          <w:ilvl w:val="0"/>
          <w:numId w:val="22"/>
        </w:numPr>
        <w:ind w:left="1267"/>
        <w:rPr>
          <w:i/>
          <w:iCs/>
          <w:lang w:val="es-ES_tradnl"/>
        </w:rPr>
      </w:pPr>
      <w:r w:rsidRPr="00627CAE">
        <w:rPr>
          <w:lang w:val="es-ES_tradnl"/>
        </w:rPr>
        <w:t>A raíz de la decisión adoptada en la causa de Mabo núm</w:t>
      </w:r>
      <w:r w:rsidR="00285E6B">
        <w:rPr>
          <w:lang w:val="es-ES_tradnl"/>
        </w:rPr>
        <w:t>ero</w:t>
      </w:r>
      <w:r w:rsidRPr="00627CAE">
        <w:rPr>
          <w:lang w:val="es-ES_tradnl"/>
        </w:rPr>
        <w:t xml:space="preserve"> 2, el Gobierno promulgó la Ley de Títulos Nativos de 1993 (Commonwealth), que entró en vigor el 1 de enero de 1994. La Ley establece una serie de procesos para que se reconozcan y protejan esos títulos nativos.</w:t>
      </w:r>
    </w:p>
    <w:p w14:paraId="54568032" w14:textId="77777777" w:rsidR="005A470A" w:rsidRPr="00195CF4" w:rsidRDefault="005A470A" w:rsidP="00D073E4">
      <w:pPr>
        <w:pStyle w:val="SingleTxt"/>
        <w:spacing w:after="0" w:line="120" w:lineRule="exact"/>
        <w:rPr>
          <w:b/>
          <w:sz w:val="10"/>
          <w:lang w:val="es-ES_tradnl"/>
        </w:rPr>
      </w:pPr>
      <w:bookmarkStart w:id="58" w:name="_Toc174011670"/>
      <w:bookmarkStart w:id="59" w:name="_Toc188598211"/>
      <w:bookmarkStart w:id="60" w:name="_Toc190357108"/>
      <w:bookmarkStart w:id="61" w:name="_Toc190878892"/>
    </w:p>
    <w:p w14:paraId="328E8259" w14:textId="77777777" w:rsidR="00D073E4" w:rsidRPr="00195CF4" w:rsidRDefault="00D073E4" w:rsidP="005A470A">
      <w:pPr>
        <w:pStyle w:val="SingleTxt"/>
        <w:spacing w:after="0" w:line="120" w:lineRule="exact"/>
        <w:rPr>
          <w:b/>
          <w:sz w:val="10"/>
          <w:lang w:val="es-ES_tradnl"/>
        </w:rPr>
      </w:pPr>
    </w:p>
    <w:p w14:paraId="6D581C1A" w14:textId="1C54F92C" w:rsidR="00627CAE" w:rsidRPr="00195CF4" w:rsidRDefault="00627CAE" w:rsidP="00D07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Recomendaciones de la Comisión de Productividad de 2014 sobre los acuerdos de</w:t>
      </w:r>
      <w:r w:rsidR="005A470A" w:rsidRPr="00195CF4">
        <w:rPr>
          <w:lang w:val="es-ES_tradnl"/>
        </w:rPr>
        <w:t> </w:t>
      </w:r>
      <w:r w:rsidRPr="00195CF4">
        <w:rPr>
          <w:lang w:val="es-ES_tradnl"/>
        </w:rPr>
        <w:t xml:space="preserve">acceso a la justicia </w:t>
      </w:r>
      <w:bookmarkEnd w:id="58"/>
      <w:bookmarkEnd w:id="59"/>
      <w:bookmarkEnd w:id="60"/>
      <w:bookmarkEnd w:id="61"/>
    </w:p>
    <w:p w14:paraId="49A624BF" w14:textId="77777777" w:rsidR="005A470A" w:rsidRPr="007C0DCB" w:rsidRDefault="005A470A" w:rsidP="00D073E4">
      <w:pPr>
        <w:pStyle w:val="SingleTxt"/>
        <w:spacing w:after="0" w:line="120" w:lineRule="exact"/>
        <w:rPr>
          <w:iCs/>
          <w:sz w:val="10"/>
          <w:lang w:val="es-ES_tradnl"/>
        </w:rPr>
      </w:pPr>
    </w:p>
    <w:p w14:paraId="48FFCAA0" w14:textId="77777777" w:rsidR="00D073E4" w:rsidRPr="007C0DCB" w:rsidRDefault="00D073E4" w:rsidP="005A470A">
      <w:pPr>
        <w:pStyle w:val="SingleTxt"/>
        <w:spacing w:after="0" w:line="120" w:lineRule="exact"/>
        <w:rPr>
          <w:iCs/>
          <w:sz w:val="10"/>
          <w:lang w:val="es-ES_tradnl"/>
        </w:rPr>
      </w:pPr>
    </w:p>
    <w:p w14:paraId="683AF0C1" w14:textId="04FAF924" w:rsidR="00627CAE" w:rsidRPr="00627CAE" w:rsidRDefault="00627CAE" w:rsidP="00A02D7A">
      <w:pPr>
        <w:pStyle w:val="SingleTxt"/>
        <w:numPr>
          <w:ilvl w:val="0"/>
          <w:numId w:val="22"/>
        </w:numPr>
        <w:ind w:left="1267"/>
        <w:rPr>
          <w:lang w:val="es-ES_tradnl"/>
        </w:rPr>
      </w:pPr>
      <w:r w:rsidRPr="00627CAE">
        <w:rPr>
          <w:lang w:val="es-ES_tradnl"/>
        </w:rPr>
        <w:t>La respuesta del Gobierno al informe del estudio elaborado por la Comisión de Productividad de 2014 sobre los acuerdos de acceso a la justicia se publicó en 2016</w:t>
      </w:r>
      <w:r w:rsidRPr="00627CAE">
        <w:rPr>
          <w:vertAlign w:val="superscript"/>
          <w:lang w:val="es-ES_tradnl"/>
        </w:rPr>
        <w:footnoteReference w:id="17"/>
      </w:r>
      <w:r w:rsidRPr="00627CAE">
        <w:rPr>
          <w:lang w:val="es-ES_tradnl"/>
        </w:rPr>
        <w:t>. Algunas respuestas a las recomendaciones de la Comisión son:</w:t>
      </w:r>
    </w:p>
    <w:p w14:paraId="3832F7C0" w14:textId="12EA5161"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Recomendación 16.3: gracias a la aprobación de los sistemas y servicios de asistencia jurídica de 2023, se exime del pago de tasas judiciales en los tribunales federales a las personas que reciban asistencia jurídica de proveedores autorizados</w:t>
      </w:r>
      <w:r w:rsidR="00627CAE" w:rsidRPr="00627CAE">
        <w:rPr>
          <w:vertAlign w:val="superscript"/>
          <w:lang w:val="es-ES_tradnl"/>
        </w:rPr>
        <w:footnoteReference w:id="18"/>
      </w:r>
      <w:r w:rsidR="00627CAE" w:rsidRPr="00627CAE">
        <w:rPr>
          <w:lang w:val="es-ES_tradnl"/>
        </w:rPr>
        <w:t xml:space="preserve">; </w:t>
      </w:r>
    </w:p>
    <w:p w14:paraId="16576036" w14:textId="77E0FD85"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Recomendación 21.6: la financiación federal en el marco de la Alianza Nacional de Asistencia Jurídica (NLAP) utiliza desde 2015 modelos de asignación de fondos para financiar las comisiones de asistencia jurídica, los centros jurídicos comunitarios y los servicios de asistencia jurídica para los Pueblos Indígenas;</w:t>
      </w:r>
    </w:p>
    <w:p w14:paraId="3112BAD4" w14:textId="5081C8D6"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Recomendación 25: en 2015 se elaboró un manual nacional de normas sobre datos relativos a la asistencia jurídica para normalizar las definiciones, las normas de recuento y los protocolos de recopilación en el sector de la asistencia jurídica. Las Fiscalías Generales de Australia colaboraron con la Oficina Australiana de Estadística para recopilar por primera vez datos sobre la asistencia jurídica a nivel nacional (la serie de datos se publicó el 9 de mayo de 2024);</w:t>
      </w:r>
    </w:p>
    <w:p w14:paraId="36962E3C" w14:textId="1106FBD5"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Recomendación 22: la financiación de la asistencia jurídica y de los servicios jurídicos para las personas aborígenes e isleñas del estrecho de Torres (ATSILS) es una responsabilidad compartida de los gobiernos australianos.</w:t>
      </w:r>
    </w:p>
    <w:p w14:paraId="67A099B3" w14:textId="180D3D16" w:rsidR="00D073E4" w:rsidRPr="00195CF4" w:rsidRDefault="00D073E4">
      <w:pPr>
        <w:suppressAutoHyphens w:val="0"/>
        <w:spacing w:after="160" w:line="259" w:lineRule="auto"/>
        <w:rPr>
          <w:b/>
          <w:kern w:val="14"/>
          <w:sz w:val="10"/>
          <w:lang w:val="es-ES_tradnl"/>
        </w:rPr>
      </w:pPr>
      <w:bookmarkStart w:id="62" w:name="_Toc188598212"/>
      <w:bookmarkStart w:id="63" w:name="_Toc190357109"/>
      <w:bookmarkStart w:id="64" w:name="_Toc190878893"/>
      <w:bookmarkStart w:id="65" w:name="_Toc174011671"/>
      <w:r w:rsidRPr="00195CF4">
        <w:rPr>
          <w:b/>
          <w:sz w:val="10"/>
          <w:lang w:val="es-ES_tradnl"/>
        </w:rPr>
        <w:br w:type="page"/>
      </w:r>
    </w:p>
    <w:p w14:paraId="3A7877C2" w14:textId="0E19CD1A" w:rsidR="00627CAE" w:rsidRPr="00195CF4" w:rsidRDefault="00D073E4" w:rsidP="00D07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lastRenderedPageBreak/>
        <w:tab/>
      </w:r>
      <w:r w:rsidRPr="00195CF4">
        <w:rPr>
          <w:lang w:val="es-ES_tradnl"/>
        </w:rPr>
        <w:tab/>
      </w:r>
      <w:r w:rsidR="00627CAE" w:rsidRPr="00195CF4">
        <w:rPr>
          <w:lang w:val="es-ES_tradnl"/>
        </w:rPr>
        <w:t xml:space="preserve">Alianza Nacional de Acceso a la Justicia </w:t>
      </w:r>
      <w:bookmarkEnd w:id="62"/>
      <w:bookmarkEnd w:id="63"/>
      <w:bookmarkEnd w:id="64"/>
    </w:p>
    <w:p w14:paraId="70D490CA" w14:textId="77777777" w:rsidR="005A470A" w:rsidRPr="007C0DCB" w:rsidRDefault="005A470A" w:rsidP="00D073E4">
      <w:pPr>
        <w:pStyle w:val="SingleTxt"/>
        <w:spacing w:after="0" w:line="120" w:lineRule="exact"/>
        <w:rPr>
          <w:iCs/>
          <w:sz w:val="10"/>
          <w:lang w:val="es-ES_tradnl"/>
        </w:rPr>
      </w:pPr>
    </w:p>
    <w:p w14:paraId="7AFA5E87" w14:textId="77777777" w:rsidR="00D073E4" w:rsidRPr="007C0DCB" w:rsidRDefault="00D073E4" w:rsidP="005A470A">
      <w:pPr>
        <w:pStyle w:val="SingleTxt"/>
        <w:spacing w:after="0" w:line="120" w:lineRule="exact"/>
        <w:rPr>
          <w:iCs/>
          <w:sz w:val="10"/>
          <w:lang w:val="es-ES_tradnl"/>
        </w:rPr>
      </w:pPr>
    </w:p>
    <w:p w14:paraId="3A971DA7" w14:textId="32846901" w:rsidR="00627CAE" w:rsidRPr="00627CAE" w:rsidRDefault="00627CAE" w:rsidP="00A02D7A">
      <w:pPr>
        <w:pStyle w:val="SingleTxt"/>
        <w:numPr>
          <w:ilvl w:val="0"/>
          <w:numId w:val="22"/>
        </w:numPr>
        <w:ind w:left="1267"/>
        <w:rPr>
          <w:lang w:val="es-ES_tradnl"/>
        </w:rPr>
      </w:pPr>
      <w:r w:rsidRPr="00627CAE">
        <w:rPr>
          <w:lang w:val="es-ES_tradnl"/>
        </w:rPr>
        <w:t>La Alianza Nacional para el Acceso a la Justicia comenzará su andadura el 30 de junio de 2025 y supondrá un aumento cercano a los 800 millones de dólares durante cinco años en financiación destinada al sector de la asistencia jurídica a partir de 2025-26, siendo su objetivo principal mejorar los servicios jurídicos para responder a la violencia de género.</w:t>
      </w:r>
    </w:p>
    <w:p w14:paraId="4ABCE5BF" w14:textId="77777777" w:rsidR="005A470A" w:rsidRPr="00195CF4" w:rsidRDefault="005A470A" w:rsidP="00D073E4">
      <w:pPr>
        <w:pStyle w:val="SingleTxt"/>
        <w:spacing w:after="0" w:line="120" w:lineRule="exact"/>
        <w:rPr>
          <w:b/>
          <w:sz w:val="10"/>
          <w:lang w:val="es-ES_tradnl"/>
        </w:rPr>
      </w:pPr>
      <w:bookmarkStart w:id="66" w:name="_Toc188598213"/>
      <w:bookmarkStart w:id="67" w:name="_Toc190357110"/>
      <w:bookmarkStart w:id="68" w:name="_Toc190878894"/>
    </w:p>
    <w:p w14:paraId="6DE4540C" w14:textId="77777777" w:rsidR="00D073E4" w:rsidRPr="00195CF4" w:rsidRDefault="00D073E4" w:rsidP="005A470A">
      <w:pPr>
        <w:pStyle w:val="SingleTxt"/>
        <w:spacing w:after="0" w:line="120" w:lineRule="exact"/>
        <w:rPr>
          <w:b/>
          <w:sz w:val="10"/>
          <w:lang w:val="es-ES_tradnl"/>
        </w:rPr>
      </w:pPr>
    </w:p>
    <w:p w14:paraId="525950C8" w14:textId="30849E6D" w:rsidR="00627CAE" w:rsidRPr="00195CF4" w:rsidRDefault="00627CAE" w:rsidP="00D07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195CF4">
        <w:rPr>
          <w:lang w:val="es-ES_tradnl"/>
        </w:rPr>
        <w:tab/>
      </w:r>
      <w:r w:rsidRPr="00195CF4">
        <w:rPr>
          <w:lang w:val="es-ES_tradnl"/>
        </w:rPr>
        <w:tab/>
        <w:t>Examen del sistema de derecho de familia efectuado en 2019 por la Comisión de</w:t>
      </w:r>
      <w:r w:rsidR="005A470A" w:rsidRPr="00195CF4">
        <w:rPr>
          <w:lang w:val="es-ES_tradnl"/>
        </w:rPr>
        <w:t> </w:t>
      </w:r>
      <w:r w:rsidRPr="00195CF4">
        <w:rPr>
          <w:lang w:val="es-ES_tradnl"/>
        </w:rPr>
        <w:t xml:space="preserve">Reforma Legislativa de Australia </w:t>
      </w:r>
      <w:bookmarkEnd w:id="65"/>
      <w:bookmarkEnd w:id="66"/>
      <w:bookmarkEnd w:id="67"/>
      <w:bookmarkEnd w:id="68"/>
    </w:p>
    <w:p w14:paraId="30FA2A3F" w14:textId="77777777" w:rsidR="005A470A" w:rsidRPr="007C0DCB" w:rsidRDefault="005A470A" w:rsidP="00D073E4">
      <w:pPr>
        <w:pStyle w:val="SingleTxt"/>
        <w:spacing w:after="0" w:line="120" w:lineRule="exact"/>
        <w:rPr>
          <w:iCs/>
          <w:sz w:val="10"/>
          <w:lang w:val="es-ES_tradnl"/>
        </w:rPr>
      </w:pPr>
    </w:p>
    <w:p w14:paraId="1FE7F933" w14:textId="77777777" w:rsidR="00D073E4" w:rsidRPr="007C0DCB" w:rsidRDefault="00D073E4" w:rsidP="005A470A">
      <w:pPr>
        <w:pStyle w:val="SingleTxt"/>
        <w:spacing w:after="0" w:line="120" w:lineRule="exact"/>
        <w:rPr>
          <w:iCs/>
          <w:sz w:val="10"/>
          <w:lang w:val="es-ES_tradnl"/>
        </w:rPr>
      </w:pPr>
    </w:p>
    <w:p w14:paraId="477CDC93" w14:textId="72C78DE7" w:rsidR="00627CAE" w:rsidRPr="00627CAE" w:rsidRDefault="00627CAE" w:rsidP="00A02D7A">
      <w:pPr>
        <w:pStyle w:val="SingleTxt"/>
        <w:numPr>
          <w:ilvl w:val="0"/>
          <w:numId w:val="22"/>
        </w:numPr>
        <w:ind w:left="1267"/>
        <w:rPr>
          <w:lang w:val="es-ES_tradnl"/>
        </w:rPr>
      </w:pPr>
      <w:r w:rsidRPr="00627CAE">
        <w:rPr>
          <w:lang w:val="es-ES_tradnl"/>
        </w:rPr>
        <w:t>El Gobierno publicó en 2021</w:t>
      </w:r>
      <w:r w:rsidRPr="00627CAE">
        <w:rPr>
          <w:vertAlign w:val="superscript"/>
          <w:lang w:val="es-ES_tradnl"/>
        </w:rPr>
        <w:footnoteReference w:id="19"/>
      </w:r>
      <w:r w:rsidRPr="00627CAE">
        <w:rPr>
          <w:lang w:val="es-ES_tradnl"/>
        </w:rPr>
        <w:t xml:space="preserve"> su respuesta al examen realizado por la Comisión de Reforma Legislativa de Australia en 2019 sobre el sistema de derecho de familia, que incluía:</w:t>
      </w:r>
    </w:p>
    <w:p w14:paraId="1C26DE07" w14:textId="0BC3AA07"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Recomendación 9: la Ley de Derecho de Familia (2023) se modificó para ampliar la definición de </w:t>
      </w:r>
      <w:r w:rsidR="00285E6B">
        <w:rPr>
          <w:lang w:val="es-ES_tradnl"/>
        </w:rPr>
        <w:t>“</w:t>
      </w:r>
      <w:r w:rsidR="00627CAE" w:rsidRPr="00627CAE">
        <w:rPr>
          <w:lang w:val="es-ES_tradnl"/>
        </w:rPr>
        <w:t>familia</w:t>
      </w:r>
      <w:r w:rsidR="00285E6B">
        <w:rPr>
          <w:lang w:val="es-ES_tradnl"/>
        </w:rPr>
        <w:t>”</w:t>
      </w:r>
      <w:r w:rsidR="00627CAE" w:rsidRPr="00627CAE">
        <w:rPr>
          <w:lang w:val="es-ES_tradnl"/>
        </w:rPr>
        <w:t xml:space="preserve"> con miras a que sean más inclusivas de la cultura y las tradiciones indígenas, dado que las estructuras familiares o sistemas de parentesco de los Pueblos Indígenas pueden ser más extensos y las responsabilidades de crianza de los hijos pueden ir más allá de los grupos formados por familiares directos;</w:t>
      </w:r>
    </w:p>
    <w:p w14:paraId="1A20783B" w14:textId="44B7F96E"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Recomendación 45: </w:t>
      </w:r>
      <w:r w:rsidR="00285E6B">
        <w:rPr>
          <w:lang w:val="es-ES_tradnl"/>
        </w:rPr>
        <w:t>e</w:t>
      </w:r>
      <w:r w:rsidR="00627CAE" w:rsidRPr="00627CAE">
        <w:rPr>
          <w:lang w:val="es-ES_tradnl"/>
        </w:rPr>
        <w:t xml:space="preserve">l Tribunal Federal de Circuito y de Familia de Australia designó a 12 funcionarios de enlace con las familias indígenas para ayudar a las mujeres y los niños de las Primeras Naciones que fueran usuarios del sistema de los juzgados de familia. </w:t>
      </w:r>
    </w:p>
    <w:p w14:paraId="2B85ABF8" w14:textId="77777777" w:rsidR="005A470A" w:rsidRPr="00195CF4" w:rsidRDefault="005A470A" w:rsidP="00D073E4">
      <w:pPr>
        <w:pStyle w:val="SingleTxt"/>
        <w:spacing w:after="0" w:line="120" w:lineRule="exact"/>
        <w:rPr>
          <w:b/>
          <w:sz w:val="10"/>
          <w:lang w:val="es-ES_tradnl"/>
        </w:rPr>
      </w:pPr>
      <w:bookmarkStart w:id="69" w:name="_Toc174011672"/>
      <w:bookmarkStart w:id="70" w:name="_Toc188598214"/>
      <w:bookmarkStart w:id="71" w:name="_Toc190357111"/>
      <w:bookmarkStart w:id="72" w:name="_Toc190878895"/>
    </w:p>
    <w:p w14:paraId="7223C5AA" w14:textId="77777777" w:rsidR="00D073E4" w:rsidRPr="00195CF4" w:rsidRDefault="00D073E4" w:rsidP="005A470A">
      <w:pPr>
        <w:pStyle w:val="SingleTxt"/>
        <w:spacing w:after="0" w:line="120" w:lineRule="exact"/>
        <w:rPr>
          <w:b/>
          <w:sz w:val="10"/>
          <w:lang w:val="es-ES_tradnl"/>
        </w:rPr>
      </w:pPr>
    </w:p>
    <w:p w14:paraId="6AB1200F" w14:textId="67A47768" w:rsidR="00627CAE" w:rsidRPr="00195CF4" w:rsidRDefault="00627CAE" w:rsidP="00D07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Profesionales jurídicos indígenas</w:t>
      </w:r>
      <w:bookmarkEnd w:id="69"/>
      <w:bookmarkEnd w:id="70"/>
      <w:bookmarkEnd w:id="71"/>
      <w:bookmarkEnd w:id="72"/>
    </w:p>
    <w:p w14:paraId="578AABE3" w14:textId="77777777" w:rsidR="005A470A" w:rsidRPr="007C0DCB" w:rsidRDefault="005A470A" w:rsidP="00D073E4">
      <w:pPr>
        <w:pStyle w:val="SingleTxt"/>
        <w:spacing w:after="0" w:line="120" w:lineRule="exact"/>
        <w:rPr>
          <w:iCs/>
          <w:sz w:val="10"/>
          <w:lang w:val="es-ES_tradnl"/>
        </w:rPr>
      </w:pPr>
    </w:p>
    <w:p w14:paraId="57A58C96" w14:textId="77777777" w:rsidR="00D073E4" w:rsidRPr="007C0DCB" w:rsidRDefault="00D073E4" w:rsidP="005A470A">
      <w:pPr>
        <w:pStyle w:val="SingleTxt"/>
        <w:spacing w:after="0" w:line="120" w:lineRule="exact"/>
        <w:rPr>
          <w:iCs/>
          <w:sz w:val="10"/>
          <w:lang w:val="es-ES_tradnl"/>
        </w:rPr>
      </w:pPr>
    </w:p>
    <w:p w14:paraId="2827DB3C" w14:textId="1FE8B55D" w:rsidR="00627CAE" w:rsidRPr="00627CAE" w:rsidRDefault="00627CAE" w:rsidP="00A02D7A">
      <w:pPr>
        <w:pStyle w:val="SingleTxt"/>
        <w:numPr>
          <w:ilvl w:val="0"/>
          <w:numId w:val="22"/>
        </w:numPr>
        <w:ind w:left="1267"/>
        <w:rPr>
          <w:lang w:val="es-ES_tradnl"/>
        </w:rPr>
      </w:pPr>
      <w:r w:rsidRPr="00627CAE">
        <w:rPr>
          <w:lang w:val="es-ES_tradnl"/>
        </w:rPr>
        <w:t>El Gobierno financia el sector de la asistencia jurídica, incluidos los servicios jurídicos para las personas aborígenes e isleñas del estrecho de Torres, los servicios jurídicos de prevención de la violencia familiar y los órganos representativos de los Pueblos Indígenas, para que presten servicios jurídicos y de otro tipo adaptados culturalmente a estos pueblos, incluidas las mujeres.</w:t>
      </w:r>
    </w:p>
    <w:p w14:paraId="1C1242F9" w14:textId="62D543AE" w:rsidR="00627CAE" w:rsidRPr="00627CAE" w:rsidRDefault="00627CAE" w:rsidP="00A02D7A">
      <w:pPr>
        <w:pStyle w:val="SingleTxt"/>
        <w:numPr>
          <w:ilvl w:val="0"/>
          <w:numId w:val="22"/>
        </w:numPr>
        <w:ind w:left="1267"/>
        <w:rPr>
          <w:lang w:val="es-ES_tradnl"/>
        </w:rPr>
      </w:pPr>
      <w:r w:rsidRPr="00627CAE">
        <w:rPr>
          <w:lang w:val="es-ES_tradnl"/>
        </w:rPr>
        <w:t>En 2022, 749 abogados declararon pertenecer a las Primeras Naciones, lo que representaba el 0,8 % de todos los letrados australianos. En 2022, en consonancia con la distribución por sexos en el sector, un 57 % de los procuradores pertenecientes a las Primeras Naciones eran mujeres frente al 43 % de hombres</w:t>
      </w:r>
      <w:r w:rsidRPr="00627CAE">
        <w:rPr>
          <w:vertAlign w:val="superscript"/>
          <w:lang w:val="es-ES_tradnl"/>
        </w:rPr>
        <w:footnoteReference w:id="20"/>
      </w:r>
      <w:r w:rsidRPr="00627CAE">
        <w:rPr>
          <w:lang w:val="es-ES_tradnl"/>
        </w:rPr>
        <w:t>.</w:t>
      </w:r>
    </w:p>
    <w:p w14:paraId="03A00A73" w14:textId="082AD494" w:rsidR="00627CAE" w:rsidRPr="00627CAE" w:rsidRDefault="00627CAE" w:rsidP="00A02D7A">
      <w:pPr>
        <w:pStyle w:val="SingleTxt"/>
        <w:numPr>
          <w:ilvl w:val="0"/>
          <w:numId w:val="22"/>
        </w:numPr>
        <w:ind w:left="1267"/>
        <w:rPr>
          <w:lang w:val="es-ES_tradnl"/>
        </w:rPr>
      </w:pPr>
      <w:r w:rsidRPr="00627CAE">
        <w:rPr>
          <w:lang w:val="es-ES_tradnl"/>
        </w:rPr>
        <w:t xml:space="preserve">El Gobierno financia una red formada por 14 organismos representativos de titulares nativos y proveedores de servicios de títulos nativos para ayudar a quienes soliciten estos títulos o sean titulares nativos. En virtud de la Ley de Títulos Nativos, los solicitantes de un título de este tipo pueden presentar una solicitud al Tribunal Federal de Australia para obtener el reconocimiento legal de su título nativo. </w:t>
      </w:r>
    </w:p>
    <w:p w14:paraId="57E4D1DA" w14:textId="77777777" w:rsidR="005A470A" w:rsidRPr="00195CF4" w:rsidRDefault="005A470A" w:rsidP="00D073E4">
      <w:pPr>
        <w:pStyle w:val="SingleTxt"/>
        <w:spacing w:after="0" w:line="120" w:lineRule="exact"/>
        <w:rPr>
          <w:b/>
          <w:sz w:val="10"/>
          <w:lang w:val="es-ES_tradnl"/>
        </w:rPr>
      </w:pPr>
      <w:bookmarkStart w:id="73" w:name="_Toc174011673"/>
      <w:bookmarkStart w:id="74" w:name="_Toc190878896"/>
    </w:p>
    <w:p w14:paraId="3214662F" w14:textId="7F4C3C3C" w:rsidR="00D073E4" w:rsidRPr="00195CF4" w:rsidRDefault="00D073E4">
      <w:pPr>
        <w:suppressAutoHyphens w:val="0"/>
        <w:spacing w:after="160" w:line="259" w:lineRule="auto"/>
        <w:rPr>
          <w:b/>
          <w:kern w:val="14"/>
          <w:sz w:val="10"/>
          <w:lang w:val="es-ES_tradnl"/>
        </w:rPr>
      </w:pPr>
      <w:r w:rsidRPr="00195CF4">
        <w:rPr>
          <w:b/>
          <w:sz w:val="10"/>
          <w:lang w:val="es-ES_tradnl"/>
        </w:rPr>
        <w:br w:type="page"/>
      </w:r>
    </w:p>
    <w:p w14:paraId="2DBD95E6" w14:textId="6E29E28B" w:rsidR="00627CAE" w:rsidRPr="00195CF4" w:rsidRDefault="00627CAE" w:rsidP="00D073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lastRenderedPageBreak/>
        <w:tab/>
      </w:r>
      <w:r w:rsidRPr="00195CF4">
        <w:rPr>
          <w:lang w:val="es-ES_tradnl"/>
        </w:rPr>
        <w:tab/>
        <w:t xml:space="preserve">Pregunta 6: Institución nacional de derechos humanos </w:t>
      </w:r>
      <w:bookmarkEnd w:id="73"/>
      <w:bookmarkEnd w:id="74"/>
    </w:p>
    <w:p w14:paraId="6CA8CAB6" w14:textId="77777777" w:rsidR="005A470A" w:rsidRPr="007C0DCB" w:rsidRDefault="005A470A" w:rsidP="00D073E4">
      <w:pPr>
        <w:pStyle w:val="SingleTxt"/>
        <w:spacing w:after="0" w:line="120" w:lineRule="exact"/>
        <w:rPr>
          <w:iCs/>
          <w:sz w:val="10"/>
          <w:lang w:val="es-ES_tradnl"/>
        </w:rPr>
      </w:pPr>
    </w:p>
    <w:p w14:paraId="56B52B55" w14:textId="77777777" w:rsidR="00D073E4" w:rsidRPr="007C0DCB" w:rsidRDefault="00D073E4" w:rsidP="005A470A">
      <w:pPr>
        <w:pStyle w:val="SingleTxt"/>
        <w:spacing w:after="0" w:line="120" w:lineRule="exact"/>
        <w:rPr>
          <w:iCs/>
          <w:sz w:val="10"/>
          <w:lang w:val="es-ES_tradnl"/>
        </w:rPr>
      </w:pPr>
    </w:p>
    <w:p w14:paraId="5D2C7444" w14:textId="4BD90BA7" w:rsidR="00627CAE" w:rsidRPr="00627CAE" w:rsidRDefault="00627CAE" w:rsidP="00A02D7A">
      <w:pPr>
        <w:pStyle w:val="SingleTxt"/>
        <w:numPr>
          <w:ilvl w:val="0"/>
          <w:numId w:val="22"/>
        </w:numPr>
        <w:ind w:left="1267"/>
        <w:rPr>
          <w:lang w:val="es-ES_tradnl"/>
        </w:rPr>
      </w:pPr>
      <w:r w:rsidRPr="00627CAE">
        <w:rPr>
          <w:lang w:val="es-ES_tradnl"/>
        </w:rPr>
        <w:t xml:space="preserve">El Gobierno apoya la labor de la Comisión Australiana de Derechos Humanos como institución nacional de derechos humanos (INDH) independiente del país. </w:t>
      </w:r>
    </w:p>
    <w:p w14:paraId="0D753B22" w14:textId="00A4B2A7" w:rsidR="00627CAE" w:rsidRPr="00627CAE" w:rsidRDefault="00627CAE" w:rsidP="00A02D7A">
      <w:pPr>
        <w:pStyle w:val="SingleTxt"/>
        <w:numPr>
          <w:ilvl w:val="0"/>
          <w:numId w:val="22"/>
        </w:numPr>
        <w:ind w:left="1267"/>
        <w:rPr>
          <w:lang w:val="es-ES_tradnl"/>
        </w:rPr>
      </w:pPr>
      <w:r w:rsidRPr="00627CAE">
        <w:rPr>
          <w:lang w:val="es-ES_tradnl"/>
        </w:rPr>
        <w:t>En respuesta a las recomendaciones formuladas en 2022 por el subcomité de acreditación de la Global Alliance of National Human Rights Institutions, el Gobierno aprobó varias enmiendas legislativas, elaboró distintas políticas y directrices, y aumentó la financiación destinada a la Comisión Australiana de Derechos Humanos.</w:t>
      </w:r>
    </w:p>
    <w:p w14:paraId="656A4670" w14:textId="42DC1AB3"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En consonancia con los Principios de París, la Ley de Enmienda de la Ley sobre la Comisión Australiana de Derechos Humanos de 2022 (Selección y Designación) (Commonwealth) (en vigor desde el 10 de noviembre de 2022) exige que se nombre a los miembros de la Comisión mediante un proceso de selección público y basado en los méritos. </w:t>
      </w:r>
    </w:p>
    <w:p w14:paraId="391D34A5" w14:textId="3AF9FEEA"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Con arreglo a las enmiendas legislativas y para volver a acreditar a la Comisión Australiana de Derechos Humanos como INDH de categoría </w:t>
      </w:r>
      <w:r w:rsidR="00285E6B">
        <w:rPr>
          <w:lang w:val="es-ES_tradnl"/>
        </w:rPr>
        <w:t>“</w:t>
      </w:r>
      <w:r w:rsidR="00627CAE" w:rsidRPr="00627CAE">
        <w:rPr>
          <w:lang w:val="es-ES_tradnl"/>
        </w:rPr>
        <w:t>A</w:t>
      </w:r>
      <w:r w:rsidR="00285E6B">
        <w:rPr>
          <w:lang w:val="es-ES_tradnl"/>
        </w:rPr>
        <w:t>”</w:t>
      </w:r>
      <w:r w:rsidR="00627CAE" w:rsidRPr="00627CAE">
        <w:rPr>
          <w:lang w:val="es-ES_tradnl"/>
        </w:rPr>
        <w:t xml:space="preserve"> (noviembre de 2023), la Fiscalía General elaboró una política y unas directrices para nombrar a los miembros de la Comisión en consulta con esta.</w:t>
      </w:r>
    </w:p>
    <w:p w14:paraId="30795E62" w14:textId="52625D26"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A partir de 2022, el Gobierno destinó 49,8 millones de dólares durante cuatro años a la Comisión Australiana de Derechos Humanos para cumplir las recomendaciones del Informe Respect@Work, aplicar una estrategia nacional contra el racismo, diseñar un marco contra el racismo y ampliar la campaña </w:t>
      </w:r>
      <w:r w:rsidR="00285E6B">
        <w:rPr>
          <w:lang w:val="es-ES_tradnl"/>
        </w:rPr>
        <w:t>“</w:t>
      </w:r>
      <w:r w:rsidR="00627CAE" w:rsidRPr="00627CAE">
        <w:rPr>
          <w:lang w:val="es-ES_tradnl"/>
        </w:rPr>
        <w:t>El racismo lo paro yo</w:t>
      </w:r>
      <w:r w:rsidR="00285E6B">
        <w:rPr>
          <w:lang w:val="es-ES_tradnl"/>
        </w:rPr>
        <w:t>”</w:t>
      </w:r>
      <w:r w:rsidR="00627CAE" w:rsidRPr="00627CAE">
        <w:rPr>
          <w:lang w:val="es-ES_tradnl"/>
        </w:rPr>
        <w:t xml:space="preserve"> (</w:t>
      </w:r>
      <w:r w:rsidR="00627CAE" w:rsidRPr="00627CAE">
        <w:rPr>
          <w:i/>
          <w:iCs/>
          <w:lang w:val="es-ES_tradnl"/>
        </w:rPr>
        <w:t>Racism. It Stops with Me</w:t>
      </w:r>
      <w:r w:rsidR="00627CAE" w:rsidRPr="00627CAE">
        <w:rPr>
          <w:lang w:val="es-ES_tradnl"/>
        </w:rPr>
        <w:t>).</w:t>
      </w:r>
    </w:p>
    <w:p w14:paraId="3B26912C" w14:textId="40832445"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La partida anual destinada por el Gobierno a la Comisión en 2024-25 asciende a 32,1 millones de dólares.</w:t>
      </w:r>
    </w:p>
    <w:p w14:paraId="519C07F8" w14:textId="1063BAAF" w:rsidR="00627CAE" w:rsidRPr="00627CAE" w:rsidRDefault="00627CAE" w:rsidP="00A02D7A">
      <w:pPr>
        <w:pStyle w:val="SingleTxt"/>
        <w:numPr>
          <w:ilvl w:val="0"/>
          <w:numId w:val="22"/>
        </w:numPr>
        <w:ind w:left="1267"/>
        <w:rPr>
          <w:lang w:val="es-ES_tradnl"/>
        </w:rPr>
      </w:pPr>
      <w:r w:rsidRPr="00627CAE">
        <w:rPr>
          <w:lang w:val="es-ES_tradnl"/>
        </w:rPr>
        <w:t>Después de llevar a cabo un proceso de selección basado en los méritos, se nombró a la Dra. Anna Cody en julio de 2023 para desempeñar el cargo de Comisionada sobre la Discriminación Sexual en Australia por un mandato de cinco años. La anterior Comisionada, Kate Jenkins, finalizó su mandato de siete años en abril de 2023.</w:t>
      </w:r>
    </w:p>
    <w:p w14:paraId="03816D17" w14:textId="77777777" w:rsidR="005A470A" w:rsidRPr="00195CF4" w:rsidRDefault="005A470A" w:rsidP="00D073E4">
      <w:pPr>
        <w:pStyle w:val="SingleTxt"/>
        <w:spacing w:after="0" w:line="120" w:lineRule="exact"/>
        <w:rPr>
          <w:b/>
          <w:sz w:val="10"/>
          <w:lang w:val="es-ES_tradnl"/>
        </w:rPr>
      </w:pPr>
      <w:bookmarkStart w:id="75" w:name="_Toc174011674"/>
      <w:bookmarkStart w:id="76" w:name="_Toc190878897"/>
    </w:p>
    <w:p w14:paraId="623C29B4" w14:textId="77777777" w:rsidR="00D073E4" w:rsidRPr="00195CF4" w:rsidRDefault="00D073E4" w:rsidP="005A470A">
      <w:pPr>
        <w:pStyle w:val="SingleTxt"/>
        <w:spacing w:after="0" w:line="120" w:lineRule="exact"/>
        <w:rPr>
          <w:b/>
          <w:sz w:val="10"/>
          <w:lang w:val="es-ES_tradnl"/>
        </w:rPr>
      </w:pPr>
    </w:p>
    <w:p w14:paraId="69EA9DC4" w14:textId="5CFD7BC0" w:rsidR="00627CAE" w:rsidRPr="00195CF4" w:rsidRDefault="00627CAE" w:rsidP="00D073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 xml:space="preserve">Pregunta 7: Medidas especiales de carácter temporal </w:t>
      </w:r>
      <w:bookmarkEnd w:id="75"/>
      <w:bookmarkEnd w:id="76"/>
    </w:p>
    <w:p w14:paraId="31AF7424" w14:textId="77777777" w:rsidR="005A470A" w:rsidRPr="007C0DCB" w:rsidRDefault="005A470A" w:rsidP="00D073E4">
      <w:pPr>
        <w:pStyle w:val="SingleTxt"/>
        <w:spacing w:after="0" w:line="120" w:lineRule="exact"/>
        <w:rPr>
          <w:iCs/>
          <w:sz w:val="10"/>
          <w:lang w:val="es-ES_tradnl"/>
        </w:rPr>
      </w:pPr>
    </w:p>
    <w:p w14:paraId="7B18AD32" w14:textId="77777777" w:rsidR="00D073E4" w:rsidRPr="007C0DCB" w:rsidRDefault="00D073E4" w:rsidP="005A470A">
      <w:pPr>
        <w:pStyle w:val="SingleTxt"/>
        <w:spacing w:after="0" w:line="120" w:lineRule="exact"/>
        <w:rPr>
          <w:iCs/>
          <w:sz w:val="10"/>
          <w:lang w:val="es-ES_tradnl"/>
        </w:rPr>
      </w:pPr>
    </w:p>
    <w:p w14:paraId="68B35EE3" w14:textId="6C4FC4D4" w:rsidR="00627CAE" w:rsidRPr="00627CAE" w:rsidRDefault="00627CAE" w:rsidP="00A02D7A">
      <w:pPr>
        <w:pStyle w:val="SingleTxt"/>
        <w:numPr>
          <w:ilvl w:val="0"/>
          <w:numId w:val="22"/>
        </w:numPr>
        <w:ind w:left="1267"/>
        <w:rPr>
          <w:lang w:val="es-ES_tradnl"/>
        </w:rPr>
      </w:pPr>
      <w:r w:rsidRPr="00627CAE">
        <w:rPr>
          <w:lang w:val="es-ES_tradnl"/>
        </w:rPr>
        <w:t>Según la Ley sobre Discriminación Sexual, una persona no discrimina a otra por tomar una medida destinada a lograr una igualdad sustantiva. La Ley prevé la acción afirmativa, es decir, permite que una persona adopte medidas especiales para lograr la igualdad sustantiva entre hombres y mujeres. Se pueden tomar medidas especiales interseccionales siempre que estas cumplan los requisitos legislativos de la ley pertinente. Del mismo modo, la Ley de Lucha contra la Discriminación Racial permite adoptar medidas especiales para promover los derechos humanos de determinados grupos raciales o étnicos.</w:t>
      </w:r>
    </w:p>
    <w:p w14:paraId="444C1FE1" w14:textId="6992B4E8" w:rsidR="00627CAE" w:rsidRPr="00627CAE" w:rsidRDefault="00627CAE" w:rsidP="00A02D7A">
      <w:pPr>
        <w:pStyle w:val="SingleTxt"/>
        <w:numPr>
          <w:ilvl w:val="0"/>
          <w:numId w:val="22"/>
        </w:numPr>
        <w:ind w:left="1267"/>
        <w:rPr>
          <w:lang w:val="es-ES_tradnl"/>
        </w:rPr>
      </w:pPr>
      <w:r w:rsidRPr="00627CAE">
        <w:rPr>
          <w:lang w:val="es-ES_tradnl"/>
        </w:rPr>
        <w:t>En virtud de la Ley sobre Discriminación Sexual, la Comisión Australiana de Derechos Humanos está facultada para conceder exenciones con carácter temporal respecto del cumplimiento de determinadas disposiciones de la Ley que puedan constituir una forma de discriminación ilegal</w:t>
      </w:r>
      <w:r w:rsidRPr="00627CAE">
        <w:rPr>
          <w:vertAlign w:val="superscript"/>
          <w:lang w:val="es-ES_tradnl"/>
        </w:rPr>
        <w:footnoteReference w:id="21"/>
      </w:r>
      <w:r w:rsidRPr="00627CAE">
        <w:rPr>
          <w:lang w:val="es-ES_tradnl"/>
        </w:rPr>
        <w:t>.</w:t>
      </w:r>
    </w:p>
    <w:p w14:paraId="0C8629B2" w14:textId="7CB94142" w:rsidR="00D073E4" w:rsidRPr="00195CF4" w:rsidRDefault="00D073E4">
      <w:pPr>
        <w:suppressAutoHyphens w:val="0"/>
        <w:spacing w:after="160" w:line="259" w:lineRule="auto"/>
        <w:rPr>
          <w:b/>
          <w:kern w:val="14"/>
          <w:sz w:val="10"/>
          <w:lang w:val="es-ES_tradnl"/>
        </w:rPr>
      </w:pPr>
      <w:bookmarkStart w:id="77" w:name="_Toc174011676"/>
      <w:bookmarkStart w:id="78" w:name="_Toc188598217"/>
      <w:bookmarkStart w:id="79" w:name="_Toc190357114"/>
      <w:bookmarkStart w:id="80" w:name="_Toc190878898"/>
      <w:r w:rsidRPr="00195CF4">
        <w:rPr>
          <w:b/>
          <w:sz w:val="10"/>
          <w:lang w:val="es-ES_tradnl"/>
        </w:rPr>
        <w:br w:type="page"/>
      </w:r>
    </w:p>
    <w:p w14:paraId="376FC66B" w14:textId="583DEF1F" w:rsidR="00627CAE" w:rsidRPr="00195CF4" w:rsidRDefault="00627CAE" w:rsidP="00D07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lastRenderedPageBreak/>
        <w:tab/>
      </w:r>
      <w:r w:rsidRPr="00195CF4">
        <w:rPr>
          <w:lang w:val="es-ES_tradnl"/>
        </w:rPr>
        <w:tab/>
        <w:t xml:space="preserve">Una </w:t>
      </w:r>
      <w:r w:rsidR="007C0DCB" w:rsidRPr="00195CF4">
        <w:rPr>
          <w:lang w:val="es-ES_tradnl"/>
        </w:rPr>
        <w:t>contratación</w:t>
      </w:r>
      <w:r w:rsidRPr="00195CF4">
        <w:rPr>
          <w:lang w:val="es-ES_tradnl"/>
        </w:rPr>
        <w:t xml:space="preserve"> pública que responda a las cuestiones de género </w:t>
      </w:r>
      <w:bookmarkEnd w:id="77"/>
      <w:bookmarkEnd w:id="78"/>
      <w:bookmarkEnd w:id="79"/>
      <w:bookmarkEnd w:id="80"/>
    </w:p>
    <w:p w14:paraId="5BD33E0F" w14:textId="77777777" w:rsidR="005A470A" w:rsidRPr="007C0DCB" w:rsidRDefault="005A470A" w:rsidP="00D073E4">
      <w:pPr>
        <w:pStyle w:val="SingleTxt"/>
        <w:spacing w:after="0" w:line="120" w:lineRule="exact"/>
        <w:rPr>
          <w:iCs/>
          <w:sz w:val="10"/>
          <w:lang w:val="es-ES_tradnl"/>
        </w:rPr>
      </w:pPr>
    </w:p>
    <w:p w14:paraId="4882658F" w14:textId="77777777" w:rsidR="00D073E4" w:rsidRPr="007C0DCB" w:rsidRDefault="00D073E4" w:rsidP="005A470A">
      <w:pPr>
        <w:pStyle w:val="SingleTxt"/>
        <w:spacing w:after="0" w:line="120" w:lineRule="exact"/>
        <w:rPr>
          <w:iCs/>
          <w:sz w:val="10"/>
          <w:lang w:val="es-ES_tradnl"/>
        </w:rPr>
      </w:pPr>
    </w:p>
    <w:p w14:paraId="561BBBE1" w14:textId="321A88CD" w:rsidR="00627CAE" w:rsidRPr="00627CAE" w:rsidRDefault="00627CAE" w:rsidP="00A02D7A">
      <w:pPr>
        <w:pStyle w:val="SingleTxt"/>
        <w:numPr>
          <w:ilvl w:val="0"/>
          <w:numId w:val="22"/>
        </w:numPr>
        <w:ind w:left="1267"/>
        <w:rPr>
          <w:lang w:val="es-ES_tradnl"/>
        </w:rPr>
      </w:pPr>
      <w:r w:rsidRPr="00627CAE">
        <w:rPr>
          <w:lang w:val="es-ES_tradnl"/>
        </w:rPr>
        <w:t>Según los Principios de Contratación para la Igualdad de Género en el Lugar de Trabajo, las empresas con 100 trabajadores o más deberán cumplir lo dispuesto en la Ley de Igualdad de Género en el Trabajo para poder optar a contratos públicos. Las empresas deben cumplir las normas en materia de igualdad de género, informar a la Agencia de Igualdad de Género en el Lugar de Trabajo sobre sus resultados respecto de los indicadores de igualdad de género, y comunicar estos resultados a empleados, accionistas y órganos rectores.</w:t>
      </w:r>
    </w:p>
    <w:p w14:paraId="5657266C" w14:textId="77777777" w:rsidR="005A470A" w:rsidRPr="00195CF4" w:rsidRDefault="005A470A" w:rsidP="00D073E4">
      <w:pPr>
        <w:pStyle w:val="SingleTxt"/>
        <w:spacing w:after="0" w:line="120" w:lineRule="exact"/>
        <w:rPr>
          <w:b/>
          <w:sz w:val="10"/>
          <w:lang w:val="es-ES_tradnl"/>
        </w:rPr>
      </w:pPr>
      <w:bookmarkStart w:id="81" w:name="_Toc174011677"/>
      <w:bookmarkStart w:id="82" w:name="_Toc190878899"/>
    </w:p>
    <w:p w14:paraId="1C93BE1E" w14:textId="77777777" w:rsidR="00D073E4" w:rsidRPr="00195CF4" w:rsidRDefault="00D073E4" w:rsidP="005A470A">
      <w:pPr>
        <w:pStyle w:val="SingleTxt"/>
        <w:spacing w:after="0" w:line="120" w:lineRule="exact"/>
        <w:rPr>
          <w:b/>
          <w:sz w:val="10"/>
          <w:lang w:val="es-ES_tradnl"/>
        </w:rPr>
      </w:pPr>
    </w:p>
    <w:p w14:paraId="01038BBF" w14:textId="3EFEF704" w:rsidR="00627CAE" w:rsidRPr="00195CF4" w:rsidRDefault="00627CAE" w:rsidP="00D073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Pregunta 8: Estereotipos y prácticas nocivas</w:t>
      </w:r>
      <w:bookmarkEnd w:id="81"/>
      <w:bookmarkEnd w:id="82"/>
    </w:p>
    <w:p w14:paraId="53731E9D" w14:textId="77777777" w:rsidR="005A470A" w:rsidRPr="00195CF4" w:rsidRDefault="005A470A" w:rsidP="00D073E4">
      <w:pPr>
        <w:pStyle w:val="SingleTxt"/>
        <w:spacing w:after="0" w:line="120" w:lineRule="exact"/>
        <w:rPr>
          <w:b/>
          <w:sz w:val="10"/>
          <w:lang w:val="es-ES_tradnl"/>
        </w:rPr>
      </w:pPr>
      <w:bookmarkStart w:id="83" w:name="_Toc174011678"/>
      <w:bookmarkStart w:id="84" w:name="_Toc188598219"/>
      <w:bookmarkStart w:id="85" w:name="_Toc190357116"/>
      <w:bookmarkStart w:id="86" w:name="_Toc190878900"/>
    </w:p>
    <w:p w14:paraId="55714E68" w14:textId="77777777" w:rsidR="00D073E4" w:rsidRPr="00195CF4" w:rsidRDefault="00D073E4" w:rsidP="005A470A">
      <w:pPr>
        <w:pStyle w:val="SingleTxt"/>
        <w:spacing w:after="0" w:line="120" w:lineRule="exact"/>
        <w:rPr>
          <w:b/>
          <w:sz w:val="10"/>
          <w:lang w:val="es-ES_tradnl"/>
        </w:rPr>
      </w:pPr>
    </w:p>
    <w:p w14:paraId="0014CC2C" w14:textId="53F75B37" w:rsidR="00627CAE" w:rsidRPr="00195CF4" w:rsidRDefault="00627CAE" w:rsidP="00D07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Superar los estereotipos discriminatorios</w:t>
      </w:r>
      <w:bookmarkEnd w:id="83"/>
      <w:bookmarkEnd w:id="84"/>
      <w:bookmarkEnd w:id="85"/>
      <w:bookmarkEnd w:id="86"/>
    </w:p>
    <w:p w14:paraId="7C571C36" w14:textId="77777777" w:rsidR="005A470A" w:rsidRPr="007C0DCB" w:rsidRDefault="005A470A" w:rsidP="00D073E4">
      <w:pPr>
        <w:pStyle w:val="SingleTxt"/>
        <w:spacing w:after="0" w:line="120" w:lineRule="exact"/>
        <w:rPr>
          <w:iCs/>
          <w:sz w:val="10"/>
          <w:lang w:val="es-ES_tradnl"/>
        </w:rPr>
      </w:pPr>
    </w:p>
    <w:p w14:paraId="68A9DE71" w14:textId="77777777" w:rsidR="00D073E4" w:rsidRPr="007C0DCB" w:rsidRDefault="00D073E4" w:rsidP="005A470A">
      <w:pPr>
        <w:pStyle w:val="SingleTxt"/>
        <w:spacing w:after="0" w:line="120" w:lineRule="exact"/>
        <w:rPr>
          <w:iCs/>
          <w:sz w:val="10"/>
          <w:lang w:val="es-ES_tradnl"/>
        </w:rPr>
      </w:pPr>
    </w:p>
    <w:p w14:paraId="38E966CA" w14:textId="6BDBEA71" w:rsidR="00627CAE" w:rsidRPr="00627CAE" w:rsidRDefault="00627CAE" w:rsidP="00A02D7A">
      <w:pPr>
        <w:pStyle w:val="SingleTxt"/>
        <w:numPr>
          <w:ilvl w:val="0"/>
          <w:numId w:val="22"/>
        </w:numPr>
        <w:ind w:left="1267"/>
        <w:rPr>
          <w:lang w:val="es-ES_tradnl"/>
        </w:rPr>
      </w:pPr>
      <w:r w:rsidRPr="00627CAE">
        <w:rPr>
          <w:lang w:val="es-ES_tradnl"/>
        </w:rPr>
        <w:t xml:space="preserve">La estrategia </w:t>
      </w:r>
      <w:r w:rsidR="00285E6B">
        <w:rPr>
          <w:lang w:val="es-ES_tradnl"/>
        </w:rPr>
        <w:t>“</w:t>
      </w:r>
      <w:r w:rsidRPr="00627CAE">
        <w:rPr>
          <w:lang w:val="es-ES_tradnl"/>
        </w:rPr>
        <w:t>Trabajar en favor de la Mujer</w:t>
      </w:r>
      <w:r w:rsidR="00285E6B">
        <w:rPr>
          <w:lang w:val="es-ES_tradnl"/>
        </w:rPr>
        <w:t>”</w:t>
      </w:r>
      <w:r w:rsidRPr="00627CAE">
        <w:rPr>
          <w:lang w:val="es-ES_tradnl"/>
        </w:rPr>
        <w:t xml:space="preserve"> responde a la necesidad de cambiar las actitudes y los estereotipos de género (también respecto de las mujeres que pertenecen a las Primeras Naciones, las de orígenes culturales y lingüísticos diversos, las mujeres mayores, las que tienen alguna discapacidad y las que se identifican como miembros de la comunidad LGBTIQA+), y se complementa con los compromisos asumidos por las administraciones de los estados y los territorios para combatir los estereotipos de género nocivos. </w:t>
      </w:r>
    </w:p>
    <w:p w14:paraId="6D191833" w14:textId="6802B012" w:rsidR="00627CAE" w:rsidRPr="00627CAE" w:rsidRDefault="00627CAE" w:rsidP="00A02D7A">
      <w:pPr>
        <w:pStyle w:val="SingleTxt"/>
        <w:numPr>
          <w:ilvl w:val="0"/>
          <w:numId w:val="22"/>
        </w:numPr>
        <w:ind w:left="1267"/>
        <w:rPr>
          <w:lang w:val="es-ES_tradnl"/>
        </w:rPr>
      </w:pPr>
      <w:r w:rsidRPr="00627CAE">
        <w:rPr>
          <w:lang w:val="es-ES_tradnl"/>
        </w:rPr>
        <w:t xml:space="preserve">El Gobierno está impulsando un cambio de las normas de género, también en el marco del Plan Nacional; el régimen de licencia parental retribuida; la reducción de la segregación por motivos de género en sectores y lugares de trabajo; la recopilación de datos sobre las opiniones de la sociedad acerca de mujeres y niñas; la igualdad demostrada en los altos cargos del Gobierno y la función pública; la reforma para aumentar la representación de las mujeres en los medios de comunicación y la publicidad. </w:t>
      </w:r>
    </w:p>
    <w:p w14:paraId="76C254C9" w14:textId="71399FA4" w:rsidR="00627CAE" w:rsidRPr="00627CAE" w:rsidRDefault="00627CAE" w:rsidP="00A02D7A">
      <w:pPr>
        <w:pStyle w:val="SingleTxt"/>
        <w:numPr>
          <w:ilvl w:val="0"/>
          <w:numId w:val="22"/>
        </w:numPr>
        <w:ind w:left="1267"/>
        <w:rPr>
          <w:lang w:val="es-ES_tradnl"/>
        </w:rPr>
      </w:pPr>
      <w:r w:rsidRPr="00627CAE">
        <w:rPr>
          <w:lang w:val="es-ES_tradnl"/>
        </w:rPr>
        <w:t>Para reducir la violencia de género y promover relaciones más respetuosas entre los jóvenes, el Gobierno se servirá de su ensayo y evaluación de la masculinidad saludable para estudiar actividades que permitan fomentar expresiones saludables de la masculinidad entre los niños en edad escolar y los hombres jóvenes.</w:t>
      </w:r>
    </w:p>
    <w:p w14:paraId="1DC84275" w14:textId="77777777" w:rsidR="005A470A" w:rsidRPr="00195CF4" w:rsidRDefault="005A470A" w:rsidP="00D073E4">
      <w:pPr>
        <w:pStyle w:val="SingleTxt"/>
        <w:spacing w:after="0" w:line="120" w:lineRule="exact"/>
        <w:rPr>
          <w:b/>
          <w:sz w:val="10"/>
          <w:lang w:val="es-ES_tradnl"/>
        </w:rPr>
      </w:pPr>
      <w:bookmarkStart w:id="87" w:name="_Toc174011679"/>
      <w:bookmarkStart w:id="88" w:name="_Toc188598220"/>
      <w:bookmarkStart w:id="89" w:name="_Toc190357117"/>
      <w:bookmarkStart w:id="90" w:name="_Toc190878901"/>
    </w:p>
    <w:p w14:paraId="1EB5B04A" w14:textId="77777777" w:rsidR="00D073E4" w:rsidRPr="00195CF4" w:rsidRDefault="00D073E4" w:rsidP="005A470A">
      <w:pPr>
        <w:pStyle w:val="SingleTxt"/>
        <w:spacing w:after="0" w:line="120" w:lineRule="exact"/>
        <w:rPr>
          <w:b/>
          <w:sz w:val="10"/>
          <w:lang w:val="es-ES_tradnl"/>
        </w:rPr>
      </w:pPr>
    </w:p>
    <w:p w14:paraId="183B9164" w14:textId="0C74DB15" w:rsidR="00627CAE" w:rsidRPr="00195CF4" w:rsidRDefault="00627CAE" w:rsidP="00D07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Representaciones sexistas de las mujeres en los medios de</w:t>
      </w:r>
      <w:r w:rsidR="00D073E4" w:rsidRPr="00195CF4">
        <w:rPr>
          <w:lang w:val="es-ES_tradnl"/>
        </w:rPr>
        <w:t> </w:t>
      </w:r>
      <w:r w:rsidRPr="00195CF4">
        <w:rPr>
          <w:lang w:val="es-ES_tradnl"/>
        </w:rPr>
        <w:t>comunicación y</w:t>
      </w:r>
      <w:r w:rsidR="005A470A" w:rsidRPr="00195CF4">
        <w:rPr>
          <w:lang w:val="es-ES_tradnl"/>
        </w:rPr>
        <w:t> </w:t>
      </w:r>
      <w:r w:rsidRPr="00195CF4">
        <w:rPr>
          <w:lang w:val="es-ES_tradnl"/>
        </w:rPr>
        <w:t>ciberabusos</w:t>
      </w:r>
      <w:bookmarkEnd w:id="87"/>
      <w:bookmarkEnd w:id="88"/>
      <w:bookmarkEnd w:id="89"/>
      <w:bookmarkEnd w:id="90"/>
    </w:p>
    <w:p w14:paraId="42B36BC8" w14:textId="77777777" w:rsidR="005A470A" w:rsidRPr="007C0DCB" w:rsidRDefault="005A470A" w:rsidP="00D073E4">
      <w:pPr>
        <w:pStyle w:val="SingleTxt"/>
        <w:spacing w:after="0" w:line="120" w:lineRule="exact"/>
        <w:rPr>
          <w:iCs/>
          <w:sz w:val="10"/>
          <w:lang w:val="es-ES_tradnl"/>
        </w:rPr>
      </w:pPr>
    </w:p>
    <w:p w14:paraId="70B37999" w14:textId="77777777" w:rsidR="00D073E4" w:rsidRPr="007C0DCB" w:rsidRDefault="00D073E4" w:rsidP="005A470A">
      <w:pPr>
        <w:pStyle w:val="SingleTxt"/>
        <w:spacing w:after="0" w:line="120" w:lineRule="exact"/>
        <w:rPr>
          <w:iCs/>
          <w:sz w:val="10"/>
          <w:lang w:val="es-ES_tradnl"/>
        </w:rPr>
      </w:pPr>
    </w:p>
    <w:p w14:paraId="4045723C" w14:textId="051276B0" w:rsidR="00627CAE" w:rsidRPr="00627CAE" w:rsidRDefault="00627CAE" w:rsidP="00A02D7A">
      <w:pPr>
        <w:pStyle w:val="SingleTxt"/>
        <w:numPr>
          <w:ilvl w:val="0"/>
          <w:numId w:val="22"/>
        </w:numPr>
        <w:ind w:left="1267"/>
        <w:rPr>
          <w:lang w:val="es-ES_tradnl"/>
        </w:rPr>
      </w:pPr>
      <w:r w:rsidRPr="00627CAE">
        <w:rPr>
          <w:lang w:val="es-ES_tradnl"/>
        </w:rPr>
        <w:t>En respuesta al Informe Respect@Work, el Gobierno destinó tres millones de dólares a Our Watch</w:t>
      </w:r>
      <w:r w:rsidRPr="00627CAE">
        <w:rPr>
          <w:vertAlign w:val="superscript"/>
          <w:lang w:val="es-ES_tradnl"/>
        </w:rPr>
        <w:footnoteReference w:id="22"/>
      </w:r>
      <w:r w:rsidRPr="00627CAE">
        <w:rPr>
          <w:lang w:val="es-ES_tradnl"/>
        </w:rPr>
        <w:t xml:space="preserve"> para poner en marcha el Programa Nacional de Colaboración con los Medios de Comunicación, que promueve un periodismo ético a la hora de informar sobre la violencia contra las mujeres y proporciona directrices y capacitación complementaria a los periodistas. Our Watch imparte capacitación relacionada con la prevención primaria en centros de trabajo, medios de comunicación, instituciones educativas, el sector deportivo y las administraciones públicas. Our Watch informó en 2024 de que las actitudes de los australianos respecto </w:t>
      </w:r>
      <w:r w:rsidRPr="00627CAE">
        <w:rPr>
          <w:lang w:val="es-ES_tradnl"/>
        </w:rPr>
        <w:lastRenderedPageBreak/>
        <w:t>de la violencia contra las mujeres y la desigualdad de género han mejorado desde</w:t>
      </w:r>
      <w:r w:rsidR="00285E6B">
        <w:rPr>
          <w:lang w:val="es-ES_tradnl"/>
        </w:rPr>
        <w:t> </w:t>
      </w:r>
      <w:r w:rsidRPr="00627CAE">
        <w:rPr>
          <w:lang w:val="es-ES_tradnl"/>
        </w:rPr>
        <w:t>2013</w:t>
      </w:r>
      <w:r w:rsidRPr="00627CAE">
        <w:rPr>
          <w:vertAlign w:val="superscript"/>
          <w:lang w:val="es-ES_tradnl"/>
        </w:rPr>
        <w:footnoteReference w:id="23"/>
      </w:r>
      <w:r w:rsidRPr="00627CAE">
        <w:rPr>
          <w:lang w:val="es-ES_tradnl"/>
        </w:rPr>
        <w:t>.</w:t>
      </w:r>
    </w:p>
    <w:p w14:paraId="433C3785" w14:textId="3BB4849A" w:rsidR="00627CAE" w:rsidRPr="00627CAE" w:rsidRDefault="00627CAE" w:rsidP="00A02D7A">
      <w:pPr>
        <w:pStyle w:val="SingleTxt"/>
        <w:numPr>
          <w:ilvl w:val="0"/>
          <w:numId w:val="22"/>
        </w:numPr>
        <w:ind w:left="1267"/>
        <w:rPr>
          <w:lang w:val="es-ES_tradnl"/>
        </w:rPr>
      </w:pPr>
      <w:r w:rsidRPr="00627CAE">
        <w:rPr>
          <w:lang w:val="es-ES_tradnl"/>
        </w:rPr>
        <w:t xml:space="preserve">Las mujeres y las niñas son más susceptibles de ser víctimas de ciberabusos, y una de cada tres mujeres sufre este tipo de abusos en el trabajo. Australia aprobó la Ley de Seguridad en Línea de 2021 (Commonwealth), en virtud de la cual el Comisionado de Seguridad Electrónica de Australia puede solicitar o exigir a las empresas de medios sociales y otras plataformas y servicios en línea que acaben con los ciberabusos más graves, los abusos que se cometen utilizando imágenes, el ciberacoso y los contenidos dañinos dirigidos a adultos y niños. </w:t>
      </w:r>
    </w:p>
    <w:p w14:paraId="782ACD58" w14:textId="2BD79683" w:rsidR="00627CAE" w:rsidRPr="00627CAE" w:rsidRDefault="00627CAE" w:rsidP="00A02D7A">
      <w:pPr>
        <w:pStyle w:val="SingleTxt"/>
        <w:numPr>
          <w:ilvl w:val="0"/>
          <w:numId w:val="22"/>
        </w:numPr>
        <w:ind w:left="1267"/>
        <w:rPr>
          <w:lang w:val="es-ES_tradnl"/>
        </w:rPr>
      </w:pPr>
      <w:r w:rsidRPr="00627CAE">
        <w:rPr>
          <w:lang w:val="es-ES_tradnl"/>
        </w:rPr>
        <w:t xml:space="preserve">El Comisionado de Seguridad Electrónica de Australia se ocupa de gestionar los planes reguladores para combatir distintos tipos de daños en línea, entre ellos el plan contra el ciberabuso de adultos; el plan contra los abusos cometidos mediante el uso de imágenes; el plan contra el ciberacoso; y el plan relativo a los contenidos en línea, que regula los contenidos ilegales y restringidos. Aproximadamente dos tercios de los adultos que denuncian ciberabusos al Comisionado de Seguridad Electrónica son mujeres. </w:t>
      </w:r>
    </w:p>
    <w:p w14:paraId="1D14959E" w14:textId="64794747" w:rsidR="00627CAE" w:rsidRPr="00627CAE" w:rsidRDefault="00627CAE" w:rsidP="00A02D7A">
      <w:pPr>
        <w:pStyle w:val="SingleTxt"/>
        <w:numPr>
          <w:ilvl w:val="0"/>
          <w:numId w:val="22"/>
        </w:numPr>
        <w:ind w:left="1267"/>
        <w:rPr>
          <w:lang w:val="es-ES_tradnl"/>
        </w:rPr>
      </w:pPr>
      <w:r w:rsidRPr="00627CAE">
        <w:rPr>
          <w:lang w:val="es-ES_tradnl"/>
        </w:rPr>
        <w:t>El Gobierno ha colaborado con las empresas de servicios de citas en línea para que estas elaboren un código voluntario (a partir de octubre de 2024) en virtud del cual estos servicios estén obligados a tomar medidas para combatir y prevenir los daños a los usuarios de sus plataformas. La Comisionada de Seguridad Electrónica evaluará la eficacia de los códigos en julio de 2025 y asesorará a la Ministra de Comunicaciones sobre la necesidad de adoptar otras medidas o no, incluidas las de tipo reglamentario.</w:t>
      </w:r>
    </w:p>
    <w:p w14:paraId="39BC9090" w14:textId="654906B0" w:rsidR="00627CAE" w:rsidRPr="00627CAE" w:rsidRDefault="00627CAE" w:rsidP="00A02D7A">
      <w:pPr>
        <w:pStyle w:val="SingleTxt"/>
        <w:numPr>
          <w:ilvl w:val="0"/>
          <w:numId w:val="22"/>
        </w:numPr>
        <w:ind w:left="1267"/>
        <w:rPr>
          <w:lang w:val="es-ES_tradnl"/>
        </w:rPr>
      </w:pPr>
      <w:r w:rsidRPr="00627CAE">
        <w:rPr>
          <w:lang w:val="es-ES_tradnl"/>
        </w:rPr>
        <w:t>El Gobierno ha invertido en medidas para prevenir y combatir los abusos facilitados por la tecnología, como por ejemplo:</w:t>
      </w:r>
    </w:p>
    <w:p w14:paraId="1202A6B4" w14:textId="6B78E07E"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El programa de subsidios para prevenir el abuso contra las mujeres en el ámbito de la tecnología; </w:t>
      </w:r>
    </w:p>
    <w:p w14:paraId="0AC1F853" w14:textId="3BF471FE"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La iniciativa de teléfonos seguros para ayudar a las mujeres a huir de la violencia doméstica sin miedo a que las sigan; </w:t>
      </w:r>
    </w:p>
    <w:p w14:paraId="4E602CB8" w14:textId="011F4F83"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La mesa redonda nacional sobre seguridad durante las citas en línea para mejorar la seguridad de los australianos que utilizan plataformas de este tipo; </w:t>
      </w:r>
    </w:p>
    <w:p w14:paraId="5AA05AE5" w14:textId="54CB590A"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Las reuniones ministeriales instituidas para coordinar la política de todo el Gobierno respecto de los daños en línea; </w:t>
      </w:r>
    </w:p>
    <w:p w14:paraId="54CBEB0B" w14:textId="6D5DBF08"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El endurecimiento de las penas con que se castiga el intercambio sin consentimiento material sexual en línea, ya sea real o generado artificialmente, por ejemplo en virtud de la Ley de Enmienda del Código Penal de 2024 (Material Sexual Ultrafalsificado).</w:t>
      </w:r>
    </w:p>
    <w:p w14:paraId="2E04D565" w14:textId="63D98947" w:rsidR="00627CAE" w:rsidRPr="00627CAE" w:rsidRDefault="00627CAE" w:rsidP="00A02D7A">
      <w:pPr>
        <w:pStyle w:val="SingleTxt"/>
        <w:numPr>
          <w:ilvl w:val="0"/>
          <w:numId w:val="22"/>
        </w:numPr>
        <w:ind w:left="1267"/>
        <w:rPr>
          <w:lang w:val="es-ES_tradnl"/>
        </w:rPr>
      </w:pPr>
      <w:r w:rsidRPr="00627CAE">
        <w:rPr>
          <w:lang w:val="es-ES_tradnl"/>
        </w:rPr>
        <w:t>El Parlamento australiano aprobó el 29 de noviembre de 2024 el proyecto de ley de enmienda de la seguridad en línea (Edad Mínima para Acceder a los Medios Sociales), que obliga a las plataformas de medios sociales</w:t>
      </w:r>
      <w:r w:rsidRPr="00627CAE">
        <w:rPr>
          <w:vertAlign w:val="superscript"/>
          <w:lang w:val="es-ES_tradnl"/>
        </w:rPr>
        <w:footnoteReference w:id="24"/>
      </w:r>
      <w:r w:rsidRPr="00627CAE">
        <w:rPr>
          <w:lang w:val="es-ES_tradnl"/>
        </w:rPr>
        <w:t xml:space="preserve"> a tomar medidas razonables para evitar que los australianos menores de 16 años tengan cuentas en los medios sociales. Cuando las infracciones sean sistémicas, las plataformas se enfrentarán a multas de hasta 49,5 millones de dólares. </w:t>
      </w:r>
    </w:p>
    <w:p w14:paraId="0A7B59B6" w14:textId="66D5AD8B" w:rsidR="00627CAE" w:rsidRPr="00627CAE" w:rsidRDefault="005A470A" w:rsidP="005A470A">
      <w:pPr>
        <w:pStyle w:val="SingleTxt"/>
        <w:tabs>
          <w:tab w:val="right" w:pos="1685"/>
        </w:tabs>
        <w:ind w:left="1742" w:hanging="475"/>
        <w:rPr>
          <w:lang w:val="es-ES_tradnl"/>
        </w:rPr>
      </w:pPr>
      <w:r w:rsidRPr="007C0DCB">
        <w:rPr>
          <w:lang w:val="es-ES_tradnl"/>
        </w:rPr>
        <w:lastRenderedPageBreak/>
        <w:tab/>
        <w:t>•</w:t>
      </w:r>
      <w:r w:rsidR="00627CAE" w:rsidRPr="00627CAE">
        <w:rPr>
          <w:lang w:val="es-ES_tradnl"/>
        </w:rPr>
        <w:tab/>
        <w:t>En virtud del proyecto de ley, ningún australiano se verá obligado a utilizar su documento de identificación oficial para demostrar su edad en los medios sociales.</w:t>
      </w:r>
    </w:p>
    <w:p w14:paraId="392D62AD" w14:textId="275273B6"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El proyecto de ley se ha elaborado tras consultar a jóvenes, progenitores y expertos australianos, el sector, las organizaciones comunitarias y el Gabinete Nacional para introducir protecciones fundamentales destinadas a ayudar a los jóvenes que sufran el acoso en línea y los efectos negativos en su salud y su bienestar. </w:t>
      </w:r>
    </w:p>
    <w:p w14:paraId="1D2F4C3C" w14:textId="3D7446A9" w:rsidR="00627CAE" w:rsidRPr="00627CAE" w:rsidRDefault="005A470A" w:rsidP="005A470A">
      <w:pPr>
        <w:pStyle w:val="SingleTxt"/>
        <w:tabs>
          <w:tab w:val="right" w:pos="1685"/>
        </w:tabs>
        <w:ind w:left="1742" w:hanging="475"/>
        <w:rPr>
          <w:lang w:val="es-ES_tradnl"/>
        </w:rPr>
      </w:pPr>
      <w:r w:rsidRPr="007C0DCB">
        <w:rPr>
          <w:lang w:val="es-ES_tradnl"/>
        </w:rPr>
        <w:tab/>
        <w:t>•</w:t>
      </w:r>
      <w:r w:rsidR="00627CAE" w:rsidRPr="00627CAE">
        <w:rPr>
          <w:lang w:val="es-ES_tradnl"/>
        </w:rPr>
        <w:tab/>
        <w:t>Las nuevas leyes entran en vigor a más tardar 12 meses después de aprobarse el proyecto de ley, por lo que las plataformas de medios sociales tienen tiempo para implantar los sistemas requeridos.</w:t>
      </w:r>
    </w:p>
    <w:p w14:paraId="7416E46A" w14:textId="77777777" w:rsidR="005A470A" w:rsidRPr="00195CF4" w:rsidRDefault="005A470A" w:rsidP="00D073E4">
      <w:pPr>
        <w:pStyle w:val="SingleTxt"/>
        <w:spacing w:after="0" w:line="120" w:lineRule="exact"/>
        <w:rPr>
          <w:b/>
          <w:sz w:val="10"/>
          <w:lang w:val="es-ES_tradnl"/>
        </w:rPr>
      </w:pPr>
      <w:bookmarkStart w:id="91" w:name="_Toc174011680"/>
      <w:bookmarkStart w:id="92" w:name="_Toc188598221"/>
      <w:bookmarkStart w:id="93" w:name="_Toc190357118"/>
      <w:bookmarkStart w:id="94" w:name="_Toc190878902"/>
    </w:p>
    <w:p w14:paraId="3EE1A9AD" w14:textId="77777777" w:rsidR="00D073E4" w:rsidRPr="00195CF4" w:rsidRDefault="00D073E4" w:rsidP="005A470A">
      <w:pPr>
        <w:pStyle w:val="SingleTxt"/>
        <w:spacing w:after="0" w:line="120" w:lineRule="exact"/>
        <w:rPr>
          <w:b/>
          <w:sz w:val="10"/>
          <w:lang w:val="es-ES_tradnl"/>
        </w:rPr>
      </w:pPr>
    </w:p>
    <w:p w14:paraId="3A8C54EA" w14:textId="6A7C6773" w:rsidR="00627CAE" w:rsidRPr="00195CF4" w:rsidRDefault="00627CAE" w:rsidP="00D07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Prevenir los matrimonios forzados y proteger a mujeres y niñas en</w:t>
      </w:r>
      <w:r w:rsidR="00D073E4" w:rsidRPr="00195CF4">
        <w:rPr>
          <w:lang w:val="es-ES_tradnl"/>
        </w:rPr>
        <w:t> </w:t>
      </w:r>
      <w:r w:rsidRPr="00195CF4">
        <w:rPr>
          <w:lang w:val="es-ES_tradnl"/>
        </w:rPr>
        <w:t>este ámbito</w:t>
      </w:r>
      <w:bookmarkEnd w:id="91"/>
      <w:bookmarkEnd w:id="92"/>
      <w:bookmarkEnd w:id="93"/>
      <w:bookmarkEnd w:id="94"/>
    </w:p>
    <w:p w14:paraId="1ABE277C" w14:textId="77777777" w:rsidR="005A470A" w:rsidRPr="007C0DCB" w:rsidRDefault="005A470A" w:rsidP="00D073E4">
      <w:pPr>
        <w:pStyle w:val="SingleTxt"/>
        <w:spacing w:after="0" w:line="120" w:lineRule="exact"/>
        <w:rPr>
          <w:iCs/>
          <w:sz w:val="10"/>
          <w:lang w:val="es-ES_tradnl"/>
        </w:rPr>
      </w:pPr>
    </w:p>
    <w:p w14:paraId="35171C2A" w14:textId="77777777" w:rsidR="00D073E4" w:rsidRPr="007C0DCB" w:rsidRDefault="00D073E4" w:rsidP="005A470A">
      <w:pPr>
        <w:pStyle w:val="SingleTxt"/>
        <w:spacing w:after="0" w:line="120" w:lineRule="exact"/>
        <w:rPr>
          <w:iCs/>
          <w:sz w:val="10"/>
          <w:lang w:val="es-ES_tradnl"/>
        </w:rPr>
      </w:pPr>
    </w:p>
    <w:p w14:paraId="34A27AE9" w14:textId="3D688BEA" w:rsidR="00627CAE" w:rsidRPr="00627CAE" w:rsidRDefault="00627CAE" w:rsidP="00A02D7A">
      <w:pPr>
        <w:pStyle w:val="SingleTxt"/>
        <w:numPr>
          <w:ilvl w:val="0"/>
          <w:numId w:val="22"/>
        </w:numPr>
        <w:ind w:left="1267"/>
        <w:rPr>
          <w:lang w:val="es-ES_tradnl"/>
        </w:rPr>
      </w:pPr>
      <w:r w:rsidRPr="00627CAE">
        <w:rPr>
          <w:lang w:val="es-ES_tradnl"/>
        </w:rPr>
        <w:t>La respuesta de Australia al matrimonio forzado forma parte de la estrategia del Gobierno para combatir las formas contemporáneas de esclavitud (incluida la trata de personas, la esclavitud y las prácticas análogas a la esclavitud), tipificadas como delitos en el Código Penal (Commonwealth)</w:t>
      </w:r>
      <w:r w:rsidRPr="00627CAE">
        <w:rPr>
          <w:vertAlign w:val="superscript"/>
          <w:lang w:val="es-ES_tradnl"/>
        </w:rPr>
        <w:footnoteReference w:id="25"/>
      </w:r>
      <w:r w:rsidRPr="00627CAE">
        <w:rPr>
          <w:lang w:val="es-ES_tradnl"/>
        </w:rPr>
        <w:t xml:space="preserve"> (Código Penal), que define el matrimonio forzado como práctica análoga a la esclavitud.</w:t>
      </w:r>
    </w:p>
    <w:p w14:paraId="585217AE" w14:textId="2062F359" w:rsidR="00627CAE" w:rsidRPr="00627CAE" w:rsidRDefault="00627CAE" w:rsidP="00A02D7A">
      <w:pPr>
        <w:pStyle w:val="SingleTxt"/>
        <w:numPr>
          <w:ilvl w:val="0"/>
          <w:numId w:val="22"/>
        </w:numPr>
        <w:ind w:left="1267"/>
        <w:rPr>
          <w:lang w:val="es-ES_tradnl"/>
        </w:rPr>
      </w:pPr>
      <w:r w:rsidRPr="00627CAE">
        <w:rPr>
          <w:lang w:val="es-ES_tradnl"/>
        </w:rPr>
        <w:t>La Policía Federal Australiana puede derivar a quienes hayan contraído un matrimonio forzado o corran el riesgo de contraerlo al Programa de Ayuda a las Víctimas de Trata (STPP, por sus siglas en inglés), que administra la Cruz Roja Australiana, para atender sus necesidades de vivienda, atención médica, salud mental, asistencia jurídica, migración, desarrollo de aptitudes o apoyo social. El Gobierno lleva a cabo en estos momentos el proyecto piloto de la vía de remisión adicional (hasta noviembre de 2025), que permite a las víctimas y supervivientes que reúnan los requisitos necesarios acceder al Programa de Ayuda a las Víctimas de Trata sin tener que recurrir a las fuerzas del orden.</w:t>
      </w:r>
    </w:p>
    <w:p w14:paraId="606362A6" w14:textId="1580F5A8" w:rsidR="00627CAE" w:rsidRPr="00627CAE" w:rsidRDefault="00627CAE" w:rsidP="00A02D7A">
      <w:pPr>
        <w:pStyle w:val="SingleTxt"/>
        <w:numPr>
          <w:ilvl w:val="0"/>
          <w:numId w:val="22"/>
        </w:numPr>
        <w:ind w:left="1267"/>
        <w:rPr>
          <w:lang w:val="es-ES_tradnl"/>
        </w:rPr>
      </w:pPr>
      <w:r w:rsidRPr="00627CAE">
        <w:rPr>
          <w:lang w:val="es-ES_tradnl"/>
        </w:rPr>
        <w:t>El Consejo Permanente de las Fiscalías Generales de Australia acordó en 2022 afrontar el fenómeno del matrimonio forzado con una respuesta nacional coordinada que, entre otras cosas, prevé diversas opciones para crear un modelo con el que mejorar las protecciones y los recursos jurídicos civiles.</w:t>
      </w:r>
    </w:p>
    <w:p w14:paraId="5FCC5E7B" w14:textId="7E6C217F" w:rsidR="00627CAE" w:rsidRPr="00627CAE" w:rsidRDefault="00627CAE" w:rsidP="00A02D7A">
      <w:pPr>
        <w:pStyle w:val="SingleTxt"/>
        <w:numPr>
          <w:ilvl w:val="0"/>
          <w:numId w:val="22"/>
        </w:numPr>
        <w:ind w:left="1267"/>
        <w:rPr>
          <w:lang w:val="es-ES_tradnl"/>
        </w:rPr>
      </w:pPr>
      <w:r w:rsidRPr="00627CAE">
        <w:rPr>
          <w:lang w:val="es-ES_tradnl"/>
        </w:rPr>
        <w:t>Desde 2023-24, el Gobierno destinó 12,1 millones de dólares durante cinco años (3,8 millones anuales) para establecer el Programa de Apoyo Especializado en Matrimonios Forzados, que proporciona ayuda por conducto de asistentes sociales, asesoramiento, alojamiento temporal y apoyo financiero a las personas en riesgo de contraer un matrimonio forzado o que ya se hayan casado por la fuerza.</w:t>
      </w:r>
    </w:p>
    <w:p w14:paraId="3E518F44" w14:textId="20E80A00" w:rsidR="00627CAE" w:rsidRPr="00627CAE" w:rsidRDefault="00627CAE" w:rsidP="00A02D7A">
      <w:pPr>
        <w:pStyle w:val="SingleTxt"/>
        <w:numPr>
          <w:ilvl w:val="0"/>
          <w:numId w:val="22"/>
        </w:numPr>
        <w:ind w:left="1267"/>
        <w:rPr>
          <w:lang w:val="es-ES_tradnl"/>
        </w:rPr>
      </w:pPr>
      <w:r w:rsidRPr="00627CAE">
        <w:rPr>
          <w:lang w:val="es-ES_tradnl"/>
        </w:rPr>
        <w:t xml:space="preserve">Australia lleva a cabo campañas de sensibilización sobre el matrimonio forzado que incluyen proyectos financiados con subsidios e iniciativas en el marco del Plan de Acción Nacional para Combatir la Esclavitud Contemporánea, cuyo objetivo es animar a las personas a que soliciten ayuda y denuncien los casos sospechosos a la Policía Federal Australiana. </w:t>
      </w:r>
    </w:p>
    <w:p w14:paraId="59F203D6" w14:textId="106A625A" w:rsidR="00627CAE" w:rsidRPr="00627CAE" w:rsidRDefault="00627CAE" w:rsidP="00A02D7A">
      <w:pPr>
        <w:pStyle w:val="SingleTxt"/>
        <w:numPr>
          <w:ilvl w:val="0"/>
          <w:numId w:val="22"/>
        </w:numPr>
        <w:ind w:left="1267"/>
        <w:rPr>
          <w:lang w:val="es-ES_tradnl"/>
        </w:rPr>
      </w:pPr>
      <w:r w:rsidRPr="00627CAE">
        <w:rPr>
          <w:lang w:val="es-ES_tradnl"/>
        </w:rPr>
        <w:t>A partir de 2024-25, el Gobierno destinó 2,2 millones de dólares durante cuatro años para ampliar el servicio nacional australiano ''Speak Now'', cuyo objetivo es educar a las comunidades acerca del matrimonio forzado en colaboración con trabajadores de primera línea y así prevenir este tipo de uniones y otras formas contemporáneas de esclavitud.</w:t>
      </w:r>
    </w:p>
    <w:p w14:paraId="348A044E" w14:textId="0D843993" w:rsidR="00627CAE" w:rsidRPr="00627CAE" w:rsidRDefault="00627CAE" w:rsidP="00A02D7A">
      <w:pPr>
        <w:pStyle w:val="SingleTxt"/>
        <w:numPr>
          <w:ilvl w:val="0"/>
          <w:numId w:val="22"/>
        </w:numPr>
        <w:ind w:left="1267"/>
        <w:rPr>
          <w:lang w:val="es-ES_tradnl"/>
        </w:rPr>
      </w:pPr>
      <w:r w:rsidRPr="00627CAE">
        <w:rPr>
          <w:lang w:val="es-ES_tradnl"/>
        </w:rPr>
        <w:lastRenderedPageBreak/>
        <w:t>El Gobierno regula la profesión de quienes ofician los matrimonios y están registrados con el Commonwealth, exigiéndoles que asistan a cursos de formación profesional todos los años. Desde 2022, estas personas deben realizar actividades relacionadas con el consentimiento genuino que inciden de manera especial en el matrimonio forzado y la capacidad. La Ley del Matrimonio se modificó en 2024 para exigir a quienes ofician los matrimonios que se reúnan por separado con cada una de las partes para determinar si consienten al matrimonio, introduciendo como opción permanente el testimonio a distancia a efectos de notificar la intención de contraer matrimonio.</w:t>
      </w:r>
    </w:p>
    <w:p w14:paraId="60425CED" w14:textId="77777777" w:rsidR="005A470A" w:rsidRPr="00195CF4" w:rsidRDefault="005A470A" w:rsidP="00D073E4">
      <w:pPr>
        <w:pStyle w:val="SingleTxt"/>
        <w:spacing w:after="0" w:line="120" w:lineRule="exact"/>
        <w:rPr>
          <w:b/>
          <w:sz w:val="10"/>
          <w:lang w:val="es-ES_tradnl"/>
        </w:rPr>
      </w:pPr>
      <w:bookmarkStart w:id="95" w:name="_Toc174011681"/>
      <w:bookmarkStart w:id="96" w:name="_Toc190878903"/>
    </w:p>
    <w:p w14:paraId="3EE9D9E2" w14:textId="77777777" w:rsidR="00D073E4" w:rsidRPr="00195CF4" w:rsidRDefault="00D073E4" w:rsidP="005A470A">
      <w:pPr>
        <w:pStyle w:val="SingleTxt"/>
        <w:spacing w:after="0" w:line="120" w:lineRule="exact"/>
        <w:rPr>
          <w:b/>
          <w:sz w:val="10"/>
          <w:lang w:val="es-ES_tradnl"/>
        </w:rPr>
      </w:pPr>
    </w:p>
    <w:p w14:paraId="2DD3FCD4" w14:textId="24A16F95" w:rsidR="00627CAE" w:rsidRPr="00195CF4" w:rsidRDefault="00627CAE" w:rsidP="00285E6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 xml:space="preserve">Pregunta 9: Violencia de género contra la mujer </w:t>
      </w:r>
      <w:bookmarkEnd w:id="95"/>
      <w:bookmarkEnd w:id="96"/>
    </w:p>
    <w:p w14:paraId="259FBF81" w14:textId="77777777" w:rsidR="005A470A" w:rsidRPr="00195CF4" w:rsidRDefault="005A470A" w:rsidP="00D073E4">
      <w:pPr>
        <w:pStyle w:val="SingleTxt"/>
        <w:spacing w:after="0" w:line="120" w:lineRule="exact"/>
        <w:rPr>
          <w:b/>
          <w:sz w:val="10"/>
          <w:lang w:val="es-ES_tradnl"/>
        </w:rPr>
      </w:pPr>
      <w:bookmarkStart w:id="97" w:name="_Toc174011682"/>
      <w:bookmarkStart w:id="98" w:name="_Toc188598223"/>
      <w:bookmarkStart w:id="99" w:name="_Toc190357120"/>
      <w:bookmarkStart w:id="100" w:name="_Toc190878904"/>
    </w:p>
    <w:p w14:paraId="42C5E794" w14:textId="77777777" w:rsidR="00D073E4" w:rsidRPr="00195CF4" w:rsidRDefault="00D073E4" w:rsidP="005A470A">
      <w:pPr>
        <w:pStyle w:val="SingleTxt"/>
        <w:spacing w:after="0" w:line="120" w:lineRule="exact"/>
        <w:rPr>
          <w:b/>
          <w:sz w:val="10"/>
          <w:lang w:val="es-ES_tradnl"/>
        </w:rPr>
      </w:pPr>
    </w:p>
    <w:p w14:paraId="38971859" w14:textId="68B4237C" w:rsidR="00627CAE" w:rsidRPr="00195CF4" w:rsidRDefault="00627CAE" w:rsidP="00D07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195CF4">
        <w:rPr>
          <w:lang w:val="es-ES_tradnl"/>
        </w:rPr>
        <w:tab/>
      </w:r>
      <w:r w:rsidRPr="00195CF4">
        <w:rPr>
          <w:lang w:val="es-ES_tradnl"/>
        </w:rPr>
        <w:tab/>
        <w:t>Cambiar los comportamientos y las actitudes que conducen a la violencia de</w:t>
      </w:r>
      <w:r w:rsidR="005A470A" w:rsidRPr="00195CF4">
        <w:rPr>
          <w:lang w:val="es-ES_tradnl"/>
        </w:rPr>
        <w:t> </w:t>
      </w:r>
      <w:r w:rsidRPr="00195CF4">
        <w:rPr>
          <w:lang w:val="es-ES_tradnl"/>
        </w:rPr>
        <w:t>género</w:t>
      </w:r>
      <w:bookmarkEnd w:id="97"/>
      <w:bookmarkEnd w:id="98"/>
      <w:bookmarkEnd w:id="99"/>
      <w:bookmarkEnd w:id="100"/>
    </w:p>
    <w:p w14:paraId="737E813E" w14:textId="77777777" w:rsidR="005A470A" w:rsidRPr="007C0DCB" w:rsidRDefault="005A470A" w:rsidP="005A470A">
      <w:pPr>
        <w:pStyle w:val="SingleTxt"/>
        <w:spacing w:after="0" w:line="120" w:lineRule="exact"/>
        <w:rPr>
          <w:iCs/>
          <w:sz w:val="10"/>
          <w:lang w:val="es-ES_tradnl"/>
        </w:rPr>
      </w:pPr>
    </w:p>
    <w:p w14:paraId="178DE52D" w14:textId="4F3F2572" w:rsidR="00627CAE" w:rsidRPr="00627CAE" w:rsidRDefault="00627CAE" w:rsidP="00A02D7A">
      <w:pPr>
        <w:pStyle w:val="SingleTxt"/>
        <w:numPr>
          <w:ilvl w:val="0"/>
          <w:numId w:val="22"/>
        </w:numPr>
        <w:ind w:left="1267"/>
        <w:rPr>
          <w:lang w:val="es-ES_tradnl"/>
        </w:rPr>
      </w:pPr>
      <w:r w:rsidRPr="00627CAE">
        <w:rPr>
          <w:lang w:val="es-ES_tradnl"/>
        </w:rPr>
        <w:t xml:space="preserve">Además de luchar contra los estereotipos discriminatorios, el Gobierno tomó varias medidas para cambiar los comportamientos y las actitudes que explican los altos índices de violencia de género en Australia. </w:t>
      </w:r>
    </w:p>
    <w:p w14:paraId="399DB6D4" w14:textId="20C10D21" w:rsidR="00627CAE" w:rsidRPr="00627CAE" w:rsidRDefault="00627CAE" w:rsidP="00A02D7A">
      <w:pPr>
        <w:pStyle w:val="SingleTxt"/>
        <w:numPr>
          <w:ilvl w:val="0"/>
          <w:numId w:val="22"/>
        </w:numPr>
        <w:ind w:left="1267"/>
        <w:rPr>
          <w:lang w:val="es-ES_tradnl"/>
        </w:rPr>
      </w:pPr>
      <w:r w:rsidRPr="00627CAE">
        <w:rPr>
          <w:lang w:val="es-ES_tradnl"/>
        </w:rPr>
        <w:t>El Gobierno proporciona liderazgo nacional y destina inversiones para acabar con la violencia familiar, doméstica y sexual, por ejemplo a través del Gabinete Nacional</w:t>
      </w:r>
      <w:r w:rsidRPr="00627CAE">
        <w:rPr>
          <w:vertAlign w:val="superscript"/>
          <w:lang w:val="es-ES_tradnl"/>
        </w:rPr>
        <w:footnoteReference w:id="26"/>
      </w:r>
      <w:r w:rsidRPr="00627CAE">
        <w:rPr>
          <w:lang w:val="es-ES_tradnl"/>
        </w:rPr>
        <w:t xml:space="preserve">. El Gobierno supervisa el Plan Nacional para ayudar a las víctimas supervivientes. Las administraciones australianas colaboran para reforzar y armonizar las leyes contra las agresiones sexuales, las respuestas de la justicia penal a este tipo de agresiones y el reconocimiento de las órdenes de violencia doméstica en distintas jurisdicciones. </w:t>
      </w:r>
    </w:p>
    <w:p w14:paraId="727BC7CB" w14:textId="06DDC1F4" w:rsidR="00627CAE" w:rsidRPr="00627CAE" w:rsidRDefault="00627CAE" w:rsidP="00A02D7A">
      <w:pPr>
        <w:pStyle w:val="SingleTxt"/>
        <w:numPr>
          <w:ilvl w:val="0"/>
          <w:numId w:val="22"/>
        </w:numPr>
        <w:ind w:left="1267"/>
        <w:rPr>
          <w:lang w:val="es-ES_tradnl"/>
        </w:rPr>
      </w:pPr>
      <w:r w:rsidRPr="00627CAE">
        <w:rPr>
          <w:lang w:val="es-ES_tradnl"/>
        </w:rPr>
        <w:t xml:space="preserve">El Gobierno lidera la campaña </w:t>
      </w:r>
      <w:r w:rsidR="00285E6B">
        <w:rPr>
          <w:lang w:val="es-ES_tradnl"/>
        </w:rPr>
        <w:t>“</w:t>
      </w:r>
      <w:r w:rsidRPr="00627CAE">
        <w:rPr>
          <w:lang w:val="es-ES_tradnl"/>
        </w:rPr>
        <w:t>Stop it at the Start</w:t>
      </w:r>
      <w:r w:rsidR="00285E6B">
        <w:rPr>
          <w:lang w:val="es-ES_tradnl"/>
        </w:rPr>
        <w:t>”</w:t>
      </w:r>
      <w:r w:rsidRPr="00627CAE">
        <w:rPr>
          <w:lang w:val="es-ES_tradnl"/>
        </w:rPr>
        <w:t xml:space="preserve"> (</w:t>
      </w:r>
      <w:r w:rsidR="00285E6B">
        <w:rPr>
          <w:lang w:val="es-ES_tradnl"/>
        </w:rPr>
        <w:t>“</w:t>
      </w:r>
      <w:r w:rsidRPr="00627CAE">
        <w:rPr>
          <w:lang w:val="es-ES_tradnl"/>
        </w:rPr>
        <w:t>Córtalo de raíz</w:t>
      </w:r>
      <w:r w:rsidR="00285E6B">
        <w:rPr>
          <w:lang w:val="es-ES_tradnl"/>
        </w:rPr>
        <w:t>”</w:t>
      </w:r>
      <w:r w:rsidRPr="00627CAE">
        <w:rPr>
          <w:lang w:val="es-ES_tradnl"/>
        </w:rPr>
        <w:t xml:space="preserve">), cuyo objetivo es romper el ciclo de la violencia animando a los adultos a que reflexionen sobre sus propias actitudes y hablen con los jóvenes de entre 10 y 17 años sobre cómo comportarse de manera respetuosa. La quinta fase de la campaña comenzó el 17 de junio de 2024. </w:t>
      </w:r>
    </w:p>
    <w:p w14:paraId="11AC9C5A" w14:textId="55857B68" w:rsidR="00627CAE" w:rsidRPr="00627CAE" w:rsidRDefault="00627CAE" w:rsidP="00A02D7A">
      <w:pPr>
        <w:pStyle w:val="SingleTxt"/>
        <w:numPr>
          <w:ilvl w:val="0"/>
          <w:numId w:val="22"/>
        </w:numPr>
        <w:ind w:left="1267"/>
        <w:rPr>
          <w:lang w:val="es-ES_tradnl"/>
        </w:rPr>
      </w:pPr>
      <w:r w:rsidRPr="00627CAE">
        <w:rPr>
          <w:lang w:val="es-ES_tradnl"/>
        </w:rPr>
        <w:t>Desde 2023-2024, el Gobierno ha destinado 77,6 millones de dólares durante cinco años a los estados y territorios y a los sectores escolares no gubernamentales para educar sobre el consentimiento y las relaciones respetuosas con datos científicos y adaptando los contenidos en función de la edad en las escuelas primarias y secundarias australianas.</w:t>
      </w:r>
    </w:p>
    <w:p w14:paraId="25F6E7DD" w14:textId="33F4A9AE" w:rsidR="00627CAE" w:rsidRPr="00627CAE" w:rsidRDefault="00627CAE" w:rsidP="00A02D7A">
      <w:pPr>
        <w:pStyle w:val="SingleTxt"/>
        <w:numPr>
          <w:ilvl w:val="0"/>
          <w:numId w:val="22"/>
        </w:numPr>
        <w:ind w:left="1267"/>
        <w:rPr>
          <w:lang w:val="es-ES_tradnl"/>
        </w:rPr>
      </w:pPr>
      <w:r w:rsidRPr="00627CAE">
        <w:rPr>
          <w:lang w:val="es-ES_tradnl"/>
        </w:rPr>
        <w:t xml:space="preserve">A partir de 2021-22, el Gobierno destinó 40 millones de dólares durante cuatro años a una nueva campaña nacional sobre el consentimiento iniciada en mayo de 2024 para informar mejor a jóvenes y adultos sobre la importancia de las relaciones consensuadas y respetuosas. </w:t>
      </w:r>
    </w:p>
    <w:p w14:paraId="0C29C17C" w14:textId="44881BCB" w:rsidR="00627CAE" w:rsidRPr="00627CAE" w:rsidRDefault="00627CAE" w:rsidP="00A02D7A">
      <w:pPr>
        <w:pStyle w:val="SingleTxt"/>
        <w:numPr>
          <w:ilvl w:val="0"/>
          <w:numId w:val="22"/>
        </w:numPr>
        <w:ind w:left="1267"/>
        <w:rPr>
          <w:lang w:val="es-ES_tradnl"/>
        </w:rPr>
      </w:pPr>
      <w:r w:rsidRPr="00627CAE">
        <w:rPr>
          <w:lang w:val="es-ES_tradnl"/>
        </w:rPr>
        <w:t xml:space="preserve">La implementación de la Estrategia Nacional para Prevenir y Combatir el Abuso Sexual de Niños (2021-2030) prevé, entre otras, medidas para crear conciencia, educar y fomentar culturas seguras para la infancia con miras a prevenir este tipo de abuso. El Gobierno invirtió 22,4 millones de dólares en la campaña </w:t>
      </w:r>
      <w:r w:rsidR="00285E6B">
        <w:rPr>
          <w:lang w:val="es-ES_tradnl"/>
        </w:rPr>
        <w:t>“</w:t>
      </w:r>
      <w:r w:rsidRPr="00627CAE">
        <w:rPr>
          <w:lang w:val="es-ES_tradnl"/>
        </w:rPr>
        <w:t>One Talk at a Time</w:t>
      </w:r>
      <w:r w:rsidR="00285E6B">
        <w:rPr>
          <w:lang w:val="es-ES_tradnl"/>
        </w:rPr>
        <w:t>”</w:t>
      </w:r>
      <w:r w:rsidRPr="00627CAE">
        <w:rPr>
          <w:lang w:val="es-ES_tradnl"/>
        </w:rPr>
        <w:t xml:space="preserve"> (</w:t>
      </w:r>
      <w:r w:rsidR="00285E6B">
        <w:rPr>
          <w:lang w:val="es-ES_tradnl"/>
        </w:rPr>
        <w:t>“</w:t>
      </w:r>
      <w:r w:rsidRPr="00627CAE">
        <w:rPr>
          <w:lang w:val="es-ES_tradnl"/>
        </w:rPr>
        <w:t>Charla a charla</w:t>
      </w:r>
      <w:r w:rsidR="00285E6B">
        <w:rPr>
          <w:lang w:val="es-ES_tradnl"/>
        </w:rPr>
        <w:t>”</w:t>
      </w:r>
      <w:r w:rsidRPr="00627CAE">
        <w:rPr>
          <w:lang w:val="es-ES_tradnl"/>
        </w:rPr>
        <w:t xml:space="preserve">) para prevenir el abuso sexual de niños educando a los adultos y conversando con niños, jóvenes y adultos de forma preventiva. </w:t>
      </w:r>
    </w:p>
    <w:p w14:paraId="054866DC" w14:textId="0055BED3" w:rsidR="005A470A" w:rsidRPr="00195CF4" w:rsidRDefault="005A470A">
      <w:pPr>
        <w:suppressAutoHyphens w:val="0"/>
        <w:spacing w:after="160" w:line="259" w:lineRule="auto"/>
        <w:rPr>
          <w:b/>
          <w:kern w:val="14"/>
          <w:sz w:val="10"/>
          <w:lang w:val="es-ES_tradnl"/>
        </w:rPr>
      </w:pPr>
      <w:bookmarkStart w:id="101" w:name="_Toc174011683"/>
      <w:bookmarkStart w:id="102" w:name="_Toc188598224"/>
      <w:bookmarkStart w:id="103" w:name="_Toc190357121"/>
      <w:bookmarkStart w:id="104" w:name="_Toc190878905"/>
      <w:r w:rsidRPr="00195CF4">
        <w:rPr>
          <w:b/>
          <w:sz w:val="10"/>
          <w:lang w:val="es-ES_tradnl"/>
        </w:rPr>
        <w:br w:type="page"/>
      </w:r>
    </w:p>
    <w:p w14:paraId="38F06E5D" w14:textId="6A317FAA" w:rsidR="00627CAE" w:rsidRPr="00195CF4" w:rsidRDefault="00627CAE" w:rsidP="00D07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lastRenderedPageBreak/>
        <w:tab/>
      </w:r>
      <w:r w:rsidRPr="00195CF4">
        <w:rPr>
          <w:lang w:val="es-ES_tradnl"/>
        </w:rPr>
        <w:tab/>
        <w:t>Legislación federal sobre la violencia de género</w:t>
      </w:r>
      <w:bookmarkEnd w:id="101"/>
      <w:bookmarkEnd w:id="102"/>
      <w:bookmarkEnd w:id="103"/>
      <w:bookmarkEnd w:id="104"/>
    </w:p>
    <w:p w14:paraId="56940B26" w14:textId="77777777" w:rsidR="005A470A" w:rsidRPr="007C0DCB" w:rsidRDefault="005A470A" w:rsidP="00D073E4">
      <w:pPr>
        <w:pStyle w:val="SingleTxt"/>
        <w:spacing w:after="0" w:line="120" w:lineRule="exact"/>
        <w:rPr>
          <w:iCs/>
          <w:sz w:val="10"/>
          <w:lang w:val="es-ES_tradnl"/>
        </w:rPr>
      </w:pPr>
    </w:p>
    <w:p w14:paraId="00A7014C" w14:textId="77777777" w:rsidR="00D073E4" w:rsidRPr="007C0DCB" w:rsidRDefault="00D073E4" w:rsidP="005A470A">
      <w:pPr>
        <w:pStyle w:val="SingleTxt"/>
        <w:spacing w:after="0" w:line="120" w:lineRule="exact"/>
        <w:rPr>
          <w:iCs/>
          <w:sz w:val="10"/>
          <w:lang w:val="es-ES_tradnl"/>
        </w:rPr>
      </w:pPr>
    </w:p>
    <w:p w14:paraId="7AC6C816" w14:textId="717A6A87" w:rsidR="00627CAE" w:rsidRPr="00627CAE" w:rsidRDefault="00627CAE" w:rsidP="00A02D7A">
      <w:pPr>
        <w:pStyle w:val="SingleTxt"/>
        <w:numPr>
          <w:ilvl w:val="0"/>
          <w:numId w:val="22"/>
        </w:numPr>
        <w:ind w:left="1267"/>
        <w:rPr>
          <w:lang w:val="es-ES_tradnl"/>
        </w:rPr>
      </w:pPr>
      <w:r w:rsidRPr="00627CAE">
        <w:rPr>
          <w:lang w:val="es-ES_tradnl"/>
        </w:rPr>
        <w:t xml:space="preserve">Dentro del sistema federal de gobierno de Australia, los estados y los territorios son responsables de promulgar la mayoría de las leyes relacionadas con la violencia de género, incluida la adopción de órdenes contra la violencia doméstica y otros delitos penales. Cada jurisdicción gestiona su propio sistema de justicia penal, incluidas las leyes penales, la policía, los tribunales y los centros penitenciarios. El Gobierno es responsable de la Ley de Derecho de Familia, que se ha modificado recientemente para reconocer y combatir mejor la violencia de género, así como del Código Penal, que prevé los delitos relacionados con el matrimonio forzado. </w:t>
      </w:r>
    </w:p>
    <w:p w14:paraId="36F7002F" w14:textId="74957D2D" w:rsidR="00627CAE" w:rsidRPr="00627CAE" w:rsidRDefault="00627CAE" w:rsidP="00A02D7A">
      <w:pPr>
        <w:pStyle w:val="SingleTxt"/>
        <w:numPr>
          <w:ilvl w:val="0"/>
          <w:numId w:val="22"/>
        </w:numPr>
        <w:ind w:left="1267"/>
        <w:rPr>
          <w:lang w:val="es-ES_tradnl"/>
        </w:rPr>
      </w:pPr>
      <w:r w:rsidRPr="00627CAE">
        <w:rPr>
          <w:lang w:val="es-ES_tradnl"/>
        </w:rPr>
        <w:t>El Parlamento aprobó la Ley sobre Trabajo Justo (Licencia Familiar y por Violencia Doméstica) de 2022 (Commonwealth), en virtud de la cual se otorga a los empleados, incluido el personal eventual, el derecho a disfrutar de una licencia retribuida de 10 días por violencia doméstica (que se acumulan anualmente) para afrontar los efectos de la violencia doméstica cuando al trabajador no le convenga hacerlo fuera del horario de trabajo. El trabajador que se acoge a esta licencia cobra su salario íntegro y, para garantizar la confidencialidad, se prohíbe a los empresarios incluir en las nóminas información sobre la licencia. En 2023-24, el derecho a esta prestación entró en vigor en tres fases, dependiendo del tipo de empleador, para cubrir a todos los trabajadores australianos.</w:t>
      </w:r>
    </w:p>
    <w:p w14:paraId="3CCEDF38" w14:textId="3A1926C1" w:rsidR="00627CAE" w:rsidRPr="00627CAE" w:rsidRDefault="00627CAE" w:rsidP="00A02D7A">
      <w:pPr>
        <w:pStyle w:val="SingleTxt"/>
        <w:numPr>
          <w:ilvl w:val="0"/>
          <w:numId w:val="22"/>
        </w:numPr>
        <w:ind w:left="1267"/>
        <w:rPr>
          <w:lang w:val="es-ES_tradnl"/>
        </w:rPr>
      </w:pPr>
      <w:r w:rsidRPr="00627CAE">
        <w:rPr>
          <w:lang w:val="es-ES_tradnl"/>
        </w:rPr>
        <w:t>Con la Ley de Enmienda de la Legislación sobre Trabajo Justo (Subsanar Lagunas) de 2023 (Commonwealth), se modificó la Ley de Trabajo Justo para ilegalizar cualquier medida adversa que pueda tomar un empresario contra un trabajador o posible trabajador por ser o haber sido víctima de la violencia doméstica. La enmienda exige a la Comisión de Trabajo Justo que tenga en cuenta la importancia de prevenir y eliminar la discriminación contra las víctimas de la violencia doméstica en el ejercicio de sus funciones o competencias en virtud de la Ley de Trabajo Justo.</w:t>
      </w:r>
    </w:p>
    <w:p w14:paraId="358B47C3" w14:textId="77777777" w:rsidR="005A470A" w:rsidRPr="00195CF4" w:rsidRDefault="005A470A" w:rsidP="00D073E4">
      <w:pPr>
        <w:pStyle w:val="SingleTxt"/>
        <w:spacing w:after="0" w:line="120" w:lineRule="exact"/>
        <w:rPr>
          <w:b/>
          <w:sz w:val="10"/>
          <w:lang w:val="es-ES_tradnl"/>
        </w:rPr>
      </w:pPr>
      <w:bookmarkStart w:id="105" w:name="_Toc174011684"/>
      <w:bookmarkStart w:id="106" w:name="_Toc188598225"/>
      <w:bookmarkStart w:id="107" w:name="_Toc190357122"/>
      <w:bookmarkStart w:id="108" w:name="_Toc190878906"/>
    </w:p>
    <w:p w14:paraId="127F1408" w14:textId="77777777" w:rsidR="00D073E4" w:rsidRPr="00195CF4" w:rsidRDefault="00D073E4" w:rsidP="005A470A">
      <w:pPr>
        <w:pStyle w:val="SingleTxt"/>
        <w:spacing w:after="0" w:line="120" w:lineRule="exact"/>
        <w:rPr>
          <w:b/>
          <w:sz w:val="10"/>
          <w:lang w:val="es-ES_tradnl"/>
        </w:rPr>
      </w:pPr>
    </w:p>
    <w:p w14:paraId="67564082" w14:textId="3D556FC6" w:rsidR="00627CAE" w:rsidRPr="00195CF4" w:rsidRDefault="00627CAE" w:rsidP="00D07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lang w:val="es-ES_tradnl"/>
        </w:rPr>
      </w:pPr>
      <w:r w:rsidRPr="00195CF4">
        <w:rPr>
          <w:lang w:val="es-ES_tradnl"/>
        </w:rPr>
        <w:tab/>
      </w:r>
      <w:r w:rsidRPr="00195CF4">
        <w:rPr>
          <w:lang w:val="es-ES_tradnl"/>
        </w:rPr>
        <w:tab/>
        <w:t>Estado de aplicación del Plan Nacional para Acabar con la Violencia contra las</w:t>
      </w:r>
      <w:r w:rsidR="005A470A" w:rsidRPr="00195CF4">
        <w:rPr>
          <w:lang w:val="es-ES_tradnl"/>
        </w:rPr>
        <w:t> </w:t>
      </w:r>
      <w:r w:rsidRPr="00195CF4">
        <w:rPr>
          <w:lang w:val="es-ES_tradnl"/>
        </w:rPr>
        <w:t>Mujeres</w:t>
      </w:r>
      <w:bookmarkEnd w:id="105"/>
      <w:bookmarkEnd w:id="106"/>
      <w:bookmarkEnd w:id="107"/>
      <w:bookmarkEnd w:id="108"/>
    </w:p>
    <w:p w14:paraId="1352209C" w14:textId="77777777" w:rsidR="005A470A" w:rsidRPr="007C0DCB" w:rsidRDefault="005A470A" w:rsidP="00D073E4">
      <w:pPr>
        <w:pStyle w:val="SingleTxt"/>
        <w:spacing w:after="0" w:line="120" w:lineRule="exact"/>
        <w:rPr>
          <w:iCs/>
          <w:sz w:val="10"/>
          <w:lang w:val="es-ES_tradnl"/>
        </w:rPr>
      </w:pPr>
    </w:p>
    <w:p w14:paraId="6E38076F" w14:textId="77777777" w:rsidR="00D073E4" w:rsidRPr="007C0DCB" w:rsidRDefault="00D073E4" w:rsidP="005A470A">
      <w:pPr>
        <w:pStyle w:val="SingleTxt"/>
        <w:spacing w:after="0" w:line="120" w:lineRule="exact"/>
        <w:rPr>
          <w:iCs/>
          <w:sz w:val="10"/>
          <w:lang w:val="es-ES_tradnl"/>
        </w:rPr>
      </w:pPr>
    </w:p>
    <w:p w14:paraId="72F59AE8" w14:textId="4F8175B7" w:rsidR="00627CAE" w:rsidRPr="00627CAE" w:rsidRDefault="00627CAE" w:rsidP="00A02D7A">
      <w:pPr>
        <w:pStyle w:val="SingleTxt"/>
        <w:numPr>
          <w:ilvl w:val="0"/>
          <w:numId w:val="22"/>
        </w:numPr>
        <w:ind w:left="1267"/>
        <w:rPr>
          <w:lang w:val="es-ES_tradnl"/>
        </w:rPr>
      </w:pPr>
      <w:r w:rsidRPr="00627CAE">
        <w:rPr>
          <w:lang w:val="es-ES_tradnl"/>
        </w:rPr>
        <w:t>El Plan Nacional define cuatro ámbitos de actuación para acabar con la violencia de género en Australia: la prevención, la intervención temprana, la respuesta y la recuperación, y la sanación.</w:t>
      </w:r>
    </w:p>
    <w:p w14:paraId="5344B4C2" w14:textId="0E5FD48A" w:rsidR="00627CAE" w:rsidRPr="00627CAE" w:rsidRDefault="00627CAE" w:rsidP="00A02D7A">
      <w:pPr>
        <w:pStyle w:val="SingleTxt"/>
        <w:numPr>
          <w:ilvl w:val="0"/>
          <w:numId w:val="22"/>
        </w:numPr>
        <w:ind w:left="1267"/>
        <w:rPr>
          <w:lang w:val="es-ES_tradnl"/>
        </w:rPr>
      </w:pPr>
      <w:r w:rsidRPr="00627CAE">
        <w:rPr>
          <w:lang w:val="es-ES_tradnl"/>
        </w:rPr>
        <w:t>En agosto de 2023, las administraciones australianas pusieron en marcha el Primer Plan de Acción (2023-27), el Plan de Acción para los Aborígenes e Isleños del Estrecho de Torres y el Marco de Resultados. En el Marco de Resultados se desgranan los resultados a 6-10 años vista y los 34 subresultados que se utilizan para documentar y supervisar los avances a lo largo de la vida del Plan Nacional.</w:t>
      </w:r>
    </w:p>
    <w:p w14:paraId="0DD767B2" w14:textId="2176C362" w:rsidR="00627CAE" w:rsidRPr="00627CAE" w:rsidRDefault="00627CAE" w:rsidP="00A02D7A">
      <w:pPr>
        <w:pStyle w:val="SingleTxt"/>
        <w:numPr>
          <w:ilvl w:val="0"/>
          <w:numId w:val="22"/>
        </w:numPr>
        <w:ind w:left="1267"/>
        <w:rPr>
          <w:lang w:val="es-ES_tradnl"/>
        </w:rPr>
      </w:pPr>
      <w:r w:rsidRPr="00627CAE">
        <w:rPr>
          <w:lang w:val="es-ES_tradnl"/>
        </w:rPr>
        <w:t>El Gabinete Nacional acordó adoptar en septiembre de 2024 un paquete integral para prevenir la violencia y los homicidios contra mujeres y niños, y para apoyar los servicios jurídicos mediante la nueva Alianza Nacional de Acceso a la Justicia. El Gabinete Nacional acordó seguir prestando especial atención a las mujeres y niños de las Primeras Naciones desaparecidos y asesinados.</w:t>
      </w:r>
    </w:p>
    <w:p w14:paraId="1BB1DCC0" w14:textId="5772401F" w:rsidR="00627CAE" w:rsidRPr="00627CAE" w:rsidRDefault="00627CAE" w:rsidP="00A02D7A">
      <w:pPr>
        <w:pStyle w:val="SingleTxt"/>
        <w:numPr>
          <w:ilvl w:val="0"/>
          <w:numId w:val="22"/>
        </w:numPr>
        <w:ind w:left="1267"/>
        <w:rPr>
          <w:lang w:val="es-ES_tradnl"/>
        </w:rPr>
      </w:pPr>
      <w:r w:rsidRPr="00627CAE">
        <w:rPr>
          <w:lang w:val="es-ES_tradnl"/>
        </w:rPr>
        <w:t>En ese sentido, las inversiones destinadas por el Gobierno desde 2022 para apoyar la seguridad de las mujeres y el Plan Nacional ascienden a 4.000 millones de dólares</w:t>
      </w:r>
      <w:r w:rsidRPr="00627CAE">
        <w:rPr>
          <w:vertAlign w:val="superscript"/>
          <w:lang w:val="es-ES_tradnl"/>
        </w:rPr>
        <w:footnoteReference w:id="27"/>
      </w:r>
      <w:r w:rsidRPr="00627CAE">
        <w:rPr>
          <w:lang w:val="es-ES_tradnl"/>
        </w:rPr>
        <w:t xml:space="preserve">. De esas inversiones, se han destinado 925,2 millones de dólares a partir de </w:t>
      </w:r>
      <w:r w:rsidRPr="00627CAE">
        <w:rPr>
          <w:lang w:val="es-ES_tradnl"/>
        </w:rPr>
        <w:lastRenderedPageBreak/>
        <w:t>2023-24 y por un período de cinco años para establecer el Programa de Abandono de la Violencia, que ayuda a las víctimas de la violencia de pareja a abandonar su relación, proporcionando a quienes cumplen los requisitos hasta 5.000 dólares en ayudas económicas, servicios de remisión, evaluaciones de riesgo y planificación de la seguridad.</w:t>
      </w:r>
    </w:p>
    <w:p w14:paraId="116E775D" w14:textId="09FA26A0" w:rsidR="00627CAE" w:rsidRPr="00627CAE" w:rsidRDefault="00627CAE" w:rsidP="00A02D7A">
      <w:pPr>
        <w:pStyle w:val="SingleTxt"/>
        <w:numPr>
          <w:ilvl w:val="0"/>
          <w:numId w:val="22"/>
        </w:numPr>
        <w:ind w:left="1267"/>
        <w:rPr>
          <w:lang w:val="es-ES_tradnl"/>
        </w:rPr>
      </w:pPr>
      <w:r w:rsidRPr="00627CAE">
        <w:rPr>
          <w:lang w:val="es-ES_tradnl"/>
        </w:rPr>
        <w:t>Australia es uno de los tres países que han nombrado a una Comisionada contra la Violencia Doméstica, Familiar y Sexual (a partir de octubre de 2022) para que asesore al Gobierno sobre políticas con base empírica, facilite la coordinación entre las distintas jurisdicciones y dé a conocer la opinión de las personas que han vivido este tipo de experiencias.</w:t>
      </w:r>
    </w:p>
    <w:p w14:paraId="55E5D472" w14:textId="68E651E6" w:rsidR="00627CAE" w:rsidRPr="00627CAE" w:rsidRDefault="00627CAE" w:rsidP="00A02D7A">
      <w:pPr>
        <w:pStyle w:val="SingleTxt"/>
        <w:numPr>
          <w:ilvl w:val="0"/>
          <w:numId w:val="22"/>
        </w:numPr>
        <w:ind w:left="1267"/>
        <w:rPr>
          <w:lang w:val="es-ES_tradnl"/>
        </w:rPr>
      </w:pPr>
      <w:r w:rsidRPr="00627CAE">
        <w:rPr>
          <w:lang w:val="es-ES_tradnl"/>
        </w:rPr>
        <w:t>El Gobierno ha invertido en servicios de primera línea para mujeres víctimas de la violencia de género, ampliando la Alianza Nacional de Respuestas a la Violencia Familiar, Doméstica y Sexual y financiando 500 plazas de trabajadores de servicios de primera línea y comunitarios, con ayudas dirigidas a mujeres y niños en zonas rurales, regionales y remotas, Pueblos Indígenas, comunidades de orígenes culturales y lingüísticos diversos, mujeres con discapacidad y la comunidad LGBTIQA+.</w:t>
      </w:r>
    </w:p>
    <w:p w14:paraId="6D13F2F3" w14:textId="1008FC9C" w:rsidR="00627CAE" w:rsidRPr="00627CAE" w:rsidRDefault="00627CAE" w:rsidP="00A02D7A">
      <w:pPr>
        <w:pStyle w:val="SingleTxt"/>
        <w:numPr>
          <w:ilvl w:val="0"/>
          <w:numId w:val="22"/>
        </w:numPr>
        <w:ind w:left="1267"/>
        <w:rPr>
          <w:lang w:val="es-ES_tradnl"/>
        </w:rPr>
      </w:pPr>
      <w:r w:rsidRPr="00627CAE">
        <w:rPr>
          <w:lang w:val="es-ES_tradnl"/>
        </w:rPr>
        <w:t>A pesar de la considerable inversión realizada en recursos humanos, técnicos y financieros, el Gobierno reconoce que queda mucho por hacer para acabar con la violencia de género.</w:t>
      </w:r>
    </w:p>
    <w:p w14:paraId="315C56CE" w14:textId="15496605" w:rsidR="00627CAE" w:rsidRPr="00627CAE" w:rsidRDefault="00627CAE" w:rsidP="00A02D7A">
      <w:pPr>
        <w:pStyle w:val="SingleTxt"/>
        <w:numPr>
          <w:ilvl w:val="0"/>
          <w:numId w:val="22"/>
        </w:numPr>
        <w:ind w:left="1267"/>
        <w:rPr>
          <w:lang w:val="es-ES_tradnl"/>
        </w:rPr>
      </w:pPr>
      <w:r w:rsidRPr="00627CAE">
        <w:rPr>
          <w:lang w:val="es-ES_tradnl"/>
        </w:rPr>
        <w:t>El Comité Permanente de Asuntos Jurídicos y Constitucionales del Senado australiano presentó el 15 de agosto de 2024 su informe sobre las mujeres y los niños de las Primeras Naciones desaparecidos y asesinados. En el informe se insta, entre otras cosas, a armonizar las mejores prácticas policiales para que todas las interacciones con los Pueblos Indígenas se ajusten a una serie de normas en términos de sensibilización y respeto de la cultura. Las administraciones australianas trabajarán con las comunidades indígenas para valorar cómo se pueden llevar a la práctica las recomendaciones que figuran en el informe.</w:t>
      </w:r>
    </w:p>
    <w:p w14:paraId="7082DA54" w14:textId="77777777" w:rsidR="005A470A" w:rsidRPr="00195CF4" w:rsidRDefault="005A470A" w:rsidP="00D073E4">
      <w:pPr>
        <w:pStyle w:val="SingleTxt"/>
        <w:spacing w:after="0" w:line="120" w:lineRule="exact"/>
        <w:rPr>
          <w:b/>
          <w:sz w:val="10"/>
          <w:lang w:val="es-ES_tradnl"/>
        </w:rPr>
      </w:pPr>
      <w:bookmarkStart w:id="109" w:name="_Toc174011685"/>
      <w:bookmarkStart w:id="110" w:name="_Toc188598226"/>
      <w:bookmarkStart w:id="111" w:name="_Toc190357123"/>
      <w:bookmarkStart w:id="112" w:name="_Toc190878907"/>
    </w:p>
    <w:p w14:paraId="02390385" w14:textId="77777777" w:rsidR="00D073E4" w:rsidRPr="00195CF4" w:rsidRDefault="00D073E4" w:rsidP="005A470A">
      <w:pPr>
        <w:pStyle w:val="SingleTxt"/>
        <w:spacing w:after="0" w:line="120" w:lineRule="exact"/>
        <w:rPr>
          <w:b/>
          <w:sz w:val="10"/>
          <w:lang w:val="es-ES_tradnl"/>
        </w:rPr>
      </w:pPr>
    </w:p>
    <w:p w14:paraId="3E7AE07F" w14:textId="3BDB8B7C" w:rsidR="00627CAE" w:rsidRPr="00195CF4" w:rsidRDefault="00627CAE" w:rsidP="00D07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Prevención e intervención temprana</w:t>
      </w:r>
      <w:bookmarkEnd w:id="109"/>
      <w:bookmarkEnd w:id="110"/>
      <w:bookmarkEnd w:id="111"/>
      <w:bookmarkEnd w:id="112"/>
    </w:p>
    <w:p w14:paraId="68E046A3" w14:textId="77777777" w:rsidR="005A470A" w:rsidRPr="007C0DCB" w:rsidRDefault="005A470A" w:rsidP="00D073E4">
      <w:pPr>
        <w:pStyle w:val="SingleTxt"/>
        <w:spacing w:after="0" w:line="120" w:lineRule="exact"/>
        <w:rPr>
          <w:iCs/>
          <w:sz w:val="10"/>
          <w:lang w:val="es-ES_tradnl"/>
        </w:rPr>
      </w:pPr>
    </w:p>
    <w:p w14:paraId="4BBA5155" w14:textId="77777777" w:rsidR="00D073E4" w:rsidRPr="007C0DCB" w:rsidRDefault="00D073E4" w:rsidP="005A470A">
      <w:pPr>
        <w:pStyle w:val="SingleTxt"/>
        <w:spacing w:after="0" w:line="120" w:lineRule="exact"/>
        <w:rPr>
          <w:iCs/>
          <w:sz w:val="10"/>
          <w:lang w:val="es-ES_tradnl"/>
        </w:rPr>
      </w:pPr>
    </w:p>
    <w:p w14:paraId="0B0342CE" w14:textId="45791DAC" w:rsidR="00627CAE" w:rsidRPr="00627CAE" w:rsidRDefault="00627CAE" w:rsidP="00A02D7A">
      <w:pPr>
        <w:pStyle w:val="SingleTxt"/>
        <w:numPr>
          <w:ilvl w:val="0"/>
          <w:numId w:val="22"/>
        </w:numPr>
        <w:ind w:left="1267"/>
        <w:rPr>
          <w:lang w:val="es-ES_tradnl"/>
        </w:rPr>
      </w:pPr>
      <w:r w:rsidRPr="00627CAE">
        <w:rPr>
          <w:lang w:val="es-ES_tradnl"/>
        </w:rPr>
        <w:t>Entre los programas de prevención figuran:</w:t>
      </w:r>
    </w:p>
    <w:p w14:paraId="17268413" w14:textId="3F1C0215" w:rsidR="00627CAE" w:rsidRPr="00627CAE" w:rsidRDefault="00C77070" w:rsidP="00C77070">
      <w:pPr>
        <w:pStyle w:val="SingleTxt"/>
        <w:tabs>
          <w:tab w:val="right" w:pos="1685"/>
        </w:tabs>
        <w:ind w:left="1742" w:hanging="475"/>
        <w:rPr>
          <w:lang w:val="es-ES_tradnl"/>
        </w:rPr>
      </w:pPr>
      <w:r w:rsidRPr="007C0DCB">
        <w:rPr>
          <w:lang w:val="es-ES_tradnl"/>
        </w:rPr>
        <w:tab/>
        <w:t>•</w:t>
      </w:r>
      <w:r w:rsidR="00627CAE" w:rsidRPr="00627CAE">
        <w:rPr>
          <w:lang w:val="es-ES_tradnl"/>
        </w:rPr>
        <w:tab/>
        <w:t>La inversión realizada por el Gobierno en 2022-23 (cercana a los 185,8 millones de dólares) para financiar programas de intervención temprana, incluidos servicios especializados en violencia familiar, formación acreditada a nivel nacional para trabajadores de primera línea, servicios de asesoramiento para los hombres que recurren a la violencia y programas de apoyo a niños y adolescentes que han sido víctimas de la violencia familiar;</w:t>
      </w:r>
    </w:p>
    <w:p w14:paraId="3BA578F6" w14:textId="7993F05D" w:rsidR="00627CAE" w:rsidRPr="00627CAE" w:rsidRDefault="00C77070" w:rsidP="00C77070">
      <w:pPr>
        <w:pStyle w:val="SingleTxt"/>
        <w:tabs>
          <w:tab w:val="right" w:pos="1685"/>
        </w:tabs>
        <w:ind w:left="1742" w:hanging="475"/>
        <w:rPr>
          <w:lang w:val="es-ES_tradnl"/>
        </w:rPr>
      </w:pPr>
      <w:r w:rsidRPr="007C0DCB">
        <w:rPr>
          <w:lang w:val="es-ES_tradnl"/>
        </w:rPr>
        <w:tab/>
        <w:t>•</w:t>
      </w:r>
      <w:r w:rsidR="00627CAE" w:rsidRPr="00627CAE">
        <w:rPr>
          <w:lang w:val="es-ES_tradnl"/>
        </w:rPr>
        <w:tab/>
        <w:t>La inversión realizada por el Gobierno de 2023-24 a 2026-27 (cifrada en 8,5 millones de dólares) para financiar nuevas iniciativas de intervención temprana, como la ampliación del servicio MensLine Changing for Good o la creación de un directorio nacional de servicios para quienes cometen actos violentos, todo ello con el fin de mejorar la aceptación de los servicios de intervención;</w:t>
      </w:r>
    </w:p>
    <w:p w14:paraId="561E47B6" w14:textId="730B839B" w:rsidR="00627CAE" w:rsidRPr="00627CAE" w:rsidRDefault="00C77070" w:rsidP="00C77070">
      <w:pPr>
        <w:pStyle w:val="SingleTxt"/>
        <w:tabs>
          <w:tab w:val="right" w:pos="1685"/>
        </w:tabs>
        <w:ind w:left="1742" w:hanging="475"/>
        <w:rPr>
          <w:lang w:val="es-ES_tradnl"/>
        </w:rPr>
      </w:pPr>
      <w:r w:rsidRPr="007C0DCB">
        <w:rPr>
          <w:lang w:val="es-ES_tradnl"/>
        </w:rPr>
        <w:tab/>
        <w:t>•</w:t>
      </w:r>
      <w:r w:rsidR="00627CAE" w:rsidRPr="00627CAE">
        <w:rPr>
          <w:lang w:val="es-ES_tradnl"/>
        </w:rPr>
        <w:tab/>
        <w:t>La inversión del Gobierno (valorada en 10 millones de dólares) para ampliar las disposiciones relativas a la violencia familiar del Reglamento de Migración de 1994, de manera que se apliquen a la mayoría de las subclases de visados permanentes. Con las disposiciones relativas a la violencia familiar se pretende garantizar que quienes soliciten un visado no se sientan obligados a permanecer en una relación violenta para obtener un visado permanente;</w:t>
      </w:r>
    </w:p>
    <w:p w14:paraId="62B202DB" w14:textId="3FF1F062" w:rsidR="00627CAE" w:rsidRPr="00627CAE" w:rsidRDefault="00C77070" w:rsidP="00C77070">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El Gobierno se comprometió a destinar otros 6,1 millones de dólares en 2024-25 para seguir financiando el servicio de apoyo especializado en visados para </w:t>
      </w:r>
      <w:r w:rsidR="00627CAE" w:rsidRPr="00627CAE">
        <w:rPr>
          <w:lang w:val="es-ES_tradnl"/>
        </w:rPr>
        <w:lastRenderedPageBreak/>
        <w:t>las víctimas supervivientes de la violencia de género. Este servicio ayuda a las víctimas de la violencia familiar con visado a regularizar su tipo de visado;</w:t>
      </w:r>
    </w:p>
    <w:p w14:paraId="6224816B" w14:textId="77763679" w:rsidR="00627CAE" w:rsidRPr="00627CAE" w:rsidRDefault="00C77070" w:rsidP="00C77070">
      <w:pPr>
        <w:pStyle w:val="SingleTxt"/>
        <w:tabs>
          <w:tab w:val="right" w:pos="1685"/>
        </w:tabs>
        <w:ind w:left="1742" w:hanging="475"/>
        <w:rPr>
          <w:lang w:val="es-ES_tradnl"/>
        </w:rPr>
      </w:pPr>
      <w:r w:rsidRPr="007C0DCB">
        <w:rPr>
          <w:lang w:val="es-ES_tradnl"/>
        </w:rPr>
        <w:tab/>
        <w:t>•</w:t>
      </w:r>
      <w:r w:rsidR="00627CAE" w:rsidRPr="00627CAE">
        <w:rPr>
          <w:lang w:val="es-ES_tradnl"/>
        </w:rPr>
        <w:tab/>
        <w:t>En septiembre de 2024, las administraciones australianas acordaron, entre otras, las siguientes iniciativas para identificar mejor a los agresores de alto riesgo, compartir información entre jurisdicciones e intervenir antes para evitar que se produzca una escalada de la violencia:</w:t>
      </w:r>
    </w:p>
    <w:p w14:paraId="2D85DB5C" w14:textId="7297A479" w:rsidR="00627CAE" w:rsidRPr="00627CAE" w:rsidRDefault="00C77070" w:rsidP="00D073E4">
      <w:pPr>
        <w:pStyle w:val="SingleTxt"/>
        <w:ind w:left="2218" w:hanging="951"/>
        <w:rPr>
          <w:lang w:val="es-ES_tradnl"/>
        </w:rPr>
      </w:pPr>
      <w:r w:rsidRPr="007C0DCB">
        <w:rPr>
          <w:lang w:val="es-ES_tradnl"/>
        </w:rPr>
        <w:tab/>
      </w:r>
      <w:r w:rsidR="00541A7A" w:rsidRPr="007C0DCB">
        <w:rPr>
          <w:lang w:val="es-ES_tradnl"/>
        </w:rPr>
        <w:tab/>
      </w:r>
      <w:r w:rsidR="00627CAE" w:rsidRPr="00627CAE">
        <w:rPr>
          <w:lang w:val="es-ES_tradnl"/>
        </w:rPr>
        <w:t>i.</w:t>
      </w:r>
      <w:r w:rsidR="00627CAE" w:rsidRPr="00627CAE">
        <w:rPr>
          <w:lang w:val="es-ES_tradnl"/>
        </w:rPr>
        <w:tab/>
        <w:t>Los principios nacionales sobre mejores prácticas para evaluar el riesgo de violencia doméstica y un marco modelo de mejores prácticas para la evaluación de riesgos;</w:t>
      </w:r>
    </w:p>
    <w:p w14:paraId="033D2B12" w14:textId="0245FB21" w:rsidR="00627CAE" w:rsidRPr="00627CAE" w:rsidRDefault="00541A7A" w:rsidP="00D073E4">
      <w:pPr>
        <w:pStyle w:val="SingleTxt"/>
        <w:ind w:left="2218" w:hanging="951"/>
        <w:rPr>
          <w:lang w:val="es-ES_tradnl"/>
        </w:rPr>
      </w:pPr>
      <w:r w:rsidRPr="007C0DCB">
        <w:rPr>
          <w:lang w:val="es-ES_tradnl"/>
        </w:rPr>
        <w:tab/>
      </w:r>
      <w:r w:rsidRPr="007C0DCB">
        <w:rPr>
          <w:lang w:val="es-ES_tradnl"/>
        </w:rPr>
        <w:tab/>
      </w:r>
      <w:r w:rsidR="00627CAE" w:rsidRPr="00627CAE">
        <w:rPr>
          <w:lang w:val="es-ES_tradnl"/>
        </w:rPr>
        <w:t>ii.</w:t>
      </w:r>
      <w:r w:rsidR="00627CAE" w:rsidRPr="00627CAE">
        <w:rPr>
          <w:lang w:val="es-ES_tradnl"/>
        </w:rPr>
        <w:tab/>
        <w:t>La mejora de los sistemas nacionales de inteligencia criminal para facilitar el intercambio de información entre distintas jurisdicciones a fin de ayudar a la policía a tratar con los agresores de alto riesgo;</w:t>
      </w:r>
    </w:p>
    <w:p w14:paraId="5CAA126D" w14:textId="479CE706" w:rsidR="00627CAE" w:rsidRPr="00627CAE" w:rsidRDefault="00541A7A" w:rsidP="00D073E4">
      <w:pPr>
        <w:pStyle w:val="SingleTxt"/>
        <w:ind w:left="2218" w:hanging="951"/>
        <w:rPr>
          <w:lang w:val="es-ES_tradnl"/>
        </w:rPr>
      </w:pPr>
      <w:r w:rsidRPr="007C0DCB">
        <w:rPr>
          <w:lang w:val="es-ES_tradnl"/>
        </w:rPr>
        <w:tab/>
      </w:r>
      <w:r w:rsidRPr="007C0DCB">
        <w:rPr>
          <w:lang w:val="es-ES_tradnl"/>
        </w:rPr>
        <w:tab/>
      </w:r>
      <w:r w:rsidR="00627CAE" w:rsidRPr="00627CAE">
        <w:rPr>
          <w:lang w:val="es-ES_tradnl"/>
        </w:rPr>
        <w:t>iii.</w:t>
      </w:r>
      <w:r w:rsidR="00627CAE" w:rsidRPr="00627CAE">
        <w:rPr>
          <w:lang w:val="es-ES_tradnl"/>
        </w:rPr>
        <w:tab/>
        <w:t xml:space="preserve">Un mayor intercambio de información coherente a escala nacional entre los juzgados de familia y los tribunales estatales y territoriales, y los organismos de protección infantil, policiales y de armas de fuego; </w:t>
      </w:r>
    </w:p>
    <w:p w14:paraId="0391C4FB" w14:textId="6562384D" w:rsidR="00627CAE" w:rsidRPr="00627CAE" w:rsidRDefault="00541A7A" w:rsidP="00D073E4">
      <w:pPr>
        <w:pStyle w:val="SingleTxt"/>
        <w:ind w:left="2218" w:hanging="951"/>
        <w:rPr>
          <w:lang w:val="es-ES_tradnl"/>
        </w:rPr>
      </w:pPr>
      <w:r w:rsidRPr="007C0DCB">
        <w:rPr>
          <w:lang w:val="es-ES_tradnl"/>
        </w:rPr>
        <w:tab/>
      </w:r>
      <w:r w:rsidRPr="007C0DCB">
        <w:rPr>
          <w:lang w:val="es-ES_tradnl"/>
        </w:rPr>
        <w:tab/>
      </w:r>
      <w:r w:rsidR="00627CAE" w:rsidRPr="00627CAE">
        <w:rPr>
          <w:lang w:val="es-ES_tradnl"/>
        </w:rPr>
        <w:t>iv.</w:t>
      </w:r>
      <w:r w:rsidR="00627CAE" w:rsidRPr="00627CAE">
        <w:rPr>
          <w:lang w:val="es-ES_tradnl"/>
        </w:rPr>
        <w:tab/>
        <w:t>El fortalecimiento de la respuesta del sistema ante los agresores de alto riesgo para prevenir los homicidios, los modelos disuasorios para evitar la judicialización y los centros responsables de evaluar la amenaza de la violencia doméstica. La creación de centros que utilicen la inteligencia, vigilen a las personas e intervengan cuando el riesgo de homicidio sea elevado;</w:t>
      </w:r>
    </w:p>
    <w:p w14:paraId="0A3E9273" w14:textId="195342C9" w:rsidR="00627CAE" w:rsidRPr="00627CAE" w:rsidRDefault="00541A7A" w:rsidP="00541A7A">
      <w:pPr>
        <w:pStyle w:val="SingleTxt"/>
        <w:tabs>
          <w:tab w:val="right" w:pos="1685"/>
        </w:tabs>
        <w:ind w:left="1742" w:hanging="475"/>
        <w:rPr>
          <w:lang w:val="es-ES_tradnl"/>
        </w:rPr>
      </w:pPr>
      <w:r w:rsidRPr="007C0DCB">
        <w:rPr>
          <w:lang w:val="es-ES_tradnl"/>
        </w:rPr>
        <w:tab/>
        <w:t>•</w:t>
      </w:r>
      <w:r w:rsidR="00627CAE" w:rsidRPr="00627CAE">
        <w:rPr>
          <w:lang w:val="es-ES_tradnl"/>
        </w:rPr>
        <w:tab/>
        <w:t>La Estrategia de Nueva Gales del Sur para Prevenir la Violencia Doméstica, Familiar y Sexual (2024-2028) establece una serie de marcos para abordar las actitudes, normas sociales, prácticas y estructuras subyacentes que toleran o consienten que se ejerza la violencia contra las mujeres y los niños;</w:t>
      </w:r>
    </w:p>
    <w:p w14:paraId="1D850146" w14:textId="0C67E439" w:rsidR="00627CAE" w:rsidRPr="00627CAE" w:rsidRDefault="00541A7A" w:rsidP="00541A7A">
      <w:pPr>
        <w:pStyle w:val="SingleTxt"/>
        <w:tabs>
          <w:tab w:val="right" w:pos="1685"/>
        </w:tabs>
        <w:ind w:left="1742" w:hanging="475"/>
        <w:rPr>
          <w:lang w:val="es-ES_tradnl"/>
        </w:rPr>
      </w:pPr>
      <w:r w:rsidRPr="007C0DCB">
        <w:rPr>
          <w:lang w:val="es-ES_tradnl"/>
        </w:rPr>
        <w:tab/>
        <w:t>•</w:t>
      </w:r>
      <w:r w:rsidR="00627CAE" w:rsidRPr="00627CAE">
        <w:rPr>
          <w:lang w:val="es-ES_tradnl"/>
        </w:rPr>
        <w:tab/>
        <w:t>El Plan de Queensland para la prevención primaria de la violencia contra las mujeres (2024-2028), un plan quinquenal para abordar los factores que favorecen la violencia contra las mujeres y prevenir la violencia doméstica, familiar y sexual;</w:t>
      </w:r>
    </w:p>
    <w:p w14:paraId="128E9673" w14:textId="087B22BE" w:rsidR="00627CAE" w:rsidRPr="00627CAE" w:rsidRDefault="00541A7A" w:rsidP="00541A7A">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La Real Comisión sobre la Violencia Doméstica, Familiar y Sexual creada en Australia Meridional para estudiar la prevención, la intervención temprana, las respuestas, la recuperación y la sanación, y la coordinación entre organismos gubernamentales y no gubernamentales. </w:t>
      </w:r>
    </w:p>
    <w:p w14:paraId="05F43C33" w14:textId="77777777" w:rsidR="00541A7A" w:rsidRPr="00195CF4" w:rsidRDefault="00541A7A" w:rsidP="00D073E4">
      <w:pPr>
        <w:pStyle w:val="SingleTxt"/>
        <w:spacing w:after="0" w:line="120" w:lineRule="exact"/>
        <w:rPr>
          <w:b/>
          <w:sz w:val="10"/>
          <w:lang w:val="es-ES_tradnl"/>
        </w:rPr>
      </w:pPr>
      <w:bookmarkStart w:id="113" w:name="_Toc174011686"/>
      <w:bookmarkStart w:id="114" w:name="_Toc188598227"/>
      <w:bookmarkStart w:id="115" w:name="_Toc190357124"/>
      <w:bookmarkStart w:id="116" w:name="_Toc190878908"/>
    </w:p>
    <w:p w14:paraId="333E6AF7" w14:textId="77777777" w:rsidR="00D073E4" w:rsidRPr="00195CF4" w:rsidRDefault="00D073E4" w:rsidP="00541A7A">
      <w:pPr>
        <w:pStyle w:val="SingleTxt"/>
        <w:spacing w:after="0" w:line="120" w:lineRule="exact"/>
        <w:rPr>
          <w:b/>
          <w:sz w:val="10"/>
          <w:lang w:val="es-ES_tradnl"/>
        </w:rPr>
      </w:pPr>
    </w:p>
    <w:p w14:paraId="032E8037" w14:textId="01195C34" w:rsidR="00627CAE" w:rsidRPr="00195CF4" w:rsidRDefault="00627CAE" w:rsidP="00D073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Aplicar las conclusiones del informe del sistema nacional para el</w:t>
      </w:r>
      <w:r w:rsidR="00D073E4" w:rsidRPr="00195CF4">
        <w:rPr>
          <w:lang w:val="es-ES_tradnl"/>
        </w:rPr>
        <w:t> </w:t>
      </w:r>
      <w:r w:rsidRPr="00195CF4">
        <w:rPr>
          <w:lang w:val="es-ES_tradnl"/>
        </w:rPr>
        <w:t>examen de las muertes por violencia doméstica y familiar</w:t>
      </w:r>
      <w:bookmarkEnd w:id="113"/>
      <w:bookmarkEnd w:id="114"/>
      <w:bookmarkEnd w:id="115"/>
      <w:bookmarkEnd w:id="116"/>
    </w:p>
    <w:p w14:paraId="54C90444" w14:textId="77777777" w:rsidR="00541A7A" w:rsidRPr="007C0DCB" w:rsidRDefault="00541A7A" w:rsidP="00D073E4">
      <w:pPr>
        <w:pStyle w:val="SingleTxt"/>
        <w:spacing w:after="0" w:line="120" w:lineRule="exact"/>
        <w:rPr>
          <w:iCs/>
          <w:sz w:val="10"/>
          <w:lang w:val="es-ES_tradnl"/>
        </w:rPr>
      </w:pPr>
    </w:p>
    <w:p w14:paraId="4B31094C" w14:textId="77777777" w:rsidR="00D073E4" w:rsidRPr="007C0DCB" w:rsidRDefault="00D073E4" w:rsidP="00541A7A">
      <w:pPr>
        <w:pStyle w:val="SingleTxt"/>
        <w:spacing w:after="0" w:line="120" w:lineRule="exact"/>
        <w:rPr>
          <w:iCs/>
          <w:sz w:val="10"/>
          <w:lang w:val="es-ES_tradnl"/>
        </w:rPr>
      </w:pPr>
    </w:p>
    <w:p w14:paraId="29F96791" w14:textId="3167D5D8" w:rsidR="00627CAE" w:rsidRPr="00627CAE" w:rsidRDefault="00627CAE" w:rsidP="00A02D7A">
      <w:pPr>
        <w:pStyle w:val="SingleTxt"/>
        <w:numPr>
          <w:ilvl w:val="0"/>
          <w:numId w:val="22"/>
        </w:numPr>
        <w:ind w:left="1267"/>
        <w:rPr>
          <w:lang w:val="es-ES_tradnl"/>
        </w:rPr>
      </w:pPr>
      <w:r w:rsidRPr="00627CAE">
        <w:rPr>
          <w:lang w:val="es-ES_tradnl"/>
        </w:rPr>
        <w:t xml:space="preserve">Las administraciones australianas llevaron a cabo varias reformas atendiendo a las conclusiones del informe de 2016 de la Comisión Australiana de Derechos Humanos a raíz del examen del sistema nacional sobre las muertes por violencia doméstica y familiar. </w:t>
      </w:r>
    </w:p>
    <w:p w14:paraId="6006F83F" w14:textId="0559D4F0" w:rsidR="00627CAE" w:rsidRPr="00627CAE" w:rsidRDefault="00627CAE" w:rsidP="00A02D7A">
      <w:pPr>
        <w:pStyle w:val="SingleTxt"/>
        <w:numPr>
          <w:ilvl w:val="0"/>
          <w:numId w:val="22"/>
        </w:numPr>
        <w:ind w:left="1267"/>
        <w:rPr>
          <w:lang w:val="es-ES_tradnl"/>
        </w:rPr>
      </w:pPr>
      <w:r w:rsidRPr="00627CAE">
        <w:rPr>
          <w:lang w:val="es-ES_tradnl"/>
        </w:rPr>
        <w:t xml:space="preserve">Una de las metas del Marco de Resultados del Plan Nacional es reducir un 25 % al año la cifra de mujeres asesinadas por sus parejas. </w:t>
      </w:r>
    </w:p>
    <w:p w14:paraId="066E802D" w14:textId="633A7327" w:rsidR="00627CAE" w:rsidRPr="00627CAE" w:rsidRDefault="00627CAE" w:rsidP="00A02D7A">
      <w:pPr>
        <w:pStyle w:val="SingleTxt"/>
        <w:numPr>
          <w:ilvl w:val="0"/>
          <w:numId w:val="22"/>
        </w:numPr>
        <w:ind w:left="1267"/>
        <w:rPr>
          <w:lang w:val="es-ES_tradnl"/>
        </w:rPr>
      </w:pPr>
      <w:r w:rsidRPr="00627CAE">
        <w:rPr>
          <w:lang w:val="es-ES_tradnl"/>
        </w:rPr>
        <w:t>En el marco del Programa Nacional de Vigilancia de Homicidios, el Instituto Australiano de Criminología recopila datos a escala nacional sobre los casos de homicidio, las víctimas y los autores. El Gobierno introdujo el 26 de junio de 2024 un tablero estadístico nacional que facilita información puntual sobre las mujeres víctimas de homicidios cometidos por su pareja. El tablero se actualizará cada tres meses.</w:t>
      </w:r>
    </w:p>
    <w:p w14:paraId="5837F86A" w14:textId="54609494" w:rsidR="00627CAE" w:rsidRPr="00195CF4" w:rsidRDefault="00627CAE" w:rsidP="00C16B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17" w:name="_Toc174011687"/>
      <w:bookmarkStart w:id="118" w:name="_Toc190878909"/>
      <w:r w:rsidRPr="00195CF4">
        <w:rPr>
          <w:lang w:val="es-ES_tradnl"/>
        </w:rPr>
        <w:lastRenderedPageBreak/>
        <w:tab/>
      </w:r>
      <w:r w:rsidRPr="00195CF4">
        <w:rPr>
          <w:lang w:val="es-ES_tradnl"/>
        </w:rPr>
        <w:tab/>
        <w:t>Pregunta 10: Obligaciones extraterritoriales</w:t>
      </w:r>
      <w:bookmarkEnd w:id="117"/>
      <w:bookmarkEnd w:id="118"/>
    </w:p>
    <w:p w14:paraId="5E7E15CE" w14:textId="77777777" w:rsidR="00541A7A" w:rsidRPr="00195CF4" w:rsidRDefault="00541A7A" w:rsidP="00C16B18">
      <w:pPr>
        <w:pStyle w:val="SingleTxt"/>
        <w:spacing w:after="0" w:line="120" w:lineRule="exact"/>
        <w:rPr>
          <w:b/>
          <w:sz w:val="10"/>
          <w:lang w:val="es-ES_tradnl"/>
        </w:rPr>
      </w:pPr>
      <w:bookmarkStart w:id="119" w:name="_Toc174011688"/>
      <w:bookmarkStart w:id="120" w:name="_Toc188598229"/>
      <w:bookmarkStart w:id="121" w:name="_Toc190357126"/>
      <w:bookmarkStart w:id="122" w:name="_Toc190878910"/>
    </w:p>
    <w:p w14:paraId="694DA233" w14:textId="77777777" w:rsidR="00C16B18" w:rsidRPr="00195CF4" w:rsidRDefault="00C16B18" w:rsidP="00541A7A">
      <w:pPr>
        <w:pStyle w:val="SingleTxt"/>
        <w:spacing w:after="0" w:line="120" w:lineRule="exact"/>
        <w:rPr>
          <w:b/>
          <w:sz w:val="10"/>
          <w:lang w:val="es-ES_tradnl"/>
        </w:rPr>
      </w:pPr>
    </w:p>
    <w:p w14:paraId="7641F1F1" w14:textId="22DEF588" w:rsidR="00627CAE" w:rsidRPr="00195CF4" w:rsidRDefault="00627CAE" w:rsidP="00C16B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Plan de acción nacional sobre empresas y derechos humanos</w:t>
      </w:r>
      <w:bookmarkEnd w:id="119"/>
      <w:bookmarkEnd w:id="120"/>
      <w:bookmarkEnd w:id="121"/>
      <w:bookmarkEnd w:id="122"/>
    </w:p>
    <w:p w14:paraId="10271A71" w14:textId="77777777" w:rsidR="00541A7A" w:rsidRPr="007C0DCB" w:rsidRDefault="00541A7A" w:rsidP="00C16B18">
      <w:pPr>
        <w:pStyle w:val="SingleTxt"/>
        <w:spacing w:after="0" w:line="120" w:lineRule="exact"/>
        <w:rPr>
          <w:iCs/>
          <w:sz w:val="10"/>
          <w:lang w:val="es-ES_tradnl"/>
        </w:rPr>
      </w:pPr>
    </w:p>
    <w:p w14:paraId="5D7F5B63" w14:textId="77777777" w:rsidR="00C16B18" w:rsidRPr="007C0DCB" w:rsidRDefault="00C16B18" w:rsidP="00541A7A">
      <w:pPr>
        <w:pStyle w:val="SingleTxt"/>
        <w:spacing w:after="0" w:line="120" w:lineRule="exact"/>
        <w:rPr>
          <w:iCs/>
          <w:sz w:val="10"/>
          <w:lang w:val="es-ES_tradnl"/>
        </w:rPr>
      </w:pPr>
    </w:p>
    <w:p w14:paraId="5AEB98EB" w14:textId="3DDB4A31" w:rsidR="00627CAE" w:rsidRPr="00627CAE" w:rsidRDefault="00627CAE" w:rsidP="00A02D7A">
      <w:pPr>
        <w:pStyle w:val="SingleTxt"/>
        <w:numPr>
          <w:ilvl w:val="0"/>
          <w:numId w:val="22"/>
        </w:numPr>
        <w:ind w:left="1267"/>
        <w:rPr>
          <w:lang w:val="es-ES_tradnl"/>
        </w:rPr>
      </w:pPr>
      <w:r w:rsidRPr="00627CAE">
        <w:rPr>
          <w:lang w:val="es-ES_tradnl"/>
        </w:rPr>
        <w:t>Aunque Australia no está avanzando en este momento en la elaboración de un plan de acción nacional sobre empresas y derechos humanos, se centra en defender los Principios Rectores sobre las Empresas y los Derechos Humanos (Principios Rectores de las Naciones Unidas):</w:t>
      </w:r>
    </w:p>
    <w:p w14:paraId="1B565EA4" w14:textId="187D15F4" w:rsidR="00627CAE" w:rsidRPr="00627CAE" w:rsidRDefault="00541A7A" w:rsidP="00541A7A">
      <w:pPr>
        <w:pStyle w:val="SingleTxt"/>
        <w:tabs>
          <w:tab w:val="right" w:pos="1685"/>
        </w:tabs>
        <w:ind w:left="1742" w:hanging="475"/>
        <w:rPr>
          <w:lang w:val="es-ES_tradnl"/>
        </w:rPr>
      </w:pPr>
      <w:r w:rsidRPr="007C0DCB">
        <w:rPr>
          <w:lang w:val="es-ES_tradnl"/>
        </w:rPr>
        <w:tab/>
        <w:t>•</w:t>
      </w:r>
      <w:r w:rsidR="00627CAE" w:rsidRPr="00627CAE">
        <w:rPr>
          <w:lang w:val="es-ES_tradnl"/>
        </w:rPr>
        <w:tab/>
        <w:t>Australia fue uno de los patrocinadores de la resolución en virtud de la cual se adoptan los Principios Rectores de las Naciones Unidas y anima a las empresas a que se adhieran a esos principios en las operaciones que realicen dentro y fuera de Australia.</w:t>
      </w:r>
    </w:p>
    <w:p w14:paraId="0D1B3B2A" w14:textId="77777777" w:rsidR="00541A7A" w:rsidRPr="00195CF4" w:rsidRDefault="00541A7A" w:rsidP="00C16B18">
      <w:pPr>
        <w:pStyle w:val="SingleTxt"/>
        <w:spacing w:after="0" w:line="120" w:lineRule="exact"/>
        <w:rPr>
          <w:b/>
          <w:sz w:val="10"/>
          <w:lang w:val="es-ES_tradnl"/>
        </w:rPr>
      </w:pPr>
      <w:bookmarkStart w:id="123" w:name="_Toc174011689"/>
      <w:bookmarkStart w:id="124" w:name="_Toc188598230"/>
      <w:bookmarkStart w:id="125" w:name="_Toc190357127"/>
      <w:bookmarkStart w:id="126" w:name="_Toc190878911"/>
    </w:p>
    <w:p w14:paraId="67167757" w14:textId="77777777" w:rsidR="00C16B18" w:rsidRPr="00195CF4" w:rsidRDefault="00C16B18" w:rsidP="00541A7A">
      <w:pPr>
        <w:pStyle w:val="SingleTxt"/>
        <w:spacing w:after="0" w:line="120" w:lineRule="exact"/>
        <w:rPr>
          <w:b/>
          <w:sz w:val="10"/>
          <w:lang w:val="es-ES_tradnl"/>
        </w:rPr>
      </w:pPr>
    </w:p>
    <w:p w14:paraId="5B79894D" w14:textId="6A59DB58" w:rsidR="00627CAE" w:rsidRPr="00195CF4" w:rsidRDefault="00627CAE" w:rsidP="00C16B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Consentimiento fundamentado previo y libre de las mujeres indígenas antes de</w:t>
      </w:r>
      <w:r w:rsidR="00541A7A" w:rsidRPr="00195CF4">
        <w:rPr>
          <w:lang w:val="es-ES_tradnl"/>
        </w:rPr>
        <w:t> </w:t>
      </w:r>
      <w:r w:rsidRPr="00195CF4">
        <w:rPr>
          <w:lang w:val="es-ES_tradnl"/>
        </w:rPr>
        <w:t>aprobar proyectos de desarrollo e industria extractiva a gran escala</w:t>
      </w:r>
      <w:bookmarkEnd w:id="123"/>
      <w:bookmarkEnd w:id="124"/>
      <w:bookmarkEnd w:id="125"/>
      <w:bookmarkEnd w:id="126"/>
    </w:p>
    <w:p w14:paraId="2D531FBF" w14:textId="77777777" w:rsidR="00541A7A" w:rsidRPr="007C0DCB" w:rsidRDefault="00541A7A" w:rsidP="00C16B18">
      <w:pPr>
        <w:pStyle w:val="SingleTxt"/>
        <w:spacing w:after="0" w:line="120" w:lineRule="exact"/>
        <w:rPr>
          <w:iCs/>
          <w:sz w:val="10"/>
          <w:lang w:val="es-ES_tradnl"/>
        </w:rPr>
      </w:pPr>
    </w:p>
    <w:p w14:paraId="574B9015" w14:textId="77777777" w:rsidR="00C16B18" w:rsidRPr="007C0DCB" w:rsidRDefault="00C16B18" w:rsidP="00541A7A">
      <w:pPr>
        <w:pStyle w:val="SingleTxt"/>
        <w:spacing w:after="0" w:line="120" w:lineRule="exact"/>
        <w:rPr>
          <w:iCs/>
          <w:sz w:val="10"/>
          <w:lang w:val="es-ES_tradnl"/>
        </w:rPr>
      </w:pPr>
    </w:p>
    <w:p w14:paraId="60953300" w14:textId="414F0458" w:rsidR="00627CAE" w:rsidRPr="00627CAE" w:rsidRDefault="00627CAE" w:rsidP="00A02D7A">
      <w:pPr>
        <w:pStyle w:val="SingleTxt"/>
        <w:numPr>
          <w:ilvl w:val="0"/>
          <w:numId w:val="22"/>
        </w:numPr>
        <w:ind w:left="1267"/>
        <w:rPr>
          <w:lang w:val="es-ES_tradnl"/>
        </w:rPr>
      </w:pPr>
      <w:r w:rsidRPr="00627CAE">
        <w:rPr>
          <w:lang w:val="es-ES_tradnl"/>
        </w:rPr>
        <w:t>La Ley de Protección Ambiental y Conservación de la Biodiversidad de 1999 (Commonwealth) protege los lugares naturales, históricos o indígenas que constituyan parte del patrimonio nacional excepcional y reconoce el papel de los Pueblos Indígenas en la protección y el uso sostenible del medio ambiente, aplicando sus conocimientos con la cooperación de estos pueblos.</w:t>
      </w:r>
    </w:p>
    <w:p w14:paraId="56D273A5" w14:textId="1B6ED7B6" w:rsidR="00627CAE" w:rsidRPr="00627CAE" w:rsidRDefault="00627CAE" w:rsidP="00A02D7A">
      <w:pPr>
        <w:pStyle w:val="SingleTxt"/>
        <w:numPr>
          <w:ilvl w:val="0"/>
          <w:numId w:val="22"/>
        </w:numPr>
        <w:ind w:left="1267"/>
        <w:rPr>
          <w:lang w:val="es-ES_tradnl"/>
        </w:rPr>
      </w:pPr>
      <w:r w:rsidRPr="00627CAE">
        <w:rPr>
          <w:lang w:val="es-ES_tradnl"/>
        </w:rPr>
        <w:t xml:space="preserve">Según la Estrategia de Minerales Esenciales de Australia para 2023-2030, los beneficios derivados del crecimiento del sector de los minerales críticos del país se deben compartir con las comunidades indígenas en las que se desarrollen los proyectos y se han de determinar en función de los puntos fuertes y las aspiraciones de esas comunidades. Tanto las administraciones como el sector son responsables de avanzar colaborando en todo momento para lograr acuerdos y repartir los beneficios con las comunidades indígenas: </w:t>
      </w:r>
    </w:p>
    <w:p w14:paraId="62AB6951" w14:textId="6E52CE5F" w:rsidR="00627CAE" w:rsidRPr="00627CAE" w:rsidRDefault="00541A7A" w:rsidP="00541A7A">
      <w:pPr>
        <w:pStyle w:val="SingleTxt"/>
        <w:tabs>
          <w:tab w:val="right" w:pos="1685"/>
        </w:tabs>
        <w:ind w:left="1742" w:hanging="475"/>
        <w:rPr>
          <w:lang w:val="es-ES_tradnl"/>
        </w:rPr>
      </w:pPr>
      <w:r w:rsidRPr="007C0DCB">
        <w:rPr>
          <w:lang w:val="es-ES_tradnl"/>
        </w:rPr>
        <w:tab/>
        <w:t>•</w:t>
      </w:r>
      <w:r w:rsidR="00627CAE" w:rsidRPr="00627CAE">
        <w:rPr>
          <w:lang w:val="es-ES_tradnl"/>
        </w:rPr>
        <w:tab/>
        <w:t>Más del 60 % de los proyectos australianos de explotación de recursos se llevan a cabo en tierras reclamadas o declaradas propiedad de los nativos. A nivel nacional, los titulares nativos y los solicitantes de títulos nativos registrados tienen distintos derechos procesales (incluido el derecho a ser consultados o a negociar) respecto de los intereses mineros.</w:t>
      </w:r>
    </w:p>
    <w:p w14:paraId="64F4233D" w14:textId="1432D758" w:rsidR="00627CAE" w:rsidRPr="00627CAE" w:rsidRDefault="00541A7A" w:rsidP="00541A7A">
      <w:pPr>
        <w:pStyle w:val="SingleTxt"/>
        <w:tabs>
          <w:tab w:val="right" w:pos="1685"/>
        </w:tabs>
        <w:ind w:left="1742" w:hanging="475"/>
        <w:rPr>
          <w:lang w:val="es-ES_tradnl"/>
        </w:rPr>
      </w:pPr>
      <w:r w:rsidRPr="007C0DCB">
        <w:rPr>
          <w:lang w:val="es-ES_tradnl"/>
        </w:rPr>
        <w:tab/>
        <w:t>•</w:t>
      </w:r>
      <w:r w:rsidR="00627CAE" w:rsidRPr="00627CAE">
        <w:rPr>
          <w:lang w:val="es-ES_tradnl"/>
        </w:rPr>
        <w:tab/>
        <w:t>Aproximadamente el 50 % de la masa terrestre del Territorio del Norte y el 80</w:t>
      </w:r>
      <w:r w:rsidR="00C16B18" w:rsidRPr="007C0DCB">
        <w:rPr>
          <w:lang w:val="es-ES_tradnl"/>
        </w:rPr>
        <w:t> </w:t>
      </w:r>
      <w:r w:rsidR="00627CAE" w:rsidRPr="00627CAE">
        <w:rPr>
          <w:lang w:val="es-ES_tradnl"/>
        </w:rPr>
        <w:t xml:space="preserve">% de su litoral son tierras indígenas sujetas a la Ley de Derechos Territoriales Aborígenes de 1976 (Commonwealth). La Ley otorga el derecho de veto a los propietarios tradicionales en lo que respecta a la prospección y explotación minera en tierras indígenas. </w:t>
      </w:r>
    </w:p>
    <w:p w14:paraId="187E3E15" w14:textId="77777777" w:rsidR="00541A7A" w:rsidRPr="00195CF4" w:rsidRDefault="00541A7A" w:rsidP="00C16B18">
      <w:pPr>
        <w:pStyle w:val="SingleTxt"/>
        <w:spacing w:after="0" w:line="120" w:lineRule="exact"/>
        <w:rPr>
          <w:b/>
          <w:sz w:val="10"/>
          <w:lang w:val="es-ES_tradnl"/>
        </w:rPr>
      </w:pPr>
      <w:bookmarkStart w:id="127" w:name="_Toc174011690"/>
      <w:bookmarkStart w:id="128" w:name="_Toc188598231"/>
      <w:bookmarkStart w:id="129" w:name="_Toc190357128"/>
      <w:bookmarkStart w:id="130" w:name="_Toc190878912"/>
    </w:p>
    <w:p w14:paraId="1C2D26F0" w14:textId="77777777" w:rsidR="00C16B18" w:rsidRPr="00195CF4" w:rsidRDefault="00C16B18" w:rsidP="00541A7A">
      <w:pPr>
        <w:pStyle w:val="SingleTxt"/>
        <w:spacing w:after="0" w:line="120" w:lineRule="exact"/>
        <w:rPr>
          <w:b/>
          <w:sz w:val="10"/>
          <w:lang w:val="es-ES_tradnl"/>
        </w:rPr>
      </w:pPr>
    </w:p>
    <w:p w14:paraId="04F8BAB3" w14:textId="386D6642" w:rsidR="00627CAE" w:rsidRPr="00195CF4" w:rsidRDefault="00627CAE" w:rsidP="00C16B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Medidas adoptadas para investigar las vulneraciones de los derechos humanos de</w:t>
      </w:r>
      <w:r w:rsidR="00541A7A" w:rsidRPr="00195CF4">
        <w:rPr>
          <w:lang w:val="es-ES_tradnl"/>
        </w:rPr>
        <w:t> </w:t>
      </w:r>
      <w:r w:rsidRPr="00195CF4">
        <w:rPr>
          <w:lang w:val="es-ES_tradnl"/>
        </w:rPr>
        <w:t>la mujer por parte de las empresas</w:t>
      </w:r>
      <w:bookmarkEnd w:id="127"/>
      <w:bookmarkEnd w:id="128"/>
      <w:bookmarkEnd w:id="129"/>
      <w:bookmarkEnd w:id="130"/>
    </w:p>
    <w:p w14:paraId="6D07DFA1" w14:textId="77777777" w:rsidR="00541A7A" w:rsidRPr="007C0DCB" w:rsidRDefault="00541A7A" w:rsidP="00C16B18">
      <w:pPr>
        <w:pStyle w:val="SingleTxt"/>
        <w:spacing w:after="0" w:line="120" w:lineRule="exact"/>
        <w:rPr>
          <w:iCs/>
          <w:sz w:val="10"/>
          <w:lang w:val="es-ES_tradnl"/>
        </w:rPr>
      </w:pPr>
    </w:p>
    <w:p w14:paraId="760B3D69" w14:textId="77777777" w:rsidR="00C16B18" w:rsidRPr="007C0DCB" w:rsidRDefault="00C16B18" w:rsidP="00541A7A">
      <w:pPr>
        <w:pStyle w:val="SingleTxt"/>
        <w:spacing w:after="0" w:line="120" w:lineRule="exact"/>
        <w:rPr>
          <w:iCs/>
          <w:sz w:val="10"/>
          <w:lang w:val="es-ES_tradnl"/>
        </w:rPr>
      </w:pPr>
    </w:p>
    <w:p w14:paraId="551F08D8" w14:textId="2C60248F" w:rsidR="00627CAE" w:rsidRPr="00627CAE" w:rsidRDefault="00627CAE" w:rsidP="00A02D7A">
      <w:pPr>
        <w:pStyle w:val="SingleTxt"/>
        <w:numPr>
          <w:ilvl w:val="0"/>
          <w:numId w:val="22"/>
        </w:numPr>
        <w:ind w:left="1267"/>
        <w:rPr>
          <w:lang w:val="es-ES_tradnl"/>
        </w:rPr>
      </w:pPr>
      <w:r w:rsidRPr="00627CAE">
        <w:rPr>
          <w:lang w:val="es-ES_tradnl"/>
        </w:rPr>
        <w:t xml:space="preserve">Australia espera que las empresas multinacionales que operan en su territorio o en el extranjero se adhieran a las normas que figuran en las Líneas Directrices de la OCDE para Empresas Multinacionales sobre Conducta Empresarial Responsable. </w:t>
      </w:r>
    </w:p>
    <w:p w14:paraId="22A31991" w14:textId="73B82F8E" w:rsidR="00627CAE" w:rsidRPr="007C0DCB" w:rsidRDefault="00627CAE" w:rsidP="00A02D7A">
      <w:pPr>
        <w:pStyle w:val="SingleTxt"/>
        <w:numPr>
          <w:ilvl w:val="0"/>
          <w:numId w:val="22"/>
        </w:numPr>
        <w:ind w:left="1267"/>
        <w:rPr>
          <w:lang w:val="es-ES_tradnl"/>
        </w:rPr>
      </w:pPr>
      <w:r w:rsidRPr="00627CAE">
        <w:rPr>
          <w:lang w:val="es-ES_tradnl"/>
        </w:rPr>
        <w:t xml:space="preserve">El Gobierno cuenta con el punto de contacto nacional en materia de conducta empresarial responsable para resolver las quejas contra las empresas multinacionales como mecanismo de reclamación no judicial para las personas o comunidades cuyos derechos humanos se ven presuntamente perjudicados o que sufren otras </w:t>
      </w:r>
      <w:r w:rsidRPr="00627CAE">
        <w:rPr>
          <w:lang w:val="es-ES_tradnl"/>
        </w:rPr>
        <w:lastRenderedPageBreak/>
        <w:t>consecuencias negativas de las operaciones de esas empresas. Varias empresas australianas y multinacionales con sede en Australia han participado en este mecanismo de reclamación.</w:t>
      </w:r>
    </w:p>
    <w:p w14:paraId="324387A3" w14:textId="77777777" w:rsidR="00C16B18" w:rsidRPr="007C0DCB" w:rsidRDefault="00C16B18" w:rsidP="00C16B18">
      <w:pPr>
        <w:pStyle w:val="SingleTxt"/>
        <w:spacing w:after="0" w:line="120" w:lineRule="exact"/>
        <w:rPr>
          <w:sz w:val="10"/>
          <w:lang w:val="es-ES_tradnl"/>
        </w:rPr>
      </w:pPr>
    </w:p>
    <w:p w14:paraId="09EADF3D" w14:textId="77777777" w:rsidR="00C16B18" w:rsidRPr="007C0DCB" w:rsidRDefault="00C16B18" w:rsidP="00C16B18">
      <w:pPr>
        <w:pStyle w:val="SingleTxt"/>
        <w:spacing w:after="0" w:line="120" w:lineRule="exact"/>
        <w:rPr>
          <w:sz w:val="10"/>
          <w:lang w:val="es-ES_tradnl"/>
        </w:rPr>
      </w:pPr>
    </w:p>
    <w:p w14:paraId="66189402" w14:textId="7FC3E638" w:rsidR="00627CAE" w:rsidRPr="00195CF4" w:rsidRDefault="00627CAE" w:rsidP="00C16B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31" w:name="_Toc174011691"/>
      <w:bookmarkStart w:id="132" w:name="_Toc188598232"/>
      <w:bookmarkStart w:id="133" w:name="_Toc190357129"/>
      <w:bookmarkStart w:id="134" w:name="_Toc190878913"/>
      <w:r w:rsidRPr="00195CF4">
        <w:rPr>
          <w:lang w:val="es-ES_tradnl"/>
        </w:rPr>
        <w:tab/>
      </w:r>
      <w:r w:rsidRPr="00195CF4">
        <w:rPr>
          <w:lang w:val="es-ES_tradnl"/>
        </w:rPr>
        <w:tab/>
        <w:t>Indemnización y rehabilitación de las mujeres víctimas del</w:t>
      </w:r>
      <w:r w:rsidR="00C16B18" w:rsidRPr="00195CF4">
        <w:rPr>
          <w:lang w:val="es-ES_tradnl"/>
        </w:rPr>
        <w:t> </w:t>
      </w:r>
      <w:r w:rsidRPr="00195CF4">
        <w:rPr>
          <w:lang w:val="es-ES_tradnl"/>
        </w:rPr>
        <w:t>conflicto de</w:t>
      </w:r>
      <w:r w:rsidR="00541A7A" w:rsidRPr="00195CF4">
        <w:rPr>
          <w:lang w:val="es-ES_tradnl"/>
        </w:rPr>
        <w:t> </w:t>
      </w:r>
      <w:r w:rsidRPr="00195CF4">
        <w:rPr>
          <w:lang w:val="es-ES_tradnl"/>
        </w:rPr>
        <w:t>Bougainville</w:t>
      </w:r>
      <w:bookmarkEnd w:id="131"/>
      <w:bookmarkEnd w:id="132"/>
      <w:bookmarkEnd w:id="133"/>
      <w:bookmarkEnd w:id="134"/>
    </w:p>
    <w:p w14:paraId="235BFEA9" w14:textId="77777777" w:rsidR="00C16B18" w:rsidRPr="007C0DCB" w:rsidRDefault="00C16B18" w:rsidP="00C16B18">
      <w:pPr>
        <w:pStyle w:val="SingleTxt"/>
        <w:spacing w:after="0" w:line="120" w:lineRule="exact"/>
        <w:rPr>
          <w:sz w:val="10"/>
          <w:lang w:val="es-ES_tradnl"/>
        </w:rPr>
      </w:pPr>
    </w:p>
    <w:p w14:paraId="67466061" w14:textId="77777777" w:rsidR="00541A7A" w:rsidRPr="007C0DCB" w:rsidRDefault="00541A7A" w:rsidP="00541A7A">
      <w:pPr>
        <w:pStyle w:val="SingleTxt"/>
        <w:spacing w:after="0" w:line="120" w:lineRule="exact"/>
        <w:rPr>
          <w:iCs/>
          <w:sz w:val="10"/>
          <w:lang w:val="es-ES_tradnl"/>
        </w:rPr>
      </w:pPr>
    </w:p>
    <w:p w14:paraId="57F303BE" w14:textId="589294F3" w:rsidR="00627CAE" w:rsidRPr="00627CAE" w:rsidRDefault="00627CAE" w:rsidP="00A02D7A">
      <w:pPr>
        <w:pStyle w:val="SingleTxt"/>
        <w:numPr>
          <w:ilvl w:val="0"/>
          <w:numId w:val="22"/>
        </w:numPr>
        <w:ind w:left="1267"/>
        <w:rPr>
          <w:lang w:val="es-ES_tradnl"/>
        </w:rPr>
      </w:pPr>
      <w:r w:rsidRPr="00627CAE">
        <w:rPr>
          <w:lang w:val="es-ES_tradnl"/>
        </w:rPr>
        <w:t>Australia sigue apoyando las iniciativas de rehabilitación y consolidación de la paz en Bougainville, por ejemplo con servicios comunitarios de consolidación de la paz, solución de conflictos y asesoramiento a mujeres.</w:t>
      </w:r>
    </w:p>
    <w:p w14:paraId="68667E79" w14:textId="77777777" w:rsidR="00541A7A" w:rsidRPr="00195CF4" w:rsidRDefault="00541A7A" w:rsidP="004F1442">
      <w:pPr>
        <w:pStyle w:val="SingleTxt"/>
        <w:spacing w:after="0" w:line="120" w:lineRule="exact"/>
        <w:rPr>
          <w:b/>
          <w:sz w:val="10"/>
          <w:lang w:val="es-ES_tradnl"/>
        </w:rPr>
      </w:pPr>
      <w:bookmarkStart w:id="135" w:name="_Toc174011692"/>
      <w:bookmarkStart w:id="136" w:name="_Toc190878914"/>
    </w:p>
    <w:p w14:paraId="08BDB55A" w14:textId="77777777" w:rsidR="004F1442" w:rsidRPr="00195CF4" w:rsidRDefault="004F1442" w:rsidP="004F1442">
      <w:pPr>
        <w:pStyle w:val="SingleTxt"/>
        <w:spacing w:after="0" w:line="120" w:lineRule="exact"/>
        <w:rPr>
          <w:b/>
          <w:sz w:val="10"/>
          <w:lang w:val="es-ES_tradnl"/>
        </w:rPr>
      </w:pPr>
    </w:p>
    <w:p w14:paraId="20E362E5" w14:textId="235D517B" w:rsidR="00627CAE" w:rsidRPr="00195CF4" w:rsidRDefault="00627CAE" w:rsidP="004F14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Pregunta 11: Cambio climático y reducción del riesgo de</w:t>
      </w:r>
      <w:r w:rsidR="004F1442" w:rsidRPr="00195CF4">
        <w:rPr>
          <w:lang w:val="es-ES_tradnl"/>
        </w:rPr>
        <w:t> </w:t>
      </w:r>
      <w:r w:rsidRPr="00195CF4">
        <w:rPr>
          <w:lang w:val="es-ES_tradnl"/>
        </w:rPr>
        <w:t>desastres</w:t>
      </w:r>
      <w:bookmarkEnd w:id="135"/>
      <w:bookmarkEnd w:id="136"/>
    </w:p>
    <w:p w14:paraId="4B85639E" w14:textId="77777777" w:rsidR="00541A7A" w:rsidRPr="007C0DCB" w:rsidRDefault="00541A7A" w:rsidP="004F1442">
      <w:pPr>
        <w:pStyle w:val="SingleTxt"/>
        <w:spacing w:after="0" w:line="120" w:lineRule="exact"/>
        <w:rPr>
          <w:iCs/>
          <w:sz w:val="10"/>
          <w:lang w:val="es-ES_tradnl"/>
        </w:rPr>
      </w:pPr>
    </w:p>
    <w:p w14:paraId="304C3C0F" w14:textId="77777777" w:rsidR="004F1442" w:rsidRPr="007C0DCB" w:rsidRDefault="004F1442" w:rsidP="00541A7A">
      <w:pPr>
        <w:pStyle w:val="SingleTxt"/>
        <w:spacing w:after="0" w:line="120" w:lineRule="exact"/>
        <w:rPr>
          <w:iCs/>
          <w:sz w:val="10"/>
          <w:lang w:val="es-ES_tradnl"/>
        </w:rPr>
      </w:pPr>
    </w:p>
    <w:p w14:paraId="4E55C0FC" w14:textId="683F0602" w:rsidR="00627CAE" w:rsidRPr="00627CAE" w:rsidRDefault="00627CAE" w:rsidP="00A02D7A">
      <w:pPr>
        <w:pStyle w:val="SingleTxt"/>
        <w:numPr>
          <w:ilvl w:val="0"/>
          <w:numId w:val="22"/>
        </w:numPr>
        <w:ind w:left="1267"/>
        <w:rPr>
          <w:lang w:val="es-ES_tradnl"/>
        </w:rPr>
      </w:pPr>
      <w:r w:rsidRPr="00627CAE">
        <w:rPr>
          <w:lang w:val="es-ES_tradnl"/>
        </w:rPr>
        <w:t>Australia sigue comprometida con el Marco de Sendái para la Reducción del Riesgo de Desastres 2015-2030. El enfoque nacional de Australia para reducir el riesgo de desastres se rige por el Marco Nacional para la Reducción del Riesgo de Desastres y se aplica mediante los planes de acción nacionales. El Gobierno baraja diferentes opciones para aplicar en su territorio el Plan de Acción de Género para Facilitar la Implementación del Marco de Sendái para la Reducción del Riesgo de Desastres 2015-2030 (Marco de Sendái).</w:t>
      </w:r>
    </w:p>
    <w:p w14:paraId="4AD95C90" w14:textId="7FB3F9FC" w:rsidR="00627CAE" w:rsidRPr="00627CAE" w:rsidRDefault="00627CAE" w:rsidP="00A02D7A">
      <w:pPr>
        <w:pStyle w:val="SingleTxt"/>
        <w:numPr>
          <w:ilvl w:val="0"/>
          <w:numId w:val="22"/>
        </w:numPr>
        <w:ind w:left="1267"/>
        <w:rPr>
          <w:lang w:val="es-ES_tradnl"/>
        </w:rPr>
      </w:pPr>
      <w:r w:rsidRPr="00627CAE">
        <w:rPr>
          <w:lang w:val="es-ES_tradnl"/>
        </w:rPr>
        <w:t xml:space="preserve">Entre las iniciativas indígenas de éxito cabe destacar el Programa de Guardabosques Indígenas y el Programa de Zonas Protegidas Indígenas, que apoya la adaptación al clima y la mejora de la resiliencia utilizando los conocimientos tradicionales sobre la gestión de la tierra, el mar y el país. El Gobierno está duplicando el número de guardabosques indígenas para alcanzar los 3.800 en 2030, haciendo especial hincapié en aumentar la representación de mujeres de las Primeras Naciones. </w:t>
      </w:r>
    </w:p>
    <w:p w14:paraId="0FC0D210" w14:textId="763A639A" w:rsidR="00627CAE" w:rsidRPr="00627CAE" w:rsidRDefault="00627CAE" w:rsidP="00A02D7A">
      <w:pPr>
        <w:pStyle w:val="SingleTxt"/>
        <w:numPr>
          <w:ilvl w:val="0"/>
          <w:numId w:val="22"/>
        </w:numPr>
        <w:ind w:left="1267"/>
        <w:rPr>
          <w:lang w:val="es-ES_tradnl"/>
        </w:rPr>
      </w:pPr>
      <w:r w:rsidRPr="00627CAE">
        <w:rPr>
          <w:lang w:val="es-ES_tradnl"/>
        </w:rPr>
        <w:t>El Gobierno lleva a cabo en estos momentos la primera evaluación nacional de riesgos climáticos de Australia y un plan nacional de adaptación para comprender mejor los riesgos e impactos del clima en el país. Reconociendo que los efectos del cambio climático afectan de manera desproporcionada a las mujeres, el plan nacional de adaptación será sensible al género, participativo y totalmente transparente, y garantizará que la financiación de la adaptación al clima se destine para ayudar a los grupos en situación de vulnerabilidad.</w:t>
      </w:r>
    </w:p>
    <w:p w14:paraId="734769CE" w14:textId="164CC1E5" w:rsidR="00627CAE" w:rsidRPr="00627CAE" w:rsidRDefault="00627CAE" w:rsidP="00A02D7A">
      <w:pPr>
        <w:pStyle w:val="SingleTxt"/>
        <w:numPr>
          <w:ilvl w:val="0"/>
          <w:numId w:val="22"/>
        </w:numPr>
        <w:ind w:left="1267"/>
        <w:rPr>
          <w:lang w:val="es-ES_tradnl"/>
        </w:rPr>
      </w:pPr>
      <w:r w:rsidRPr="00627CAE">
        <w:rPr>
          <w:lang w:val="es-ES_tradnl"/>
        </w:rPr>
        <w:t xml:space="preserve">Publicada en diciembre de 2023, la Estrategia Nacional de Salud y Clima aspira a diseñar la gestión ambiental y la política de respuesta a los desastres junto con los Pueblos Indígenas, consciente de cómo las comunidades indígenas han cuidado del país empleando unos conocimientos adquiridos durante decenas de miles de años. </w:t>
      </w:r>
    </w:p>
    <w:p w14:paraId="15B2F44E" w14:textId="4A7E550B" w:rsidR="00627CAE" w:rsidRPr="00627CAE" w:rsidRDefault="00627CAE" w:rsidP="00A02D7A">
      <w:pPr>
        <w:pStyle w:val="SingleTxt"/>
        <w:numPr>
          <w:ilvl w:val="0"/>
          <w:numId w:val="22"/>
        </w:numPr>
        <w:ind w:left="1267"/>
        <w:rPr>
          <w:lang w:val="es-ES_tradnl"/>
        </w:rPr>
      </w:pPr>
      <w:r w:rsidRPr="00627CAE">
        <w:rPr>
          <w:lang w:val="es-ES_tradnl"/>
        </w:rPr>
        <w:t xml:space="preserve">El Gobierno legisló en 2022 los objetivos de reducción de emisiones de gases de efecto invernadero de Australia para alcanzar las emisiones netas cero en 2050 y situarlas de cara a 2030 un 43 % por debajo de los niveles de 2005. El Gobierno se ha comprometido a elaborar un plan de emisiones netas cero que describa la manera en que Australia llevará a cabo su transición hacia una economía de emisiones netas cero, en consonancia con sus compromisos internacionales y nacionales. </w:t>
      </w:r>
    </w:p>
    <w:p w14:paraId="0D53208B" w14:textId="3575178C" w:rsidR="00627CAE" w:rsidRPr="00627CAE" w:rsidRDefault="00627CAE" w:rsidP="00A02D7A">
      <w:pPr>
        <w:pStyle w:val="SingleTxt"/>
        <w:numPr>
          <w:ilvl w:val="0"/>
          <w:numId w:val="22"/>
        </w:numPr>
        <w:ind w:left="1267"/>
        <w:rPr>
          <w:lang w:val="es-ES_tradnl"/>
        </w:rPr>
      </w:pPr>
      <w:r w:rsidRPr="00627CAE">
        <w:rPr>
          <w:lang w:val="es-ES_tradnl"/>
        </w:rPr>
        <w:t xml:space="preserve">El Gobierno defiende la igualdad de género participando en la campaña internacional </w:t>
      </w:r>
      <w:r w:rsidR="00285E6B">
        <w:rPr>
          <w:lang w:val="es-ES_tradnl"/>
        </w:rPr>
        <w:t>“</w:t>
      </w:r>
      <w:r w:rsidRPr="00627CAE">
        <w:rPr>
          <w:lang w:val="es-ES_tradnl"/>
        </w:rPr>
        <w:t>Equal by 30</w:t>
      </w:r>
      <w:r w:rsidR="00285E6B">
        <w:rPr>
          <w:lang w:val="es-ES_tradnl"/>
        </w:rPr>
        <w:t>”</w:t>
      </w:r>
      <w:r w:rsidRPr="00627CAE">
        <w:rPr>
          <w:lang w:val="es-ES_tradnl"/>
        </w:rPr>
        <w:t xml:space="preserve"> (</w:t>
      </w:r>
      <w:r w:rsidR="00285E6B">
        <w:rPr>
          <w:lang w:val="es-ES_tradnl"/>
        </w:rPr>
        <w:t>“</w:t>
      </w:r>
      <w:r w:rsidRPr="00627CAE">
        <w:rPr>
          <w:lang w:val="es-ES_tradnl"/>
        </w:rPr>
        <w:t>Iguales de cara a 2030</w:t>
      </w:r>
      <w:r w:rsidR="00285E6B">
        <w:rPr>
          <w:lang w:val="es-ES_tradnl"/>
        </w:rPr>
        <w:t>”</w:t>
      </w:r>
      <w:r w:rsidRPr="00627CAE">
        <w:rPr>
          <w:lang w:val="es-ES_tradnl"/>
        </w:rPr>
        <w:t xml:space="preserve">). Tras consultar con la administración y el sector, el Gobierno asumió otros cinco compromisos en el marco de la iniciativa </w:t>
      </w:r>
      <w:r w:rsidR="00285E6B">
        <w:rPr>
          <w:lang w:val="es-ES_tradnl"/>
        </w:rPr>
        <w:t>“</w:t>
      </w:r>
      <w:r w:rsidRPr="00627CAE">
        <w:rPr>
          <w:lang w:val="es-ES_tradnl"/>
        </w:rPr>
        <w:t>Equal by 30</w:t>
      </w:r>
      <w:r w:rsidR="00285E6B">
        <w:rPr>
          <w:lang w:val="es-ES_tradnl"/>
        </w:rPr>
        <w:t>”</w:t>
      </w:r>
      <w:r w:rsidRPr="00627CAE">
        <w:rPr>
          <w:lang w:val="es-ES_tradnl"/>
        </w:rPr>
        <w:t xml:space="preserve">, entre otros la creación de un centro de mujeres en el sector de los recursos energéticos y una mesa redonda de mujeres australianas sobre </w:t>
      </w:r>
      <w:r w:rsidRPr="00627CAE">
        <w:rPr>
          <w:lang w:val="es-ES_tradnl"/>
        </w:rPr>
        <w:lastRenderedPageBreak/>
        <w:t xml:space="preserve">la energía, para que el sector comparta iniciativas y políticas que permitan acelerar la participación de las mujeres trabajadoras en el sector de la energía limpia. </w:t>
      </w:r>
    </w:p>
    <w:p w14:paraId="49141D8E" w14:textId="231088C3" w:rsidR="00627CAE" w:rsidRPr="00627CAE" w:rsidRDefault="00627CAE" w:rsidP="00A02D7A">
      <w:pPr>
        <w:pStyle w:val="SingleTxt"/>
        <w:numPr>
          <w:ilvl w:val="0"/>
          <w:numId w:val="22"/>
        </w:numPr>
        <w:ind w:left="1267"/>
        <w:rPr>
          <w:lang w:val="es-ES_tradnl"/>
        </w:rPr>
      </w:pPr>
      <w:r w:rsidRPr="00627CAE">
        <w:rPr>
          <w:lang w:val="es-ES_tradnl"/>
        </w:rPr>
        <w:t>El objetivo principal de la agenda para el desarrollo internacional de Australia es lograr la igualdad de género en toda la región indopacífica para promover el liderazgo de las mujeres en la mitigación del cambio climático, la adaptación, la reducción del riesgo de desastres y la resiliencia.</w:t>
      </w:r>
    </w:p>
    <w:p w14:paraId="23BEBF1B" w14:textId="5D0DEFA2" w:rsidR="00627CAE" w:rsidRPr="00627CAE" w:rsidRDefault="00627CAE" w:rsidP="00A02D7A">
      <w:pPr>
        <w:pStyle w:val="SingleTxt"/>
        <w:numPr>
          <w:ilvl w:val="0"/>
          <w:numId w:val="22"/>
        </w:numPr>
        <w:ind w:left="1267"/>
        <w:rPr>
          <w:lang w:val="es-ES_tradnl"/>
        </w:rPr>
      </w:pPr>
      <w:r w:rsidRPr="00627CAE">
        <w:rPr>
          <w:lang w:val="es-ES_tradnl"/>
        </w:rPr>
        <w:t xml:space="preserve">Las inversiones que superen los tres millones de dólares deben marcarse un objetivo de género y, a partir de 2024-25, el 50 % de las nuevas inversiones deberán fijarse un objetivo relacionado con el clima. </w:t>
      </w:r>
    </w:p>
    <w:p w14:paraId="26AD691E" w14:textId="77777777" w:rsidR="00541A7A" w:rsidRPr="00195CF4" w:rsidRDefault="00541A7A" w:rsidP="004F1442">
      <w:pPr>
        <w:pStyle w:val="SingleTxt"/>
        <w:spacing w:after="0" w:line="120" w:lineRule="exact"/>
        <w:rPr>
          <w:b/>
          <w:sz w:val="10"/>
          <w:lang w:val="es-ES_tradnl"/>
        </w:rPr>
      </w:pPr>
      <w:bookmarkStart w:id="137" w:name="_Toc174011693"/>
      <w:bookmarkStart w:id="138" w:name="_Toc190878915"/>
    </w:p>
    <w:p w14:paraId="31767068" w14:textId="77777777" w:rsidR="004F1442" w:rsidRPr="00195CF4" w:rsidRDefault="004F1442" w:rsidP="00541A7A">
      <w:pPr>
        <w:pStyle w:val="SingleTxt"/>
        <w:spacing w:after="0" w:line="120" w:lineRule="exact"/>
        <w:rPr>
          <w:b/>
          <w:sz w:val="10"/>
          <w:lang w:val="es-ES_tradnl"/>
        </w:rPr>
      </w:pPr>
    </w:p>
    <w:p w14:paraId="67B64593" w14:textId="7AAF005A" w:rsidR="00627CAE" w:rsidRPr="00195CF4" w:rsidRDefault="00627CAE" w:rsidP="004F14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Pregunta 12: Trata y explotación de la prostitución</w:t>
      </w:r>
      <w:bookmarkEnd w:id="137"/>
      <w:bookmarkEnd w:id="138"/>
    </w:p>
    <w:p w14:paraId="0FFD9E9E" w14:textId="77777777" w:rsidR="00541A7A" w:rsidRPr="00195CF4" w:rsidRDefault="00541A7A" w:rsidP="004F1442">
      <w:pPr>
        <w:pStyle w:val="SingleTxt"/>
        <w:spacing w:after="0" w:line="120" w:lineRule="exact"/>
        <w:rPr>
          <w:b/>
          <w:sz w:val="10"/>
          <w:lang w:val="es-ES_tradnl"/>
        </w:rPr>
      </w:pPr>
      <w:bookmarkStart w:id="139" w:name="_Toc174011694"/>
      <w:bookmarkStart w:id="140" w:name="_Toc188598235"/>
      <w:bookmarkStart w:id="141" w:name="_Toc190357132"/>
      <w:bookmarkStart w:id="142" w:name="_Toc190878916"/>
    </w:p>
    <w:p w14:paraId="5284E3EB" w14:textId="77777777" w:rsidR="004F1442" w:rsidRPr="00195CF4" w:rsidRDefault="004F1442" w:rsidP="00541A7A">
      <w:pPr>
        <w:pStyle w:val="SingleTxt"/>
        <w:spacing w:after="0" w:line="120" w:lineRule="exact"/>
        <w:rPr>
          <w:b/>
          <w:sz w:val="10"/>
          <w:lang w:val="es-ES_tradnl"/>
        </w:rPr>
      </w:pPr>
    </w:p>
    <w:p w14:paraId="5697FF47" w14:textId="55535D7A" w:rsidR="00627CAE" w:rsidRPr="00195CF4" w:rsidRDefault="00627CAE" w:rsidP="004F14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195CF4">
        <w:rPr>
          <w:lang w:val="es-ES_tradnl"/>
        </w:rPr>
        <w:tab/>
      </w:r>
      <w:r w:rsidRPr="00195CF4">
        <w:rPr>
          <w:lang w:val="es-ES_tradnl"/>
        </w:rPr>
        <w:tab/>
        <w:t>Investigaciones, enjuiciamientos, condenas y penas impuestas a los tratantes de</w:t>
      </w:r>
      <w:r w:rsidR="00541A7A" w:rsidRPr="00195CF4">
        <w:rPr>
          <w:lang w:val="es-ES_tradnl"/>
        </w:rPr>
        <w:t> </w:t>
      </w:r>
      <w:r w:rsidRPr="00195CF4">
        <w:rPr>
          <w:lang w:val="es-ES_tradnl"/>
        </w:rPr>
        <w:t>personas</w:t>
      </w:r>
      <w:bookmarkEnd w:id="139"/>
      <w:bookmarkEnd w:id="140"/>
      <w:bookmarkEnd w:id="141"/>
      <w:bookmarkEnd w:id="142"/>
    </w:p>
    <w:p w14:paraId="36BBB871" w14:textId="77777777" w:rsidR="00541A7A" w:rsidRPr="007C0DCB" w:rsidRDefault="00541A7A" w:rsidP="004F1442">
      <w:pPr>
        <w:pStyle w:val="SingleTxt"/>
        <w:spacing w:after="0" w:line="120" w:lineRule="exact"/>
        <w:rPr>
          <w:iCs/>
          <w:sz w:val="10"/>
          <w:lang w:val="es-ES_tradnl"/>
        </w:rPr>
      </w:pPr>
    </w:p>
    <w:p w14:paraId="746DFE7D" w14:textId="77777777" w:rsidR="004F1442" w:rsidRPr="007C0DCB" w:rsidRDefault="004F1442" w:rsidP="00541A7A">
      <w:pPr>
        <w:pStyle w:val="SingleTxt"/>
        <w:spacing w:after="0" w:line="120" w:lineRule="exact"/>
        <w:rPr>
          <w:iCs/>
          <w:sz w:val="10"/>
          <w:lang w:val="es-ES_tradnl"/>
        </w:rPr>
      </w:pPr>
    </w:p>
    <w:p w14:paraId="20292FB2" w14:textId="7BA87E9B" w:rsidR="00627CAE" w:rsidRPr="00627CAE" w:rsidRDefault="00627CAE" w:rsidP="00A02D7A">
      <w:pPr>
        <w:pStyle w:val="SingleTxt"/>
        <w:numPr>
          <w:ilvl w:val="0"/>
          <w:numId w:val="22"/>
        </w:numPr>
        <w:ind w:left="1267"/>
        <w:rPr>
          <w:lang w:val="es-ES_tradnl"/>
        </w:rPr>
      </w:pPr>
      <w:r w:rsidRPr="00627CAE">
        <w:rPr>
          <w:lang w:val="es-ES_tradnl"/>
        </w:rPr>
        <w:t>Las leyes australianas que tipifican como delito la trata de personas y otras formas contemporáneas de esclavitud figuran en las secciones 270 y 271 del Código Penal.</w:t>
      </w:r>
    </w:p>
    <w:p w14:paraId="67177E87" w14:textId="77777777" w:rsidR="00627CAE" w:rsidRPr="007C0DCB" w:rsidRDefault="00627CAE" w:rsidP="00541A7A">
      <w:pPr>
        <w:pStyle w:val="SingleTxt"/>
        <w:rPr>
          <w:lang w:val="es-ES_tradnl"/>
        </w:rPr>
      </w:pPr>
      <w:r w:rsidRPr="00627CAE">
        <w:rPr>
          <w:lang w:val="es-ES_tradnl"/>
        </w:rPr>
        <w:t>La Policía Federal Australiana recibe denuncias de casos de trata de personas, todas examinadas e investigadas. Desglose de los casos remitidos según el delito.</w:t>
      </w:r>
    </w:p>
    <w:p w14:paraId="2ECD65FA" w14:textId="77777777" w:rsidR="00541A7A" w:rsidRPr="007C0DCB" w:rsidRDefault="00541A7A" w:rsidP="00541A7A">
      <w:pPr>
        <w:pStyle w:val="SingleTxt"/>
        <w:spacing w:after="0" w:line="120" w:lineRule="exact"/>
        <w:rPr>
          <w:sz w:val="10"/>
          <w:lang w:val="es-ES_tradnl"/>
        </w:rPr>
      </w:pPr>
    </w:p>
    <w:tbl>
      <w:tblPr>
        <w:tblW w:w="7322" w:type="dxa"/>
        <w:tblInd w:w="1267" w:type="dxa"/>
        <w:tblLayout w:type="fixed"/>
        <w:tblCellMar>
          <w:left w:w="0" w:type="dxa"/>
          <w:right w:w="0" w:type="dxa"/>
        </w:tblCellMar>
        <w:tblLook w:val="04A0" w:firstRow="1" w:lastRow="0" w:firstColumn="1" w:lastColumn="0" w:noHBand="0" w:noVBand="1"/>
      </w:tblPr>
      <w:tblGrid>
        <w:gridCol w:w="1793"/>
        <w:gridCol w:w="921"/>
        <w:gridCol w:w="922"/>
        <w:gridCol w:w="921"/>
        <w:gridCol w:w="922"/>
        <w:gridCol w:w="921"/>
        <w:gridCol w:w="922"/>
      </w:tblGrid>
      <w:tr w:rsidR="00541A7A" w:rsidRPr="007C0DCB" w14:paraId="38D9FCBE" w14:textId="77777777" w:rsidTr="00541A7A">
        <w:trPr>
          <w:tblHeader/>
        </w:trPr>
        <w:tc>
          <w:tcPr>
            <w:tcW w:w="1793"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171C2E89" w14:textId="0AEEE19A" w:rsidR="00541A7A" w:rsidRPr="007C0DCB" w:rsidRDefault="00541A7A" w:rsidP="00541A7A">
            <w:pPr>
              <w:pStyle w:val="SingleTxt"/>
              <w:spacing w:before="81" w:after="81" w:line="160" w:lineRule="exact"/>
              <w:ind w:left="-101" w:right="43"/>
              <w:jc w:val="left"/>
              <w:rPr>
                <w:i/>
                <w:sz w:val="14"/>
                <w:szCs w:val="14"/>
                <w:lang w:val="es-ES_tradnl"/>
              </w:rPr>
            </w:pPr>
            <w:r w:rsidRPr="00195CF4">
              <w:rPr>
                <w:i/>
                <w:iCs/>
                <w:sz w:val="14"/>
                <w:szCs w:val="14"/>
                <w:lang w:val="es-ES_tradnl"/>
              </w:rPr>
              <w:t>Casos enviados</w:t>
            </w:r>
            <w:r w:rsidRPr="007C0DCB">
              <w:rPr>
                <w:color w:val="000000"/>
                <w:sz w:val="14"/>
                <w:szCs w:val="14"/>
                <w:lang w:val="es-ES_tradnl"/>
              </w:rPr>
              <w:t xml:space="preserve"> </w:t>
            </w:r>
          </w:p>
        </w:tc>
        <w:tc>
          <w:tcPr>
            <w:tcW w:w="921" w:type="dxa"/>
            <w:tcBorders>
              <w:top w:val="single" w:sz="4" w:space="0" w:color="auto"/>
              <w:bottom w:val="single" w:sz="12" w:space="0" w:color="auto"/>
            </w:tcBorders>
            <w:shd w:val="clear" w:color="auto" w:fill="auto"/>
            <w:vAlign w:val="bottom"/>
          </w:tcPr>
          <w:p w14:paraId="2F31EC14" w14:textId="1906E140" w:rsidR="00541A7A" w:rsidRPr="007C0DCB" w:rsidRDefault="00541A7A" w:rsidP="00541A7A">
            <w:pPr>
              <w:pStyle w:val="SingleTxt"/>
              <w:spacing w:before="81" w:after="81" w:line="160" w:lineRule="exact"/>
              <w:ind w:left="144" w:right="40"/>
              <w:jc w:val="right"/>
              <w:rPr>
                <w:i/>
                <w:sz w:val="14"/>
                <w:szCs w:val="14"/>
                <w:lang w:val="es-ES_tradnl"/>
              </w:rPr>
            </w:pPr>
            <w:r w:rsidRPr="00195CF4">
              <w:rPr>
                <w:i/>
                <w:iCs/>
                <w:sz w:val="14"/>
                <w:szCs w:val="14"/>
                <w:lang w:val="es-ES_tradnl"/>
              </w:rPr>
              <w:t>Ejercicio 2018-19</w:t>
            </w:r>
          </w:p>
        </w:tc>
        <w:tc>
          <w:tcPr>
            <w:tcW w:w="922" w:type="dxa"/>
            <w:tcBorders>
              <w:top w:val="single" w:sz="4" w:space="0" w:color="auto"/>
              <w:bottom w:val="single" w:sz="12" w:space="0" w:color="auto"/>
            </w:tcBorders>
            <w:shd w:val="clear" w:color="auto" w:fill="auto"/>
            <w:vAlign w:val="bottom"/>
          </w:tcPr>
          <w:p w14:paraId="293A787C" w14:textId="5E8CD087" w:rsidR="00541A7A" w:rsidRPr="007C0DCB" w:rsidRDefault="00541A7A" w:rsidP="00541A7A">
            <w:pPr>
              <w:pStyle w:val="SingleTxt"/>
              <w:spacing w:before="81" w:after="81" w:line="160" w:lineRule="exact"/>
              <w:ind w:left="144" w:right="40"/>
              <w:jc w:val="right"/>
              <w:rPr>
                <w:i/>
                <w:sz w:val="14"/>
                <w:szCs w:val="14"/>
                <w:lang w:val="es-ES_tradnl"/>
              </w:rPr>
            </w:pPr>
            <w:r w:rsidRPr="00195CF4">
              <w:rPr>
                <w:i/>
                <w:iCs/>
                <w:sz w:val="14"/>
                <w:szCs w:val="14"/>
                <w:lang w:val="es-ES_tradnl"/>
              </w:rPr>
              <w:t>Ejercicio 2019-20</w:t>
            </w:r>
          </w:p>
        </w:tc>
        <w:tc>
          <w:tcPr>
            <w:tcW w:w="921" w:type="dxa"/>
            <w:tcBorders>
              <w:top w:val="single" w:sz="4" w:space="0" w:color="auto"/>
              <w:bottom w:val="single" w:sz="12" w:space="0" w:color="auto"/>
            </w:tcBorders>
            <w:shd w:val="clear" w:color="auto" w:fill="auto"/>
            <w:vAlign w:val="bottom"/>
            <w:hideMark/>
          </w:tcPr>
          <w:p w14:paraId="432CEFE2" w14:textId="453296C5" w:rsidR="00541A7A" w:rsidRPr="007C0DCB" w:rsidRDefault="00541A7A" w:rsidP="00541A7A">
            <w:pPr>
              <w:pStyle w:val="SingleTxt"/>
              <w:spacing w:before="81" w:after="81" w:line="160" w:lineRule="exact"/>
              <w:ind w:left="144" w:right="40"/>
              <w:jc w:val="right"/>
              <w:rPr>
                <w:i/>
                <w:sz w:val="14"/>
                <w:szCs w:val="14"/>
                <w:lang w:val="es-ES_tradnl"/>
              </w:rPr>
            </w:pPr>
            <w:r w:rsidRPr="00195CF4">
              <w:rPr>
                <w:i/>
                <w:iCs/>
                <w:sz w:val="14"/>
                <w:szCs w:val="14"/>
                <w:lang w:val="es-ES_tradnl"/>
              </w:rPr>
              <w:t>Ejercicio 2020-21</w:t>
            </w:r>
          </w:p>
        </w:tc>
        <w:tc>
          <w:tcPr>
            <w:tcW w:w="922"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2DFB8BD7" w14:textId="58CC0A93" w:rsidR="00541A7A" w:rsidRPr="007C0DCB" w:rsidRDefault="00541A7A" w:rsidP="00541A7A">
            <w:pPr>
              <w:pStyle w:val="SingleTxt"/>
              <w:spacing w:before="81" w:after="81" w:line="160" w:lineRule="exact"/>
              <w:ind w:left="-81" w:right="0"/>
              <w:jc w:val="right"/>
              <w:rPr>
                <w:i/>
                <w:sz w:val="14"/>
                <w:szCs w:val="14"/>
                <w:lang w:val="es-ES_tradnl"/>
              </w:rPr>
            </w:pPr>
            <w:r w:rsidRPr="00195CF4">
              <w:rPr>
                <w:i/>
                <w:iCs/>
                <w:sz w:val="14"/>
                <w:szCs w:val="14"/>
                <w:lang w:val="es-ES_tradnl"/>
              </w:rPr>
              <w:t>Ejercicio 2021-22</w:t>
            </w:r>
          </w:p>
        </w:tc>
        <w:tc>
          <w:tcPr>
            <w:tcW w:w="921" w:type="dxa"/>
            <w:tcBorders>
              <w:top w:val="single" w:sz="4" w:space="0" w:color="auto"/>
              <w:bottom w:val="single" w:sz="12" w:space="0" w:color="auto"/>
            </w:tcBorders>
            <w:shd w:val="clear" w:color="auto" w:fill="auto"/>
            <w:vAlign w:val="bottom"/>
            <w:hideMark/>
          </w:tcPr>
          <w:p w14:paraId="26308FAC" w14:textId="79B185AB" w:rsidR="00541A7A" w:rsidRPr="007C0DCB" w:rsidRDefault="00541A7A" w:rsidP="00541A7A">
            <w:pPr>
              <w:pStyle w:val="SingleTxt"/>
              <w:spacing w:before="81" w:after="81" w:line="160" w:lineRule="exact"/>
              <w:ind w:left="144" w:right="40"/>
              <w:jc w:val="right"/>
              <w:rPr>
                <w:bCs/>
                <w:i/>
                <w:sz w:val="14"/>
                <w:szCs w:val="14"/>
                <w:lang w:val="es-ES_tradnl"/>
              </w:rPr>
            </w:pPr>
            <w:r w:rsidRPr="00195CF4">
              <w:rPr>
                <w:i/>
                <w:iCs/>
                <w:sz w:val="14"/>
                <w:szCs w:val="14"/>
                <w:lang w:val="es-ES_tradnl"/>
              </w:rPr>
              <w:t>Ejercicio 2022-23</w:t>
            </w:r>
          </w:p>
        </w:tc>
        <w:tc>
          <w:tcPr>
            <w:tcW w:w="922" w:type="dxa"/>
            <w:tcBorders>
              <w:top w:val="single" w:sz="4" w:space="0" w:color="auto"/>
              <w:bottom w:val="single" w:sz="12" w:space="0" w:color="auto"/>
            </w:tcBorders>
            <w:shd w:val="clear" w:color="auto" w:fill="auto"/>
            <w:vAlign w:val="bottom"/>
          </w:tcPr>
          <w:p w14:paraId="300487C9" w14:textId="0B768343" w:rsidR="00541A7A" w:rsidRPr="00195CF4" w:rsidRDefault="00541A7A" w:rsidP="00541A7A">
            <w:pPr>
              <w:pStyle w:val="SingleTxt"/>
              <w:spacing w:before="81" w:after="81" w:line="160" w:lineRule="exact"/>
              <w:ind w:left="144" w:right="40"/>
              <w:jc w:val="right"/>
              <w:rPr>
                <w:bCs/>
                <w:i/>
                <w:sz w:val="14"/>
                <w:szCs w:val="14"/>
                <w:lang w:val="es-ES_tradnl"/>
              </w:rPr>
            </w:pPr>
            <w:r w:rsidRPr="00195CF4">
              <w:rPr>
                <w:i/>
                <w:iCs/>
                <w:sz w:val="14"/>
                <w:szCs w:val="14"/>
                <w:lang w:val="es-ES_tradnl"/>
              </w:rPr>
              <w:t>Ejercicio 2023-24</w:t>
            </w:r>
          </w:p>
        </w:tc>
      </w:tr>
      <w:tr w:rsidR="00541A7A" w:rsidRPr="007C0DCB" w14:paraId="136B8AFF" w14:textId="77777777" w:rsidTr="00541A7A">
        <w:trPr>
          <w:trHeight w:hRule="exact" w:val="115"/>
          <w:tblHeader/>
        </w:trPr>
        <w:tc>
          <w:tcPr>
            <w:tcW w:w="1793" w:type="dxa"/>
            <w:tcBorders>
              <w:top w:val="single" w:sz="12" w:space="0" w:color="auto"/>
            </w:tcBorders>
            <w:shd w:val="clear" w:color="auto" w:fill="auto"/>
            <w:tcMar>
              <w:top w:w="15" w:type="dxa"/>
              <w:left w:w="108" w:type="dxa"/>
              <w:bottom w:w="0" w:type="dxa"/>
              <w:right w:w="108" w:type="dxa"/>
            </w:tcMar>
          </w:tcPr>
          <w:p w14:paraId="1DC1CCE2" w14:textId="77777777" w:rsidR="00541A7A" w:rsidRPr="007C0DCB" w:rsidRDefault="00541A7A" w:rsidP="00541A7A">
            <w:pPr>
              <w:pStyle w:val="SingleTxt"/>
              <w:spacing w:before="40" w:after="40" w:line="210" w:lineRule="exact"/>
              <w:ind w:left="-101" w:right="43"/>
              <w:jc w:val="left"/>
              <w:rPr>
                <w:bCs/>
                <w:sz w:val="17"/>
                <w:lang w:val="es-ES_tradnl"/>
              </w:rPr>
            </w:pPr>
          </w:p>
        </w:tc>
        <w:tc>
          <w:tcPr>
            <w:tcW w:w="921" w:type="dxa"/>
            <w:tcBorders>
              <w:top w:val="single" w:sz="12" w:space="0" w:color="auto"/>
            </w:tcBorders>
            <w:shd w:val="clear" w:color="auto" w:fill="auto"/>
            <w:vAlign w:val="bottom"/>
          </w:tcPr>
          <w:p w14:paraId="2EDDB4FF" w14:textId="77777777" w:rsidR="00541A7A" w:rsidRPr="007C0DCB" w:rsidRDefault="00541A7A" w:rsidP="002B6DF4">
            <w:pPr>
              <w:pStyle w:val="SingleTxt"/>
              <w:spacing w:before="40" w:after="40" w:line="210" w:lineRule="exact"/>
              <w:ind w:left="144" w:right="40"/>
              <w:jc w:val="right"/>
              <w:rPr>
                <w:sz w:val="17"/>
                <w:lang w:val="es-ES_tradnl"/>
              </w:rPr>
            </w:pPr>
          </w:p>
        </w:tc>
        <w:tc>
          <w:tcPr>
            <w:tcW w:w="922" w:type="dxa"/>
            <w:tcBorders>
              <w:top w:val="single" w:sz="12" w:space="0" w:color="auto"/>
            </w:tcBorders>
            <w:shd w:val="clear" w:color="auto" w:fill="auto"/>
            <w:vAlign w:val="bottom"/>
          </w:tcPr>
          <w:p w14:paraId="0A756BA3" w14:textId="77777777" w:rsidR="00541A7A" w:rsidRPr="007C0DCB" w:rsidRDefault="00541A7A" w:rsidP="002B6DF4">
            <w:pPr>
              <w:pStyle w:val="SingleTxt"/>
              <w:spacing w:before="40" w:after="40" w:line="210" w:lineRule="exact"/>
              <w:ind w:left="144" w:right="40"/>
              <w:jc w:val="right"/>
              <w:rPr>
                <w:sz w:val="17"/>
                <w:lang w:val="es-ES_tradnl"/>
              </w:rPr>
            </w:pPr>
          </w:p>
        </w:tc>
        <w:tc>
          <w:tcPr>
            <w:tcW w:w="921" w:type="dxa"/>
            <w:tcBorders>
              <w:top w:val="single" w:sz="12" w:space="0" w:color="auto"/>
            </w:tcBorders>
            <w:shd w:val="clear" w:color="auto" w:fill="auto"/>
            <w:tcMar>
              <w:top w:w="15" w:type="dxa"/>
              <w:left w:w="108" w:type="dxa"/>
              <w:bottom w:w="0" w:type="dxa"/>
              <w:right w:w="108" w:type="dxa"/>
            </w:tcMar>
            <w:vAlign w:val="bottom"/>
          </w:tcPr>
          <w:p w14:paraId="55AF0D40" w14:textId="77777777" w:rsidR="00541A7A" w:rsidRPr="007C0DCB" w:rsidRDefault="00541A7A" w:rsidP="002B6DF4">
            <w:pPr>
              <w:pStyle w:val="SingleTxt"/>
              <w:spacing w:before="40" w:after="40" w:line="210" w:lineRule="exact"/>
              <w:ind w:left="144" w:right="40"/>
              <w:jc w:val="right"/>
              <w:rPr>
                <w:sz w:val="17"/>
                <w:lang w:val="es-ES_tradnl"/>
              </w:rPr>
            </w:pPr>
          </w:p>
        </w:tc>
        <w:tc>
          <w:tcPr>
            <w:tcW w:w="922" w:type="dxa"/>
            <w:tcBorders>
              <w:top w:val="single" w:sz="12" w:space="0" w:color="auto"/>
            </w:tcBorders>
            <w:shd w:val="clear" w:color="auto" w:fill="auto"/>
            <w:tcMar>
              <w:top w:w="15" w:type="dxa"/>
              <w:left w:w="108" w:type="dxa"/>
              <w:bottom w:w="0" w:type="dxa"/>
              <w:right w:w="108" w:type="dxa"/>
            </w:tcMar>
            <w:vAlign w:val="bottom"/>
          </w:tcPr>
          <w:p w14:paraId="379C4391" w14:textId="77777777" w:rsidR="00541A7A" w:rsidRPr="007C0DCB" w:rsidRDefault="00541A7A" w:rsidP="002B6DF4">
            <w:pPr>
              <w:pStyle w:val="SingleTxt"/>
              <w:spacing w:before="40" w:after="40" w:line="210" w:lineRule="exact"/>
              <w:ind w:left="144" w:right="40"/>
              <w:jc w:val="right"/>
              <w:rPr>
                <w:sz w:val="17"/>
                <w:lang w:val="es-ES_tradnl"/>
              </w:rPr>
            </w:pPr>
          </w:p>
        </w:tc>
        <w:tc>
          <w:tcPr>
            <w:tcW w:w="921" w:type="dxa"/>
            <w:tcBorders>
              <w:top w:val="single" w:sz="12" w:space="0" w:color="auto"/>
            </w:tcBorders>
            <w:shd w:val="clear" w:color="auto" w:fill="auto"/>
            <w:vAlign w:val="bottom"/>
          </w:tcPr>
          <w:p w14:paraId="00D8DA10" w14:textId="77777777" w:rsidR="00541A7A" w:rsidRPr="007C0DCB" w:rsidRDefault="00541A7A" w:rsidP="002B6DF4">
            <w:pPr>
              <w:pStyle w:val="SingleTxt"/>
              <w:spacing w:before="40" w:after="40" w:line="210" w:lineRule="exact"/>
              <w:ind w:left="144" w:right="40"/>
              <w:jc w:val="right"/>
              <w:rPr>
                <w:bCs/>
                <w:sz w:val="17"/>
                <w:lang w:val="es-ES_tradnl"/>
              </w:rPr>
            </w:pPr>
          </w:p>
        </w:tc>
        <w:tc>
          <w:tcPr>
            <w:tcW w:w="922" w:type="dxa"/>
            <w:tcBorders>
              <w:top w:val="single" w:sz="12" w:space="0" w:color="auto"/>
            </w:tcBorders>
            <w:shd w:val="clear" w:color="auto" w:fill="auto"/>
            <w:vAlign w:val="bottom"/>
          </w:tcPr>
          <w:p w14:paraId="1A3236C3" w14:textId="77777777" w:rsidR="00541A7A" w:rsidRPr="007C0DCB" w:rsidRDefault="00541A7A" w:rsidP="002B6DF4">
            <w:pPr>
              <w:pStyle w:val="SingleTxt"/>
              <w:spacing w:before="40" w:after="40" w:line="210" w:lineRule="exact"/>
              <w:ind w:left="144" w:right="40"/>
              <w:jc w:val="right"/>
              <w:rPr>
                <w:bCs/>
                <w:sz w:val="17"/>
                <w:lang w:val="es-ES_tradnl"/>
              </w:rPr>
            </w:pPr>
          </w:p>
        </w:tc>
      </w:tr>
      <w:tr w:rsidR="00541A7A" w:rsidRPr="007C0DCB" w14:paraId="220E3525" w14:textId="77777777" w:rsidTr="00541A7A">
        <w:tc>
          <w:tcPr>
            <w:tcW w:w="1793" w:type="dxa"/>
            <w:shd w:val="clear" w:color="auto" w:fill="auto"/>
            <w:tcMar>
              <w:top w:w="0" w:type="dxa"/>
              <w:left w:w="115" w:type="dxa"/>
              <w:bottom w:w="0" w:type="dxa"/>
              <w:right w:w="115" w:type="dxa"/>
            </w:tcMar>
            <w:hideMark/>
          </w:tcPr>
          <w:p w14:paraId="1FC00170" w14:textId="5C39275D" w:rsidR="00541A7A" w:rsidRPr="007C0DCB" w:rsidRDefault="00541A7A" w:rsidP="00541A7A">
            <w:pPr>
              <w:pStyle w:val="SingleTxt"/>
              <w:tabs>
                <w:tab w:val="left" w:pos="288"/>
                <w:tab w:val="left" w:pos="576"/>
                <w:tab w:val="left" w:pos="864"/>
                <w:tab w:val="left" w:pos="1152"/>
              </w:tabs>
              <w:spacing w:before="40" w:after="40" w:line="210" w:lineRule="exact"/>
              <w:ind w:left="-101" w:right="43"/>
              <w:jc w:val="left"/>
              <w:rPr>
                <w:sz w:val="17"/>
                <w:szCs w:val="17"/>
                <w:lang w:val="es-ES_tradnl"/>
              </w:rPr>
            </w:pPr>
            <w:r w:rsidRPr="007C0DCB">
              <w:rPr>
                <w:color w:val="000000"/>
                <w:sz w:val="17"/>
                <w:szCs w:val="17"/>
                <w:lang w:val="es-ES_tradnl"/>
              </w:rPr>
              <w:t>Matrimonio forzado</w:t>
            </w:r>
          </w:p>
        </w:tc>
        <w:tc>
          <w:tcPr>
            <w:tcW w:w="921" w:type="dxa"/>
            <w:shd w:val="clear" w:color="auto" w:fill="auto"/>
            <w:vAlign w:val="bottom"/>
          </w:tcPr>
          <w:p w14:paraId="2403E8A3"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95</w:t>
            </w:r>
          </w:p>
        </w:tc>
        <w:tc>
          <w:tcPr>
            <w:tcW w:w="922" w:type="dxa"/>
            <w:shd w:val="clear" w:color="auto" w:fill="auto"/>
            <w:vAlign w:val="bottom"/>
          </w:tcPr>
          <w:p w14:paraId="45008739"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92</w:t>
            </w:r>
          </w:p>
        </w:tc>
        <w:tc>
          <w:tcPr>
            <w:tcW w:w="921" w:type="dxa"/>
            <w:shd w:val="clear" w:color="auto" w:fill="auto"/>
            <w:tcMar>
              <w:top w:w="15" w:type="dxa"/>
              <w:left w:w="108" w:type="dxa"/>
              <w:bottom w:w="0" w:type="dxa"/>
              <w:right w:w="108" w:type="dxa"/>
            </w:tcMar>
            <w:vAlign w:val="bottom"/>
            <w:hideMark/>
          </w:tcPr>
          <w:p w14:paraId="40507B46"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79</w:t>
            </w:r>
          </w:p>
        </w:tc>
        <w:tc>
          <w:tcPr>
            <w:tcW w:w="922" w:type="dxa"/>
            <w:shd w:val="clear" w:color="auto" w:fill="auto"/>
            <w:tcMar>
              <w:top w:w="15" w:type="dxa"/>
              <w:left w:w="108" w:type="dxa"/>
              <w:bottom w:w="0" w:type="dxa"/>
              <w:right w:w="108" w:type="dxa"/>
            </w:tcMar>
            <w:vAlign w:val="bottom"/>
            <w:hideMark/>
          </w:tcPr>
          <w:p w14:paraId="6A95FB41"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84</w:t>
            </w:r>
          </w:p>
        </w:tc>
        <w:tc>
          <w:tcPr>
            <w:tcW w:w="921" w:type="dxa"/>
            <w:shd w:val="clear" w:color="auto" w:fill="auto"/>
            <w:vAlign w:val="bottom"/>
            <w:hideMark/>
          </w:tcPr>
          <w:p w14:paraId="16D4C9C1"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90</w:t>
            </w:r>
          </w:p>
        </w:tc>
        <w:tc>
          <w:tcPr>
            <w:tcW w:w="922" w:type="dxa"/>
            <w:shd w:val="clear" w:color="auto" w:fill="auto"/>
            <w:vAlign w:val="bottom"/>
          </w:tcPr>
          <w:p w14:paraId="7C4C9C1E"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91</w:t>
            </w:r>
          </w:p>
        </w:tc>
      </w:tr>
      <w:tr w:rsidR="00541A7A" w:rsidRPr="007C0DCB" w14:paraId="733F5711" w14:textId="77777777" w:rsidTr="00541A7A">
        <w:tc>
          <w:tcPr>
            <w:tcW w:w="1793" w:type="dxa"/>
            <w:shd w:val="clear" w:color="auto" w:fill="auto"/>
            <w:tcMar>
              <w:top w:w="15" w:type="dxa"/>
              <w:left w:w="108" w:type="dxa"/>
              <w:bottom w:w="0" w:type="dxa"/>
              <w:right w:w="108" w:type="dxa"/>
            </w:tcMar>
            <w:hideMark/>
          </w:tcPr>
          <w:p w14:paraId="161984DE" w14:textId="25D59C75" w:rsidR="00541A7A" w:rsidRPr="007C0DCB" w:rsidRDefault="00541A7A" w:rsidP="00541A7A">
            <w:pPr>
              <w:pStyle w:val="SingleTxt"/>
              <w:tabs>
                <w:tab w:val="left" w:pos="288"/>
                <w:tab w:val="left" w:pos="576"/>
                <w:tab w:val="left" w:pos="864"/>
                <w:tab w:val="left" w:pos="1152"/>
              </w:tabs>
              <w:spacing w:before="40" w:after="40" w:line="210" w:lineRule="exact"/>
              <w:ind w:left="-101" w:right="43"/>
              <w:jc w:val="left"/>
              <w:rPr>
                <w:sz w:val="17"/>
                <w:szCs w:val="17"/>
                <w:lang w:val="es-ES_tradnl"/>
              </w:rPr>
            </w:pPr>
            <w:r w:rsidRPr="007C0DCB">
              <w:rPr>
                <w:color w:val="000000"/>
                <w:sz w:val="17"/>
                <w:szCs w:val="17"/>
                <w:lang w:val="es-ES_tradnl"/>
              </w:rPr>
              <w:t>Servidumbre sexual</w:t>
            </w:r>
          </w:p>
        </w:tc>
        <w:tc>
          <w:tcPr>
            <w:tcW w:w="921" w:type="dxa"/>
            <w:shd w:val="clear" w:color="auto" w:fill="auto"/>
            <w:vAlign w:val="bottom"/>
          </w:tcPr>
          <w:p w14:paraId="6C0AE381"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31</w:t>
            </w:r>
          </w:p>
        </w:tc>
        <w:tc>
          <w:tcPr>
            <w:tcW w:w="922" w:type="dxa"/>
            <w:shd w:val="clear" w:color="auto" w:fill="auto"/>
            <w:vAlign w:val="bottom"/>
          </w:tcPr>
          <w:p w14:paraId="78C6C82B"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40</w:t>
            </w:r>
          </w:p>
        </w:tc>
        <w:tc>
          <w:tcPr>
            <w:tcW w:w="921" w:type="dxa"/>
            <w:shd w:val="clear" w:color="auto" w:fill="auto"/>
            <w:tcMar>
              <w:top w:w="15" w:type="dxa"/>
              <w:left w:w="108" w:type="dxa"/>
              <w:bottom w:w="0" w:type="dxa"/>
              <w:right w:w="108" w:type="dxa"/>
            </w:tcMar>
            <w:vAlign w:val="bottom"/>
            <w:hideMark/>
          </w:tcPr>
          <w:p w14:paraId="7CFA00A5"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42</w:t>
            </w:r>
          </w:p>
        </w:tc>
        <w:tc>
          <w:tcPr>
            <w:tcW w:w="922" w:type="dxa"/>
            <w:shd w:val="clear" w:color="auto" w:fill="auto"/>
            <w:tcMar>
              <w:top w:w="15" w:type="dxa"/>
              <w:left w:w="108" w:type="dxa"/>
              <w:bottom w:w="0" w:type="dxa"/>
              <w:right w:w="108" w:type="dxa"/>
            </w:tcMar>
            <w:vAlign w:val="bottom"/>
            <w:hideMark/>
          </w:tcPr>
          <w:p w14:paraId="1DF7B0DB"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54</w:t>
            </w:r>
          </w:p>
        </w:tc>
        <w:tc>
          <w:tcPr>
            <w:tcW w:w="921" w:type="dxa"/>
            <w:shd w:val="clear" w:color="auto" w:fill="auto"/>
            <w:vAlign w:val="bottom"/>
            <w:hideMark/>
          </w:tcPr>
          <w:p w14:paraId="42487F3A"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73</w:t>
            </w:r>
          </w:p>
        </w:tc>
        <w:tc>
          <w:tcPr>
            <w:tcW w:w="922" w:type="dxa"/>
            <w:shd w:val="clear" w:color="auto" w:fill="auto"/>
            <w:vAlign w:val="bottom"/>
          </w:tcPr>
          <w:p w14:paraId="72459A5A"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59</w:t>
            </w:r>
          </w:p>
        </w:tc>
      </w:tr>
      <w:tr w:rsidR="00541A7A" w:rsidRPr="007C0DCB" w14:paraId="59368C71" w14:textId="77777777" w:rsidTr="00541A7A">
        <w:tc>
          <w:tcPr>
            <w:tcW w:w="1793" w:type="dxa"/>
            <w:shd w:val="clear" w:color="auto" w:fill="auto"/>
            <w:tcMar>
              <w:top w:w="15" w:type="dxa"/>
              <w:left w:w="108" w:type="dxa"/>
              <w:bottom w:w="0" w:type="dxa"/>
              <w:right w:w="108" w:type="dxa"/>
            </w:tcMar>
            <w:hideMark/>
          </w:tcPr>
          <w:p w14:paraId="5FFC286D" w14:textId="40CA6339" w:rsidR="00541A7A" w:rsidRPr="007C0DCB" w:rsidRDefault="00541A7A" w:rsidP="00541A7A">
            <w:pPr>
              <w:pStyle w:val="SingleTxt"/>
              <w:tabs>
                <w:tab w:val="left" w:pos="288"/>
                <w:tab w:val="left" w:pos="576"/>
                <w:tab w:val="left" w:pos="864"/>
                <w:tab w:val="left" w:pos="1152"/>
              </w:tabs>
              <w:spacing w:before="40" w:after="40" w:line="210" w:lineRule="exact"/>
              <w:ind w:left="-101" w:right="43"/>
              <w:jc w:val="left"/>
              <w:rPr>
                <w:sz w:val="17"/>
                <w:szCs w:val="17"/>
                <w:lang w:val="es-ES_tradnl"/>
              </w:rPr>
            </w:pPr>
            <w:r w:rsidRPr="007C0DCB">
              <w:rPr>
                <w:color w:val="000000"/>
                <w:sz w:val="17"/>
                <w:szCs w:val="17"/>
                <w:lang w:val="es-ES_tradnl"/>
              </w:rPr>
              <w:t>Trabajo forzoso</w:t>
            </w:r>
          </w:p>
        </w:tc>
        <w:tc>
          <w:tcPr>
            <w:tcW w:w="921" w:type="dxa"/>
            <w:shd w:val="clear" w:color="auto" w:fill="auto"/>
            <w:vAlign w:val="bottom"/>
          </w:tcPr>
          <w:p w14:paraId="67A7C42C"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29</w:t>
            </w:r>
          </w:p>
        </w:tc>
        <w:tc>
          <w:tcPr>
            <w:tcW w:w="922" w:type="dxa"/>
            <w:shd w:val="clear" w:color="auto" w:fill="auto"/>
            <w:vAlign w:val="bottom"/>
          </w:tcPr>
          <w:p w14:paraId="2A1DBF60"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29</w:t>
            </w:r>
          </w:p>
        </w:tc>
        <w:tc>
          <w:tcPr>
            <w:tcW w:w="921" w:type="dxa"/>
            <w:shd w:val="clear" w:color="auto" w:fill="auto"/>
            <w:tcMar>
              <w:top w:w="15" w:type="dxa"/>
              <w:left w:w="108" w:type="dxa"/>
              <w:bottom w:w="0" w:type="dxa"/>
              <w:right w:w="108" w:type="dxa"/>
            </w:tcMar>
            <w:vAlign w:val="bottom"/>
            <w:hideMark/>
          </w:tcPr>
          <w:p w14:paraId="52439539"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35</w:t>
            </w:r>
          </w:p>
        </w:tc>
        <w:tc>
          <w:tcPr>
            <w:tcW w:w="922" w:type="dxa"/>
            <w:shd w:val="clear" w:color="auto" w:fill="auto"/>
            <w:tcMar>
              <w:top w:w="15" w:type="dxa"/>
              <w:left w:w="108" w:type="dxa"/>
              <w:bottom w:w="0" w:type="dxa"/>
              <w:right w:w="108" w:type="dxa"/>
            </w:tcMar>
            <w:vAlign w:val="bottom"/>
            <w:hideMark/>
          </w:tcPr>
          <w:p w14:paraId="05C09343"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42</w:t>
            </w:r>
          </w:p>
        </w:tc>
        <w:tc>
          <w:tcPr>
            <w:tcW w:w="921" w:type="dxa"/>
            <w:shd w:val="clear" w:color="auto" w:fill="auto"/>
            <w:vAlign w:val="bottom"/>
            <w:hideMark/>
          </w:tcPr>
          <w:p w14:paraId="47DE25DD"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57</w:t>
            </w:r>
          </w:p>
        </w:tc>
        <w:tc>
          <w:tcPr>
            <w:tcW w:w="922" w:type="dxa"/>
            <w:shd w:val="clear" w:color="auto" w:fill="auto"/>
            <w:vAlign w:val="bottom"/>
          </w:tcPr>
          <w:p w14:paraId="305F75CA"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69</w:t>
            </w:r>
          </w:p>
        </w:tc>
      </w:tr>
      <w:tr w:rsidR="00541A7A" w:rsidRPr="007C0DCB" w14:paraId="1B99A5A6" w14:textId="77777777" w:rsidTr="00541A7A">
        <w:tc>
          <w:tcPr>
            <w:tcW w:w="1793" w:type="dxa"/>
            <w:shd w:val="clear" w:color="auto" w:fill="auto"/>
            <w:tcMar>
              <w:top w:w="15" w:type="dxa"/>
              <w:left w:w="108" w:type="dxa"/>
              <w:bottom w:w="0" w:type="dxa"/>
              <w:right w:w="108" w:type="dxa"/>
            </w:tcMar>
            <w:hideMark/>
          </w:tcPr>
          <w:p w14:paraId="1CB69E86" w14:textId="46D4AEFD" w:rsidR="00541A7A" w:rsidRPr="007C0DCB" w:rsidRDefault="00541A7A" w:rsidP="00541A7A">
            <w:pPr>
              <w:pStyle w:val="SingleTxt"/>
              <w:tabs>
                <w:tab w:val="left" w:pos="288"/>
                <w:tab w:val="left" w:pos="576"/>
                <w:tab w:val="left" w:pos="864"/>
                <w:tab w:val="left" w:pos="1152"/>
              </w:tabs>
              <w:spacing w:before="40" w:after="40" w:line="210" w:lineRule="exact"/>
              <w:ind w:left="-101" w:right="43"/>
              <w:jc w:val="left"/>
              <w:rPr>
                <w:sz w:val="17"/>
                <w:szCs w:val="17"/>
                <w:lang w:val="es-ES_tradnl"/>
              </w:rPr>
            </w:pPr>
            <w:r w:rsidRPr="007C0DCB">
              <w:rPr>
                <w:color w:val="000000"/>
                <w:sz w:val="17"/>
                <w:szCs w:val="17"/>
                <w:lang w:val="es-ES_tradnl"/>
              </w:rPr>
              <w:t>Trata de niños</w:t>
            </w:r>
          </w:p>
        </w:tc>
        <w:tc>
          <w:tcPr>
            <w:tcW w:w="921" w:type="dxa"/>
            <w:shd w:val="clear" w:color="auto" w:fill="auto"/>
            <w:vAlign w:val="bottom"/>
          </w:tcPr>
          <w:p w14:paraId="24EC3B7F"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7</w:t>
            </w:r>
          </w:p>
        </w:tc>
        <w:tc>
          <w:tcPr>
            <w:tcW w:w="922" w:type="dxa"/>
            <w:shd w:val="clear" w:color="auto" w:fill="auto"/>
            <w:vAlign w:val="bottom"/>
          </w:tcPr>
          <w:p w14:paraId="15B32F30"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7C0DCB">
              <w:rPr>
                <w:sz w:val="17"/>
                <w:lang w:val="es-ES_tradnl"/>
              </w:rPr>
              <w:t>&lt;</w:t>
            </w:r>
            <w:r w:rsidRPr="00195CF4">
              <w:rPr>
                <w:sz w:val="17"/>
                <w:lang w:val="es-ES_tradnl"/>
              </w:rPr>
              <w:t>5</w:t>
            </w:r>
          </w:p>
        </w:tc>
        <w:tc>
          <w:tcPr>
            <w:tcW w:w="921" w:type="dxa"/>
            <w:shd w:val="clear" w:color="auto" w:fill="auto"/>
            <w:tcMar>
              <w:top w:w="15" w:type="dxa"/>
              <w:left w:w="108" w:type="dxa"/>
              <w:bottom w:w="0" w:type="dxa"/>
              <w:right w:w="108" w:type="dxa"/>
            </w:tcMar>
            <w:vAlign w:val="bottom"/>
            <w:hideMark/>
          </w:tcPr>
          <w:p w14:paraId="1625F2D2"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12</w:t>
            </w:r>
          </w:p>
        </w:tc>
        <w:tc>
          <w:tcPr>
            <w:tcW w:w="922" w:type="dxa"/>
            <w:shd w:val="clear" w:color="auto" w:fill="auto"/>
            <w:tcMar>
              <w:top w:w="15" w:type="dxa"/>
              <w:left w:w="108" w:type="dxa"/>
              <w:bottom w:w="0" w:type="dxa"/>
              <w:right w:w="108" w:type="dxa"/>
            </w:tcMar>
            <w:vAlign w:val="bottom"/>
            <w:hideMark/>
          </w:tcPr>
          <w:p w14:paraId="48E12679"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21</w:t>
            </w:r>
          </w:p>
        </w:tc>
        <w:tc>
          <w:tcPr>
            <w:tcW w:w="921" w:type="dxa"/>
            <w:shd w:val="clear" w:color="auto" w:fill="auto"/>
            <w:vAlign w:val="bottom"/>
            <w:hideMark/>
          </w:tcPr>
          <w:p w14:paraId="008DD50A"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22</w:t>
            </w:r>
          </w:p>
        </w:tc>
        <w:tc>
          <w:tcPr>
            <w:tcW w:w="922" w:type="dxa"/>
            <w:shd w:val="clear" w:color="auto" w:fill="auto"/>
            <w:vAlign w:val="bottom"/>
          </w:tcPr>
          <w:p w14:paraId="5C329562"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35</w:t>
            </w:r>
          </w:p>
        </w:tc>
      </w:tr>
      <w:tr w:rsidR="00541A7A" w:rsidRPr="007C0DCB" w14:paraId="25FF235F" w14:textId="77777777" w:rsidTr="00541A7A">
        <w:tc>
          <w:tcPr>
            <w:tcW w:w="1793" w:type="dxa"/>
            <w:shd w:val="clear" w:color="auto" w:fill="auto"/>
            <w:tcMar>
              <w:top w:w="15" w:type="dxa"/>
              <w:left w:w="108" w:type="dxa"/>
              <w:bottom w:w="0" w:type="dxa"/>
              <w:right w:w="108" w:type="dxa"/>
            </w:tcMar>
            <w:hideMark/>
          </w:tcPr>
          <w:p w14:paraId="70749676" w14:textId="7683C900" w:rsidR="00541A7A" w:rsidRPr="007C0DCB" w:rsidRDefault="00541A7A" w:rsidP="00541A7A">
            <w:pPr>
              <w:pStyle w:val="SingleTxt"/>
              <w:tabs>
                <w:tab w:val="left" w:pos="288"/>
                <w:tab w:val="left" w:pos="576"/>
                <w:tab w:val="left" w:pos="864"/>
                <w:tab w:val="left" w:pos="1152"/>
              </w:tabs>
              <w:spacing w:before="40" w:after="40" w:line="210" w:lineRule="exact"/>
              <w:ind w:left="-101" w:right="43"/>
              <w:jc w:val="left"/>
              <w:rPr>
                <w:bCs/>
                <w:sz w:val="17"/>
                <w:szCs w:val="17"/>
                <w:lang w:val="es-ES_tradnl"/>
              </w:rPr>
            </w:pPr>
            <w:r w:rsidRPr="007C0DCB">
              <w:rPr>
                <w:color w:val="000000"/>
                <w:sz w:val="17"/>
                <w:szCs w:val="17"/>
                <w:lang w:val="es-ES_tradnl"/>
              </w:rPr>
              <w:t>Trata de personas</w:t>
            </w:r>
          </w:p>
        </w:tc>
        <w:tc>
          <w:tcPr>
            <w:tcW w:w="921" w:type="dxa"/>
            <w:shd w:val="clear" w:color="auto" w:fill="auto"/>
            <w:vAlign w:val="bottom"/>
          </w:tcPr>
          <w:p w14:paraId="43BD1FCF"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20</w:t>
            </w:r>
          </w:p>
        </w:tc>
        <w:tc>
          <w:tcPr>
            <w:tcW w:w="922" w:type="dxa"/>
            <w:shd w:val="clear" w:color="auto" w:fill="auto"/>
            <w:vAlign w:val="bottom"/>
          </w:tcPr>
          <w:p w14:paraId="497A1440"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7C0DCB">
              <w:rPr>
                <w:bCs/>
                <w:sz w:val="17"/>
                <w:lang w:val="es-ES_tradnl"/>
              </w:rPr>
              <w:t>&lt;</w:t>
            </w:r>
            <w:r w:rsidRPr="00195CF4">
              <w:rPr>
                <w:bCs/>
                <w:sz w:val="17"/>
                <w:lang w:val="es-ES_tradnl"/>
              </w:rPr>
              <w:t>5</w:t>
            </w:r>
          </w:p>
        </w:tc>
        <w:tc>
          <w:tcPr>
            <w:tcW w:w="921" w:type="dxa"/>
            <w:shd w:val="clear" w:color="auto" w:fill="auto"/>
            <w:tcMar>
              <w:top w:w="15" w:type="dxa"/>
              <w:left w:w="108" w:type="dxa"/>
              <w:bottom w:w="0" w:type="dxa"/>
              <w:right w:w="108" w:type="dxa"/>
            </w:tcMar>
            <w:vAlign w:val="bottom"/>
            <w:hideMark/>
          </w:tcPr>
          <w:p w14:paraId="6B67C319"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12</w:t>
            </w:r>
          </w:p>
        </w:tc>
        <w:tc>
          <w:tcPr>
            <w:tcW w:w="922" w:type="dxa"/>
            <w:shd w:val="clear" w:color="auto" w:fill="auto"/>
            <w:tcMar>
              <w:top w:w="15" w:type="dxa"/>
              <w:left w:w="108" w:type="dxa"/>
              <w:bottom w:w="0" w:type="dxa"/>
              <w:right w:w="108" w:type="dxa"/>
            </w:tcMar>
            <w:vAlign w:val="bottom"/>
            <w:hideMark/>
          </w:tcPr>
          <w:p w14:paraId="06B48CD9"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19</w:t>
            </w:r>
          </w:p>
        </w:tc>
        <w:tc>
          <w:tcPr>
            <w:tcW w:w="921" w:type="dxa"/>
            <w:shd w:val="clear" w:color="auto" w:fill="auto"/>
            <w:vAlign w:val="bottom"/>
            <w:hideMark/>
          </w:tcPr>
          <w:p w14:paraId="578C108F"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38</w:t>
            </w:r>
          </w:p>
        </w:tc>
        <w:tc>
          <w:tcPr>
            <w:tcW w:w="922" w:type="dxa"/>
            <w:shd w:val="clear" w:color="auto" w:fill="auto"/>
            <w:vAlign w:val="bottom"/>
          </w:tcPr>
          <w:p w14:paraId="336432D7"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39</w:t>
            </w:r>
          </w:p>
        </w:tc>
      </w:tr>
      <w:tr w:rsidR="00541A7A" w:rsidRPr="007C0DCB" w14:paraId="48F6A041" w14:textId="77777777" w:rsidTr="00541A7A">
        <w:tc>
          <w:tcPr>
            <w:tcW w:w="1793" w:type="dxa"/>
            <w:shd w:val="clear" w:color="auto" w:fill="auto"/>
            <w:tcMar>
              <w:top w:w="15" w:type="dxa"/>
              <w:left w:w="108" w:type="dxa"/>
              <w:bottom w:w="0" w:type="dxa"/>
              <w:right w:w="108" w:type="dxa"/>
            </w:tcMar>
            <w:hideMark/>
          </w:tcPr>
          <w:p w14:paraId="47FCAF01" w14:textId="2B1BDF8A" w:rsidR="00541A7A" w:rsidRPr="007C0DCB" w:rsidRDefault="00541A7A" w:rsidP="00541A7A">
            <w:pPr>
              <w:pStyle w:val="SingleTxt"/>
              <w:tabs>
                <w:tab w:val="left" w:pos="288"/>
                <w:tab w:val="left" w:pos="576"/>
                <w:tab w:val="left" w:pos="864"/>
                <w:tab w:val="left" w:pos="1152"/>
              </w:tabs>
              <w:spacing w:before="40" w:after="40" w:line="210" w:lineRule="exact"/>
              <w:ind w:left="-101" w:right="43"/>
              <w:jc w:val="left"/>
              <w:rPr>
                <w:sz w:val="17"/>
                <w:szCs w:val="17"/>
                <w:lang w:val="es-ES_tradnl"/>
              </w:rPr>
            </w:pPr>
            <w:r w:rsidRPr="007C0DCB">
              <w:rPr>
                <w:color w:val="000000"/>
                <w:sz w:val="17"/>
                <w:szCs w:val="17"/>
                <w:lang w:val="es-ES_tradnl"/>
              </w:rPr>
              <w:t>Salida del país con fines de trata</w:t>
            </w:r>
          </w:p>
        </w:tc>
        <w:tc>
          <w:tcPr>
            <w:tcW w:w="921" w:type="dxa"/>
            <w:shd w:val="clear" w:color="auto" w:fill="auto"/>
            <w:vAlign w:val="bottom"/>
          </w:tcPr>
          <w:p w14:paraId="43D29BBF"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13</w:t>
            </w:r>
          </w:p>
        </w:tc>
        <w:tc>
          <w:tcPr>
            <w:tcW w:w="922" w:type="dxa"/>
            <w:shd w:val="clear" w:color="auto" w:fill="auto"/>
            <w:vAlign w:val="bottom"/>
          </w:tcPr>
          <w:p w14:paraId="01ADB4D3"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24</w:t>
            </w:r>
          </w:p>
        </w:tc>
        <w:tc>
          <w:tcPr>
            <w:tcW w:w="921" w:type="dxa"/>
            <w:shd w:val="clear" w:color="auto" w:fill="auto"/>
            <w:tcMar>
              <w:top w:w="15" w:type="dxa"/>
              <w:left w:w="108" w:type="dxa"/>
              <w:bottom w:w="0" w:type="dxa"/>
              <w:right w:w="108" w:type="dxa"/>
            </w:tcMar>
            <w:vAlign w:val="bottom"/>
            <w:hideMark/>
          </w:tcPr>
          <w:p w14:paraId="7FFEAC3C"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16</w:t>
            </w:r>
          </w:p>
        </w:tc>
        <w:tc>
          <w:tcPr>
            <w:tcW w:w="922" w:type="dxa"/>
            <w:shd w:val="clear" w:color="auto" w:fill="auto"/>
            <w:tcMar>
              <w:top w:w="15" w:type="dxa"/>
              <w:left w:w="108" w:type="dxa"/>
              <w:bottom w:w="0" w:type="dxa"/>
              <w:right w:w="108" w:type="dxa"/>
            </w:tcMar>
            <w:vAlign w:val="bottom"/>
            <w:hideMark/>
          </w:tcPr>
          <w:p w14:paraId="682272BB"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37</w:t>
            </w:r>
          </w:p>
        </w:tc>
        <w:tc>
          <w:tcPr>
            <w:tcW w:w="921" w:type="dxa"/>
            <w:shd w:val="clear" w:color="auto" w:fill="auto"/>
            <w:vAlign w:val="bottom"/>
            <w:hideMark/>
          </w:tcPr>
          <w:p w14:paraId="0C98674C"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30</w:t>
            </w:r>
          </w:p>
        </w:tc>
        <w:tc>
          <w:tcPr>
            <w:tcW w:w="922" w:type="dxa"/>
            <w:shd w:val="clear" w:color="auto" w:fill="auto"/>
            <w:vAlign w:val="bottom"/>
          </w:tcPr>
          <w:p w14:paraId="4DBF8FA6"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35</w:t>
            </w:r>
          </w:p>
        </w:tc>
      </w:tr>
      <w:tr w:rsidR="00541A7A" w:rsidRPr="007C0DCB" w14:paraId="41B789DB" w14:textId="77777777" w:rsidTr="00541A7A">
        <w:tc>
          <w:tcPr>
            <w:tcW w:w="1793" w:type="dxa"/>
            <w:shd w:val="clear" w:color="auto" w:fill="auto"/>
            <w:tcMar>
              <w:top w:w="15" w:type="dxa"/>
              <w:left w:w="108" w:type="dxa"/>
              <w:bottom w:w="0" w:type="dxa"/>
              <w:right w:w="108" w:type="dxa"/>
            </w:tcMar>
            <w:hideMark/>
          </w:tcPr>
          <w:p w14:paraId="386ECC5C" w14:textId="3D79696F" w:rsidR="00541A7A" w:rsidRPr="007C0DCB" w:rsidRDefault="00541A7A" w:rsidP="00541A7A">
            <w:pPr>
              <w:pStyle w:val="SingleTxt"/>
              <w:tabs>
                <w:tab w:val="left" w:pos="288"/>
                <w:tab w:val="left" w:pos="576"/>
                <w:tab w:val="left" w:pos="864"/>
                <w:tab w:val="left" w:pos="1152"/>
              </w:tabs>
              <w:spacing w:before="40" w:after="40" w:line="210" w:lineRule="exact"/>
              <w:ind w:left="-101" w:right="43"/>
              <w:jc w:val="left"/>
              <w:rPr>
                <w:sz w:val="17"/>
                <w:szCs w:val="17"/>
                <w:lang w:val="es-ES_tradnl"/>
              </w:rPr>
            </w:pPr>
            <w:r w:rsidRPr="007C0DCB">
              <w:rPr>
                <w:color w:val="000000"/>
                <w:sz w:val="17"/>
                <w:szCs w:val="17"/>
                <w:lang w:val="es-ES_tradnl"/>
              </w:rPr>
              <w:t>Servidumbre por deudas</w:t>
            </w:r>
          </w:p>
        </w:tc>
        <w:tc>
          <w:tcPr>
            <w:tcW w:w="921" w:type="dxa"/>
            <w:shd w:val="clear" w:color="auto" w:fill="auto"/>
            <w:vAlign w:val="bottom"/>
          </w:tcPr>
          <w:p w14:paraId="0DA2AABC"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9</w:t>
            </w:r>
          </w:p>
        </w:tc>
        <w:tc>
          <w:tcPr>
            <w:tcW w:w="922" w:type="dxa"/>
            <w:shd w:val="clear" w:color="auto" w:fill="auto"/>
            <w:vAlign w:val="bottom"/>
          </w:tcPr>
          <w:p w14:paraId="347CA273"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3</w:t>
            </w:r>
          </w:p>
        </w:tc>
        <w:tc>
          <w:tcPr>
            <w:tcW w:w="921" w:type="dxa"/>
            <w:shd w:val="clear" w:color="auto" w:fill="auto"/>
            <w:tcMar>
              <w:top w:w="15" w:type="dxa"/>
              <w:left w:w="108" w:type="dxa"/>
              <w:bottom w:w="0" w:type="dxa"/>
              <w:right w:w="108" w:type="dxa"/>
            </w:tcMar>
            <w:vAlign w:val="bottom"/>
            <w:hideMark/>
          </w:tcPr>
          <w:p w14:paraId="2C70D970"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7C0DCB">
              <w:rPr>
                <w:sz w:val="17"/>
                <w:lang w:val="es-ES_tradnl"/>
              </w:rPr>
              <w:t>&lt;</w:t>
            </w:r>
            <w:r w:rsidRPr="00195CF4">
              <w:rPr>
                <w:sz w:val="17"/>
                <w:lang w:val="es-ES_tradnl"/>
              </w:rPr>
              <w:t>5</w:t>
            </w:r>
          </w:p>
        </w:tc>
        <w:tc>
          <w:tcPr>
            <w:tcW w:w="922" w:type="dxa"/>
            <w:shd w:val="clear" w:color="auto" w:fill="auto"/>
            <w:tcMar>
              <w:top w:w="15" w:type="dxa"/>
              <w:left w:w="108" w:type="dxa"/>
              <w:bottom w:w="0" w:type="dxa"/>
              <w:right w:w="108" w:type="dxa"/>
            </w:tcMar>
            <w:vAlign w:val="bottom"/>
            <w:hideMark/>
          </w:tcPr>
          <w:p w14:paraId="0052785B"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6</w:t>
            </w:r>
          </w:p>
        </w:tc>
        <w:tc>
          <w:tcPr>
            <w:tcW w:w="921" w:type="dxa"/>
            <w:shd w:val="clear" w:color="auto" w:fill="auto"/>
            <w:vAlign w:val="bottom"/>
            <w:hideMark/>
          </w:tcPr>
          <w:p w14:paraId="76DFE64A"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18</w:t>
            </w:r>
          </w:p>
        </w:tc>
        <w:tc>
          <w:tcPr>
            <w:tcW w:w="922" w:type="dxa"/>
            <w:shd w:val="clear" w:color="auto" w:fill="auto"/>
            <w:vAlign w:val="bottom"/>
          </w:tcPr>
          <w:p w14:paraId="06929DAC"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10</w:t>
            </w:r>
          </w:p>
        </w:tc>
      </w:tr>
      <w:tr w:rsidR="00541A7A" w:rsidRPr="007C0DCB" w14:paraId="2BDF267C" w14:textId="77777777" w:rsidTr="00541A7A">
        <w:tc>
          <w:tcPr>
            <w:tcW w:w="1793" w:type="dxa"/>
            <w:shd w:val="clear" w:color="auto" w:fill="auto"/>
            <w:tcMar>
              <w:top w:w="15" w:type="dxa"/>
              <w:left w:w="108" w:type="dxa"/>
              <w:bottom w:w="0" w:type="dxa"/>
              <w:right w:w="108" w:type="dxa"/>
            </w:tcMar>
            <w:hideMark/>
          </w:tcPr>
          <w:p w14:paraId="39305D24" w14:textId="0F8BA227" w:rsidR="00541A7A" w:rsidRPr="007C0DCB" w:rsidRDefault="00541A7A" w:rsidP="00541A7A">
            <w:pPr>
              <w:pStyle w:val="SingleTxt"/>
              <w:tabs>
                <w:tab w:val="left" w:pos="288"/>
                <w:tab w:val="left" w:pos="576"/>
                <w:tab w:val="left" w:pos="864"/>
                <w:tab w:val="left" w:pos="1152"/>
              </w:tabs>
              <w:spacing w:before="40" w:after="40" w:line="210" w:lineRule="exact"/>
              <w:ind w:left="-101" w:right="43"/>
              <w:jc w:val="left"/>
              <w:rPr>
                <w:sz w:val="17"/>
                <w:szCs w:val="17"/>
                <w:lang w:val="es-ES_tradnl"/>
              </w:rPr>
            </w:pPr>
            <w:r w:rsidRPr="007C0DCB">
              <w:rPr>
                <w:color w:val="000000"/>
                <w:sz w:val="17"/>
                <w:szCs w:val="17"/>
                <w:lang w:val="es-ES_tradnl"/>
              </w:rPr>
              <w:t>Servidumbre doméstica</w:t>
            </w:r>
          </w:p>
        </w:tc>
        <w:tc>
          <w:tcPr>
            <w:tcW w:w="921" w:type="dxa"/>
            <w:shd w:val="clear" w:color="auto" w:fill="auto"/>
            <w:vAlign w:val="bottom"/>
          </w:tcPr>
          <w:p w14:paraId="0F720BF7"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9</w:t>
            </w:r>
          </w:p>
        </w:tc>
        <w:tc>
          <w:tcPr>
            <w:tcW w:w="922" w:type="dxa"/>
            <w:shd w:val="clear" w:color="auto" w:fill="auto"/>
            <w:vAlign w:val="bottom"/>
          </w:tcPr>
          <w:p w14:paraId="2541CD10"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20</w:t>
            </w:r>
          </w:p>
        </w:tc>
        <w:tc>
          <w:tcPr>
            <w:tcW w:w="921" w:type="dxa"/>
            <w:shd w:val="clear" w:color="auto" w:fill="auto"/>
            <w:tcMar>
              <w:top w:w="15" w:type="dxa"/>
              <w:left w:w="108" w:type="dxa"/>
              <w:bottom w:w="0" w:type="dxa"/>
              <w:right w:w="108" w:type="dxa"/>
            </w:tcMar>
            <w:vAlign w:val="bottom"/>
            <w:hideMark/>
          </w:tcPr>
          <w:p w14:paraId="6864997B"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15</w:t>
            </w:r>
          </w:p>
        </w:tc>
        <w:tc>
          <w:tcPr>
            <w:tcW w:w="922" w:type="dxa"/>
            <w:shd w:val="clear" w:color="auto" w:fill="auto"/>
            <w:tcMar>
              <w:top w:w="15" w:type="dxa"/>
              <w:left w:w="108" w:type="dxa"/>
              <w:bottom w:w="0" w:type="dxa"/>
              <w:right w:w="108" w:type="dxa"/>
            </w:tcMar>
            <w:vAlign w:val="bottom"/>
            <w:hideMark/>
          </w:tcPr>
          <w:p w14:paraId="7660E623"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sz w:val="17"/>
                <w:lang w:val="es-ES_tradnl"/>
              </w:rPr>
            </w:pPr>
            <w:r w:rsidRPr="00195CF4">
              <w:rPr>
                <w:sz w:val="17"/>
                <w:lang w:val="es-ES_tradnl"/>
              </w:rPr>
              <w:t>18</w:t>
            </w:r>
          </w:p>
        </w:tc>
        <w:tc>
          <w:tcPr>
            <w:tcW w:w="921" w:type="dxa"/>
            <w:shd w:val="clear" w:color="auto" w:fill="auto"/>
            <w:vAlign w:val="bottom"/>
            <w:hideMark/>
          </w:tcPr>
          <w:p w14:paraId="7E69C07A"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16</w:t>
            </w:r>
          </w:p>
        </w:tc>
        <w:tc>
          <w:tcPr>
            <w:tcW w:w="922" w:type="dxa"/>
            <w:shd w:val="clear" w:color="auto" w:fill="auto"/>
            <w:vAlign w:val="bottom"/>
          </w:tcPr>
          <w:p w14:paraId="3A09FA96"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21</w:t>
            </w:r>
          </w:p>
        </w:tc>
      </w:tr>
      <w:tr w:rsidR="00541A7A" w:rsidRPr="007C0DCB" w14:paraId="1D00637B" w14:textId="77777777" w:rsidTr="00541A7A">
        <w:tc>
          <w:tcPr>
            <w:tcW w:w="1793" w:type="dxa"/>
            <w:shd w:val="clear" w:color="auto" w:fill="auto"/>
            <w:tcMar>
              <w:top w:w="15" w:type="dxa"/>
              <w:left w:w="108" w:type="dxa"/>
              <w:bottom w:w="0" w:type="dxa"/>
              <w:right w:w="108" w:type="dxa"/>
            </w:tcMar>
            <w:hideMark/>
          </w:tcPr>
          <w:p w14:paraId="2AD41C4B" w14:textId="5D0AA23B" w:rsidR="00541A7A" w:rsidRPr="007C0DCB" w:rsidRDefault="00541A7A" w:rsidP="00541A7A">
            <w:pPr>
              <w:pStyle w:val="SingleTxt"/>
              <w:tabs>
                <w:tab w:val="left" w:pos="288"/>
                <w:tab w:val="left" w:pos="576"/>
                <w:tab w:val="left" w:pos="864"/>
                <w:tab w:val="left" w:pos="1152"/>
              </w:tabs>
              <w:spacing w:before="40" w:after="40" w:line="210" w:lineRule="exact"/>
              <w:ind w:left="-101" w:right="43"/>
              <w:jc w:val="left"/>
              <w:rPr>
                <w:bCs/>
                <w:sz w:val="17"/>
                <w:szCs w:val="17"/>
                <w:lang w:val="es-ES_tradnl"/>
              </w:rPr>
            </w:pPr>
            <w:r w:rsidRPr="007C0DCB">
              <w:rPr>
                <w:color w:val="000000"/>
                <w:sz w:val="17"/>
                <w:szCs w:val="17"/>
                <w:lang w:val="es-ES_tradnl"/>
              </w:rPr>
              <w:t>Esclavitud</w:t>
            </w:r>
          </w:p>
        </w:tc>
        <w:tc>
          <w:tcPr>
            <w:tcW w:w="921" w:type="dxa"/>
            <w:shd w:val="clear" w:color="auto" w:fill="auto"/>
            <w:vAlign w:val="bottom"/>
          </w:tcPr>
          <w:p w14:paraId="264E3A65"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7C0DCB">
              <w:rPr>
                <w:bCs/>
                <w:sz w:val="17"/>
                <w:lang w:val="es-ES_tradnl"/>
              </w:rPr>
              <w:t>&lt;</w:t>
            </w:r>
            <w:r w:rsidRPr="00195CF4">
              <w:rPr>
                <w:bCs/>
                <w:sz w:val="17"/>
                <w:lang w:val="es-ES_tradnl"/>
              </w:rPr>
              <w:t>5</w:t>
            </w:r>
          </w:p>
        </w:tc>
        <w:tc>
          <w:tcPr>
            <w:tcW w:w="922" w:type="dxa"/>
            <w:shd w:val="clear" w:color="auto" w:fill="auto"/>
            <w:vAlign w:val="bottom"/>
          </w:tcPr>
          <w:p w14:paraId="222303AB"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7C0DCB">
              <w:rPr>
                <w:bCs/>
                <w:sz w:val="17"/>
                <w:lang w:val="es-ES_tradnl"/>
              </w:rPr>
              <w:t>&lt;</w:t>
            </w:r>
            <w:r w:rsidRPr="00195CF4">
              <w:rPr>
                <w:bCs/>
                <w:sz w:val="17"/>
                <w:lang w:val="es-ES_tradnl"/>
              </w:rPr>
              <w:t>5</w:t>
            </w:r>
          </w:p>
        </w:tc>
        <w:tc>
          <w:tcPr>
            <w:tcW w:w="921" w:type="dxa"/>
            <w:shd w:val="clear" w:color="auto" w:fill="auto"/>
            <w:tcMar>
              <w:top w:w="15" w:type="dxa"/>
              <w:left w:w="108" w:type="dxa"/>
              <w:bottom w:w="0" w:type="dxa"/>
              <w:right w:w="108" w:type="dxa"/>
            </w:tcMar>
            <w:vAlign w:val="bottom"/>
            <w:hideMark/>
          </w:tcPr>
          <w:p w14:paraId="34507BD5"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6</w:t>
            </w:r>
          </w:p>
        </w:tc>
        <w:tc>
          <w:tcPr>
            <w:tcW w:w="922" w:type="dxa"/>
            <w:shd w:val="clear" w:color="auto" w:fill="auto"/>
            <w:tcMar>
              <w:top w:w="15" w:type="dxa"/>
              <w:left w:w="108" w:type="dxa"/>
              <w:bottom w:w="0" w:type="dxa"/>
              <w:right w:w="108" w:type="dxa"/>
            </w:tcMar>
            <w:vAlign w:val="bottom"/>
            <w:hideMark/>
          </w:tcPr>
          <w:p w14:paraId="0EAB6383"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8</w:t>
            </w:r>
          </w:p>
        </w:tc>
        <w:tc>
          <w:tcPr>
            <w:tcW w:w="921" w:type="dxa"/>
            <w:shd w:val="clear" w:color="auto" w:fill="auto"/>
            <w:vAlign w:val="bottom"/>
            <w:hideMark/>
          </w:tcPr>
          <w:p w14:paraId="601556DB"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7C0DCB">
              <w:rPr>
                <w:bCs/>
                <w:sz w:val="17"/>
                <w:lang w:val="es-ES_tradnl"/>
              </w:rPr>
              <w:t>&lt;</w:t>
            </w:r>
            <w:r w:rsidRPr="00195CF4">
              <w:rPr>
                <w:bCs/>
                <w:sz w:val="17"/>
                <w:lang w:val="es-ES_tradnl"/>
              </w:rPr>
              <w:t>5</w:t>
            </w:r>
          </w:p>
        </w:tc>
        <w:tc>
          <w:tcPr>
            <w:tcW w:w="922" w:type="dxa"/>
            <w:shd w:val="clear" w:color="auto" w:fill="auto"/>
            <w:vAlign w:val="bottom"/>
          </w:tcPr>
          <w:p w14:paraId="2DB1E73A"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7C0DCB">
              <w:rPr>
                <w:bCs/>
                <w:sz w:val="17"/>
                <w:lang w:val="es-ES_tradnl"/>
              </w:rPr>
              <w:t>&lt;</w:t>
            </w:r>
            <w:r w:rsidRPr="00195CF4">
              <w:rPr>
                <w:bCs/>
                <w:sz w:val="17"/>
                <w:lang w:val="es-ES_tradnl"/>
              </w:rPr>
              <w:t>5</w:t>
            </w:r>
          </w:p>
        </w:tc>
      </w:tr>
      <w:tr w:rsidR="00541A7A" w:rsidRPr="007C0DCB" w14:paraId="14D138C2" w14:textId="77777777" w:rsidTr="00541A7A">
        <w:tc>
          <w:tcPr>
            <w:tcW w:w="1793" w:type="dxa"/>
            <w:shd w:val="clear" w:color="auto" w:fill="auto"/>
            <w:tcMar>
              <w:top w:w="15" w:type="dxa"/>
              <w:left w:w="108" w:type="dxa"/>
              <w:bottom w:w="0" w:type="dxa"/>
              <w:right w:w="108" w:type="dxa"/>
            </w:tcMar>
            <w:hideMark/>
          </w:tcPr>
          <w:p w14:paraId="32F51D22" w14:textId="6FA4C8ED" w:rsidR="00541A7A" w:rsidRPr="007C0DCB" w:rsidRDefault="00541A7A" w:rsidP="00541A7A">
            <w:pPr>
              <w:pStyle w:val="SingleTxt"/>
              <w:tabs>
                <w:tab w:val="left" w:pos="288"/>
                <w:tab w:val="left" w:pos="576"/>
                <w:tab w:val="left" w:pos="864"/>
                <w:tab w:val="left" w:pos="1152"/>
              </w:tabs>
              <w:spacing w:before="40" w:after="40" w:line="210" w:lineRule="exact"/>
              <w:ind w:left="-101" w:right="43"/>
              <w:jc w:val="left"/>
              <w:rPr>
                <w:bCs/>
                <w:sz w:val="17"/>
                <w:szCs w:val="17"/>
                <w:lang w:val="es-ES_tradnl"/>
              </w:rPr>
            </w:pPr>
            <w:r w:rsidRPr="007C0DCB">
              <w:rPr>
                <w:color w:val="000000"/>
                <w:sz w:val="17"/>
                <w:szCs w:val="17"/>
                <w:lang w:val="es-ES_tradnl"/>
              </w:rPr>
              <w:t>Contratación engañosa</w:t>
            </w:r>
          </w:p>
        </w:tc>
        <w:tc>
          <w:tcPr>
            <w:tcW w:w="921" w:type="dxa"/>
            <w:shd w:val="clear" w:color="auto" w:fill="auto"/>
            <w:vAlign w:val="bottom"/>
          </w:tcPr>
          <w:p w14:paraId="006B64B7"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7C0DCB">
              <w:rPr>
                <w:bCs/>
                <w:sz w:val="17"/>
                <w:lang w:val="es-ES_tradnl"/>
              </w:rPr>
              <w:t>&lt;</w:t>
            </w:r>
            <w:r w:rsidRPr="00195CF4">
              <w:rPr>
                <w:bCs/>
                <w:sz w:val="17"/>
                <w:lang w:val="es-ES_tradnl"/>
              </w:rPr>
              <w:t>5</w:t>
            </w:r>
          </w:p>
        </w:tc>
        <w:tc>
          <w:tcPr>
            <w:tcW w:w="922" w:type="dxa"/>
            <w:shd w:val="clear" w:color="auto" w:fill="auto"/>
            <w:vAlign w:val="bottom"/>
          </w:tcPr>
          <w:p w14:paraId="33037F46"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6</w:t>
            </w:r>
          </w:p>
        </w:tc>
        <w:tc>
          <w:tcPr>
            <w:tcW w:w="921" w:type="dxa"/>
            <w:shd w:val="clear" w:color="auto" w:fill="auto"/>
            <w:tcMar>
              <w:top w:w="15" w:type="dxa"/>
              <w:left w:w="108" w:type="dxa"/>
              <w:bottom w:w="0" w:type="dxa"/>
              <w:right w:w="108" w:type="dxa"/>
            </w:tcMar>
            <w:vAlign w:val="bottom"/>
            <w:hideMark/>
          </w:tcPr>
          <w:p w14:paraId="28365C27"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7C0DCB">
              <w:rPr>
                <w:bCs/>
                <w:sz w:val="17"/>
                <w:lang w:val="es-ES_tradnl"/>
              </w:rPr>
              <w:t>&lt;</w:t>
            </w:r>
            <w:r w:rsidRPr="00195CF4">
              <w:rPr>
                <w:bCs/>
                <w:sz w:val="17"/>
                <w:lang w:val="es-ES_tradnl"/>
              </w:rPr>
              <w:t>5</w:t>
            </w:r>
          </w:p>
        </w:tc>
        <w:tc>
          <w:tcPr>
            <w:tcW w:w="922" w:type="dxa"/>
            <w:shd w:val="clear" w:color="auto" w:fill="auto"/>
            <w:tcMar>
              <w:top w:w="15" w:type="dxa"/>
              <w:left w:w="108" w:type="dxa"/>
              <w:bottom w:w="0" w:type="dxa"/>
              <w:right w:w="108" w:type="dxa"/>
            </w:tcMar>
            <w:vAlign w:val="bottom"/>
            <w:hideMark/>
          </w:tcPr>
          <w:p w14:paraId="4879FA3B"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5</w:t>
            </w:r>
          </w:p>
        </w:tc>
        <w:tc>
          <w:tcPr>
            <w:tcW w:w="921" w:type="dxa"/>
            <w:shd w:val="clear" w:color="auto" w:fill="auto"/>
            <w:vAlign w:val="bottom"/>
            <w:hideMark/>
          </w:tcPr>
          <w:p w14:paraId="0A817228"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6</w:t>
            </w:r>
          </w:p>
        </w:tc>
        <w:tc>
          <w:tcPr>
            <w:tcW w:w="922" w:type="dxa"/>
            <w:shd w:val="clear" w:color="auto" w:fill="auto"/>
            <w:vAlign w:val="bottom"/>
          </w:tcPr>
          <w:p w14:paraId="230513B1"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16</w:t>
            </w:r>
          </w:p>
        </w:tc>
      </w:tr>
      <w:tr w:rsidR="00541A7A" w:rsidRPr="007C0DCB" w14:paraId="6B8688E1" w14:textId="77777777" w:rsidTr="00541A7A">
        <w:tc>
          <w:tcPr>
            <w:tcW w:w="1793" w:type="dxa"/>
            <w:shd w:val="clear" w:color="auto" w:fill="auto"/>
            <w:tcMar>
              <w:top w:w="15" w:type="dxa"/>
              <w:left w:w="108" w:type="dxa"/>
              <w:bottom w:w="0" w:type="dxa"/>
              <w:right w:w="108" w:type="dxa"/>
            </w:tcMar>
            <w:hideMark/>
          </w:tcPr>
          <w:p w14:paraId="397B1A95" w14:textId="3598EBE5" w:rsidR="00541A7A" w:rsidRPr="007C0DCB" w:rsidRDefault="00541A7A" w:rsidP="00541A7A">
            <w:pPr>
              <w:pStyle w:val="SingleTxt"/>
              <w:tabs>
                <w:tab w:val="left" w:pos="288"/>
                <w:tab w:val="left" w:pos="576"/>
                <w:tab w:val="left" w:pos="864"/>
                <w:tab w:val="left" w:pos="1152"/>
              </w:tabs>
              <w:spacing w:before="40" w:after="40" w:line="210" w:lineRule="exact"/>
              <w:ind w:left="-101" w:right="43"/>
              <w:jc w:val="left"/>
              <w:rPr>
                <w:bCs/>
                <w:sz w:val="17"/>
                <w:szCs w:val="17"/>
                <w:lang w:val="es-ES_tradnl"/>
              </w:rPr>
            </w:pPr>
            <w:r w:rsidRPr="007C0DCB">
              <w:rPr>
                <w:color w:val="000000"/>
                <w:sz w:val="17"/>
                <w:szCs w:val="17"/>
                <w:lang w:val="es-ES_tradnl"/>
              </w:rPr>
              <w:t>Tráfico de órganos</w:t>
            </w:r>
          </w:p>
        </w:tc>
        <w:tc>
          <w:tcPr>
            <w:tcW w:w="921" w:type="dxa"/>
            <w:shd w:val="clear" w:color="auto" w:fill="auto"/>
            <w:vAlign w:val="bottom"/>
          </w:tcPr>
          <w:p w14:paraId="42B79122"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7C0DCB">
              <w:rPr>
                <w:bCs/>
                <w:sz w:val="17"/>
                <w:lang w:val="es-ES_tradnl"/>
              </w:rPr>
              <w:t>&lt;</w:t>
            </w:r>
            <w:r w:rsidRPr="00195CF4">
              <w:rPr>
                <w:bCs/>
                <w:sz w:val="17"/>
                <w:lang w:val="es-ES_tradnl"/>
              </w:rPr>
              <w:t>5</w:t>
            </w:r>
          </w:p>
        </w:tc>
        <w:tc>
          <w:tcPr>
            <w:tcW w:w="922" w:type="dxa"/>
            <w:shd w:val="clear" w:color="auto" w:fill="auto"/>
            <w:vAlign w:val="bottom"/>
          </w:tcPr>
          <w:p w14:paraId="17479860"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0</w:t>
            </w:r>
          </w:p>
        </w:tc>
        <w:tc>
          <w:tcPr>
            <w:tcW w:w="921" w:type="dxa"/>
            <w:shd w:val="clear" w:color="auto" w:fill="auto"/>
            <w:tcMar>
              <w:top w:w="15" w:type="dxa"/>
              <w:left w:w="108" w:type="dxa"/>
              <w:bottom w:w="0" w:type="dxa"/>
              <w:right w:w="108" w:type="dxa"/>
            </w:tcMar>
            <w:vAlign w:val="bottom"/>
            <w:hideMark/>
          </w:tcPr>
          <w:p w14:paraId="30AD583E"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7C0DCB">
              <w:rPr>
                <w:bCs/>
                <w:sz w:val="17"/>
                <w:lang w:val="es-ES_tradnl"/>
              </w:rPr>
              <w:t>&lt;</w:t>
            </w:r>
            <w:r w:rsidRPr="00195CF4">
              <w:rPr>
                <w:bCs/>
                <w:sz w:val="17"/>
                <w:lang w:val="es-ES_tradnl"/>
              </w:rPr>
              <w:t>5</w:t>
            </w:r>
          </w:p>
        </w:tc>
        <w:tc>
          <w:tcPr>
            <w:tcW w:w="922" w:type="dxa"/>
            <w:shd w:val="clear" w:color="auto" w:fill="auto"/>
            <w:tcMar>
              <w:top w:w="15" w:type="dxa"/>
              <w:left w:w="108" w:type="dxa"/>
              <w:bottom w:w="0" w:type="dxa"/>
              <w:right w:w="108" w:type="dxa"/>
            </w:tcMar>
            <w:vAlign w:val="bottom"/>
            <w:hideMark/>
          </w:tcPr>
          <w:p w14:paraId="051F134D"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0</w:t>
            </w:r>
          </w:p>
        </w:tc>
        <w:tc>
          <w:tcPr>
            <w:tcW w:w="921" w:type="dxa"/>
            <w:shd w:val="clear" w:color="auto" w:fill="auto"/>
            <w:vAlign w:val="bottom"/>
            <w:hideMark/>
          </w:tcPr>
          <w:p w14:paraId="14341D1C"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0</w:t>
            </w:r>
          </w:p>
        </w:tc>
        <w:tc>
          <w:tcPr>
            <w:tcW w:w="922" w:type="dxa"/>
            <w:shd w:val="clear" w:color="auto" w:fill="auto"/>
            <w:vAlign w:val="bottom"/>
          </w:tcPr>
          <w:p w14:paraId="2E4D6E20"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7C0DCB">
              <w:rPr>
                <w:bCs/>
                <w:sz w:val="17"/>
                <w:lang w:val="es-ES_tradnl"/>
              </w:rPr>
              <w:t>&lt;</w:t>
            </w:r>
            <w:r w:rsidRPr="00195CF4">
              <w:rPr>
                <w:bCs/>
                <w:sz w:val="17"/>
                <w:lang w:val="es-ES_tradnl"/>
              </w:rPr>
              <w:t>5</w:t>
            </w:r>
          </w:p>
        </w:tc>
      </w:tr>
      <w:tr w:rsidR="00541A7A" w:rsidRPr="007C0DCB" w14:paraId="7268D4DC" w14:textId="77777777" w:rsidTr="00541A7A">
        <w:tc>
          <w:tcPr>
            <w:tcW w:w="1793" w:type="dxa"/>
            <w:shd w:val="clear" w:color="auto" w:fill="auto"/>
            <w:tcMar>
              <w:top w:w="15" w:type="dxa"/>
              <w:left w:w="108" w:type="dxa"/>
              <w:bottom w:w="0" w:type="dxa"/>
              <w:right w:w="108" w:type="dxa"/>
            </w:tcMar>
            <w:hideMark/>
          </w:tcPr>
          <w:p w14:paraId="233E15FA" w14:textId="4AB7CB5D" w:rsidR="00541A7A" w:rsidRPr="007C0DCB" w:rsidRDefault="00541A7A" w:rsidP="00541A7A">
            <w:pPr>
              <w:pStyle w:val="SingleTxt"/>
              <w:tabs>
                <w:tab w:val="left" w:pos="288"/>
                <w:tab w:val="left" w:pos="576"/>
                <w:tab w:val="left" w:pos="864"/>
                <w:tab w:val="left" w:pos="1152"/>
              </w:tabs>
              <w:spacing w:before="40" w:after="40" w:line="210" w:lineRule="exact"/>
              <w:ind w:left="-101" w:right="43"/>
              <w:jc w:val="left"/>
              <w:rPr>
                <w:bCs/>
                <w:sz w:val="17"/>
                <w:szCs w:val="17"/>
                <w:lang w:val="es-ES_tradnl"/>
              </w:rPr>
            </w:pPr>
            <w:r w:rsidRPr="007C0DCB">
              <w:rPr>
                <w:color w:val="000000"/>
                <w:sz w:val="17"/>
                <w:szCs w:val="17"/>
                <w:lang w:val="es-ES_tradnl"/>
              </w:rPr>
              <w:t>Acogida</w:t>
            </w:r>
          </w:p>
        </w:tc>
        <w:tc>
          <w:tcPr>
            <w:tcW w:w="921" w:type="dxa"/>
            <w:shd w:val="clear" w:color="auto" w:fill="auto"/>
            <w:vAlign w:val="bottom"/>
          </w:tcPr>
          <w:p w14:paraId="1FDDE393"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0</w:t>
            </w:r>
          </w:p>
        </w:tc>
        <w:tc>
          <w:tcPr>
            <w:tcW w:w="922" w:type="dxa"/>
            <w:shd w:val="clear" w:color="auto" w:fill="auto"/>
            <w:vAlign w:val="bottom"/>
          </w:tcPr>
          <w:p w14:paraId="1E704A62"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0</w:t>
            </w:r>
          </w:p>
        </w:tc>
        <w:tc>
          <w:tcPr>
            <w:tcW w:w="921" w:type="dxa"/>
            <w:shd w:val="clear" w:color="auto" w:fill="auto"/>
            <w:tcMar>
              <w:top w:w="15" w:type="dxa"/>
              <w:left w:w="108" w:type="dxa"/>
              <w:bottom w:w="0" w:type="dxa"/>
              <w:right w:w="108" w:type="dxa"/>
            </w:tcMar>
            <w:vAlign w:val="bottom"/>
            <w:hideMark/>
          </w:tcPr>
          <w:p w14:paraId="54E24C1F"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0</w:t>
            </w:r>
            <w:r w:rsidRPr="007C0DCB">
              <w:rPr>
                <w:bCs/>
                <w:noProof/>
                <w:sz w:val="17"/>
                <w:lang w:val="es-ES_tradnl"/>
              </w:rPr>
              <w:drawing>
                <wp:anchor distT="0" distB="0" distL="114300" distR="114300" simplePos="0" relativeHeight="251666432" behindDoc="0" locked="0" layoutInCell="1" allowOverlap="1" wp14:anchorId="3C18BD9A" wp14:editId="1C2E918B">
                  <wp:simplePos x="0" y="0"/>
                  <wp:positionH relativeFrom="column">
                    <wp:posOffset>-1171845510</wp:posOffset>
                  </wp:positionH>
                  <wp:positionV relativeFrom="paragraph">
                    <wp:posOffset>-1610020275</wp:posOffset>
                  </wp:positionV>
                  <wp:extent cx="781050" cy="285750"/>
                  <wp:effectExtent l="0" t="0" r="0" b="0"/>
                  <wp:wrapNone/>
                  <wp:docPr id="1292668153" name="Picture 1292668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20">
                            <a:extLst>
                              <a:ext uri="{28A0092B-C50C-407E-A947-70E740481C1C}">
                                <a14:useLocalDpi xmlns:a14="http://schemas.microsoft.com/office/drawing/2010/main" val="0"/>
                              </a:ext>
                            </a:extLst>
                          </a:blip>
                          <a:srcRect l="-15874" t="-122221" r="-14285" b="-111111"/>
                          <a:stretch>
                            <a:fillRect/>
                          </a:stretch>
                        </pic:blipFill>
                        <pic:spPr bwMode="auto">
                          <a:xfrm>
                            <a:off x="0" y="0"/>
                            <a:ext cx="781050" cy="285750"/>
                          </a:xfrm>
                          <a:prstGeom prst="rect">
                            <a:avLst/>
                          </a:prstGeom>
                          <a:noFill/>
                        </pic:spPr>
                      </pic:pic>
                    </a:graphicData>
                  </a:graphic>
                  <wp14:sizeRelH relativeFrom="margin">
                    <wp14:pctWidth>0</wp14:pctWidth>
                  </wp14:sizeRelH>
                  <wp14:sizeRelV relativeFrom="margin">
                    <wp14:pctHeight>0</wp14:pctHeight>
                  </wp14:sizeRelV>
                </wp:anchor>
              </w:drawing>
            </w:r>
          </w:p>
        </w:tc>
        <w:tc>
          <w:tcPr>
            <w:tcW w:w="922" w:type="dxa"/>
            <w:shd w:val="clear" w:color="auto" w:fill="auto"/>
            <w:tcMar>
              <w:top w:w="15" w:type="dxa"/>
              <w:left w:w="108" w:type="dxa"/>
              <w:bottom w:w="0" w:type="dxa"/>
              <w:right w:w="108" w:type="dxa"/>
            </w:tcMar>
            <w:vAlign w:val="bottom"/>
            <w:hideMark/>
          </w:tcPr>
          <w:p w14:paraId="088F15C9"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0</w:t>
            </w:r>
          </w:p>
        </w:tc>
        <w:tc>
          <w:tcPr>
            <w:tcW w:w="921" w:type="dxa"/>
            <w:shd w:val="clear" w:color="auto" w:fill="auto"/>
            <w:vAlign w:val="bottom"/>
            <w:hideMark/>
          </w:tcPr>
          <w:p w14:paraId="74436F4C"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195CF4">
              <w:rPr>
                <w:bCs/>
                <w:sz w:val="17"/>
                <w:lang w:val="es-ES_tradnl"/>
              </w:rPr>
              <w:t>0</w:t>
            </w:r>
          </w:p>
        </w:tc>
        <w:tc>
          <w:tcPr>
            <w:tcW w:w="922" w:type="dxa"/>
            <w:shd w:val="clear" w:color="auto" w:fill="auto"/>
            <w:vAlign w:val="bottom"/>
          </w:tcPr>
          <w:p w14:paraId="5A11A80D" w14:textId="77777777" w:rsidR="00541A7A" w:rsidRPr="007C0DCB" w:rsidRDefault="00541A7A" w:rsidP="00541A7A">
            <w:pPr>
              <w:pStyle w:val="SingleTxt"/>
              <w:tabs>
                <w:tab w:val="left" w:pos="288"/>
                <w:tab w:val="left" w:pos="576"/>
                <w:tab w:val="left" w:pos="864"/>
                <w:tab w:val="left" w:pos="1152"/>
              </w:tabs>
              <w:spacing w:before="40" w:after="40" w:line="210" w:lineRule="exact"/>
              <w:ind w:left="144" w:right="40"/>
              <w:jc w:val="right"/>
              <w:rPr>
                <w:bCs/>
                <w:sz w:val="17"/>
                <w:lang w:val="es-ES_tradnl"/>
              </w:rPr>
            </w:pPr>
            <w:r w:rsidRPr="007C0DCB">
              <w:rPr>
                <w:bCs/>
                <w:sz w:val="17"/>
                <w:lang w:val="es-ES_tradnl"/>
              </w:rPr>
              <w:t>&lt;</w:t>
            </w:r>
            <w:r w:rsidRPr="00195CF4">
              <w:rPr>
                <w:bCs/>
                <w:sz w:val="17"/>
                <w:lang w:val="es-ES_tradnl"/>
              </w:rPr>
              <w:t>5</w:t>
            </w:r>
          </w:p>
        </w:tc>
      </w:tr>
      <w:tr w:rsidR="00541A7A" w:rsidRPr="007C0DCB" w14:paraId="064B5AB2" w14:textId="77777777" w:rsidTr="00B83652">
        <w:tc>
          <w:tcPr>
            <w:tcW w:w="1793" w:type="dxa"/>
            <w:shd w:val="clear" w:color="auto" w:fill="auto"/>
            <w:tcMar>
              <w:top w:w="15" w:type="dxa"/>
              <w:left w:w="108" w:type="dxa"/>
              <w:bottom w:w="0" w:type="dxa"/>
              <w:right w:w="108" w:type="dxa"/>
            </w:tcMar>
            <w:hideMark/>
          </w:tcPr>
          <w:p w14:paraId="3ABAE978" w14:textId="3DAC9641" w:rsidR="00541A7A" w:rsidRPr="007C0DCB" w:rsidRDefault="00541A7A" w:rsidP="00541A7A">
            <w:pPr>
              <w:pStyle w:val="SingleTxt"/>
              <w:tabs>
                <w:tab w:val="left" w:pos="288"/>
                <w:tab w:val="left" w:pos="576"/>
                <w:tab w:val="left" w:pos="864"/>
                <w:tab w:val="left" w:pos="1152"/>
              </w:tabs>
              <w:spacing w:before="40" w:after="81" w:line="210" w:lineRule="exact"/>
              <w:ind w:left="-101" w:right="43"/>
              <w:jc w:val="left"/>
              <w:rPr>
                <w:bCs/>
                <w:sz w:val="17"/>
                <w:szCs w:val="17"/>
                <w:lang w:val="es-ES_tradnl"/>
              </w:rPr>
            </w:pPr>
            <w:r w:rsidRPr="007C0DCB">
              <w:rPr>
                <w:color w:val="000000"/>
                <w:sz w:val="17"/>
                <w:szCs w:val="17"/>
                <w:lang w:val="es-ES_tradnl"/>
              </w:rPr>
              <w:t>Otros</w:t>
            </w:r>
          </w:p>
        </w:tc>
        <w:tc>
          <w:tcPr>
            <w:tcW w:w="921" w:type="dxa"/>
            <w:tcBorders>
              <w:bottom w:val="single" w:sz="4" w:space="0" w:color="auto"/>
            </w:tcBorders>
            <w:shd w:val="clear" w:color="auto" w:fill="auto"/>
            <w:vAlign w:val="bottom"/>
          </w:tcPr>
          <w:p w14:paraId="2F9B69A6" w14:textId="77777777" w:rsidR="00541A7A" w:rsidRPr="007C0DCB" w:rsidRDefault="00541A7A" w:rsidP="00541A7A">
            <w:pPr>
              <w:pStyle w:val="SingleTxt"/>
              <w:tabs>
                <w:tab w:val="left" w:pos="288"/>
                <w:tab w:val="left" w:pos="576"/>
                <w:tab w:val="left" w:pos="864"/>
                <w:tab w:val="left" w:pos="1152"/>
              </w:tabs>
              <w:spacing w:before="40" w:after="81" w:line="210" w:lineRule="exact"/>
              <w:ind w:left="144" w:right="40"/>
              <w:jc w:val="right"/>
              <w:rPr>
                <w:bCs/>
                <w:sz w:val="17"/>
                <w:lang w:val="es-ES_tradnl"/>
              </w:rPr>
            </w:pPr>
            <w:r w:rsidRPr="00195CF4">
              <w:rPr>
                <w:bCs/>
                <w:sz w:val="17"/>
                <w:lang w:val="es-ES_tradnl"/>
              </w:rPr>
              <w:t>0</w:t>
            </w:r>
          </w:p>
        </w:tc>
        <w:tc>
          <w:tcPr>
            <w:tcW w:w="922" w:type="dxa"/>
            <w:tcBorders>
              <w:bottom w:val="single" w:sz="4" w:space="0" w:color="auto"/>
            </w:tcBorders>
            <w:shd w:val="clear" w:color="auto" w:fill="auto"/>
            <w:vAlign w:val="bottom"/>
          </w:tcPr>
          <w:p w14:paraId="7830E2F6" w14:textId="77777777" w:rsidR="00541A7A" w:rsidRPr="007C0DCB" w:rsidRDefault="00541A7A" w:rsidP="00541A7A">
            <w:pPr>
              <w:pStyle w:val="SingleTxt"/>
              <w:tabs>
                <w:tab w:val="left" w:pos="288"/>
                <w:tab w:val="left" w:pos="576"/>
                <w:tab w:val="left" w:pos="864"/>
                <w:tab w:val="left" w:pos="1152"/>
              </w:tabs>
              <w:spacing w:before="40" w:after="81" w:line="210" w:lineRule="exact"/>
              <w:ind w:left="144" w:right="40"/>
              <w:jc w:val="right"/>
              <w:rPr>
                <w:bCs/>
                <w:sz w:val="17"/>
                <w:lang w:val="es-ES_tradnl"/>
              </w:rPr>
            </w:pPr>
            <w:r w:rsidRPr="00195CF4">
              <w:rPr>
                <w:bCs/>
                <w:sz w:val="17"/>
                <w:lang w:val="es-ES_tradnl"/>
              </w:rPr>
              <w:t>0</w:t>
            </w:r>
          </w:p>
        </w:tc>
        <w:tc>
          <w:tcPr>
            <w:tcW w:w="921" w:type="dxa"/>
            <w:tcBorders>
              <w:bottom w:val="single" w:sz="4" w:space="0" w:color="auto"/>
            </w:tcBorders>
            <w:shd w:val="clear" w:color="auto" w:fill="auto"/>
            <w:tcMar>
              <w:top w:w="15" w:type="dxa"/>
              <w:left w:w="108" w:type="dxa"/>
              <w:bottom w:w="0" w:type="dxa"/>
              <w:right w:w="108" w:type="dxa"/>
            </w:tcMar>
            <w:vAlign w:val="bottom"/>
            <w:hideMark/>
          </w:tcPr>
          <w:p w14:paraId="067FF985" w14:textId="77777777" w:rsidR="00541A7A" w:rsidRPr="007C0DCB" w:rsidRDefault="00541A7A" w:rsidP="00541A7A">
            <w:pPr>
              <w:pStyle w:val="SingleTxt"/>
              <w:tabs>
                <w:tab w:val="left" w:pos="288"/>
                <w:tab w:val="left" w:pos="576"/>
                <w:tab w:val="left" w:pos="864"/>
                <w:tab w:val="left" w:pos="1152"/>
              </w:tabs>
              <w:spacing w:before="40" w:after="81" w:line="210" w:lineRule="exact"/>
              <w:ind w:left="144" w:right="40"/>
              <w:jc w:val="right"/>
              <w:rPr>
                <w:bCs/>
                <w:sz w:val="17"/>
                <w:lang w:val="es-ES_tradnl"/>
              </w:rPr>
            </w:pPr>
            <w:r w:rsidRPr="00195CF4">
              <w:rPr>
                <w:bCs/>
                <w:sz w:val="17"/>
                <w:lang w:val="es-ES_tradnl"/>
              </w:rPr>
              <w:t>0</w:t>
            </w:r>
          </w:p>
        </w:tc>
        <w:tc>
          <w:tcPr>
            <w:tcW w:w="922" w:type="dxa"/>
            <w:tcBorders>
              <w:bottom w:val="single" w:sz="4" w:space="0" w:color="auto"/>
            </w:tcBorders>
            <w:shd w:val="clear" w:color="auto" w:fill="auto"/>
            <w:tcMar>
              <w:top w:w="15" w:type="dxa"/>
              <w:left w:w="108" w:type="dxa"/>
              <w:bottom w:w="0" w:type="dxa"/>
              <w:right w:w="108" w:type="dxa"/>
            </w:tcMar>
            <w:vAlign w:val="bottom"/>
            <w:hideMark/>
          </w:tcPr>
          <w:p w14:paraId="76942A6C" w14:textId="77777777" w:rsidR="00541A7A" w:rsidRPr="007C0DCB" w:rsidRDefault="00541A7A" w:rsidP="00541A7A">
            <w:pPr>
              <w:pStyle w:val="SingleTxt"/>
              <w:tabs>
                <w:tab w:val="left" w:pos="288"/>
                <w:tab w:val="left" w:pos="576"/>
                <w:tab w:val="left" w:pos="864"/>
                <w:tab w:val="left" w:pos="1152"/>
              </w:tabs>
              <w:spacing w:before="40" w:after="81" w:line="210" w:lineRule="exact"/>
              <w:ind w:left="144" w:right="40"/>
              <w:jc w:val="right"/>
              <w:rPr>
                <w:bCs/>
                <w:sz w:val="17"/>
                <w:lang w:val="es-ES_tradnl"/>
              </w:rPr>
            </w:pPr>
            <w:r w:rsidRPr="00195CF4">
              <w:rPr>
                <w:bCs/>
                <w:sz w:val="17"/>
                <w:lang w:val="es-ES_tradnl"/>
              </w:rPr>
              <w:t>0</w:t>
            </w:r>
          </w:p>
        </w:tc>
        <w:tc>
          <w:tcPr>
            <w:tcW w:w="921" w:type="dxa"/>
            <w:tcBorders>
              <w:bottom w:val="single" w:sz="4" w:space="0" w:color="auto"/>
            </w:tcBorders>
            <w:shd w:val="clear" w:color="auto" w:fill="auto"/>
            <w:vAlign w:val="bottom"/>
            <w:hideMark/>
          </w:tcPr>
          <w:p w14:paraId="2D2C5989" w14:textId="77777777" w:rsidR="00541A7A" w:rsidRPr="007C0DCB" w:rsidRDefault="00541A7A" w:rsidP="00541A7A">
            <w:pPr>
              <w:pStyle w:val="SingleTxt"/>
              <w:tabs>
                <w:tab w:val="left" w:pos="288"/>
                <w:tab w:val="left" w:pos="576"/>
                <w:tab w:val="left" w:pos="864"/>
                <w:tab w:val="left" w:pos="1152"/>
              </w:tabs>
              <w:spacing w:before="40" w:after="81" w:line="210" w:lineRule="exact"/>
              <w:ind w:left="144" w:right="40"/>
              <w:jc w:val="right"/>
              <w:rPr>
                <w:bCs/>
                <w:sz w:val="17"/>
                <w:lang w:val="es-ES_tradnl"/>
              </w:rPr>
            </w:pPr>
            <w:r w:rsidRPr="00195CF4">
              <w:rPr>
                <w:bCs/>
                <w:sz w:val="17"/>
                <w:lang w:val="es-ES_tradnl"/>
              </w:rPr>
              <w:t>0</w:t>
            </w:r>
          </w:p>
        </w:tc>
        <w:tc>
          <w:tcPr>
            <w:tcW w:w="922" w:type="dxa"/>
            <w:tcBorders>
              <w:bottom w:val="single" w:sz="4" w:space="0" w:color="auto"/>
            </w:tcBorders>
            <w:shd w:val="clear" w:color="auto" w:fill="auto"/>
            <w:vAlign w:val="bottom"/>
          </w:tcPr>
          <w:p w14:paraId="1973B09E" w14:textId="77777777" w:rsidR="00541A7A" w:rsidRPr="007C0DCB" w:rsidRDefault="00541A7A" w:rsidP="00541A7A">
            <w:pPr>
              <w:pStyle w:val="SingleTxt"/>
              <w:tabs>
                <w:tab w:val="left" w:pos="288"/>
                <w:tab w:val="left" w:pos="576"/>
                <w:tab w:val="left" w:pos="864"/>
                <w:tab w:val="left" w:pos="1152"/>
              </w:tabs>
              <w:spacing w:before="40" w:after="81" w:line="210" w:lineRule="exact"/>
              <w:ind w:left="144" w:right="40"/>
              <w:jc w:val="right"/>
              <w:rPr>
                <w:bCs/>
                <w:sz w:val="17"/>
                <w:lang w:val="es-ES_tradnl"/>
              </w:rPr>
            </w:pPr>
            <w:r w:rsidRPr="00195CF4">
              <w:rPr>
                <w:bCs/>
                <w:sz w:val="17"/>
                <w:lang w:val="es-ES_tradnl"/>
              </w:rPr>
              <w:t>0</w:t>
            </w:r>
          </w:p>
        </w:tc>
      </w:tr>
      <w:tr w:rsidR="00541A7A" w:rsidRPr="007C0DCB" w14:paraId="26C70508" w14:textId="77777777" w:rsidTr="00541A7A">
        <w:tc>
          <w:tcPr>
            <w:tcW w:w="1793" w:type="dxa"/>
            <w:tcBorders>
              <w:top w:val="single" w:sz="4" w:space="0" w:color="auto"/>
              <w:bottom w:val="single" w:sz="12" w:space="0" w:color="auto"/>
            </w:tcBorders>
            <w:shd w:val="clear" w:color="auto" w:fill="auto"/>
            <w:tcMar>
              <w:top w:w="15" w:type="dxa"/>
              <w:left w:w="108" w:type="dxa"/>
              <w:bottom w:w="0" w:type="dxa"/>
              <w:right w:w="108" w:type="dxa"/>
            </w:tcMar>
            <w:hideMark/>
          </w:tcPr>
          <w:p w14:paraId="13E3021C" w14:textId="3FE96C0B" w:rsidR="00541A7A" w:rsidRPr="007C0DCB" w:rsidRDefault="00A17DA4" w:rsidP="00541A7A">
            <w:pPr>
              <w:pStyle w:val="SingleTxt"/>
              <w:tabs>
                <w:tab w:val="left" w:pos="288"/>
                <w:tab w:val="left" w:pos="576"/>
                <w:tab w:val="left" w:pos="864"/>
                <w:tab w:val="left" w:pos="1152"/>
              </w:tabs>
              <w:spacing w:before="81" w:after="81" w:line="210" w:lineRule="exact"/>
              <w:ind w:left="-101" w:right="43"/>
              <w:jc w:val="left"/>
              <w:rPr>
                <w:b/>
                <w:sz w:val="17"/>
                <w:lang w:val="es-ES_tradnl"/>
              </w:rPr>
            </w:pPr>
            <w:r>
              <w:rPr>
                <w:b/>
                <w:bCs/>
                <w:sz w:val="17"/>
                <w:lang w:val="es-ES_tradnl"/>
              </w:rPr>
              <w:tab/>
            </w:r>
            <w:r w:rsidR="00541A7A" w:rsidRPr="00195CF4">
              <w:rPr>
                <w:b/>
                <w:bCs/>
                <w:sz w:val="17"/>
                <w:lang w:val="es-ES_tradnl"/>
              </w:rPr>
              <w:t>Total</w:t>
            </w:r>
          </w:p>
        </w:tc>
        <w:tc>
          <w:tcPr>
            <w:tcW w:w="921" w:type="dxa"/>
            <w:tcBorders>
              <w:top w:val="single" w:sz="4" w:space="0" w:color="auto"/>
              <w:bottom w:val="single" w:sz="12" w:space="0" w:color="auto"/>
            </w:tcBorders>
            <w:shd w:val="clear" w:color="auto" w:fill="auto"/>
            <w:vAlign w:val="bottom"/>
          </w:tcPr>
          <w:p w14:paraId="06D49C6E" w14:textId="77777777" w:rsidR="00541A7A" w:rsidRPr="007C0DCB" w:rsidRDefault="00541A7A" w:rsidP="002B6DF4">
            <w:pPr>
              <w:pStyle w:val="SingleTxt"/>
              <w:tabs>
                <w:tab w:val="left" w:pos="288"/>
                <w:tab w:val="left" w:pos="576"/>
                <w:tab w:val="left" w:pos="864"/>
                <w:tab w:val="left" w:pos="1152"/>
              </w:tabs>
              <w:spacing w:before="81" w:after="81" w:line="210" w:lineRule="exact"/>
              <w:ind w:left="144" w:right="40"/>
              <w:jc w:val="right"/>
              <w:rPr>
                <w:b/>
                <w:sz w:val="17"/>
                <w:lang w:val="es-ES_tradnl"/>
              </w:rPr>
            </w:pPr>
            <w:r w:rsidRPr="00195CF4">
              <w:rPr>
                <w:b/>
                <w:sz w:val="17"/>
                <w:lang w:val="es-ES_tradnl"/>
              </w:rPr>
              <w:t>220</w:t>
            </w:r>
          </w:p>
        </w:tc>
        <w:tc>
          <w:tcPr>
            <w:tcW w:w="922" w:type="dxa"/>
            <w:tcBorders>
              <w:top w:val="single" w:sz="4" w:space="0" w:color="auto"/>
              <w:bottom w:val="single" w:sz="12" w:space="0" w:color="auto"/>
            </w:tcBorders>
            <w:shd w:val="clear" w:color="auto" w:fill="auto"/>
            <w:vAlign w:val="bottom"/>
          </w:tcPr>
          <w:p w14:paraId="2581DA8A" w14:textId="77777777" w:rsidR="00541A7A" w:rsidRPr="007C0DCB" w:rsidRDefault="00541A7A" w:rsidP="002B6DF4">
            <w:pPr>
              <w:pStyle w:val="SingleTxt"/>
              <w:tabs>
                <w:tab w:val="left" w:pos="288"/>
                <w:tab w:val="left" w:pos="576"/>
                <w:tab w:val="left" w:pos="864"/>
                <w:tab w:val="left" w:pos="1152"/>
              </w:tabs>
              <w:spacing w:before="81" w:after="81" w:line="210" w:lineRule="exact"/>
              <w:ind w:left="144" w:right="40"/>
              <w:jc w:val="right"/>
              <w:rPr>
                <w:b/>
                <w:sz w:val="17"/>
                <w:lang w:val="es-ES_tradnl"/>
              </w:rPr>
            </w:pPr>
            <w:r w:rsidRPr="00195CF4">
              <w:rPr>
                <w:b/>
                <w:sz w:val="17"/>
                <w:lang w:val="es-ES_tradnl"/>
              </w:rPr>
              <w:t>223</w:t>
            </w:r>
          </w:p>
        </w:tc>
        <w:tc>
          <w:tcPr>
            <w:tcW w:w="921"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01A9AAEA" w14:textId="77777777" w:rsidR="00541A7A" w:rsidRPr="007C0DCB" w:rsidRDefault="00541A7A" w:rsidP="002B6DF4">
            <w:pPr>
              <w:pStyle w:val="SingleTxt"/>
              <w:tabs>
                <w:tab w:val="left" w:pos="288"/>
                <w:tab w:val="left" w:pos="576"/>
                <w:tab w:val="left" w:pos="864"/>
                <w:tab w:val="left" w:pos="1152"/>
              </w:tabs>
              <w:spacing w:before="81" w:after="81" w:line="210" w:lineRule="exact"/>
              <w:ind w:left="144" w:right="40"/>
              <w:jc w:val="right"/>
              <w:rPr>
                <w:b/>
                <w:sz w:val="17"/>
                <w:lang w:val="es-ES_tradnl"/>
              </w:rPr>
            </w:pPr>
            <w:r w:rsidRPr="00195CF4">
              <w:rPr>
                <w:b/>
                <w:sz w:val="17"/>
                <w:lang w:val="es-ES_tradnl"/>
              </w:rPr>
              <w:t>224</w:t>
            </w:r>
            <w:r w:rsidRPr="00195CF4">
              <w:rPr>
                <w:b/>
                <w:noProof/>
                <w:sz w:val="17"/>
                <w:lang w:val="es-ES_tradnl"/>
              </w:rPr>
              <w:drawing>
                <wp:anchor distT="0" distB="0" distL="114300" distR="114300" simplePos="0" relativeHeight="251664384" behindDoc="0" locked="0" layoutInCell="1" allowOverlap="1" wp14:anchorId="419237BF" wp14:editId="21716159">
                  <wp:simplePos x="0" y="0"/>
                  <wp:positionH relativeFrom="column">
                    <wp:posOffset>-1171855035</wp:posOffset>
                  </wp:positionH>
                  <wp:positionV relativeFrom="paragraph">
                    <wp:posOffset>-1740497535</wp:posOffset>
                  </wp:positionV>
                  <wp:extent cx="514350" cy="257175"/>
                  <wp:effectExtent l="0" t="0" r="0" b="9525"/>
                  <wp:wrapNone/>
                  <wp:docPr id="336891515" name="Picture 3368915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4350" cy="257175"/>
                          </a:xfrm>
                          <a:prstGeom prst="rect">
                            <a:avLst/>
                          </a:prstGeom>
                          <a:noFill/>
                        </pic:spPr>
                      </pic:pic>
                    </a:graphicData>
                  </a:graphic>
                  <wp14:sizeRelH relativeFrom="page">
                    <wp14:pctWidth>0</wp14:pctWidth>
                  </wp14:sizeRelH>
                  <wp14:sizeRelV relativeFrom="margin">
                    <wp14:pctHeight>0</wp14:pctHeight>
                  </wp14:sizeRelV>
                </wp:anchor>
              </w:drawing>
            </w:r>
          </w:p>
        </w:tc>
        <w:tc>
          <w:tcPr>
            <w:tcW w:w="922"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650E911F" w14:textId="77777777" w:rsidR="00541A7A" w:rsidRPr="007C0DCB" w:rsidRDefault="00541A7A" w:rsidP="002B6DF4">
            <w:pPr>
              <w:pStyle w:val="SingleTxt"/>
              <w:tabs>
                <w:tab w:val="left" w:pos="288"/>
                <w:tab w:val="left" w:pos="576"/>
                <w:tab w:val="left" w:pos="864"/>
                <w:tab w:val="left" w:pos="1152"/>
              </w:tabs>
              <w:spacing w:before="81" w:after="81" w:line="210" w:lineRule="exact"/>
              <w:ind w:left="144" w:right="40"/>
              <w:jc w:val="right"/>
              <w:rPr>
                <w:b/>
                <w:sz w:val="17"/>
                <w:lang w:val="es-ES_tradnl"/>
              </w:rPr>
            </w:pPr>
            <w:r w:rsidRPr="00195CF4">
              <w:rPr>
                <w:b/>
                <w:sz w:val="17"/>
                <w:lang w:val="es-ES_tradnl"/>
              </w:rPr>
              <w:t>294</w:t>
            </w:r>
          </w:p>
        </w:tc>
        <w:tc>
          <w:tcPr>
            <w:tcW w:w="921" w:type="dxa"/>
            <w:tcBorders>
              <w:top w:val="single" w:sz="4" w:space="0" w:color="auto"/>
              <w:bottom w:val="single" w:sz="12" w:space="0" w:color="auto"/>
            </w:tcBorders>
            <w:shd w:val="clear" w:color="auto" w:fill="auto"/>
            <w:vAlign w:val="bottom"/>
            <w:hideMark/>
          </w:tcPr>
          <w:p w14:paraId="7AE2425A" w14:textId="77777777" w:rsidR="00541A7A" w:rsidRPr="007C0DCB" w:rsidRDefault="00541A7A" w:rsidP="002B6DF4">
            <w:pPr>
              <w:pStyle w:val="SingleTxt"/>
              <w:tabs>
                <w:tab w:val="left" w:pos="288"/>
                <w:tab w:val="left" w:pos="576"/>
                <w:tab w:val="left" w:pos="864"/>
                <w:tab w:val="left" w:pos="1152"/>
              </w:tabs>
              <w:spacing w:before="81" w:after="81" w:line="210" w:lineRule="exact"/>
              <w:ind w:left="144" w:right="40"/>
              <w:jc w:val="right"/>
              <w:rPr>
                <w:b/>
                <w:bCs/>
                <w:sz w:val="17"/>
                <w:lang w:val="es-ES_tradnl"/>
              </w:rPr>
            </w:pPr>
            <w:r w:rsidRPr="00195CF4">
              <w:rPr>
                <w:b/>
                <w:bCs/>
                <w:sz w:val="17"/>
                <w:lang w:val="es-ES_tradnl"/>
              </w:rPr>
              <w:t>340</w:t>
            </w:r>
          </w:p>
        </w:tc>
        <w:tc>
          <w:tcPr>
            <w:tcW w:w="922" w:type="dxa"/>
            <w:tcBorders>
              <w:top w:val="single" w:sz="4" w:space="0" w:color="auto"/>
              <w:bottom w:val="single" w:sz="12" w:space="0" w:color="auto"/>
            </w:tcBorders>
            <w:shd w:val="clear" w:color="auto" w:fill="auto"/>
            <w:vAlign w:val="bottom"/>
          </w:tcPr>
          <w:p w14:paraId="5518782C" w14:textId="77777777" w:rsidR="00541A7A" w:rsidRPr="00195CF4" w:rsidRDefault="00541A7A" w:rsidP="002B6DF4">
            <w:pPr>
              <w:pStyle w:val="SingleTxt"/>
              <w:tabs>
                <w:tab w:val="left" w:pos="288"/>
                <w:tab w:val="left" w:pos="576"/>
                <w:tab w:val="left" w:pos="864"/>
                <w:tab w:val="left" w:pos="1152"/>
              </w:tabs>
              <w:spacing w:before="81" w:after="81" w:line="210" w:lineRule="exact"/>
              <w:ind w:left="144" w:right="40"/>
              <w:jc w:val="right"/>
              <w:rPr>
                <w:b/>
                <w:bCs/>
                <w:sz w:val="17"/>
                <w:lang w:val="es-ES_tradnl"/>
              </w:rPr>
            </w:pPr>
            <w:r w:rsidRPr="00195CF4">
              <w:rPr>
                <w:b/>
                <w:bCs/>
                <w:sz w:val="17"/>
                <w:lang w:val="es-ES_tradnl"/>
              </w:rPr>
              <w:t>382</w:t>
            </w:r>
          </w:p>
        </w:tc>
      </w:tr>
    </w:tbl>
    <w:p w14:paraId="47E77FBC" w14:textId="77777777" w:rsidR="00541A7A" w:rsidRPr="007C0DCB" w:rsidRDefault="00541A7A" w:rsidP="00457395">
      <w:pPr>
        <w:pStyle w:val="SingleTxt"/>
        <w:spacing w:after="0" w:line="120" w:lineRule="exact"/>
        <w:rPr>
          <w:sz w:val="10"/>
          <w:lang w:val="es-ES_tradnl"/>
        </w:rPr>
      </w:pPr>
    </w:p>
    <w:p w14:paraId="1B6EF204" w14:textId="77777777" w:rsidR="00457395" w:rsidRPr="007C0DCB" w:rsidRDefault="00457395" w:rsidP="00457395">
      <w:pPr>
        <w:pStyle w:val="SingleTxt"/>
        <w:spacing w:after="0" w:line="120" w:lineRule="exact"/>
        <w:rPr>
          <w:sz w:val="10"/>
          <w:lang w:val="es-ES_tradnl"/>
        </w:rPr>
      </w:pPr>
    </w:p>
    <w:p w14:paraId="55E0ACC9" w14:textId="4D08E1FF" w:rsidR="00627CAE" w:rsidRPr="00627CAE" w:rsidRDefault="00627CAE" w:rsidP="00A02D7A">
      <w:pPr>
        <w:pStyle w:val="SingleTxt"/>
        <w:numPr>
          <w:ilvl w:val="0"/>
          <w:numId w:val="22"/>
        </w:numPr>
        <w:ind w:left="1267"/>
        <w:rPr>
          <w:lang w:val="es-ES_tradnl"/>
        </w:rPr>
      </w:pPr>
      <w:r w:rsidRPr="00627CAE">
        <w:rPr>
          <w:lang w:val="es-ES_tradnl"/>
        </w:rPr>
        <w:t xml:space="preserve">En los cinco años comprendidos entre 2018-19 y 2022-23, la Oficina de la Directora de la Fiscalía Federal inició o llevó a cabo 28 enjuiciamientos penales por trata de personas y delitos relacionados con la esclavitud (ejercicio 2018-19: 0 hombres, 2 mujeres procesados; ejercicio 2019-20: 6 hombres, 5 mujeres; ejercicio </w:t>
      </w:r>
      <w:r w:rsidRPr="00627CAE">
        <w:rPr>
          <w:lang w:val="es-ES_tradnl"/>
        </w:rPr>
        <w:lastRenderedPageBreak/>
        <w:t>2020-21: 3 hombres, 2 mujeres; ejercicio 2021-22: 3 hombres, 1 mujer; ejercicio 2022-23: 5 hombres, 1 mujer).</w:t>
      </w:r>
    </w:p>
    <w:p w14:paraId="27518BB7" w14:textId="78AABBA3" w:rsidR="00627CAE" w:rsidRPr="00627CAE" w:rsidRDefault="00627CAE" w:rsidP="00A02D7A">
      <w:pPr>
        <w:pStyle w:val="SingleTxt"/>
        <w:numPr>
          <w:ilvl w:val="0"/>
          <w:numId w:val="22"/>
        </w:numPr>
        <w:ind w:left="1267"/>
        <w:rPr>
          <w:lang w:val="es-ES_tradnl"/>
        </w:rPr>
      </w:pPr>
      <w:r w:rsidRPr="00627CAE">
        <w:rPr>
          <w:lang w:val="es-ES_tradnl"/>
        </w:rPr>
        <w:t xml:space="preserve">Desde 2004 hasta el 30 de junio de 2023, se ha condenado a 30 personas en Australia por estos delitos. </w:t>
      </w:r>
    </w:p>
    <w:p w14:paraId="636BEAE9" w14:textId="77777777" w:rsidR="00457395" w:rsidRPr="00195CF4" w:rsidRDefault="00457395" w:rsidP="00457395">
      <w:pPr>
        <w:pStyle w:val="SingleTxt"/>
        <w:spacing w:after="0" w:line="120" w:lineRule="exact"/>
        <w:rPr>
          <w:b/>
          <w:sz w:val="10"/>
          <w:lang w:val="es-ES_tradnl"/>
        </w:rPr>
      </w:pPr>
      <w:bookmarkStart w:id="143" w:name="_Toc174011695"/>
      <w:bookmarkStart w:id="144" w:name="_Toc188598236"/>
      <w:bookmarkStart w:id="145" w:name="_Toc190357133"/>
      <w:bookmarkStart w:id="146" w:name="_Toc190878917"/>
    </w:p>
    <w:p w14:paraId="650E2935" w14:textId="77777777" w:rsidR="00457395" w:rsidRPr="00195CF4" w:rsidRDefault="00457395" w:rsidP="00457395">
      <w:pPr>
        <w:pStyle w:val="SingleTxt"/>
        <w:spacing w:after="0" w:line="120" w:lineRule="exact"/>
        <w:rPr>
          <w:b/>
          <w:sz w:val="10"/>
          <w:lang w:val="es-ES_tradnl"/>
        </w:rPr>
      </w:pPr>
    </w:p>
    <w:p w14:paraId="7E69A625" w14:textId="3E1FCD27" w:rsidR="00627CAE" w:rsidRPr="00195CF4" w:rsidRDefault="00627CAE" w:rsidP="004573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Programa de Movilidad Laboral de Australia y el Pacífico (PALM)</w:t>
      </w:r>
      <w:bookmarkEnd w:id="143"/>
      <w:bookmarkEnd w:id="144"/>
      <w:bookmarkEnd w:id="145"/>
      <w:bookmarkEnd w:id="146"/>
    </w:p>
    <w:p w14:paraId="46D36181" w14:textId="77777777" w:rsidR="00457395" w:rsidRPr="007C0DCB" w:rsidRDefault="00457395" w:rsidP="00457395">
      <w:pPr>
        <w:pStyle w:val="SingleTxt"/>
        <w:spacing w:after="0" w:line="120" w:lineRule="exact"/>
        <w:rPr>
          <w:iCs/>
          <w:sz w:val="10"/>
          <w:lang w:val="es-ES_tradnl"/>
        </w:rPr>
      </w:pPr>
    </w:p>
    <w:p w14:paraId="47A2459F" w14:textId="77777777" w:rsidR="00457395" w:rsidRPr="007C0DCB" w:rsidRDefault="00457395" w:rsidP="00457395">
      <w:pPr>
        <w:pStyle w:val="SingleTxt"/>
        <w:spacing w:after="0" w:line="120" w:lineRule="exact"/>
        <w:rPr>
          <w:iCs/>
          <w:sz w:val="10"/>
          <w:lang w:val="es-ES_tradnl"/>
        </w:rPr>
      </w:pPr>
    </w:p>
    <w:p w14:paraId="3617E243" w14:textId="467DA0CC" w:rsidR="00627CAE" w:rsidRPr="00627CAE" w:rsidRDefault="00627CAE" w:rsidP="00A02D7A">
      <w:pPr>
        <w:pStyle w:val="SingleTxt"/>
        <w:numPr>
          <w:ilvl w:val="0"/>
          <w:numId w:val="22"/>
        </w:numPr>
        <w:ind w:left="1267"/>
        <w:rPr>
          <w:lang w:val="es-ES_tradnl"/>
        </w:rPr>
      </w:pPr>
      <w:r w:rsidRPr="00627CAE">
        <w:rPr>
          <w:lang w:val="es-ES_tradnl"/>
        </w:rPr>
        <w:t>El Gobierno tiene tolerancia cero con el maltrato a los trabajadores del Pacífico y Timor-Leste en Australia, y ha destinado 440 millones de dólares para supervisar mejor el Programa PALM, incluidas las horas mínimas requeridas y la garantía de ingresos, mejorando las condiciones y las ayudas a los trabajadores que participan en el programa. Los empleadores que participan en el Programa PALM deben cumplir lo dispuesto en la Ley sobre las Formas Contemporáneas de Esclavitud de 2018 (Commonwealth) (Ley sobre las Formas Contemporáneas de Esclavitud), las leyes estatales o territoriales en la materia, el Código Penal y otras obligaciones que correspondan al Gobierno. Los trabajadores del Programa PALM gozan de los mismos derechos y protecciones en el lugar de trabajo que los trabajadores australianos. El Gobierno tiene en cuenta en el programa la igualdad de género, la discapacidad, la inclusión social y la violencia de género.</w:t>
      </w:r>
    </w:p>
    <w:p w14:paraId="15DDBFA9" w14:textId="77777777" w:rsidR="007160A2" w:rsidRPr="00195CF4" w:rsidRDefault="007160A2" w:rsidP="007160A2">
      <w:pPr>
        <w:pStyle w:val="SingleTxt"/>
        <w:spacing w:after="0" w:line="120" w:lineRule="exact"/>
        <w:rPr>
          <w:b/>
          <w:sz w:val="10"/>
          <w:lang w:val="es-ES_tradnl"/>
        </w:rPr>
      </w:pPr>
      <w:bookmarkStart w:id="147" w:name="_Toc174011696"/>
      <w:bookmarkStart w:id="148" w:name="_Toc188598237"/>
      <w:bookmarkStart w:id="149" w:name="_Toc190357134"/>
      <w:bookmarkStart w:id="150" w:name="_Toc190878918"/>
    </w:p>
    <w:p w14:paraId="7EE962B7" w14:textId="77777777" w:rsidR="007160A2" w:rsidRPr="00195CF4" w:rsidRDefault="007160A2" w:rsidP="007160A2">
      <w:pPr>
        <w:pStyle w:val="SingleTxt"/>
        <w:spacing w:after="0" w:line="120" w:lineRule="exact"/>
        <w:rPr>
          <w:b/>
          <w:sz w:val="10"/>
          <w:lang w:val="es-ES_tradnl"/>
        </w:rPr>
      </w:pPr>
    </w:p>
    <w:p w14:paraId="4D4FF1E4" w14:textId="72585D1D" w:rsidR="00627CAE" w:rsidRPr="00195CF4" w:rsidRDefault="00627CAE" w:rsidP="007160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Medidas para aplicar la Ley sobre las Formas Contemporáneas de</w:t>
      </w:r>
      <w:r w:rsidR="007160A2" w:rsidRPr="00195CF4">
        <w:rPr>
          <w:lang w:val="es-ES_tradnl"/>
        </w:rPr>
        <w:t> </w:t>
      </w:r>
      <w:r w:rsidRPr="00195CF4">
        <w:rPr>
          <w:lang w:val="es-ES_tradnl"/>
        </w:rPr>
        <w:t xml:space="preserve">Esclavitud </w:t>
      </w:r>
      <w:bookmarkEnd w:id="147"/>
      <w:bookmarkEnd w:id="148"/>
      <w:bookmarkEnd w:id="149"/>
      <w:bookmarkEnd w:id="150"/>
    </w:p>
    <w:p w14:paraId="63EA46AA" w14:textId="77777777" w:rsidR="007160A2" w:rsidRPr="007C0DCB" w:rsidRDefault="007160A2" w:rsidP="007160A2">
      <w:pPr>
        <w:pStyle w:val="SingleTxt"/>
        <w:spacing w:after="0" w:line="120" w:lineRule="exact"/>
        <w:rPr>
          <w:iCs/>
          <w:sz w:val="10"/>
          <w:lang w:val="es-ES_tradnl"/>
        </w:rPr>
      </w:pPr>
    </w:p>
    <w:p w14:paraId="4B965587" w14:textId="77777777" w:rsidR="007160A2" w:rsidRPr="007C0DCB" w:rsidRDefault="007160A2" w:rsidP="007160A2">
      <w:pPr>
        <w:pStyle w:val="SingleTxt"/>
        <w:spacing w:after="0" w:line="120" w:lineRule="exact"/>
        <w:rPr>
          <w:iCs/>
          <w:sz w:val="10"/>
          <w:lang w:val="es-ES_tradnl"/>
        </w:rPr>
      </w:pPr>
    </w:p>
    <w:p w14:paraId="0EFF9198" w14:textId="3D488358" w:rsidR="00627CAE" w:rsidRPr="00627CAE" w:rsidRDefault="00627CAE" w:rsidP="00A02D7A">
      <w:pPr>
        <w:pStyle w:val="SingleTxt"/>
        <w:numPr>
          <w:ilvl w:val="0"/>
          <w:numId w:val="22"/>
        </w:numPr>
        <w:ind w:left="1267"/>
        <w:rPr>
          <w:lang w:val="es-ES_tradnl"/>
        </w:rPr>
      </w:pPr>
      <w:r w:rsidRPr="00627CAE">
        <w:rPr>
          <w:lang w:val="es-ES_tradnl"/>
        </w:rPr>
        <w:t xml:space="preserve">En virtud de la Ley sobre las Formas Contemporáneas de Esclavitud, que entró en vigor el 1 de enero de 2019, se exige a determinadas grandes empresas y otras entidades que operen en Australia que informen todos los años al Gobierno sobre las medidas que hayan adoptado para evaluar y abordar el riesgo de que se practique la esclavitud contemporánea en sus operaciones y cadenas de suministro. </w:t>
      </w:r>
    </w:p>
    <w:p w14:paraId="7D813EEB" w14:textId="67123ED5" w:rsidR="00627CAE" w:rsidRPr="00627CAE" w:rsidRDefault="00627CAE" w:rsidP="00A02D7A">
      <w:pPr>
        <w:pStyle w:val="SingleTxt"/>
        <w:numPr>
          <w:ilvl w:val="0"/>
          <w:numId w:val="22"/>
        </w:numPr>
        <w:ind w:left="1267"/>
        <w:rPr>
          <w:lang w:val="es-ES_tradnl"/>
        </w:rPr>
      </w:pPr>
      <w:r w:rsidRPr="00627CAE">
        <w:rPr>
          <w:lang w:val="es-ES_tradnl"/>
        </w:rPr>
        <w:t>Las declaraciones sobre la esclavitud contemporánea se suelen publicar en línea en el Registro de Declaraciones sobre la Esclavitud Contemporánea (</w:t>
      </w:r>
      <w:r w:rsidR="00285E6B">
        <w:rPr>
          <w:lang w:val="es-ES_tradnl"/>
        </w:rPr>
        <w:t>“</w:t>
      </w:r>
      <w:r w:rsidRPr="00627CAE">
        <w:rPr>
          <w:lang w:val="es-ES_tradnl"/>
        </w:rPr>
        <w:t>el Registro</w:t>
      </w:r>
      <w:r w:rsidR="00285E6B">
        <w:rPr>
          <w:lang w:val="es-ES_tradnl"/>
        </w:rPr>
        <w:t>”</w:t>
      </w:r>
      <w:r w:rsidRPr="00627CAE">
        <w:rPr>
          <w:lang w:val="es-ES_tradnl"/>
        </w:rPr>
        <w:t>).</w:t>
      </w:r>
    </w:p>
    <w:p w14:paraId="6257C13E" w14:textId="5AE285F9" w:rsidR="00627CAE" w:rsidRPr="00627CAE" w:rsidRDefault="00627CAE" w:rsidP="00A02D7A">
      <w:pPr>
        <w:pStyle w:val="SingleTxt"/>
        <w:numPr>
          <w:ilvl w:val="0"/>
          <w:numId w:val="22"/>
        </w:numPr>
        <w:ind w:left="1267"/>
        <w:rPr>
          <w:lang w:val="es-ES_tradnl"/>
        </w:rPr>
      </w:pPr>
      <w:r w:rsidRPr="00627CAE">
        <w:rPr>
          <w:lang w:val="es-ES_tradnl"/>
        </w:rPr>
        <w:t>Al 10 de octubre de 2024 se habían publicado en el Registro más de 11.500 declaraciones presentadas por entidades con sede en más de 60 países. Se han realizado más de 5,1 millones de búsquedas en el Registro.</w:t>
      </w:r>
    </w:p>
    <w:p w14:paraId="5B9D5BBC" w14:textId="1828C10E" w:rsidR="00627CAE" w:rsidRPr="00627CAE" w:rsidRDefault="00627CAE" w:rsidP="00A02D7A">
      <w:pPr>
        <w:pStyle w:val="SingleTxt"/>
        <w:numPr>
          <w:ilvl w:val="0"/>
          <w:numId w:val="22"/>
        </w:numPr>
        <w:ind w:left="1267"/>
        <w:rPr>
          <w:lang w:val="es-ES_tradnl"/>
        </w:rPr>
      </w:pPr>
      <w:r w:rsidRPr="00627CAE">
        <w:rPr>
          <w:lang w:val="es-ES_tradnl"/>
        </w:rPr>
        <w:t>La Ley sobre las Formas Contemporáneas de Esclavitud exige al Gobierno que informe anualmente al Parlamento australiano sobre las medidas que haya adoptado para cumplirla. Hasta la fecha se han presentado y publicado cuatro informes anuales. El Gobierno debe elaborar una declaración anual sobre la esclavitud contemporánea para describir las medidas adoptadas a fin de evaluar y abordar el riesgo de esclavitud contemporánea en sus operaciones y cadenas de suministro</w:t>
      </w:r>
      <w:r w:rsidRPr="00627CAE">
        <w:rPr>
          <w:vertAlign w:val="superscript"/>
          <w:lang w:val="es-ES_tradnl"/>
        </w:rPr>
        <w:footnoteReference w:id="28"/>
      </w:r>
      <w:r w:rsidRPr="00627CAE">
        <w:rPr>
          <w:lang w:val="es-ES_tradnl"/>
        </w:rPr>
        <w:t>.</w:t>
      </w:r>
    </w:p>
    <w:p w14:paraId="3ED530EF" w14:textId="226FC4EE" w:rsidR="00627CAE" w:rsidRPr="00627CAE" w:rsidRDefault="00627CAE" w:rsidP="00A02D7A">
      <w:pPr>
        <w:pStyle w:val="SingleTxt"/>
        <w:numPr>
          <w:ilvl w:val="0"/>
          <w:numId w:val="22"/>
        </w:numPr>
        <w:ind w:left="1267"/>
        <w:rPr>
          <w:lang w:val="es-ES_tradnl"/>
        </w:rPr>
      </w:pPr>
      <w:r w:rsidRPr="00627CAE">
        <w:rPr>
          <w:lang w:val="es-ES_tradnl"/>
        </w:rPr>
        <w:t>En 2024-25, el Gobierno anunció una inversión de 2,5 millones de dólares por un período de dos años para examinar el posible riesgo de esclavitud contemporánea en los procedimientos de adquisiciones y las cadenas de suministro del Commonwealth.</w:t>
      </w:r>
    </w:p>
    <w:p w14:paraId="6D95F355" w14:textId="77777777" w:rsidR="0072246D" w:rsidRPr="00195CF4" w:rsidRDefault="0072246D" w:rsidP="0072246D">
      <w:pPr>
        <w:pStyle w:val="SingleTxt"/>
        <w:spacing w:after="0" w:line="120" w:lineRule="exact"/>
        <w:rPr>
          <w:b/>
          <w:sz w:val="10"/>
          <w:lang w:val="es-ES_tradnl"/>
        </w:rPr>
      </w:pPr>
      <w:bookmarkStart w:id="151" w:name="_Toc174011697"/>
      <w:bookmarkStart w:id="152" w:name="_Toc188598238"/>
      <w:bookmarkStart w:id="153" w:name="_Toc190357135"/>
      <w:bookmarkStart w:id="154" w:name="_Toc190878919"/>
    </w:p>
    <w:p w14:paraId="50E55373" w14:textId="77777777" w:rsidR="0072246D" w:rsidRPr="00195CF4" w:rsidRDefault="0072246D" w:rsidP="0072246D">
      <w:pPr>
        <w:pStyle w:val="SingleTxt"/>
        <w:spacing w:after="0" w:line="120" w:lineRule="exact"/>
        <w:rPr>
          <w:b/>
          <w:sz w:val="10"/>
          <w:lang w:val="es-ES_tradnl"/>
        </w:rPr>
      </w:pPr>
    </w:p>
    <w:p w14:paraId="13C32169" w14:textId="2CA4FF5D" w:rsidR="00627CAE" w:rsidRPr="00195CF4" w:rsidRDefault="00627CAE" w:rsidP="007224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Programa de Ayuda para las Víctimas de la Trata de Personas</w:t>
      </w:r>
      <w:bookmarkEnd w:id="151"/>
      <w:bookmarkEnd w:id="152"/>
      <w:bookmarkEnd w:id="153"/>
      <w:bookmarkEnd w:id="154"/>
    </w:p>
    <w:p w14:paraId="66708FDC" w14:textId="77777777" w:rsidR="0072246D" w:rsidRPr="007C0DCB" w:rsidRDefault="0072246D" w:rsidP="0072246D">
      <w:pPr>
        <w:pStyle w:val="SingleTxt"/>
        <w:spacing w:after="0" w:line="120" w:lineRule="exact"/>
        <w:rPr>
          <w:iCs/>
          <w:sz w:val="10"/>
          <w:lang w:val="es-ES_tradnl"/>
        </w:rPr>
      </w:pPr>
    </w:p>
    <w:p w14:paraId="057CA854" w14:textId="77777777" w:rsidR="0072246D" w:rsidRPr="007C0DCB" w:rsidRDefault="0072246D" w:rsidP="0072246D">
      <w:pPr>
        <w:pStyle w:val="SingleTxt"/>
        <w:spacing w:after="0" w:line="120" w:lineRule="exact"/>
        <w:rPr>
          <w:iCs/>
          <w:sz w:val="10"/>
          <w:lang w:val="es-ES_tradnl"/>
        </w:rPr>
      </w:pPr>
    </w:p>
    <w:p w14:paraId="3FE571CA" w14:textId="0E0A82D7" w:rsidR="00627CAE" w:rsidRPr="00627CAE" w:rsidRDefault="00627CAE" w:rsidP="00A02D7A">
      <w:pPr>
        <w:pStyle w:val="SingleTxt"/>
        <w:numPr>
          <w:ilvl w:val="0"/>
          <w:numId w:val="22"/>
        </w:numPr>
        <w:ind w:left="1267"/>
        <w:rPr>
          <w:lang w:val="es-ES_tradnl"/>
        </w:rPr>
      </w:pPr>
      <w:r w:rsidRPr="00627CAE">
        <w:rPr>
          <w:lang w:val="es-ES_tradnl"/>
        </w:rPr>
        <w:t xml:space="preserve">El Gobierno destinó 24,3 millones de dólares al Programa de Ayuda para las Víctimas de la Trata de Personas (2023-24 a 2026-27), cuyo objetivo es atender a las </w:t>
      </w:r>
      <w:r w:rsidRPr="00627CAE">
        <w:rPr>
          <w:lang w:val="es-ES_tradnl"/>
        </w:rPr>
        <w:lastRenderedPageBreak/>
        <w:t>necesidades de las víctimas supervivientes e introducir una vía de remisión que permita acceder al programa sin tener que recurrir a la Policía Federal Australiana. A partir del 1 de julio de 2023:</w:t>
      </w:r>
    </w:p>
    <w:p w14:paraId="604B3882" w14:textId="13D6F514" w:rsidR="00627CAE" w:rsidRPr="00627CAE" w:rsidRDefault="0072246D" w:rsidP="0072246D">
      <w:pPr>
        <w:pStyle w:val="SingleTxt"/>
        <w:tabs>
          <w:tab w:val="right" w:pos="1685"/>
        </w:tabs>
        <w:ind w:left="1742" w:hanging="475"/>
        <w:rPr>
          <w:lang w:val="es-ES_tradnl"/>
        </w:rPr>
      </w:pPr>
      <w:r w:rsidRPr="007C0DCB">
        <w:rPr>
          <w:lang w:val="es-ES_tradnl"/>
        </w:rPr>
        <w:tab/>
        <w:t>•</w:t>
      </w:r>
      <w:r w:rsidR="00627CAE" w:rsidRPr="00627CAE">
        <w:rPr>
          <w:lang w:val="es-ES_tradnl"/>
        </w:rPr>
        <w:tab/>
        <w:t>Las víctimas supervivientes derivadas al Programa de Ayuda para las Víctimas de la Trata de Personas reciben asistencia durante un mínimo de 90 días, con independencia de que deseen o no participar en el proceso de justicia penal;</w:t>
      </w:r>
    </w:p>
    <w:p w14:paraId="40C3C32B" w14:textId="4C5431E5" w:rsidR="00627CAE" w:rsidRPr="00627CAE" w:rsidRDefault="0072246D" w:rsidP="0072246D">
      <w:pPr>
        <w:pStyle w:val="SingleTxt"/>
        <w:tabs>
          <w:tab w:val="right" w:pos="1685"/>
        </w:tabs>
        <w:ind w:left="1742" w:hanging="475"/>
        <w:rPr>
          <w:lang w:val="es-ES_tradnl"/>
        </w:rPr>
      </w:pPr>
      <w:r w:rsidRPr="007C0DCB">
        <w:rPr>
          <w:lang w:val="es-ES_tradnl"/>
        </w:rPr>
        <w:tab/>
        <w:t>•</w:t>
      </w:r>
      <w:r w:rsidR="00627CAE" w:rsidRPr="00627CAE">
        <w:rPr>
          <w:lang w:val="es-ES_tradnl"/>
        </w:rPr>
        <w:tab/>
        <w:t>Otras ayudas disponibles para personas a cargo de víctimas supervivientes;</w:t>
      </w:r>
    </w:p>
    <w:p w14:paraId="312330B3" w14:textId="32F71856" w:rsidR="00627CAE" w:rsidRPr="00627CAE" w:rsidRDefault="0072246D" w:rsidP="0072246D">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Ayudas económicas disponibles para los titulares de visados de la misma cuantía que las ayudas económicas destinadas a quienes pueden recibir pagos de la seguridad social; </w:t>
      </w:r>
    </w:p>
    <w:p w14:paraId="2E1001F8" w14:textId="76C6C82B" w:rsidR="00627CAE" w:rsidRPr="00627CAE" w:rsidRDefault="0072246D" w:rsidP="0072246D">
      <w:pPr>
        <w:pStyle w:val="SingleTxt"/>
        <w:tabs>
          <w:tab w:val="right" w:pos="1685"/>
        </w:tabs>
        <w:ind w:left="1742" w:hanging="475"/>
        <w:rPr>
          <w:lang w:val="es-ES_tradnl"/>
        </w:rPr>
      </w:pPr>
      <w:r w:rsidRPr="007C0DCB">
        <w:rPr>
          <w:lang w:val="es-ES_tradnl"/>
        </w:rPr>
        <w:tab/>
        <w:t>•</w:t>
      </w:r>
      <w:r w:rsidR="00627CAE" w:rsidRPr="00627CAE">
        <w:rPr>
          <w:lang w:val="es-ES_tradnl"/>
        </w:rPr>
        <w:tab/>
        <w:t>Al abandonar el Programa, las víctimas supervivientes que permanezcan en Australia pueden visitar a un asistente social a los tres, seis y doce meses.</w:t>
      </w:r>
    </w:p>
    <w:p w14:paraId="372850C0" w14:textId="00B2ABA5" w:rsidR="00627CAE" w:rsidRPr="00627CAE" w:rsidRDefault="00627CAE" w:rsidP="00A02D7A">
      <w:pPr>
        <w:pStyle w:val="SingleTxt"/>
        <w:numPr>
          <w:ilvl w:val="0"/>
          <w:numId w:val="22"/>
        </w:numPr>
        <w:ind w:left="1267"/>
        <w:rPr>
          <w:lang w:val="es-ES_tradnl"/>
        </w:rPr>
      </w:pPr>
      <w:r w:rsidRPr="00627CAE">
        <w:rPr>
          <w:lang w:val="es-ES_tradnl"/>
        </w:rPr>
        <w:t xml:space="preserve">El Ministerio del Interior (Interior) administra el Marco de Visados relacionados con la Trata de Personas del Gobierno australiano, que permite a extranjeros sin un visado válido y presuntas víctimas de la trata y la esclavitud permanecer legalmente en Australia, de manera temporal o permanente. </w:t>
      </w:r>
    </w:p>
    <w:p w14:paraId="0DBE69D1" w14:textId="77777777" w:rsidR="0072246D" w:rsidRPr="00195CF4" w:rsidRDefault="0072246D" w:rsidP="0072246D">
      <w:pPr>
        <w:pStyle w:val="SingleTxt"/>
        <w:spacing w:after="0" w:line="120" w:lineRule="exact"/>
        <w:rPr>
          <w:b/>
          <w:sz w:val="10"/>
          <w:lang w:val="es-ES_tradnl"/>
        </w:rPr>
      </w:pPr>
      <w:bookmarkStart w:id="155" w:name="_Toc174011698"/>
      <w:bookmarkStart w:id="156" w:name="_Toc188598239"/>
      <w:bookmarkStart w:id="157" w:name="_Toc190357136"/>
      <w:bookmarkStart w:id="158" w:name="_Toc190878920"/>
    </w:p>
    <w:p w14:paraId="398CAFB1" w14:textId="77777777" w:rsidR="0072246D" w:rsidRPr="00195CF4" w:rsidRDefault="0072246D" w:rsidP="0072246D">
      <w:pPr>
        <w:pStyle w:val="SingleTxt"/>
        <w:spacing w:after="0" w:line="120" w:lineRule="exact"/>
        <w:rPr>
          <w:b/>
          <w:sz w:val="10"/>
          <w:lang w:val="es-ES_tradnl"/>
        </w:rPr>
      </w:pPr>
    </w:p>
    <w:p w14:paraId="20AE9E6F" w14:textId="5CEE35A4" w:rsidR="00627CAE" w:rsidRPr="00195CF4" w:rsidRDefault="00627CAE" w:rsidP="007224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Pronta detección y remisión de las víctimas de la trata</w:t>
      </w:r>
      <w:bookmarkEnd w:id="155"/>
      <w:bookmarkEnd w:id="156"/>
      <w:bookmarkEnd w:id="157"/>
      <w:bookmarkEnd w:id="158"/>
    </w:p>
    <w:p w14:paraId="3E8A9386" w14:textId="77777777" w:rsidR="0072246D" w:rsidRPr="007C0DCB" w:rsidRDefault="0072246D" w:rsidP="0072246D">
      <w:pPr>
        <w:pStyle w:val="SingleTxt"/>
        <w:spacing w:after="0" w:line="120" w:lineRule="exact"/>
        <w:rPr>
          <w:iCs/>
          <w:sz w:val="10"/>
          <w:lang w:val="es-ES_tradnl"/>
        </w:rPr>
      </w:pPr>
    </w:p>
    <w:p w14:paraId="7040FB2A" w14:textId="77777777" w:rsidR="0072246D" w:rsidRPr="007C0DCB" w:rsidRDefault="0072246D" w:rsidP="0072246D">
      <w:pPr>
        <w:pStyle w:val="SingleTxt"/>
        <w:spacing w:after="0" w:line="120" w:lineRule="exact"/>
        <w:rPr>
          <w:iCs/>
          <w:sz w:val="10"/>
          <w:lang w:val="es-ES_tradnl"/>
        </w:rPr>
      </w:pPr>
    </w:p>
    <w:p w14:paraId="6600C324" w14:textId="17142866" w:rsidR="00627CAE" w:rsidRPr="00627CAE" w:rsidRDefault="00627CAE" w:rsidP="00A02D7A">
      <w:pPr>
        <w:pStyle w:val="SingleTxt"/>
        <w:numPr>
          <w:ilvl w:val="0"/>
          <w:numId w:val="22"/>
        </w:numPr>
        <w:ind w:left="1267"/>
        <w:rPr>
          <w:lang w:val="es-ES_tradnl"/>
        </w:rPr>
      </w:pPr>
      <w:r w:rsidRPr="00627CAE">
        <w:rPr>
          <w:lang w:val="es-ES_tradnl"/>
        </w:rPr>
        <w:t>El objetivo del programa sobre la trata de personas y otros delitos de la esclavitud contemporánea de la Policía Federal Australiana (</w:t>
      </w:r>
      <w:r w:rsidR="00285E6B">
        <w:rPr>
          <w:lang w:val="es-ES_tradnl"/>
        </w:rPr>
        <w:t>“</w:t>
      </w:r>
      <w:r w:rsidRPr="00627CAE">
        <w:rPr>
          <w:lang w:val="es-ES_tradnl"/>
        </w:rPr>
        <w:t>Look a Little Deeper</w:t>
      </w:r>
      <w:r w:rsidR="00285E6B">
        <w:rPr>
          <w:lang w:val="es-ES_tradnl"/>
        </w:rPr>
        <w:t>”</w:t>
      </w:r>
      <w:r w:rsidRPr="00627CAE">
        <w:rPr>
          <w:lang w:val="es-ES_tradnl"/>
        </w:rPr>
        <w:t>), iniciado en 2018, es sensibilizar a los agentes de primera línea, los equipos de respuesta inicial y otros organismos públicos.</w:t>
      </w:r>
    </w:p>
    <w:p w14:paraId="464B2C78" w14:textId="6E398EDC" w:rsidR="00627CAE" w:rsidRPr="00627CAE" w:rsidRDefault="00627CAE" w:rsidP="00A02D7A">
      <w:pPr>
        <w:pStyle w:val="SingleTxt"/>
        <w:numPr>
          <w:ilvl w:val="0"/>
          <w:numId w:val="22"/>
        </w:numPr>
        <w:ind w:left="1267"/>
        <w:rPr>
          <w:lang w:val="es-ES_tradnl"/>
        </w:rPr>
      </w:pPr>
      <w:r w:rsidRPr="00627CAE">
        <w:rPr>
          <w:lang w:val="es-ES_tradnl"/>
        </w:rPr>
        <w:t xml:space="preserve">La Policía Federal Australiana organizó varias presentaciones durante el ejercicio 2022-23 para informar acerca del programa a 2.081 personas. Se ha desarrollado material de aprendizaje electrónico dirigido a los miembros de la Policía Federal Australiana y los organismos participantes. </w:t>
      </w:r>
    </w:p>
    <w:p w14:paraId="452E7AE4" w14:textId="77777777" w:rsidR="0072246D" w:rsidRPr="00195CF4" w:rsidRDefault="0072246D" w:rsidP="0072246D">
      <w:pPr>
        <w:pStyle w:val="SingleTxt"/>
        <w:spacing w:after="0" w:line="120" w:lineRule="exact"/>
        <w:rPr>
          <w:b/>
          <w:sz w:val="10"/>
          <w:lang w:val="es-ES_tradnl"/>
        </w:rPr>
      </w:pPr>
      <w:bookmarkStart w:id="159" w:name="_Toc174011699"/>
      <w:bookmarkStart w:id="160" w:name="_Toc188598240"/>
      <w:bookmarkStart w:id="161" w:name="_Toc190357137"/>
      <w:bookmarkStart w:id="162" w:name="_Toc190878921"/>
    </w:p>
    <w:p w14:paraId="1E0C482A" w14:textId="77777777" w:rsidR="0072246D" w:rsidRPr="00195CF4" w:rsidRDefault="0072246D" w:rsidP="0072246D">
      <w:pPr>
        <w:pStyle w:val="SingleTxt"/>
        <w:spacing w:after="0" w:line="120" w:lineRule="exact"/>
        <w:rPr>
          <w:b/>
          <w:sz w:val="10"/>
          <w:lang w:val="es-ES_tradnl"/>
        </w:rPr>
      </w:pPr>
    </w:p>
    <w:p w14:paraId="4CF5E31E" w14:textId="232D5B17" w:rsidR="00627CAE" w:rsidRPr="00195CF4" w:rsidRDefault="00627CAE" w:rsidP="007224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Despenalización del trabajo sexual</w:t>
      </w:r>
      <w:bookmarkEnd w:id="159"/>
      <w:bookmarkEnd w:id="160"/>
      <w:bookmarkEnd w:id="161"/>
      <w:bookmarkEnd w:id="162"/>
    </w:p>
    <w:p w14:paraId="1298A71F" w14:textId="77777777" w:rsidR="0072246D" w:rsidRPr="007C0DCB" w:rsidRDefault="0072246D" w:rsidP="0072246D">
      <w:pPr>
        <w:pStyle w:val="SingleTxt"/>
        <w:spacing w:after="0" w:line="120" w:lineRule="exact"/>
        <w:rPr>
          <w:iCs/>
          <w:sz w:val="10"/>
          <w:lang w:val="es-ES_tradnl"/>
        </w:rPr>
      </w:pPr>
    </w:p>
    <w:p w14:paraId="6A61532F" w14:textId="77777777" w:rsidR="0072246D" w:rsidRPr="007C0DCB" w:rsidRDefault="0072246D" w:rsidP="0072246D">
      <w:pPr>
        <w:pStyle w:val="SingleTxt"/>
        <w:spacing w:after="0" w:line="120" w:lineRule="exact"/>
        <w:rPr>
          <w:iCs/>
          <w:sz w:val="10"/>
          <w:lang w:val="es-ES_tradnl"/>
        </w:rPr>
      </w:pPr>
    </w:p>
    <w:p w14:paraId="1016C27A" w14:textId="17912AC0" w:rsidR="00627CAE" w:rsidRPr="00627CAE" w:rsidRDefault="00627CAE" w:rsidP="00A02D7A">
      <w:pPr>
        <w:pStyle w:val="SingleTxt"/>
        <w:numPr>
          <w:ilvl w:val="0"/>
          <w:numId w:val="22"/>
        </w:numPr>
        <w:ind w:left="1267"/>
        <w:rPr>
          <w:lang w:val="es-ES_tradnl"/>
        </w:rPr>
      </w:pPr>
      <w:r w:rsidRPr="00627CAE">
        <w:rPr>
          <w:lang w:val="es-ES_tradnl"/>
        </w:rPr>
        <w:t>En el sistema federal de gobierno de Australia, los estados y los territorios gestionan su propio derecho penal y sistemas afines. Corresponde a los estados y los territorios despenalizar el trabajo sexual.</w:t>
      </w:r>
    </w:p>
    <w:p w14:paraId="542F8E39" w14:textId="3981C5D1" w:rsidR="00627CAE" w:rsidRPr="00627CAE" w:rsidRDefault="00627CAE" w:rsidP="00A02D7A">
      <w:pPr>
        <w:pStyle w:val="SingleTxt"/>
        <w:numPr>
          <w:ilvl w:val="0"/>
          <w:numId w:val="22"/>
        </w:numPr>
        <w:ind w:left="1267"/>
        <w:rPr>
          <w:lang w:val="es-ES_tradnl"/>
        </w:rPr>
      </w:pPr>
      <w:r w:rsidRPr="00627CAE">
        <w:rPr>
          <w:lang w:val="es-ES_tradnl"/>
        </w:rPr>
        <w:t>En las distintas jurisdicciones australianas se emplean tres enfoques legislativos en lo que respecta al trabajo sexual: la legalización, la despenalización y la criminalización. El trabajo sexual consentido entre adultos se ha legalizado en el Territorio de la Capital de Australia introduciendo un modelo de concesión de licencias (los trabajadores sexuales que operan por cuenta propia no están obligados a obtener una licencia), mientras que las proposiciones en público siguen siendo ilegales. En Tasmania se han legalizado algunos aspectos del trabajo sexual de los trabajadores sexuales por cuenta propia. Australia Meridional y Australia Occidental han penalizado este tipo de trabajo en su totalidad o en parte. Nueva Gales del Sur despenalizó el trabajo sexual en 1995, el Territorio del Norte lo hizo en 2019, Victoria en 2022 y Queeensland en 2023.</w:t>
      </w:r>
    </w:p>
    <w:p w14:paraId="3F6FFA9F" w14:textId="5059C407" w:rsidR="00627CAE" w:rsidRPr="00627CAE" w:rsidRDefault="00627CAE" w:rsidP="00A02D7A">
      <w:pPr>
        <w:pStyle w:val="SingleTxt"/>
        <w:numPr>
          <w:ilvl w:val="0"/>
          <w:numId w:val="22"/>
        </w:numPr>
        <w:ind w:left="1267"/>
        <w:rPr>
          <w:lang w:val="es-ES_tradnl"/>
        </w:rPr>
      </w:pPr>
      <w:r w:rsidRPr="00627CAE">
        <w:rPr>
          <w:lang w:val="es-ES_tradnl"/>
        </w:rPr>
        <w:t xml:space="preserve">Los modelos de despenalización reconocen el trabajo sexual como ocupación legítima y regulada por el derecho mercantil ordinario, en lugar de optar por la concesión de licencias o la criminalización. El modelo de Victoria contiene </w:t>
      </w:r>
      <w:r w:rsidRPr="00627CAE">
        <w:rPr>
          <w:lang w:val="es-ES_tradnl"/>
        </w:rPr>
        <w:lastRenderedPageBreak/>
        <w:t xml:space="preserve">disposiciones que impiden discriminar a los trabajadores sexuales por razón de su </w:t>
      </w:r>
      <w:r w:rsidR="00285E6B">
        <w:rPr>
          <w:lang w:val="es-ES_tradnl"/>
        </w:rPr>
        <w:t>“</w:t>
      </w:r>
      <w:r w:rsidRPr="00627CAE">
        <w:rPr>
          <w:lang w:val="es-ES_tradnl"/>
        </w:rPr>
        <w:t>profesión, oficio u ocupación</w:t>
      </w:r>
      <w:r w:rsidR="00285E6B">
        <w:rPr>
          <w:lang w:val="es-ES_tradnl"/>
        </w:rPr>
        <w:t>”</w:t>
      </w:r>
      <w:r w:rsidRPr="00627CAE">
        <w:rPr>
          <w:vertAlign w:val="superscript"/>
          <w:lang w:val="es-ES_tradnl"/>
        </w:rPr>
        <w:footnoteReference w:id="29"/>
      </w:r>
      <w:r w:rsidRPr="00627CAE">
        <w:rPr>
          <w:lang w:val="es-ES_tradnl"/>
        </w:rPr>
        <w:t xml:space="preserve">. </w:t>
      </w:r>
    </w:p>
    <w:p w14:paraId="5DD8BD53" w14:textId="77777777" w:rsidR="0072246D" w:rsidRPr="00195CF4" w:rsidRDefault="0072246D" w:rsidP="0072246D">
      <w:pPr>
        <w:pStyle w:val="SingleTxt"/>
        <w:spacing w:after="0" w:line="120" w:lineRule="exact"/>
        <w:rPr>
          <w:b/>
          <w:sz w:val="10"/>
          <w:lang w:val="es-ES_tradnl"/>
        </w:rPr>
      </w:pPr>
      <w:bookmarkStart w:id="163" w:name="_Toc188598241"/>
      <w:bookmarkStart w:id="164" w:name="_Toc190357138"/>
      <w:bookmarkStart w:id="165" w:name="_Toc190878922"/>
    </w:p>
    <w:p w14:paraId="6C5AB002" w14:textId="77777777" w:rsidR="0072246D" w:rsidRPr="00195CF4" w:rsidRDefault="0072246D" w:rsidP="0072246D">
      <w:pPr>
        <w:pStyle w:val="SingleTxt"/>
        <w:spacing w:after="0" w:line="120" w:lineRule="exact"/>
        <w:rPr>
          <w:b/>
          <w:sz w:val="10"/>
          <w:lang w:val="es-ES_tradnl"/>
        </w:rPr>
      </w:pPr>
    </w:p>
    <w:p w14:paraId="45EE7E67" w14:textId="5EE4032D" w:rsidR="00627CAE" w:rsidRPr="00195CF4" w:rsidRDefault="00627CAE" w:rsidP="007224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 xml:space="preserve">Luchar contra la servidumbre y la explotación sexuales </w:t>
      </w:r>
      <w:bookmarkEnd w:id="163"/>
      <w:bookmarkEnd w:id="164"/>
      <w:bookmarkEnd w:id="165"/>
    </w:p>
    <w:p w14:paraId="28BBEE9D" w14:textId="77777777" w:rsidR="0072246D" w:rsidRPr="007C0DCB" w:rsidRDefault="0072246D" w:rsidP="0072246D">
      <w:pPr>
        <w:pStyle w:val="SingleTxt"/>
        <w:spacing w:after="0" w:line="120" w:lineRule="exact"/>
        <w:rPr>
          <w:iCs/>
          <w:sz w:val="10"/>
          <w:lang w:val="es-ES_tradnl"/>
        </w:rPr>
      </w:pPr>
    </w:p>
    <w:p w14:paraId="29F1C0A9" w14:textId="77777777" w:rsidR="0072246D" w:rsidRPr="007C0DCB" w:rsidRDefault="0072246D" w:rsidP="0072246D">
      <w:pPr>
        <w:pStyle w:val="SingleTxt"/>
        <w:spacing w:after="0" w:line="120" w:lineRule="exact"/>
        <w:rPr>
          <w:iCs/>
          <w:sz w:val="10"/>
          <w:lang w:val="es-ES_tradnl"/>
        </w:rPr>
      </w:pPr>
    </w:p>
    <w:p w14:paraId="69740AAF" w14:textId="37287B51" w:rsidR="00627CAE" w:rsidRPr="00627CAE" w:rsidRDefault="00627CAE" w:rsidP="00A02D7A">
      <w:pPr>
        <w:pStyle w:val="SingleTxt"/>
        <w:numPr>
          <w:ilvl w:val="0"/>
          <w:numId w:val="22"/>
        </w:numPr>
        <w:ind w:left="1267"/>
        <w:rPr>
          <w:lang w:val="es-ES_tradnl"/>
        </w:rPr>
      </w:pPr>
      <w:r w:rsidRPr="00627CAE">
        <w:rPr>
          <w:lang w:val="es-ES_tradnl"/>
        </w:rPr>
        <w:t xml:space="preserve">El Plan de Acción Nacional de Lucha contra las Formas Contemporáneas de Esclavitud 2020-25 (Plan de Acción Nacional) ofrece el marco estratégico para la respuesta de Australia a la esclavitud contemporánea, incluida la trata de personas, la esclavitud y las prácticas análogas a la esclavitud. El Código Penal tipifica como delito la trata de personas, la esclavitud y las prácticas análogas a la esclavitud en todos los sectores, incluida la industria del sexo. </w:t>
      </w:r>
    </w:p>
    <w:p w14:paraId="23CAD08A" w14:textId="6EE26340" w:rsidR="00627CAE" w:rsidRPr="00627CAE" w:rsidRDefault="00627CAE" w:rsidP="00A02D7A">
      <w:pPr>
        <w:pStyle w:val="SingleTxt"/>
        <w:numPr>
          <w:ilvl w:val="0"/>
          <w:numId w:val="22"/>
        </w:numPr>
        <w:ind w:left="1267"/>
        <w:rPr>
          <w:lang w:val="es-ES_tradnl"/>
        </w:rPr>
      </w:pPr>
      <w:r w:rsidRPr="00627CAE">
        <w:rPr>
          <w:lang w:val="es-ES_tradnl"/>
        </w:rPr>
        <w:t>El Parlamento australiano aprobó el 28 de mayo de 2024 el proyecto de ley de enmienda sobre la esclavitud contemporánea de 2023 (Comisionado Australiano contra la Esclavitud), por el cual se establece el Comisionado Australiano contra la Esclavitud como cargo estatutario independiente. Después de llevar a cabo un proceso de selección basado en los méritos, el Sr. Chris Evans inició el 2 de diciembre de 2024 su mandato de cinco años como primer Comisionado Australiano contra la Esclavitud.</w:t>
      </w:r>
    </w:p>
    <w:p w14:paraId="36AF065D" w14:textId="5A2E7113" w:rsidR="00627CAE" w:rsidRPr="00627CAE" w:rsidRDefault="00627CAE" w:rsidP="00A02D7A">
      <w:pPr>
        <w:pStyle w:val="SingleTxt"/>
        <w:numPr>
          <w:ilvl w:val="0"/>
          <w:numId w:val="22"/>
        </w:numPr>
        <w:ind w:left="1267"/>
        <w:rPr>
          <w:lang w:val="es-ES_tradnl"/>
        </w:rPr>
      </w:pPr>
      <w:r w:rsidRPr="00627CAE">
        <w:rPr>
          <w:lang w:val="es-ES_tradnl"/>
        </w:rPr>
        <w:t xml:space="preserve">El Comisionado contra la Esclavitud reforzará más si cabe la labor emprendida por el Gobierno, las empresas y la sociedad civil para prevenir y combatir la esclavitud contemporánea, ayudando a víctimas y supervivientes, sensibilizando a la comunidad y apoyando a las empresas para evitar que se utilicen prácticas propias de la esclavitud contemporánea en sus operaciones y cadenas de suministro. </w:t>
      </w:r>
    </w:p>
    <w:p w14:paraId="2E5D08F8" w14:textId="77777777" w:rsidR="0072246D" w:rsidRPr="00195CF4" w:rsidRDefault="0072246D" w:rsidP="0072246D">
      <w:pPr>
        <w:pStyle w:val="SingleTxt"/>
        <w:spacing w:after="0" w:line="120" w:lineRule="exact"/>
        <w:rPr>
          <w:b/>
          <w:sz w:val="10"/>
          <w:lang w:val="es-ES_tradnl"/>
        </w:rPr>
      </w:pPr>
      <w:bookmarkStart w:id="166" w:name="_Toc174011700"/>
      <w:bookmarkStart w:id="167" w:name="_Toc188598242"/>
      <w:bookmarkStart w:id="168" w:name="_Toc190357139"/>
      <w:bookmarkStart w:id="169" w:name="_Toc190878923"/>
    </w:p>
    <w:p w14:paraId="73C463E5" w14:textId="77777777" w:rsidR="0072246D" w:rsidRPr="00195CF4" w:rsidRDefault="0072246D" w:rsidP="0072246D">
      <w:pPr>
        <w:pStyle w:val="SingleTxt"/>
        <w:spacing w:after="0" w:line="120" w:lineRule="exact"/>
        <w:rPr>
          <w:b/>
          <w:sz w:val="10"/>
          <w:lang w:val="es-ES_tradnl"/>
        </w:rPr>
      </w:pPr>
    </w:p>
    <w:p w14:paraId="7393FB85" w14:textId="237C02F6" w:rsidR="00627CAE" w:rsidRPr="00195CF4" w:rsidRDefault="00627CAE" w:rsidP="007224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Examen trienal de la Ley sobre las Formas Contemporáneas de</w:t>
      </w:r>
      <w:r w:rsidR="0072246D" w:rsidRPr="00195CF4">
        <w:rPr>
          <w:lang w:val="es-ES_tradnl"/>
        </w:rPr>
        <w:t> </w:t>
      </w:r>
      <w:r w:rsidRPr="00195CF4">
        <w:rPr>
          <w:lang w:val="es-ES_tradnl"/>
        </w:rPr>
        <w:t xml:space="preserve">Esclavitud </w:t>
      </w:r>
      <w:bookmarkEnd w:id="166"/>
      <w:bookmarkEnd w:id="167"/>
      <w:bookmarkEnd w:id="168"/>
      <w:bookmarkEnd w:id="169"/>
    </w:p>
    <w:p w14:paraId="5C8FC79C" w14:textId="77777777" w:rsidR="0072246D" w:rsidRPr="007C0DCB" w:rsidRDefault="0072246D" w:rsidP="0072246D">
      <w:pPr>
        <w:pStyle w:val="SingleTxt"/>
        <w:spacing w:after="0" w:line="120" w:lineRule="exact"/>
        <w:rPr>
          <w:iCs/>
          <w:sz w:val="10"/>
          <w:lang w:val="es-ES_tradnl"/>
        </w:rPr>
      </w:pPr>
    </w:p>
    <w:p w14:paraId="276B5076" w14:textId="77777777" w:rsidR="0072246D" w:rsidRPr="007C0DCB" w:rsidRDefault="0072246D" w:rsidP="0072246D">
      <w:pPr>
        <w:pStyle w:val="SingleTxt"/>
        <w:spacing w:after="0" w:line="120" w:lineRule="exact"/>
        <w:rPr>
          <w:iCs/>
          <w:sz w:val="10"/>
          <w:lang w:val="es-ES_tradnl"/>
        </w:rPr>
      </w:pPr>
    </w:p>
    <w:p w14:paraId="0F250013" w14:textId="45A2A5DC" w:rsidR="00627CAE" w:rsidRPr="00627CAE" w:rsidRDefault="00627CAE" w:rsidP="00A02D7A">
      <w:pPr>
        <w:pStyle w:val="SingleTxt"/>
        <w:numPr>
          <w:ilvl w:val="0"/>
          <w:numId w:val="22"/>
        </w:numPr>
        <w:ind w:left="1267"/>
        <w:rPr>
          <w:lang w:val="es-ES_tradnl"/>
        </w:rPr>
      </w:pPr>
      <w:r w:rsidRPr="00627CAE">
        <w:rPr>
          <w:lang w:val="es-ES_tradnl"/>
        </w:rPr>
        <w:t xml:space="preserve">El 25 de mayo de 2023 se presentó en el Parlamento australiano el informe del examen reglamentario de la Ley sobre las Formas Contemporáneas de Esclavitud de 2018 (Commonwealth) durante sus tres primeros años de andadura. El Gobierno publicó su respuesta al informe el 2 de diciembre de 2024. Esa respuesta coincide en todo o en parte, o en principio, con 25 de las 30 recomendaciones formuladas, en consonancia con el compromiso del Gobierno de reforzar la Ley sobre las Formas Contemporáneas de Esclavitud, entre otras cosas definiendo mejor las obligaciones en lo que respecta a la presentación de informes y simplificando el marco regulador. </w:t>
      </w:r>
    </w:p>
    <w:p w14:paraId="436B23D8" w14:textId="77777777" w:rsidR="0072246D" w:rsidRPr="00195CF4" w:rsidRDefault="0072246D" w:rsidP="0072246D">
      <w:pPr>
        <w:pStyle w:val="SingleTxt"/>
        <w:spacing w:after="0" w:line="120" w:lineRule="exact"/>
        <w:rPr>
          <w:b/>
          <w:sz w:val="10"/>
          <w:lang w:val="es-ES_tradnl"/>
        </w:rPr>
      </w:pPr>
      <w:bookmarkStart w:id="170" w:name="_Toc174011701"/>
      <w:bookmarkStart w:id="171" w:name="_Toc188598243"/>
      <w:bookmarkStart w:id="172" w:name="_Toc190357140"/>
      <w:bookmarkStart w:id="173" w:name="_Toc190878924"/>
    </w:p>
    <w:p w14:paraId="53199A69" w14:textId="77777777" w:rsidR="0072246D" w:rsidRPr="00195CF4" w:rsidRDefault="0072246D" w:rsidP="0072246D">
      <w:pPr>
        <w:pStyle w:val="SingleTxt"/>
        <w:spacing w:after="0" w:line="120" w:lineRule="exact"/>
        <w:rPr>
          <w:b/>
          <w:sz w:val="10"/>
          <w:lang w:val="es-ES_tradnl"/>
        </w:rPr>
      </w:pPr>
    </w:p>
    <w:p w14:paraId="19809BF7" w14:textId="4C70EFC1" w:rsidR="00627CAE" w:rsidRPr="00195CF4" w:rsidRDefault="00627CAE" w:rsidP="007224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Aplicación del Plan de Acción Nacional de Lucha contra las</w:t>
      </w:r>
      <w:r w:rsidR="0072246D" w:rsidRPr="00195CF4">
        <w:rPr>
          <w:lang w:val="es-ES_tradnl"/>
        </w:rPr>
        <w:t> </w:t>
      </w:r>
      <w:r w:rsidRPr="00195CF4">
        <w:rPr>
          <w:lang w:val="es-ES_tradnl"/>
        </w:rPr>
        <w:t>Formas Contemporáneas de Esclavitud 2020-25</w:t>
      </w:r>
      <w:bookmarkEnd w:id="170"/>
      <w:bookmarkEnd w:id="171"/>
      <w:bookmarkEnd w:id="172"/>
      <w:bookmarkEnd w:id="173"/>
    </w:p>
    <w:p w14:paraId="3328655E" w14:textId="77777777" w:rsidR="0072246D" w:rsidRPr="007C0DCB" w:rsidRDefault="0072246D" w:rsidP="0072246D">
      <w:pPr>
        <w:pStyle w:val="SingleTxt"/>
        <w:spacing w:after="0" w:line="120" w:lineRule="exact"/>
        <w:rPr>
          <w:iCs/>
          <w:sz w:val="10"/>
          <w:lang w:val="es-ES_tradnl"/>
        </w:rPr>
      </w:pPr>
    </w:p>
    <w:p w14:paraId="4AEEE4E5" w14:textId="77777777" w:rsidR="0072246D" w:rsidRPr="007C0DCB" w:rsidRDefault="0072246D" w:rsidP="0072246D">
      <w:pPr>
        <w:pStyle w:val="SingleTxt"/>
        <w:spacing w:after="0" w:line="120" w:lineRule="exact"/>
        <w:rPr>
          <w:iCs/>
          <w:sz w:val="10"/>
          <w:lang w:val="es-ES_tradnl"/>
        </w:rPr>
      </w:pPr>
    </w:p>
    <w:p w14:paraId="75EC1C02" w14:textId="2808268D" w:rsidR="00627CAE" w:rsidRPr="00627CAE" w:rsidRDefault="00627CAE" w:rsidP="00A02D7A">
      <w:pPr>
        <w:pStyle w:val="SingleTxt"/>
        <w:numPr>
          <w:ilvl w:val="0"/>
          <w:numId w:val="22"/>
        </w:numPr>
        <w:ind w:left="1267"/>
        <w:rPr>
          <w:lang w:val="es-ES_tradnl"/>
        </w:rPr>
      </w:pPr>
      <w:r w:rsidRPr="00627CAE">
        <w:rPr>
          <w:lang w:val="es-ES_tradnl"/>
        </w:rPr>
        <w:t xml:space="preserve">El Plan de Acción Nacional constituye la base del marco estratégico pangubernamental para las iniciativas de Australia de lucha contra la esclavitud contemporánea durante el período 2020-25 y prevé 46 acciones para cumplir las cinco prioridades estratégicas nacionales: la prevención; la desarticulación, la investigación y el enjuiciamiento penal; la ayuda y la protección; las alianzas; y los estudios de investigación. </w:t>
      </w:r>
    </w:p>
    <w:p w14:paraId="7DFB6B4A" w14:textId="36B8D94D" w:rsidR="00627CAE" w:rsidRPr="00627CAE" w:rsidRDefault="00627CAE" w:rsidP="00A02D7A">
      <w:pPr>
        <w:pStyle w:val="SingleTxt"/>
        <w:numPr>
          <w:ilvl w:val="0"/>
          <w:numId w:val="22"/>
        </w:numPr>
        <w:ind w:left="1267"/>
        <w:rPr>
          <w:lang w:val="es-ES_tradnl"/>
        </w:rPr>
      </w:pPr>
      <w:r w:rsidRPr="00627CAE">
        <w:rPr>
          <w:lang w:val="es-ES_tradnl"/>
        </w:rPr>
        <w:t xml:space="preserve">Las 46 acciones ya se han llevado a cabo o están en marcha o en vías de cumplirse para ajustarse al plazo del Plan de Acción Nacional en 2025. La acción </w:t>
      </w:r>
      <w:r w:rsidRPr="00627CAE">
        <w:rPr>
          <w:lang w:val="es-ES_tradnl"/>
        </w:rPr>
        <w:lastRenderedPageBreak/>
        <w:t>nacional se basa en un marco de evaluación gestionado por el Instituto Australiano de Criminología.</w:t>
      </w:r>
    </w:p>
    <w:p w14:paraId="66A72587" w14:textId="77777777" w:rsidR="0072246D" w:rsidRPr="00195CF4" w:rsidRDefault="0072246D" w:rsidP="0072246D">
      <w:pPr>
        <w:pStyle w:val="SingleTxt"/>
        <w:spacing w:after="0" w:line="120" w:lineRule="exact"/>
        <w:rPr>
          <w:b/>
          <w:sz w:val="10"/>
          <w:lang w:val="es-ES_tradnl"/>
        </w:rPr>
      </w:pPr>
      <w:bookmarkStart w:id="174" w:name="_Toc174011702"/>
      <w:bookmarkStart w:id="175" w:name="_Toc188598244"/>
      <w:bookmarkStart w:id="176" w:name="_Toc190357141"/>
      <w:bookmarkStart w:id="177" w:name="_Toc190878925"/>
    </w:p>
    <w:p w14:paraId="7CBA5E1C" w14:textId="77777777" w:rsidR="0072246D" w:rsidRPr="00195CF4" w:rsidRDefault="0072246D" w:rsidP="0072246D">
      <w:pPr>
        <w:pStyle w:val="SingleTxt"/>
        <w:spacing w:after="0" w:line="120" w:lineRule="exact"/>
        <w:rPr>
          <w:b/>
          <w:sz w:val="10"/>
          <w:lang w:val="es-ES_tradnl"/>
        </w:rPr>
      </w:pPr>
    </w:p>
    <w:p w14:paraId="314FEBBF" w14:textId="355799F7" w:rsidR="00627CAE" w:rsidRPr="00195CF4" w:rsidRDefault="00627CAE" w:rsidP="007224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Apoyo para las víctimas de la trata</w:t>
      </w:r>
      <w:bookmarkEnd w:id="174"/>
      <w:bookmarkEnd w:id="175"/>
      <w:bookmarkEnd w:id="176"/>
      <w:bookmarkEnd w:id="177"/>
    </w:p>
    <w:p w14:paraId="4832D7CB" w14:textId="77777777" w:rsidR="0072246D" w:rsidRPr="007C0DCB" w:rsidRDefault="0072246D" w:rsidP="0072246D">
      <w:pPr>
        <w:pStyle w:val="SingleTxt"/>
        <w:spacing w:after="0" w:line="120" w:lineRule="exact"/>
        <w:rPr>
          <w:iCs/>
          <w:sz w:val="10"/>
          <w:lang w:val="es-ES_tradnl"/>
        </w:rPr>
      </w:pPr>
    </w:p>
    <w:p w14:paraId="08A241F3" w14:textId="77777777" w:rsidR="0072246D" w:rsidRPr="007C0DCB" w:rsidRDefault="0072246D" w:rsidP="0072246D">
      <w:pPr>
        <w:pStyle w:val="SingleTxt"/>
        <w:spacing w:after="0" w:line="120" w:lineRule="exact"/>
        <w:rPr>
          <w:iCs/>
          <w:sz w:val="10"/>
          <w:lang w:val="es-ES_tradnl"/>
        </w:rPr>
      </w:pPr>
    </w:p>
    <w:p w14:paraId="6213CD96" w14:textId="33621093" w:rsidR="00627CAE" w:rsidRPr="00627CAE" w:rsidRDefault="00627CAE" w:rsidP="00A02D7A">
      <w:pPr>
        <w:pStyle w:val="SingleTxt"/>
        <w:numPr>
          <w:ilvl w:val="0"/>
          <w:numId w:val="22"/>
        </w:numPr>
        <w:ind w:left="1267"/>
        <w:rPr>
          <w:lang w:val="es-ES_tradnl"/>
        </w:rPr>
      </w:pPr>
      <w:r w:rsidRPr="00627CAE">
        <w:rPr>
          <w:lang w:val="es-ES_tradnl"/>
        </w:rPr>
        <w:t>Una de las prioridades del Plan de Acción Nacional es proporcionar apoyo y protección integrales y adaptados a las necesidades de las víctimas y supervivientes de la esclavitud contemporánea.</w:t>
      </w:r>
    </w:p>
    <w:p w14:paraId="2CC2CD1C" w14:textId="17DAC912" w:rsidR="00627CAE" w:rsidRPr="00627CAE" w:rsidRDefault="00627CAE" w:rsidP="00A02D7A">
      <w:pPr>
        <w:pStyle w:val="SingleTxt"/>
        <w:numPr>
          <w:ilvl w:val="0"/>
          <w:numId w:val="22"/>
        </w:numPr>
        <w:ind w:left="1267"/>
        <w:rPr>
          <w:lang w:val="es-ES_tradnl"/>
        </w:rPr>
      </w:pPr>
      <w:r w:rsidRPr="00627CAE">
        <w:rPr>
          <w:lang w:val="es-ES_tradnl"/>
        </w:rPr>
        <w:t>En el marco del sistema judicial federado de Australia, corresponde a los estados y los territorios indemnizar a las víctimas de delitos. En el marco del Plan de Acción Nacional, el Gobierno está examinando los planes estatales y territoriales de ayudas económicas a las víctimas de delitos y su disponibilidad para las víctimas y supervivientes de la esclavitud contemporánea.</w:t>
      </w:r>
    </w:p>
    <w:p w14:paraId="484367F0" w14:textId="3F606386" w:rsidR="00627CAE" w:rsidRPr="00627CAE" w:rsidRDefault="00627CAE" w:rsidP="00A02D7A">
      <w:pPr>
        <w:pStyle w:val="SingleTxt"/>
        <w:numPr>
          <w:ilvl w:val="0"/>
          <w:numId w:val="22"/>
        </w:numPr>
        <w:ind w:left="1267"/>
        <w:rPr>
          <w:lang w:val="es-ES_tradnl"/>
        </w:rPr>
      </w:pPr>
      <w:r w:rsidRPr="00627CAE">
        <w:rPr>
          <w:lang w:val="es-ES_tradnl"/>
        </w:rPr>
        <w:t>El Gobierno ofrece a las víctimas de la esclavitud contemporánea acceso a mecanismos civiles como el Ómbudsman del Trabajo Justo y la Comisión de Trabajo Justo, así como la posibilidad de interponer recursos civiles y administrativos, por ejemplo en relación con salarios sin cobrar y prestaciones, con independencia de su nacionalidad o clase de visado.</w:t>
      </w:r>
    </w:p>
    <w:p w14:paraId="5CF747F0" w14:textId="3C052760" w:rsidR="00627CAE" w:rsidRPr="00627CAE" w:rsidRDefault="00627CAE" w:rsidP="00A02D7A">
      <w:pPr>
        <w:pStyle w:val="SingleTxt"/>
        <w:numPr>
          <w:ilvl w:val="0"/>
          <w:numId w:val="22"/>
        </w:numPr>
        <w:ind w:left="1267"/>
        <w:rPr>
          <w:lang w:val="es-ES_tradnl"/>
        </w:rPr>
      </w:pPr>
      <w:r w:rsidRPr="00627CAE">
        <w:rPr>
          <w:lang w:val="es-ES_tradnl"/>
        </w:rPr>
        <w:t>En virtud de la Ley de Delitos de 1914 (Commonwealth), los tribunales de Australia pueden disponer que los delincuentes condenados por un delito federal reparen a las víctimas por las pérdidas sufridas o los gastos en que hayan incurrido a causa del delito en cuestión.</w:t>
      </w:r>
    </w:p>
    <w:p w14:paraId="04BA9571" w14:textId="77777777" w:rsidR="0072246D" w:rsidRPr="00195CF4" w:rsidRDefault="0072246D" w:rsidP="0072246D">
      <w:pPr>
        <w:pStyle w:val="SingleTxt"/>
        <w:spacing w:after="0" w:line="120" w:lineRule="exact"/>
        <w:rPr>
          <w:b/>
          <w:sz w:val="10"/>
          <w:lang w:val="es-ES_tradnl"/>
        </w:rPr>
      </w:pPr>
      <w:bookmarkStart w:id="178" w:name="_Toc174011703"/>
      <w:bookmarkStart w:id="179" w:name="_Toc190878926"/>
    </w:p>
    <w:p w14:paraId="7D8D76E8" w14:textId="77777777" w:rsidR="0072246D" w:rsidRPr="00195CF4" w:rsidRDefault="0072246D" w:rsidP="0072246D">
      <w:pPr>
        <w:pStyle w:val="SingleTxt"/>
        <w:spacing w:after="0" w:line="120" w:lineRule="exact"/>
        <w:rPr>
          <w:b/>
          <w:sz w:val="10"/>
          <w:lang w:val="es-ES_tradnl"/>
        </w:rPr>
      </w:pPr>
    </w:p>
    <w:p w14:paraId="158FB5A8" w14:textId="0503CAF3" w:rsidR="00627CAE" w:rsidRPr="00195CF4" w:rsidRDefault="00627CAE" w:rsidP="0072246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Pregunta 13: Participación en la vida política y pública</w:t>
      </w:r>
      <w:bookmarkEnd w:id="178"/>
      <w:bookmarkEnd w:id="179"/>
    </w:p>
    <w:p w14:paraId="55AEA660" w14:textId="77777777" w:rsidR="0072246D" w:rsidRPr="007C0DCB" w:rsidRDefault="0072246D" w:rsidP="0072246D">
      <w:pPr>
        <w:pStyle w:val="SingleTxt"/>
        <w:spacing w:after="0" w:line="120" w:lineRule="exact"/>
        <w:rPr>
          <w:iCs/>
          <w:sz w:val="10"/>
          <w:lang w:val="es-ES_tradnl"/>
        </w:rPr>
      </w:pPr>
    </w:p>
    <w:p w14:paraId="0F334533" w14:textId="77777777" w:rsidR="0072246D" w:rsidRPr="007C0DCB" w:rsidRDefault="0072246D" w:rsidP="0072246D">
      <w:pPr>
        <w:pStyle w:val="SingleTxt"/>
        <w:spacing w:after="0" w:line="120" w:lineRule="exact"/>
        <w:rPr>
          <w:iCs/>
          <w:sz w:val="10"/>
          <w:lang w:val="es-ES_tradnl"/>
        </w:rPr>
      </w:pPr>
    </w:p>
    <w:p w14:paraId="45389DFC" w14:textId="6EF90BB1" w:rsidR="00627CAE" w:rsidRPr="00627CAE" w:rsidRDefault="00627CAE" w:rsidP="00A02D7A">
      <w:pPr>
        <w:pStyle w:val="SingleTxt"/>
        <w:numPr>
          <w:ilvl w:val="0"/>
          <w:numId w:val="22"/>
        </w:numPr>
        <w:ind w:left="1267"/>
        <w:rPr>
          <w:lang w:val="es-ES_tradnl"/>
        </w:rPr>
      </w:pPr>
      <w:r w:rsidRPr="00627CAE">
        <w:rPr>
          <w:lang w:val="es-ES_tradnl"/>
        </w:rPr>
        <w:t xml:space="preserve">La representación de las mujeres ha crecido en los últimos decenios tanto en la vida política y pública de Australia, como en puestos de liderazgo clave, especialmente a todos los niveles de gobierno. </w:t>
      </w:r>
    </w:p>
    <w:p w14:paraId="07EEEFB9" w14:textId="77777777" w:rsidR="0072246D" w:rsidRPr="00195CF4" w:rsidRDefault="0072246D" w:rsidP="0072246D">
      <w:pPr>
        <w:pStyle w:val="SingleTxt"/>
        <w:spacing w:after="0" w:line="120" w:lineRule="exact"/>
        <w:rPr>
          <w:b/>
          <w:sz w:val="10"/>
          <w:lang w:val="es-ES_tradnl"/>
        </w:rPr>
      </w:pPr>
      <w:bookmarkStart w:id="180" w:name="_Toc174011704"/>
      <w:bookmarkStart w:id="181" w:name="_Toc188598246"/>
      <w:bookmarkStart w:id="182" w:name="_Toc190357143"/>
      <w:bookmarkStart w:id="183" w:name="_Toc190878927"/>
    </w:p>
    <w:p w14:paraId="6B5B0933" w14:textId="77777777" w:rsidR="0072246D" w:rsidRPr="00195CF4" w:rsidRDefault="0072246D" w:rsidP="0072246D">
      <w:pPr>
        <w:pStyle w:val="SingleTxt"/>
        <w:spacing w:after="0" w:line="120" w:lineRule="exact"/>
        <w:rPr>
          <w:b/>
          <w:sz w:val="10"/>
          <w:lang w:val="es-ES_tradnl"/>
        </w:rPr>
      </w:pPr>
    </w:p>
    <w:p w14:paraId="2811AFFA" w14:textId="746F429A" w:rsidR="00627CAE" w:rsidRPr="00195CF4" w:rsidRDefault="00627CAE" w:rsidP="007224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Representación de las mujeres en la vida política y pública</w:t>
      </w:r>
      <w:bookmarkEnd w:id="180"/>
      <w:bookmarkEnd w:id="181"/>
      <w:bookmarkEnd w:id="182"/>
      <w:bookmarkEnd w:id="183"/>
    </w:p>
    <w:p w14:paraId="2CBD176C" w14:textId="77777777" w:rsidR="0072246D" w:rsidRPr="007C0DCB" w:rsidRDefault="0072246D" w:rsidP="0072246D">
      <w:pPr>
        <w:pStyle w:val="SingleTxt"/>
        <w:spacing w:after="0" w:line="120" w:lineRule="exact"/>
        <w:rPr>
          <w:iCs/>
          <w:sz w:val="10"/>
          <w:lang w:val="es-ES_tradnl"/>
        </w:rPr>
      </w:pPr>
    </w:p>
    <w:p w14:paraId="22ACB4E5" w14:textId="77777777" w:rsidR="0072246D" w:rsidRPr="007C0DCB" w:rsidRDefault="0072246D" w:rsidP="0072246D">
      <w:pPr>
        <w:pStyle w:val="SingleTxt"/>
        <w:spacing w:after="0" w:line="120" w:lineRule="exact"/>
        <w:rPr>
          <w:iCs/>
          <w:sz w:val="10"/>
          <w:lang w:val="es-ES_tradnl"/>
        </w:rPr>
      </w:pPr>
    </w:p>
    <w:p w14:paraId="4998E515" w14:textId="222B3326" w:rsidR="00627CAE" w:rsidRPr="00627CAE" w:rsidRDefault="00627CAE" w:rsidP="00A02D7A">
      <w:pPr>
        <w:pStyle w:val="SingleTxt"/>
        <w:numPr>
          <w:ilvl w:val="0"/>
          <w:numId w:val="22"/>
        </w:numPr>
        <w:ind w:left="1267"/>
        <w:rPr>
          <w:lang w:val="es-ES_tradnl"/>
        </w:rPr>
      </w:pPr>
      <w:r w:rsidRPr="00627CAE">
        <w:rPr>
          <w:lang w:val="es-ES_tradnl"/>
        </w:rPr>
        <w:t xml:space="preserve">El Gobierno no ha adoptado medidas especiales relativas a la representación de las mujeres en el Parlamento. Los partidos políticos pueden aplicar sus propias medidas especiales de carácter temporal, como la de fijar una meta en términos de representación femenina. En el marco de la estrategia </w:t>
      </w:r>
      <w:r w:rsidR="00285E6B">
        <w:rPr>
          <w:lang w:val="es-ES_tradnl"/>
        </w:rPr>
        <w:t>“</w:t>
      </w:r>
      <w:r w:rsidRPr="00627CAE">
        <w:rPr>
          <w:lang w:val="es-ES_tradnl"/>
        </w:rPr>
        <w:t>Trabajar en favor de la Mujer</w:t>
      </w:r>
      <w:r w:rsidR="00285E6B">
        <w:rPr>
          <w:lang w:val="es-ES_tradnl"/>
        </w:rPr>
        <w:t>”</w:t>
      </w:r>
      <w:r w:rsidRPr="00627CAE">
        <w:rPr>
          <w:lang w:val="es-ES_tradnl"/>
        </w:rPr>
        <w:t>, se proporciona financiación a Women for Election Australia para aumentar la igualdad de género y la diversidad en la política. De este modo se prepara y anima a las mujeres de todo el espectro político a presentarse a cargos públicos a nivel local, estatal y federal.</w:t>
      </w:r>
    </w:p>
    <w:p w14:paraId="0999399D" w14:textId="1D82ACFB" w:rsidR="00627CAE" w:rsidRPr="00627CAE" w:rsidRDefault="00627CAE" w:rsidP="00A02D7A">
      <w:pPr>
        <w:pStyle w:val="SingleTxt"/>
        <w:numPr>
          <w:ilvl w:val="0"/>
          <w:numId w:val="22"/>
        </w:numPr>
        <w:ind w:left="1267"/>
        <w:rPr>
          <w:lang w:val="es-ES_tradnl"/>
        </w:rPr>
      </w:pPr>
      <w:r w:rsidRPr="00627CAE">
        <w:rPr>
          <w:lang w:val="es-ES_tradnl"/>
        </w:rPr>
        <w:t xml:space="preserve">A junio de 2024, en el 47º Parlamento australiano había 59 mujeres en la Cámara de Representantes y 43 de los 76 senadores eran mujeres. El Gabinete, formado actualmente por 23 ministros, cuenta con 10 mujeres, el mayor número de mujeres en cualquier gabinete de la historia de Australia. </w:t>
      </w:r>
    </w:p>
    <w:p w14:paraId="5643ED7D" w14:textId="27AD5CFF" w:rsidR="00627CAE" w:rsidRPr="00627CAE" w:rsidRDefault="00627CAE" w:rsidP="00A02D7A">
      <w:pPr>
        <w:pStyle w:val="SingleTxt"/>
        <w:numPr>
          <w:ilvl w:val="0"/>
          <w:numId w:val="22"/>
        </w:numPr>
        <w:ind w:left="1267"/>
        <w:rPr>
          <w:lang w:val="es-ES_tradnl"/>
        </w:rPr>
      </w:pPr>
      <w:r w:rsidRPr="00627CAE">
        <w:rPr>
          <w:lang w:val="es-ES_tradnl"/>
        </w:rPr>
        <w:t xml:space="preserve">A septiembre de 2023, nueve mujeres de las Primeras Naciones (el 15 % de todos los parlamentarios) del 47º Parlamento y 28 mujeres (el 47 % de todos los parlamentarios) declararon tener al menos un ancestro no anglófono, y seis de ellas </w:t>
      </w:r>
      <w:r w:rsidRPr="00627CAE">
        <w:rPr>
          <w:lang w:val="es-ES_tradnl"/>
        </w:rPr>
        <w:lastRenderedPageBreak/>
        <w:t>no habían nacido en Australia</w:t>
      </w:r>
      <w:r w:rsidRPr="00627CAE">
        <w:rPr>
          <w:vertAlign w:val="superscript"/>
          <w:lang w:val="es-ES_tradnl"/>
        </w:rPr>
        <w:footnoteReference w:id="30"/>
      </w:r>
      <w:r w:rsidRPr="00627CAE">
        <w:rPr>
          <w:lang w:val="es-ES_tradnl"/>
        </w:rPr>
        <w:t>. No se recogen datos sobre las mujeres con discapacidad en el Parlamento.</w:t>
      </w:r>
    </w:p>
    <w:p w14:paraId="5823B0DB" w14:textId="77777777" w:rsidR="0072246D" w:rsidRPr="00195CF4" w:rsidRDefault="0072246D" w:rsidP="0072246D">
      <w:pPr>
        <w:pStyle w:val="SingleTxt"/>
        <w:spacing w:after="0" w:line="120" w:lineRule="exact"/>
        <w:rPr>
          <w:b/>
          <w:sz w:val="10"/>
          <w:lang w:val="es-ES_tradnl"/>
        </w:rPr>
      </w:pPr>
      <w:bookmarkStart w:id="184" w:name="_Toc174011705"/>
      <w:bookmarkStart w:id="185" w:name="_Toc188598247"/>
      <w:bookmarkStart w:id="186" w:name="_Toc190357144"/>
      <w:bookmarkStart w:id="187" w:name="_Toc190878928"/>
    </w:p>
    <w:p w14:paraId="1F1BA8F4" w14:textId="77777777" w:rsidR="0072246D" w:rsidRPr="00195CF4" w:rsidRDefault="0072246D" w:rsidP="0072246D">
      <w:pPr>
        <w:pStyle w:val="SingleTxt"/>
        <w:spacing w:after="0" w:line="120" w:lineRule="exact"/>
        <w:rPr>
          <w:b/>
          <w:sz w:val="10"/>
          <w:lang w:val="es-ES_tradnl"/>
        </w:rPr>
      </w:pPr>
    </w:p>
    <w:p w14:paraId="06FAA9C2" w14:textId="6C449BD8" w:rsidR="00627CAE" w:rsidRPr="00195CF4" w:rsidRDefault="00627CAE" w:rsidP="007224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Representación de las mujeres en los comités del Gobierno</w:t>
      </w:r>
      <w:bookmarkEnd w:id="184"/>
      <w:bookmarkEnd w:id="185"/>
      <w:bookmarkEnd w:id="186"/>
      <w:bookmarkEnd w:id="187"/>
    </w:p>
    <w:p w14:paraId="16499B70" w14:textId="77777777" w:rsidR="0072246D" w:rsidRPr="007C0DCB" w:rsidRDefault="0072246D" w:rsidP="0072246D">
      <w:pPr>
        <w:pStyle w:val="SingleTxt"/>
        <w:spacing w:after="0" w:line="120" w:lineRule="exact"/>
        <w:rPr>
          <w:iCs/>
          <w:sz w:val="10"/>
          <w:lang w:val="es-ES_tradnl"/>
        </w:rPr>
      </w:pPr>
    </w:p>
    <w:p w14:paraId="52876F20" w14:textId="77777777" w:rsidR="0072246D" w:rsidRPr="007C0DCB" w:rsidRDefault="0072246D" w:rsidP="0072246D">
      <w:pPr>
        <w:pStyle w:val="SingleTxt"/>
        <w:spacing w:after="0" w:line="120" w:lineRule="exact"/>
        <w:rPr>
          <w:iCs/>
          <w:sz w:val="10"/>
          <w:lang w:val="es-ES_tradnl"/>
        </w:rPr>
      </w:pPr>
    </w:p>
    <w:p w14:paraId="594F26AE" w14:textId="461417F5" w:rsidR="00627CAE" w:rsidRPr="00627CAE" w:rsidRDefault="00627CAE" w:rsidP="00A02D7A">
      <w:pPr>
        <w:pStyle w:val="SingleTxt"/>
        <w:numPr>
          <w:ilvl w:val="0"/>
          <w:numId w:val="22"/>
        </w:numPr>
        <w:ind w:left="1267"/>
        <w:rPr>
          <w:lang w:val="es-ES_tradnl"/>
        </w:rPr>
      </w:pPr>
      <w:r w:rsidRPr="00627CAE">
        <w:rPr>
          <w:lang w:val="es-ES_tradnl"/>
        </w:rPr>
        <w:t xml:space="preserve">El Gobierno renovó en 2024 las metas de equilibrio de género en los comités del Gobierno australiano, a saber, un 50 % de representación femenina en todo el Gobierno, y al menos un 40 % a nivel de comité. El Gobierno también reafirmó su compromiso de lograr y mantener el equilibrio de género en los comités del Gobierno australiano acordando dos metas adicionales: que las mujeres ocuparan el 50 % de los cargos y el 50 % de las presidencias y vicepresidencias de los comités del Gobierno australiano a nivel de cartera: </w:t>
      </w:r>
    </w:p>
    <w:p w14:paraId="4C8BCBAF" w14:textId="0105F056" w:rsidR="00627CAE" w:rsidRPr="00627CAE" w:rsidRDefault="0072246D" w:rsidP="0072246D">
      <w:pPr>
        <w:pStyle w:val="SingleTxt"/>
        <w:tabs>
          <w:tab w:val="right" w:pos="1685"/>
        </w:tabs>
        <w:ind w:left="1742" w:hanging="475"/>
        <w:rPr>
          <w:lang w:val="es-ES_tradnl"/>
        </w:rPr>
      </w:pPr>
      <w:r w:rsidRPr="007C0DCB">
        <w:rPr>
          <w:lang w:val="es-ES_tradnl"/>
        </w:rPr>
        <w:tab/>
        <w:t>•</w:t>
      </w:r>
      <w:r w:rsidR="00627CAE" w:rsidRPr="00627CAE">
        <w:rPr>
          <w:lang w:val="es-ES_tradnl"/>
        </w:rPr>
        <w:tab/>
      </w:r>
      <w:r w:rsidR="00B25076">
        <w:rPr>
          <w:lang w:val="es-ES_tradnl"/>
        </w:rPr>
        <w:t>A</w:t>
      </w:r>
      <w:r w:rsidR="00627CAE" w:rsidRPr="00627CAE">
        <w:rPr>
          <w:lang w:val="es-ES_tradnl"/>
        </w:rPr>
        <w:t>l 30 de junio de 2024, las mujeres ocupaban el 54,4 % de los puestos en los comités del Gobierno australiano y el 45,3 % de las presidencias y vicepresidencias de esos comités. Al 30 de junio de 2024, el 78,4 % de los comités del Gobierno australiano habían cumplido la meta de que al menos un 40 % de los puestos fueran ocupados por mujeres</w:t>
      </w:r>
      <w:r w:rsidR="00627CAE" w:rsidRPr="00627CAE">
        <w:rPr>
          <w:vertAlign w:val="superscript"/>
          <w:lang w:val="es-ES_tradnl"/>
        </w:rPr>
        <w:footnoteReference w:id="31"/>
      </w:r>
      <w:r w:rsidR="00627CAE" w:rsidRPr="00627CAE">
        <w:rPr>
          <w:lang w:val="es-ES_tradnl"/>
        </w:rPr>
        <w:t>.</w:t>
      </w:r>
    </w:p>
    <w:p w14:paraId="1FD77C41" w14:textId="77777777" w:rsidR="0072246D" w:rsidRPr="00195CF4" w:rsidRDefault="0072246D" w:rsidP="0072246D">
      <w:pPr>
        <w:pStyle w:val="SingleTxt"/>
        <w:spacing w:after="0" w:line="120" w:lineRule="exact"/>
        <w:rPr>
          <w:b/>
          <w:sz w:val="10"/>
          <w:lang w:val="es-ES_tradnl"/>
        </w:rPr>
      </w:pPr>
      <w:bookmarkStart w:id="188" w:name="_Toc174011706"/>
      <w:bookmarkStart w:id="189" w:name="_Toc188598248"/>
      <w:bookmarkStart w:id="190" w:name="_Toc190357145"/>
      <w:bookmarkStart w:id="191" w:name="_Toc190878929"/>
    </w:p>
    <w:p w14:paraId="66AA741F" w14:textId="77777777" w:rsidR="0072246D" w:rsidRPr="00195CF4" w:rsidRDefault="0072246D" w:rsidP="0072246D">
      <w:pPr>
        <w:pStyle w:val="SingleTxt"/>
        <w:spacing w:after="0" w:line="120" w:lineRule="exact"/>
        <w:rPr>
          <w:b/>
          <w:sz w:val="10"/>
          <w:lang w:val="es-ES_tradnl"/>
        </w:rPr>
      </w:pPr>
    </w:p>
    <w:p w14:paraId="2A11D6B0" w14:textId="28C69E0F" w:rsidR="00627CAE" w:rsidRPr="00195CF4" w:rsidRDefault="00627CAE" w:rsidP="007224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Reconocimiento de las mujeres en la vida pública</w:t>
      </w:r>
      <w:bookmarkEnd w:id="188"/>
      <w:bookmarkEnd w:id="189"/>
      <w:bookmarkEnd w:id="190"/>
      <w:bookmarkEnd w:id="191"/>
    </w:p>
    <w:p w14:paraId="46221C23" w14:textId="77777777" w:rsidR="0072246D" w:rsidRPr="007C0DCB" w:rsidRDefault="0072246D" w:rsidP="0072246D">
      <w:pPr>
        <w:pStyle w:val="SingleTxt"/>
        <w:spacing w:after="0" w:line="120" w:lineRule="exact"/>
        <w:rPr>
          <w:iCs/>
          <w:sz w:val="10"/>
          <w:lang w:val="es-ES_tradnl"/>
        </w:rPr>
      </w:pPr>
    </w:p>
    <w:p w14:paraId="4320741D" w14:textId="77777777" w:rsidR="0072246D" w:rsidRPr="007C0DCB" w:rsidRDefault="0072246D" w:rsidP="0072246D">
      <w:pPr>
        <w:pStyle w:val="SingleTxt"/>
        <w:spacing w:after="0" w:line="120" w:lineRule="exact"/>
        <w:rPr>
          <w:iCs/>
          <w:sz w:val="10"/>
          <w:lang w:val="es-ES_tradnl"/>
        </w:rPr>
      </w:pPr>
    </w:p>
    <w:p w14:paraId="0965D6D0" w14:textId="46474115" w:rsidR="00627CAE" w:rsidRPr="00627CAE" w:rsidRDefault="00627CAE" w:rsidP="00A02D7A">
      <w:pPr>
        <w:pStyle w:val="SingleTxt"/>
        <w:numPr>
          <w:ilvl w:val="0"/>
          <w:numId w:val="22"/>
        </w:numPr>
        <w:ind w:left="1267"/>
        <w:rPr>
          <w:lang w:val="es-ES_tradnl"/>
        </w:rPr>
      </w:pPr>
      <w:r w:rsidRPr="00627CAE">
        <w:rPr>
          <w:lang w:val="es-ES_tradnl"/>
        </w:rPr>
        <w:t xml:space="preserve">El Gobierno lanzó en 2023 la campaña </w:t>
      </w:r>
      <w:r w:rsidR="00285E6B">
        <w:rPr>
          <w:lang w:val="es-ES_tradnl"/>
        </w:rPr>
        <w:t>“</w:t>
      </w:r>
      <w:r w:rsidRPr="00627CAE">
        <w:rPr>
          <w:lang w:val="es-ES_tradnl"/>
        </w:rPr>
        <w:t>#NominateAWoman</w:t>
      </w:r>
      <w:r w:rsidR="00285E6B">
        <w:rPr>
          <w:lang w:val="es-ES_tradnl"/>
        </w:rPr>
        <w:t>”</w:t>
      </w:r>
      <w:r w:rsidRPr="00627CAE">
        <w:rPr>
          <w:lang w:val="es-ES_tradnl"/>
        </w:rPr>
        <w:t xml:space="preserve"> para aumentar las candidaturas femeninas a la Orden de Australia</w:t>
      </w:r>
      <w:r w:rsidRPr="00627CAE">
        <w:rPr>
          <w:vertAlign w:val="superscript"/>
          <w:lang w:val="es-ES_tradnl"/>
        </w:rPr>
        <w:footnoteReference w:id="32"/>
      </w:r>
      <w:r w:rsidRPr="00627CAE">
        <w:rPr>
          <w:lang w:val="es-ES_tradnl"/>
        </w:rPr>
        <w:t xml:space="preserve">, en la que previamente las mujeres estaban infrarrepresentadas. En agosto de 2023, la campaña había llegado a 550.385 personas y se tradujo en un aumento de los honores concedidos por la Orden de Australia a las mujeres. En la lista de galardonados de la Orden de Australia con ocasión del Día de Australia en enero de 2024, las mujeres recibieron el 50,5 % de los galardones (División General), lo que supone un aumento respecto del 48,1 % registrado en enero de 2023. </w:t>
      </w:r>
    </w:p>
    <w:p w14:paraId="22EE97DF" w14:textId="788402F9" w:rsidR="00627CAE" w:rsidRPr="00627CAE" w:rsidRDefault="00627CAE" w:rsidP="00A02D7A">
      <w:pPr>
        <w:pStyle w:val="SingleTxt"/>
        <w:numPr>
          <w:ilvl w:val="0"/>
          <w:numId w:val="22"/>
        </w:numPr>
        <w:ind w:left="1267"/>
        <w:rPr>
          <w:lang w:val="es-ES_tradnl"/>
        </w:rPr>
      </w:pPr>
      <w:r w:rsidRPr="00627CAE">
        <w:rPr>
          <w:lang w:val="es-ES_tradnl"/>
        </w:rPr>
        <w:t>Las mujeres recibieron el 50,5 % de los galardones de la Orden de Australia en la lista de honores con ocasión del cumpleaños del Rey en 2023 (División General). Es la primera vez que las mujeres reciben la mayoría de los premios. #NominateAWoman se presentará en 2025.</w:t>
      </w:r>
    </w:p>
    <w:p w14:paraId="07F3E124" w14:textId="77777777" w:rsidR="0072246D" w:rsidRPr="00195CF4" w:rsidRDefault="0072246D" w:rsidP="0072246D">
      <w:pPr>
        <w:pStyle w:val="SingleTxt"/>
        <w:spacing w:after="0" w:line="120" w:lineRule="exact"/>
        <w:rPr>
          <w:b/>
          <w:sz w:val="10"/>
          <w:lang w:val="es-ES_tradnl"/>
        </w:rPr>
      </w:pPr>
      <w:bookmarkStart w:id="192" w:name="_Toc174011707"/>
      <w:bookmarkStart w:id="193" w:name="_Toc190878930"/>
    </w:p>
    <w:p w14:paraId="4C9DE615" w14:textId="77777777" w:rsidR="0072246D" w:rsidRPr="00195CF4" w:rsidRDefault="0072246D" w:rsidP="0072246D">
      <w:pPr>
        <w:pStyle w:val="SingleTxt"/>
        <w:spacing w:after="0" w:line="120" w:lineRule="exact"/>
        <w:rPr>
          <w:b/>
          <w:sz w:val="10"/>
          <w:lang w:val="es-ES_tradnl"/>
        </w:rPr>
      </w:pPr>
    </w:p>
    <w:p w14:paraId="3645033B" w14:textId="3210E13E" w:rsidR="00627CAE" w:rsidRPr="00195CF4" w:rsidRDefault="00627CAE" w:rsidP="0072246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Pregunta 14: Las mujeres y la paz y la seguridad</w:t>
      </w:r>
      <w:bookmarkEnd w:id="192"/>
      <w:bookmarkEnd w:id="193"/>
    </w:p>
    <w:p w14:paraId="65449A33" w14:textId="77777777" w:rsidR="0072246D" w:rsidRPr="00195CF4" w:rsidRDefault="0072246D" w:rsidP="0072246D">
      <w:pPr>
        <w:pStyle w:val="SingleTxt"/>
        <w:spacing w:after="0" w:line="120" w:lineRule="exact"/>
        <w:rPr>
          <w:b/>
          <w:sz w:val="10"/>
          <w:lang w:val="es-ES_tradnl"/>
        </w:rPr>
      </w:pPr>
      <w:bookmarkStart w:id="194" w:name="_Toc174011708"/>
      <w:bookmarkStart w:id="195" w:name="_Toc188598250"/>
      <w:bookmarkStart w:id="196" w:name="_Toc190357147"/>
      <w:bookmarkStart w:id="197" w:name="_Toc190878931"/>
    </w:p>
    <w:p w14:paraId="0B37132B" w14:textId="77777777" w:rsidR="0072246D" w:rsidRPr="00195CF4" w:rsidRDefault="0072246D" w:rsidP="0072246D">
      <w:pPr>
        <w:pStyle w:val="SingleTxt"/>
        <w:spacing w:after="0" w:line="120" w:lineRule="exact"/>
        <w:rPr>
          <w:b/>
          <w:sz w:val="10"/>
          <w:lang w:val="es-ES_tradnl"/>
        </w:rPr>
      </w:pPr>
    </w:p>
    <w:p w14:paraId="1099B146" w14:textId="13DC7311" w:rsidR="00627CAE" w:rsidRPr="00195CF4" w:rsidRDefault="00627CAE" w:rsidP="007224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Plan de Acción Nacional sobre las Mujeres, la Paz y la Seguridad</w:t>
      </w:r>
      <w:bookmarkEnd w:id="194"/>
      <w:bookmarkEnd w:id="195"/>
      <w:bookmarkEnd w:id="196"/>
      <w:bookmarkEnd w:id="197"/>
    </w:p>
    <w:p w14:paraId="28684FC5" w14:textId="77777777" w:rsidR="0072246D" w:rsidRPr="007C0DCB" w:rsidRDefault="0072246D" w:rsidP="0072246D">
      <w:pPr>
        <w:pStyle w:val="SingleTxt"/>
        <w:spacing w:after="0" w:line="120" w:lineRule="exact"/>
        <w:rPr>
          <w:iCs/>
          <w:sz w:val="10"/>
          <w:lang w:val="es-ES_tradnl"/>
        </w:rPr>
      </w:pPr>
    </w:p>
    <w:p w14:paraId="70EAF06A" w14:textId="77777777" w:rsidR="0072246D" w:rsidRPr="007C0DCB" w:rsidRDefault="0072246D" w:rsidP="0072246D">
      <w:pPr>
        <w:pStyle w:val="SingleTxt"/>
        <w:spacing w:after="0" w:line="120" w:lineRule="exact"/>
        <w:rPr>
          <w:iCs/>
          <w:sz w:val="10"/>
          <w:lang w:val="es-ES_tradnl"/>
        </w:rPr>
      </w:pPr>
    </w:p>
    <w:p w14:paraId="73327ECD" w14:textId="4441AEEB" w:rsidR="00627CAE" w:rsidRPr="00627CAE" w:rsidRDefault="00627CAE" w:rsidP="00A02D7A">
      <w:pPr>
        <w:pStyle w:val="SingleTxt"/>
        <w:numPr>
          <w:ilvl w:val="0"/>
          <w:numId w:val="22"/>
        </w:numPr>
        <w:ind w:left="1267"/>
        <w:rPr>
          <w:lang w:val="es-ES_tradnl"/>
        </w:rPr>
      </w:pPr>
      <w:r w:rsidRPr="00627CAE">
        <w:rPr>
          <w:lang w:val="es-ES_tradnl"/>
        </w:rPr>
        <w:t xml:space="preserve">El objetivo del Plan de Acción Nacional de Australia sobre las Mujeres, la Paz y la Seguridad (2021-2031) (Plan sobre las Mujeres, la Paz y la Seguridad) es promover los derechos humanos y la participación de las mujeres y las niñas en la estabilidad mundial, incluida la estabilidad después de los desastres, la prevención de conflictos y la creación de una paz duradera después de los conflictos. Australia publicará en 2024 su primer informe sobre los progresos realizados en el marco del Plan de Acción Nacional sobre las Mujeres, la Paz y la Seguridad, y en ese informe se presentarán los avances y las actividades realizadas en relación con los cuatro resultados dirigidos a facilitar la participación significativa de las mujeres y tener presentes sus necesidades en los procesos de paz; reducir la violencia sexual y de </w:t>
      </w:r>
      <w:r w:rsidRPr="00627CAE">
        <w:rPr>
          <w:lang w:val="es-ES_tradnl"/>
        </w:rPr>
        <w:lastRenderedPageBreak/>
        <w:t>género; fomentar la resiliencia ante las crisis y la seguridad; atender las necesidades y velar por los derechos humanos de mujeres y niñas por medio de iniciativas legales y judiciales; y demostrar liderazgo y rendir cuentas en favor de las mujeres, la paz y la seguridad.</w:t>
      </w:r>
    </w:p>
    <w:p w14:paraId="73377D66" w14:textId="007A75E9" w:rsidR="00627CAE" w:rsidRPr="00627CAE" w:rsidRDefault="00627CAE" w:rsidP="00A02D7A">
      <w:pPr>
        <w:pStyle w:val="SingleTxt"/>
        <w:numPr>
          <w:ilvl w:val="0"/>
          <w:numId w:val="22"/>
        </w:numPr>
        <w:ind w:left="1267"/>
        <w:rPr>
          <w:lang w:val="es-ES_tradnl"/>
        </w:rPr>
      </w:pPr>
      <w:r w:rsidRPr="00627CAE">
        <w:rPr>
          <w:lang w:val="es-ES_tradnl"/>
        </w:rPr>
        <w:t>Los asociados del Plan sobre las Mujeres, la Paz y la Seguridad cuentan con sus propios planes de implementación y destinan recursos para apoyar su ejecución. Algunos ejemplos de la labor realizada por los departamentos de Defensa, Asuntos Exteriores y Comercio, e Interior y la Policía Federal Australiana son:</w:t>
      </w:r>
    </w:p>
    <w:p w14:paraId="32D2A6DE" w14:textId="52319CED"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Departamento de Defensa: mejora la capacidad aumentando la participación y el liderazgo de las mujeres entre oficiales y tropa y en todas las ocupaciones profesionales, despliega a un mayor número de mujeres en ejercicios, operaciones y misiones humanitarias y de respuesta en casos de desastre, y nombra a más mujeres para ejercer funciones clave de colaboración y representación;</w:t>
      </w:r>
    </w:p>
    <w:p w14:paraId="56587361" w14:textId="7D32ED2D"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Departamento de Asuntos Exteriores y Comercio: fomenta la participación y el liderazgo de mujeres y niñas en los procesos de paz y seguridad, entre otras cosas con actividades de promoción a escala internacional, la pertenencia a alianzas mundiales sobre las mujeres, la paz y la seguridad y el apoyo a redes regionales de mujeres mediadoras de paz; </w:t>
      </w:r>
    </w:p>
    <w:p w14:paraId="1A4F3D30" w14:textId="36C204B1"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Departamento de Interior: fomenta la participación de las mujeres del Pacífico en el ámbito de las aduanas y la protección fronteriza; refuerza la seguridad de mujeres y niñas ampliando las disposiciones relativas a la violencia familiar en la legislación sobre migración y los programas contra el extremismo violento; </w:t>
      </w:r>
    </w:p>
    <w:p w14:paraId="6CEB11F5" w14:textId="0823725B"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Policía Federal Australiana: colabora con los servicios de las fuerzas del orden para integrar las políticas y prácticas de género en todas las operaciones policiales internacionales de Australia. La Policía Federal Australiana trabaja con sus asociados con miras a crear entornos que impidan la comisión de delitos de género e integrar mejor la perspectiva de género en los lugares donde opera la Policía Federal Australiana fuera del país.</w:t>
      </w:r>
    </w:p>
    <w:p w14:paraId="111CD4B3" w14:textId="66A2C55B" w:rsidR="00627CAE" w:rsidRPr="00627CAE" w:rsidRDefault="00627CAE" w:rsidP="00A02D7A">
      <w:pPr>
        <w:pStyle w:val="SingleTxt"/>
        <w:numPr>
          <w:ilvl w:val="0"/>
          <w:numId w:val="22"/>
        </w:numPr>
        <w:ind w:left="1267"/>
        <w:rPr>
          <w:lang w:val="es-ES_tradnl"/>
        </w:rPr>
      </w:pPr>
      <w:r w:rsidRPr="00627CAE">
        <w:rPr>
          <w:lang w:val="es-ES_tradnl"/>
        </w:rPr>
        <w:t xml:space="preserve">El Departamento de Asuntos Exteriores y Comercio destinó 25 millones de dólares a la agenda de las mujeres, la paz y la seguridad (2022-27) para apoyar las alianzas con ONU-Mujeres en Asia-Pacífico, el Fondo para la Mujer, la Paz y la Acción Humanitaria, ActionAid Australia, Legal Action Worldwide y el Centre for Peace and Conflict Studies. </w:t>
      </w:r>
    </w:p>
    <w:p w14:paraId="1A1891B3" w14:textId="74A2BD42" w:rsidR="00627CAE" w:rsidRPr="00627CAE" w:rsidRDefault="00627CAE" w:rsidP="00A02D7A">
      <w:pPr>
        <w:pStyle w:val="SingleTxt"/>
        <w:numPr>
          <w:ilvl w:val="0"/>
          <w:numId w:val="22"/>
        </w:numPr>
        <w:ind w:left="1267"/>
        <w:rPr>
          <w:lang w:val="es-ES_tradnl"/>
        </w:rPr>
      </w:pPr>
      <w:r w:rsidRPr="00627CAE">
        <w:rPr>
          <w:lang w:val="es-ES_tradnl"/>
        </w:rPr>
        <w:t xml:space="preserve">Australia aplica controles de las exportaciones tras analizar y evaluar los derechos humanos y las obligaciones internacionales, aunque las obligaciones en materia de igualdad de género y derechos humanos de mujeres y niñas no son explícitas. </w:t>
      </w:r>
    </w:p>
    <w:p w14:paraId="3B9A3C1F" w14:textId="0DF98E0A" w:rsidR="00627CAE" w:rsidRPr="00627CAE" w:rsidRDefault="00627CAE" w:rsidP="00A02D7A">
      <w:pPr>
        <w:pStyle w:val="SingleTxt"/>
        <w:numPr>
          <w:ilvl w:val="0"/>
          <w:numId w:val="22"/>
        </w:numPr>
        <w:ind w:left="1267"/>
        <w:rPr>
          <w:lang w:val="es-ES_tradnl"/>
        </w:rPr>
      </w:pPr>
      <w:r w:rsidRPr="00627CAE">
        <w:rPr>
          <w:lang w:val="es-ES_tradnl"/>
        </w:rPr>
        <w:t xml:space="preserve">La presupuestación que responde a las cuestiones de género obliga a las entidades de Gobierno a analizar la repercusión que tienen en la igualdad de género las nuevas políticas que se proponen para el sector de la seguridad y la exportación de armas. </w:t>
      </w:r>
    </w:p>
    <w:p w14:paraId="31F41B78" w14:textId="77777777" w:rsidR="00683239" w:rsidRPr="00195CF4" w:rsidRDefault="00683239" w:rsidP="00683239">
      <w:pPr>
        <w:pStyle w:val="SingleTxt"/>
        <w:spacing w:after="0" w:line="120" w:lineRule="exact"/>
        <w:rPr>
          <w:b/>
          <w:sz w:val="10"/>
          <w:lang w:val="es-ES_tradnl"/>
        </w:rPr>
      </w:pPr>
      <w:bookmarkStart w:id="198" w:name="_Toc174011709"/>
      <w:bookmarkStart w:id="199" w:name="_Toc190878932"/>
    </w:p>
    <w:p w14:paraId="1B67EBF4" w14:textId="77777777" w:rsidR="00683239" w:rsidRPr="00195CF4" w:rsidRDefault="00683239" w:rsidP="00683239">
      <w:pPr>
        <w:pStyle w:val="SingleTxt"/>
        <w:spacing w:after="0" w:line="120" w:lineRule="exact"/>
        <w:rPr>
          <w:b/>
          <w:sz w:val="10"/>
          <w:lang w:val="es-ES_tradnl"/>
        </w:rPr>
      </w:pPr>
    </w:p>
    <w:p w14:paraId="27013EAA" w14:textId="7CCE8F99" w:rsidR="00627CAE" w:rsidRPr="00195CF4" w:rsidRDefault="00627CAE" w:rsidP="006832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Pregunta 15: Nacionalidad</w:t>
      </w:r>
      <w:bookmarkEnd w:id="198"/>
      <w:bookmarkEnd w:id="199"/>
    </w:p>
    <w:p w14:paraId="13528B13" w14:textId="77777777" w:rsidR="00683239" w:rsidRPr="007C0DCB" w:rsidRDefault="00683239" w:rsidP="00683239">
      <w:pPr>
        <w:pStyle w:val="SingleTxt"/>
        <w:spacing w:after="0" w:line="120" w:lineRule="exact"/>
        <w:rPr>
          <w:iCs/>
          <w:sz w:val="10"/>
          <w:lang w:val="es-ES_tradnl"/>
        </w:rPr>
      </w:pPr>
    </w:p>
    <w:p w14:paraId="125E7E3D" w14:textId="77777777" w:rsidR="00683239" w:rsidRPr="007C0DCB" w:rsidRDefault="00683239" w:rsidP="00683239">
      <w:pPr>
        <w:pStyle w:val="SingleTxt"/>
        <w:spacing w:after="0" w:line="120" w:lineRule="exact"/>
        <w:rPr>
          <w:iCs/>
          <w:sz w:val="10"/>
          <w:lang w:val="es-ES_tradnl"/>
        </w:rPr>
      </w:pPr>
    </w:p>
    <w:p w14:paraId="75CDCB95" w14:textId="38F4B0F9" w:rsidR="00627CAE" w:rsidRPr="00627CAE" w:rsidRDefault="00627CAE" w:rsidP="00A02D7A">
      <w:pPr>
        <w:pStyle w:val="SingleTxt"/>
        <w:numPr>
          <w:ilvl w:val="0"/>
          <w:numId w:val="22"/>
        </w:numPr>
        <w:ind w:left="1267"/>
        <w:rPr>
          <w:lang w:val="es-ES_tradnl"/>
        </w:rPr>
      </w:pPr>
      <w:r w:rsidRPr="00627CAE">
        <w:rPr>
          <w:lang w:val="es-ES_tradnl"/>
        </w:rPr>
        <w:t xml:space="preserve">Los estados y los territorios australianos han introducido procedimientos para facilitar el acceso al registro y las partidas de nacimiento, una responsabilidad que corresponde a las jurisdicciones de conformidad con la estructura federada de Australia: </w:t>
      </w:r>
    </w:p>
    <w:p w14:paraId="73080C6F" w14:textId="5B9EFACA" w:rsidR="00627CAE" w:rsidRPr="00627CAE" w:rsidRDefault="00683239" w:rsidP="00683239">
      <w:pPr>
        <w:pStyle w:val="SingleTxt"/>
        <w:tabs>
          <w:tab w:val="right" w:pos="1685"/>
        </w:tabs>
        <w:ind w:left="1742" w:hanging="475"/>
        <w:rPr>
          <w:lang w:val="es-ES_tradnl"/>
        </w:rPr>
      </w:pPr>
      <w:r w:rsidRPr="007C0DCB">
        <w:rPr>
          <w:lang w:val="es-ES_tradnl"/>
        </w:rPr>
        <w:lastRenderedPageBreak/>
        <w:tab/>
        <w:t>•</w:t>
      </w:r>
      <w:r w:rsidR="00627CAE" w:rsidRPr="00627CAE">
        <w:rPr>
          <w:lang w:val="es-ES_tradnl"/>
        </w:rPr>
        <w:tab/>
        <w:t>El Territorio de la Capital de Australia introdujo políticas revisadas en materia de nacimientos, defunciones y matrimonios, facilitando el acceso a los documentos de identidad mediante la exención de las tasas asociadas y teniendo más en cuenta las estructuras familiares de parentesco de los pueblos de las Primeras Naciones;</w:t>
      </w:r>
    </w:p>
    <w:p w14:paraId="16D20187" w14:textId="0FACD7EC"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Nueva Gales del Sur colabora con organizaciones no gubernamentales para prestar servicios de inscripción de nacimientos y expedición de partidas de nacimiento a personas vulnerables en zonas con altas tasas de natalidad y bajas tasas de inscripción. El Gobierno de Nueva Gales del Sur colabora con Pathfinders para administrar el programa nacional de partidas de nacimiento para aborígenes y expide un gran número de ellas de forma gratuita a los clientes indígenas. Esta colaboración permite detectar los nacimientos no registrados de niños pertenecientes a las Primeras Naciones;</w:t>
      </w:r>
    </w:p>
    <w:p w14:paraId="11914D9F" w14:textId="47553524"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El Territorio del Norte administra desde 2017 un programa de circuitos remotos y regionales en zonas rurales y alejadas, gracias al cual se han expedido unas 1.400 partidas de nacimiento en numerosas comunidades remotas; </w:t>
      </w:r>
    </w:p>
    <w:p w14:paraId="0E5B7B5F" w14:textId="04BCD67B"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Queensland implementa en estos momentos la estrategia y el Plan de Acción </w:t>
      </w:r>
      <w:r w:rsidR="00285E6B">
        <w:rPr>
          <w:lang w:val="es-ES_tradnl"/>
        </w:rPr>
        <w:t>“</w:t>
      </w:r>
      <w:r w:rsidR="00627CAE" w:rsidRPr="00627CAE">
        <w:rPr>
          <w:lang w:val="es-ES_tradnl"/>
        </w:rPr>
        <w:t>Closing the Registration Gap</w:t>
      </w:r>
      <w:r w:rsidR="00285E6B">
        <w:rPr>
          <w:lang w:val="es-ES_tradnl"/>
        </w:rPr>
        <w:t>”</w:t>
      </w:r>
      <w:r w:rsidR="00627CAE" w:rsidRPr="00627CAE">
        <w:rPr>
          <w:lang w:val="es-ES_tradnl"/>
        </w:rPr>
        <w:t xml:space="preserve"> (2021-2024) para mejorar la tasa de inscripción de nacimientos de niños de las Primeras Naciones. En marzo de 2023, se había inscrito al 83 % de los niños de las Primeras Naciones nacidos en 2022 en el plazo de un año desde su nacimiento (un porcentaje superior al 78 % registrado en 2020, antes de que se adoptara la estrategia). Gracias a la campaña </w:t>
      </w:r>
      <w:r w:rsidR="00285E6B">
        <w:rPr>
          <w:lang w:val="es-ES_tradnl"/>
        </w:rPr>
        <w:t>“</w:t>
      </w:r>
      <w:r w:rsidR="00627CAE" w:rsidRPr="00627CAE">
        <w:rPr>
          <w:lang w:val="es-ES_tradnl"/>
        </w:rPr>
        <w:t>Our Kids Count</w:t>
      </w:r>
      <w:r w:rsidR="00285E6B">
        <w:rPr>
          <w:lang w:val="es-ES_tradnl"/>
        </w:rPr>
        <w:t>”</w:t>
      </w:r>
      <w:r w:rsidR="00627CAE" w:rsidRPr="00627CAE">
        <w:rPr>
          <w:lang w:val="es-ES_tradnl"/>
        </w:rPr>
        <w:t xml:space="preserve"> (</w:t>
      </w:r>
      <w:r w:rsidR="00285E6B">
        <w:rPr>
          <w:lang w:val="es-ES_tradnl"/>
        </w:rPr>
        <w:t>“</w:t>
      </w:r>
      <w:r w:rsidR="00627CAE" w:rsidRPr="00627CAE">
        <w:rPr>
          <w:lang w:val="es-ES_tradnl"/>
        </w:rPr>
        <w:t>Nuestros hijos cuentan</w:t>
      </w:r>
      <w:r w:rsidR="00285E6B">
        <w:rPr>
          <w:lang w:val="es-ES_tradnl"/>
        </w:rPr>
        <w:t>”</w:t>
      </w:r>
      <w:r w:rsidR="00627CAE" w:rsidRPr="00627CAE">
        <w:rPr>
          <w:lang w:val="es-ES_tradnl"/>
        </w:rPr>
        <w:t>) de Queensland, los progenitores, los cuidadores y las parejas que viven en comunidades rurales, remotas y regionales pueden recibir ayuda presencial de los proveedores de servicios de su comunidad para inscribir los nacimientos;</w:t>
      </w:r>
    </w:p>
    <w:p w14:paraId="66989E3C" w14:textId="17DD922A"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En Australia Meridional se pueden inscribir los nacimientos en línea y en papel. Aunque la inscripción es gratuita, para obtener una partida de nacimiento es preciso abonar una tasa, eximiéndose del pago a quienes demuestren con pruebas justificativas tener dificultades económicas o de otra índole. Australia Meridional colabora habitualmente con servicios de apoyo como Link-Up y Relationships Australia para ayudar a las comunidades indígenas a acceder a los servicios;</w:t>
      </w:r>
    </w:p>
    <w:p w14:paraId="07FB62E1" w14:textId="54DF759D"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Tasmania cuenta con un servicio de inscripción de nacimientos en línea para mejorar la accesibilidad y cobertura de los residentes de zonas remotas y rurales con miras a facilitar el acceso a las partidas de nacimiento. No se penalizan las inscripciones realizadas fuera de plazo;</w:t>
      </w:r>
    </w:p>
    <w:p w14:paraId="520D079C" w14:textId="6C62A653"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Victoria facilita el acceso de las comunidades de las Primeras Naciones a los servicios, incluidos los servicios móviles de inscripción y las visitas a las comunidades para ayudar a inscribir los nacimientos. El Equipo Marguk-bulok koolin-ik ayuda a las comunidades de las Primeras Naciones a acceder a los servicios de inscripción de nacimientos, defunciones y matrimonios; </w:t>
      </w:r>
    </w:p>
    <w:p w14:paraId="58E9DC83" w14:textId="3C84D709"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El Registro Federal de Nacimientos, Defunciones y Matrimonios estrenó un portal para inscribir los nacimientos en línea a fin de prestar asistencia accesible a las comunidades regionales y remotas para inscribir los nacimientos. La plataforma digital sirve para agilizar el proceso de inscripción de los nacimientos y el Registro mejora el acceso a servicios vitales. El Registro siguió participando en las jornadas de puertas abiertas sobre justicia aborigen del Departamento de Justicia y en las jornadas interinstitucionales sobre la prestación de servicios comunitarios para aumentar el acceso de las </w:t>
      </w:r>
      <w:r w:rsidR="00627CAE" w:rsidRPr="00627CAE">
        <w:rPr>
          <w:lang w:val="es-ES_tradnl"/>
        </w:rPr>
        <w:lastRenderedPageBreak/>
        <w:t>comunidades remotas y regionales a documentos de identidad y servicios de inscripción.</w:t>
      </w:r>
    </w:p>
    <w:p w14:paraId="0929F874" w14:textId="77777777" w:rsidR="00683239" w:rsidRPr="00195CF4" w:rsidRDefault="00683239" w:rsidP="00683239">
      <w:pPr>
        <w:pStyle w:val="SingleTxt"/>
        <w:spacing w:after="0" w:line="120" w:lineRule="exact"/>
        <w:rPr>
          <w:b/>
          <w:sz w:val="10"/>
          <w:lang w:val="es-ES_tradnl"/>
        </w:rPr>
      </w:pPr>
      <w:bookmarkStart w:id="200" w:name="_Toc174011710"/>
      <w:bookmarkStart w:id="201" w:name="_Toc190878933"/>
    </w:p>
    <w:p w14:paraId="20618D69" w14:textId="77777777" w:rsidR="00683239" w:rsidRPr="00195CF4" w:rsidRDefault="00683239" w:rsidP="00683239">
      <w:pPr>
        <w:pStyle w:val="SingleTxt"/>
        <w:spacing w:after="0" w:line="120" w:lineRule="exact"/>
        <w:rPr>
          <w:b/>
          <w:sz w:val="10"/>
          <w:lang w:val="es-ES_tradnl"/>
        </w:rPr>
      </w:pPr>
    </w:p>
    <w:p w14:paraId="1EBD7C90" w14:textId="2A2D2141" w:rsidR="00627CAE" w:rsidRPr="00195CF4" w:rsidRDefault="00627CAE" w:rsidP="006832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Pregunta 16: Educación</w:t>
      </w:r>
      <w:bookmarkEnd w:id="200"/>
      <w:bookmarkEnd w:id="201"/>
    </w:p>
    <w:p w14:paraId="21A62C7C" w14:textId="77777777" w:rsidR="00683239" w:rsidRPr="00195CF4" w:rsidRDefault="00683239" w:rsidP="00683239">
      <w:pPr>
        <w:pStyle w:val="SingleTxt"/>
        <w:spacing w:after="0" w:line="120" w:lineRule="exact"/>
        <w:rPr>
          <w:b/>
          <w:sz w:val="10"/>
          <w:lang w:val="es-ES_tradnl"/>
        </w:rPr>
      </w:pPr>
      <w:bookmarkStart w:id="202" w:name="_Toc174011711"/>
      <w:bookmarkStart w:id="203" w:name="_Toc188598253"/>
      <w:bookmarkStart w:id="204" w:name="_Toc190357150"/>
      <w:bookmarkStart w:id="205" w:name="_Toc190878934"/>
    </w:p>
    <w:p w14:paraId="0AA39D84" w14:textId="77777777" w:rsidR="00683239" w:rsidRPr="00195CF4" w:rsidRDefault="00683239" w:rsidP="00683239">
      <w:pPr>
        <w:pStyle w:val="SingleTxt"/>
        <w:spacing w:after="0" w:line="120" w:lineRule="exact"/>
        <w:rPr>
          <w:b/>
          <w:sz w:val="10"/>
          <w:lang w:val="es-ES_tradnl"/>
        </w:rPr>
      </w:pPr>
    </w:p>
    <w:p w14:paraId="66605429" w14:textId="7F05553A" w:rsidR="00627CAE" w:rsidRPr="00195CF4" w:rsidRDefault="00627CAE" w:rsidP="006832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Denegación de educación por motivos de maternidad</w:t>
      </w:r>
      <w:bookmarkEnd w:id="202"/>
      <w:bookmarkEnd w:id="203"/>
      <w:bookmarkEnd w:id="204"/>
      <w:bookmarkEnd w:id="205"/>
    </w:p>
    <w:p w14:paraId="39D32057" w14:textId="77777777" w:rsidR="00683239" w:rsidRPr="007C0DCB" w:rsidRDefault="00683239" w:rsidP="00683239">
      <w:pPr>
        <w:pStyle w:val="SingleTxt"/>
        <w:spacing w:after="0" w:line="120" w:lineRule="exact"/>
        <w:rPr>
          <w:iCs/>
          <w:sz w:val="10"/>
          <w:lang w:val="es-ES_tradnl"/>
        </w:rPr>
      </w:pPr>
    </w:p>
    <w:p w14:paraId="708D1EBB" w14:textId="77777777" w:rsidR="00683239" w:rsidRPr="007C0DCB" w:rsidRDefault="00683239" w:rsidP="00683239">
      <w:pPr>
        <w:pStyle w:val="SingleTxt"/>
        <w:spacing w:after="0" w:line="120" w:lineRule="exact"/>
        <w:rPr>
          <w:iCs/>
          <w:sz w:val="10"/>
          <w:lang w:val="es-ES_tradnl"/>
        </w:rPr>
      </w:pPr>
    </w:p>
    <w:p w14:paraId="18899D69" w14:textId="7A2B77A2" w:rsidR="00627CAE" w:rsidRPr="00627CAE" w:rsidRDefault="00627CAE" w:rsidP="00A02D7A">
      <w:pPr>
        <w:pStyle w:val="SingleTxt"/>
        <w:numPr>
          <w:ilvl w:val="0"/>
          <w:numId w:val="22"/>
        </w:numPr>
        <w:ind w:left="1267"/>
        <w:rPr>
          <w:lang w:val="es-ES_tradnl"/>
        </w:rPr>
      </w:pPr>
      <w:r w:rsidRPr="00627CAE">
        <w:rPr>
          <w:lang w:val="es-ES_tradnl"/>
        </w:rPr>
        <w:t>En los estados y los territorios, la maternidad no se considera un motivo para justificar la suspensión y la expulsión. Los estados y los territorios cuentan con políticas y programas para ayudar a las estudiantes embarazadas o con hijos a acceder a la educación:</w:t>
      </w:r>
    </w:p>
    <w:p w14:paraId="726889ED" w14:textId="7B2CE60B"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En Australia, las escuelas públicas, siempre que el centro esté en condiciones de hacerlo, ofrecen las adaptaciones necesarias para que las alumnas embarazadas o los progenitores jóvenes puedan seguir estudiando, como por ejemplo unos horarios flexibles; licencia para ausentarse de clase antes y después del nacimiento del bebé; la opción de terminar el curso 11</w:t>
      </w:r>
      <w:r w:rsidR="00627CAE" w:rsidRPr="00627CAE">
        <w:rPr>
          <w:vertAlign w:val="superscript"/>
          <w:lang w:val="es-ES_tradnl"/>
        </w:rPr>
        <w:t>o</w:t>
      </w:r>
      <w:r w:rsidR="00627CAE" w:rsidRPr="00627CAE">
        <w:rPr>
          <w:lang w:val="es-ES_tradnl"/>
        </w:rPr>
        <w:t xml:space="preserve"> o 12</w:t>
      </w:r>
      <w:r w:rsidR="00627CAE" w:rsidRPr="00627CAE">
        <w:rPr>
          <w:vertAlign w:val="superscript"/>
          <w:lang w:val="es-ES_tradnl"/>
        </w:rPr>
        <w:t>o</w:t>
      </w:r>
      <w:r w:rsidR="00627CAE" w:rsidRPr="00627CAE">
        <w:rPr>
          <w:lang w:val="es-ES_tradnl"/>
        </w:rPr>
        <w:t xml:space="preserve"> en un período de hasta cinco años; educación a distancia cuando no exista oferta a nivel local; estudios de formación técnica y educación continua (TAFE); una guardería escolar cuando sea posible;</w:t>
      </w:r>
    </w:p>
    <w:p w14:paraId="2F803F90" w14:textId="4C32C245"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El CCCares del Canberra College en el Territorio de la Capital de Australia ofrece programas alternativos de educación y apoyo a las alumnas embarazadas y con hijos. El CCCares utiliza planes de aprendizaje personalizados y adaptados a las necesidades particulares de los estudiantes, que pueden cursar sus estudios y acceder al contenido de manera flexible para obtener el título de educación secundaria superior y el certificado de instrucción basada en competencias expedidos por el Territorio de la Capital de Australia;</w:t>
      </w:r>
    </w:p>
    <w:p w14:paraId="66133188" w14:textId="6789850E"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En Nueva Gales del Sur, las alumnas embarazadas que cursen estudios y cuenten con un enfermero especializado en bienestar y salud pueden ser atendidas por personal médico especializado. Hay 95 enfermeros trabajando en más de 356 escuelas de Nueva Gales del Sur; </w:t>
      </w:r>
    </w:p>
    <w:p w14:paraId="09600D6B" w14:textId="6A5937F7"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El Plan de Acción para la Igualdad de Género (2022-25) del Territorio del Norte prevé una serie de programas y actividades para que progenitores y cuidadores jóvenes puedan seguir estudiando y participen en la fuerza de trabajo, como las actividades de creación de capacidad para la crianza y la reincorporación de las madres jóvenes (el programa de alfabetización para padres y madres jóvenes fuertes); y el diseño de un marco interinstitucional que permita a los progenitores jóvenes terminar sus estudios prestándoles servicios integrales de educación sanitaria y apoyo a la crianza; </w:t>
      </w:r>
    </w:p>
    <w:p w14:paraId="44EF81A3" w14:textId="2000858E"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El objetivo de las directrices de Queensland es retener y apoyar a las jóvenes embarazadas y con hijos en el sistema educativo, por ejemplo con orientadores, enfermeros especializados en la salud de los jóvenes en los centros escolares, coordinadores de apoyo a los jóvenes y ayuda para poner en contacto a los alumnos con organismos públicos y externos; </w:t>
      </w:r>
    </w:p>
    <w:p w14:paraId="334D13CC" w14:textId="5A5803FB"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La política de matrícula de acceso libre de los centros universitarios de Australia Meridional prevé la asistencia a los alumnos que no pueden estudiar a tiempo completo en el centro donde se matricularon por compromisos familiares, como sucede con las alumnas embarazadas o los padres y madres primerizos. Las escuelas se aseguran de que los alumnos puedan acceder a servicios de orientación académica y sanitaria que presta el Departamento de Educación, y cuentan con ayudas externas dentro de organismos públicos y no gubernamentales para animar a los alumnos a que sigan estudiando;</w:t>
      </w:r>
    </w:p>
    <w:p w14:paraId="2EFD3AD3" w14:textId="602ED16F" w:rsidR="00627CAE" w:rsidRPr="00627CAE" w:rsidRDefault="00683239" w:rsidP="00683239">
      <w:pPr>
        <w:pStyle w:val="SingleTxt"/>
        <w:tabs>
          <w:tab w:val="right" w:pos="1685"/>
        </w:tabs>
        <w:ind w:left="1742" w:hanging="475"/>
        <w:rPr>
          <w:lang w:val="es-ES_tradnl"/>
        </w:rPr>
      </w:pPr>
      <w:r w:rsidRPr="007C0DCB">
        <w:rPr>
          <w:lang w:val="es-ES_tradnl"/>
        </w:rPr>
        <w:lastRenderedPageBreak/>
        <w:tab/>
        <w:t>•</w:t>
      </w:r>
      <w:r w:rsidR="00627CAE" w:rsidRPr="00627CAE">
        <w:rPr>
          <w:lang w:val="es-ES_tradnl"/>
        </w:rPr>
        <w:tab/>
        <w:t>Gracias a la política y los procedimientos de Tasmania para las alumnas embarazadas y con hijos, estas estudiantes reciben ayuda para estudiar en un entorno de aprendizaje flexible y seguro, y prohíbe que las escuelas las discriminen directa o indirectamente. Los centros de aprendizaje para la infancia y la familia en Tasmania ofrecen ayuda a las familias con niños desde el embarazo hasta los cinco años. La ayuda puede consistir en apoyar a los progenitores para que puedan retomar sus estudios;</w:t>
      </w:r>
    </w:p>
    <w:p w14:paraId="43C66F98" w14:textId="55D03DFA"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La política de Victoria para alumnas embarazadas y con hijos ayuda a los progenitores jóvenes a seguir estudiando ofreciéndoles opciones flexibles de educación permanente, asistencia para conciliar la carga de trabajo y los compromisos extracurriculares, la adaptación de programas y recursos en función de las necesidades individuales, y la elaboración de un plan de estudios individualizado y un grupo de apoyo al estudiante; </w:t>
      </w:r>
    </w:p>
    <w:p w14:paraId="2EB3E3E0" w14:textId="09FBFB98"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Las directrices de Australia Occidental ayudan a los estudiantes en zonas regionales y alejadas brindándoles apoyo adicional en función del contexto. El personal de las escuelas se asegura de que las alumnas puedan regresar a clase después de dar a luz, y que lo hagan en un entorno seguro y acogedor. Hay centros para niños y padres que ofrecen atención infantil dentro o cerca de las escuelas públicas.</w:t>
      </w:r>
    </w:p>
    <w:p w14:paraId="5D59B9D6" w14:textId="77777777" w:rsidR="00683239" w:rsidRPr="00195CF4" w:rsidRDefault="00683239" w:rsidP="00683239">
      <w:pPr>
        <w:pStyle w:val="SingleTxt"/>
        <w:spacing w:after="0" w:line="120" w:lineRule="exact"/>
        <w:rPr>
          <w:b/>
          <w:sz w:val="10"/>
          <w:lang w:val="es-ES_tradnl"/>
        </w:rPr>
      </w:pPr>
      <w:bookmarkStart w:id="206" w:name="_Toc174011712"/>
      <w:bookmarkStart w:id="207" w:name="_Toc188598254"/>
      <w:bookmarkStart w:id="208" w:name="_Toc190357151"/>
      <w:bookmarkStart w:id="209" w:name="_Toc190878935"/>
    </w:p>
    <w:p w14:paraId="394618CC" w14:textId="77777777" w:rsidR="00683239" w:rsidRPr="00195CF4" w:rsidRDefault="00683239" w:rsidP="00683239">
      <w:pPr>
        <w:pStyle w:val="SingleTxt"/>
        <w:spacing w:after="0" w:line="120" w:lineRule="exact"/>
        <w:rPr>
          <w:b/>
          <w:sz w:val="10"/>
          <w:lang w:val="es-ES_tradnl"/>
        </w:rPr>
      </w:pPr>
    </w:p>
    <w:p w14:paraId="4639D10E" w14:textId="563B3AA8" w:rsidR="00627CAE" w:rsidRPr="00195CF4" w:rsidRDefault="00627CAE" w:rsidP="006832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195CF4">
        <w:rPr>
          <w:lang w:val="es-ES_tradnl"/>
        </w:rPr>
        <w:tab/>
      </w:r>
      <w:r w:rsidRPr="00195CF4">
        <w:rPr>
          <w:lang w:val="es-ES_tradnl"/>
        </w:rPr>
        <w:tab/>
        <w:t>Ciencia, tecnología, ingeniería y matemáticas (CTIM) para las niñas indígenas</w:t>
      </w:r>
      <w:bookmarkEnd w:id="206"/>
      <w:bookmarkEnd w:id="207"/>
      <w:bookmarkEnd w:id="208"/>
      <w:bookmarkEnd w:id="209"/>
    </w:p>
    <w:p w14:paraId="0E48E4AD" w14:textId="77777777" w:rsidR="00683239" w:rsidRPr="007C0DCB" w:rsidRDefault="00683239" w:rsidP="00683239">
      <w:pPr>
        <w:pStyle w:val="SingleTxt"/>
        <w:spacing w:after="0" w:line="120" w:lineRule="exact"/>
        <w:rPr>
          <w:iCs/>
          <w:sz w:val="10"/>
          <w:lang w:val="es-ES_tradnl"/>
        </w:rPr>
      </w:pPr>
    </w:p>
    <w:p w14:paraId="55CF9893" w14:textId="77777777" w:rsidR="00683239" w:rsidRPr="007C0DCB" w:rsidRDefault="00683239" w:rsidP="00683239">
      <w:pPr>
        <w:pStyle w:val="SingleTxt"/>
        <w:spacing w:after="0" w:line="120" w:lineRule="exact"/>
        <w:rPr>
          <w:iCs/>
          <w:sz w:val="10"/>
          <w:lang w:val="es-ES_tradnl"/>
        </w:rPr>
      </w:pPr>
    </w:p>
    <w:p w14:paraId="3315E745" w14:textId="3CB333E7" w:rsidR="00627CAE" w:rsidRPr="00627CAE" w:rsidRDefault="00627CAE" w:rsidP="00A02D7A">
      <w:pPr>
        <w:pStyle w:val="SingleTxt"/>
        <w:numPr>
          <w:ilvl w:val="0"/>
          <w:numId w:val="22"/>
        </w:numPr>
        <w:ind w:left="1267"/>
        <w:rPr>
          <w:lang w:val="es-ES_tradnl"/>
        </w:rPr>
      </w:pPr>
      <w:r w:rsidRPr="00627CAE">
        <w:rPr>
          <w:lang w:val="es-ES_tradnl"/>
        </w:rPr>
        <w:t>La Academia de CTIM para Niñas Indígenas es fruto de una inversión nacional de 25 millones de dólares en 10 años, de 2018 a 2028, destinada a las mujeres y niñas de las Primeras Naciones que aspiran a estudiar ciencia, tecnología, ingeniería y matemáticas o desarrollar su carrera profesional en este campo. La Academia opera a escala nacional, con sedes elegidas en función de la población, los grupos lingüísticos y la maximización del acceso.</w:t>
      </w:r>
    </w:p>
    <w:p w14:paraId="6A560C18" w14:textId="0B548C20" w:rsidR="00627CAE" w:rsidRPr="00627CAE" w:rsidRDefault="00627CAE" w:rsidP="00A02D7A">
      <w:pPr>
        <w:pStyle w:val="SingleTxt"/>
        <w:numPr>
          <w:ilvl w:val="0"/>
          <w:numId w:val="22"/>
        </w:numPr>
        <w:ind w:left="1267"/>
        <w:rPr>
          <w:lang w:val="es-ES_tradnl"/>
        </w:rPr>
      </w:pPr>
      <w:r w:rsidRPr="00627CAE">
        <w:rPr>
          <w:lang w:val="es-ES_tradnl"/>
        </w:rPr>
        <w:t>Las dos iniciativas de la Academia son la iniciativa de estudiantes y profesores de CTIM, que ayuda a un máximo de 1.000 mujeres jóvenes de las Primeras Naciones con un alto rendimiento académico desde la escuela secundaria, pasando por la universidad y hasta que cursan sus estudios de postgrado; y la iniciativa para profesoras de CTIM, que apoya la formación de hasta 99 profesoras de las Primeras Naciones especializadas en este campo.</w:t>
      </w:r>
    </w:p>
    <w:p w14:paraId="4F17B9B4" w14:textId="77777777" w:rsidR="00683239" w:rsidRPr="00195CF4" w:rsidRDefault="00683239" w:rsidP="00683239">
      <w:pPr>
        <w:pStyle w:val="SingleTxt"/>
        <w:spacing w:after="0" w:line="120" w:lineRule="exact"/>
        <w:rPr>
          <w:b/>
          <w:sz w:val="10"/>
          <w:lang w:val="es-ES_tradnl"/>
        </w:rPr>
      </w:pPr>
      <w:bookmarkStart w:id="210" w:name="_Toc188598255"/>
      <w:bookmarkStart w:id="211" w:name="_Toc190357152"/>
      <w:bookmarkStart w:id="212" w:name="_Toc190878936"/>
    </w:p>
    <w:p w14:paraId="04376694" w14:textId="77777777" w:rsidR="00683239" w:rsidRPr="00195CF4" w:rsidRDefault="00683239" w:rsidP="00683239">
      <w:pPr>
        <w:pStyle w:val="SingleTxt"/>
        <w:spacing w:after="0" w:line="120" w:lineRule="exact"/>
        <w:rPr>
          <w:b/>
          <w:sz w:val="10"/>
          <w:lang w:val="es-ES_tradnl"/>
        </w:rPr>
      </w:pPr>
    </w:p>
    <w:p w14:paraId="021AE03F" w14:textId="5C3BFBCA" w:rsidR="00627CAE" w:rsidRPr="00195CF4" w:rsidRDefault="00627CAE" w:rsidP="006832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Tecnología de la información y las comunicaciones (TIC): educación de niñas y mujeres en regiones remotas</w:t>
      </w:r>
      <w:bookmarkEnd w:id="210"/>
      <w:bookmarkEnd w:id="211"/>
      <w:bookmarkEnd w:id="212"/>
    </w:p>
    <w:p w14:paraId="648607AA" w14:textId="77777777" w:rsidR="00683239" w:rsidRPr="007C0DCB" w:rsidRDefault="00683239" w:rsidP="00683239">
      <w:pPr>
        <w:pStyle w:val="SingleTxt"/>
        <w:spacing w:after="0" w:line="120" w:lineRule="exact"/>
        <w:rPr>
          <w:iCs/>
          <w:sz w:val="10"/>
          <w:lang w:val="es-ES_tradnl"/>
        </w:rPr>
      </w:pPr>
    </w:p>
    <w:p w14:paraId="471DC7D3" w14:textId="77777777" w:rsidR="00683239" w:rsidRPr="007C0DCB" w:rsidRDefault="00683239" w:rsidP="00683239">
      <w:pPr>
        <w:pStyle w:val="SingleTxt"/>
        <w:spacing w:after="0" w:line="120" w:lineRule="exact"/>
        <w:rPr>
          <w:iCs/>
          <w:sz w:val="10"/>
          <w:lang w:val="es-ES_tradnl"/>
        </w:rPr>
      </w:pPr>
    </w:p>
    <w:p w14:paraId="5C197719" w14:textId="4B32F01A" w:rsidR="00627CAE" w:rsidRPr="00627CAE" w:rsidRDefault="00627CAE" w:rsidP="00A02D7A">
      <w:pPr>
        <w:pStyle w:val="SingleTxt"/>
        <w:numPr>
          <w:ilvl w:val="0"/>
          <w:numId w:val="22"/>
        </w:numPr>
        <w:ind w:left="1267"/>
        <w:rPr>
          <w:lang w:val="es-ES_tradnl"/>
        </w:rPr>
      </w:pPr>
      <w:r w:rsidRPr="00627CAE">
        <w:rPr>
          <w:lang w:val="es-ES_tradnl"/>
        </w:rPr>
        <w:t>La lista no exhaustiva de iniciativas de TIC en los estados y los territorios dirigidas a mejorar el acceso de niñas y mujeres a la educación en regiones alejadas incluye:</w:t>
      </w:r>
    </w:p>
    <w:p w14:paraId="57FAEC59" w14:textId="2B678C68"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La Katherine School of the Air en el Territorio del Norte sigue utilizando iSee, una plataforma informática moderna con un ancho de banda reducido para mejorar el acceso a la educación de niñas y mujeres mediante la impartición de planes de estudios; </w:t>
      </w:r>
    </w:p>
    <w:p w14:paraId="504A0340" w14:textId="6C001DBF"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El programa SWiFT de Australia Meridional proporciona Internet de alta velocidad por fibra a escuelas y centros preescolares en las zonas regionales con miras a reducir las barreras de acceso y conectividad a las tecnologías digitales. Las escuelas situadas en zonas remotas donde no se dispone de conexión a </w:t>
      </w:r>
      <w:r w:rsidR="00627CAE" w:rsidRPr="00627CAE">
        <w:rPr>
          <w:lang w:val="es-ES_tradnl"/>
        </w:rPr>
        <w:lastRenderedPageBreak/>
        <w:t xml:space="preserve">Internet por fibra óptica cuentan con conexiones a medida a un servicio empresarial de Starlink estable y de alto rendimiento; </w:t>
      </w:r>
    </w:p>
    <w:p w14:paraId="426B7DD3" w14:textId="2D90D0FE"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Victoria financia el programa Software for Connected Learners (</w:t>
      </w:r>
      <w:r w:rsidR="00285E6B">
        <w:rPr>
          <w:lang w:val="es-ES_tradnl"/>
        </w:rPr>
        <w:t>“</w:t>
      </w:r>
      <w:r w:rsidR="00627CAE" w:rsidRPr="00627CAE">
        <w:rPr>
          <w:lang w:val="es-ES_tradnl"/>
        </w:rPr>
        <w:t>Programas informáticos para alumnos conectados</w:t>
      </w:r>
      <w:r w:rsidR="00285E6B">
        <w:rPr>
          <w:lang w:val="es-ES_tradnl"/>
        </w:rPr>
        <w:t>”</w:t>
      </w:r>
      <w:r w:rsidR="00627CAE" w:rsidRPr="00627CAE">
        <w:rPr>
          <w:lang w:val="es-ES_tradnl"/>
        </w:rPr>
        <w:t>), que facilita a profesores y alumnos acceso gratuito a programas informáticos y contenidos digitales de alta calidad y adaptados a los planes de estudios sobre diversas asignaturas, como las ciencias, las tecnologías digitales y el diseño y las tecnologías.</w:t>
      </w:r>
    </w:p>
    <w:p w14:paraId="10D1D82F" w14:textId="77777777" w:rsidR="00683239" w:rsidRPr="00195CF4" w:rsidRDefault="00683239" w:rsidP="00683239">
      <w:pPr>
        <w:pStyle w:val="SingleTxt"/>
        <w:spacing w:after="0" w:line="120" w:lineRule="exact"/>
        <w:rPr>
          <w:b/>
          <w:sz w:val="10"/>
          <w:lang w:val="es-ES_tradnl"/>
        </w:rPr>
      </w:pPr>
      <w:bookmarkStart w:id="213" w:name="_Toc174011713"/>
      <w:bookmarkStart w:id="214" w:name="_Toc188598256"/>
      <w:bookmarkStart w:id="215" w:name="_Toc190357153"/>
      <w:bookmarkStart w:id="216" w:name="_Toc190878937"/>
    </w:p>
    <w:p w14:paraId="2C8DE4ED" w14:textId="77777777" w:rsidR="00683239" w:rsidRPr="00195CF4" w:rsidRDefault="00683239" w:rsidP="00683239">
      <w:pPr>
        <w:pStyle w:val="SingleTxt"/>
        <w:spacing w:after="0" w:line="120" w:lineRule="exact"/>
        <w:rPr>
          <w:b/>
          <w:sz w:val="10"/>
          <w:lang w:val="es-ES_tradnl"/>
        </w:rPr>
      </w:pPr>
    </w:p>
    <w:p w14:paraId="30C6DDBF" w14:textId="5D5F5006" w:rsidR="00627CAE" w:rsidRPr="00195CF4" w:rsidRDefault="00627CAE" w:rsidP="006832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Medidas para promover que las niñas y las mujeres elijan opciones educativas no tradicionales</w:t>
      </w:r>
      <w:bookmarkEnd w:id="213"/>
      <w:bookmarkEnd w:id="214"/>
      <w:bookmarkEnd w:id="215"/>
      <w:bookmarkEnd w:id="216"/>
    </w:p>
    <w:p w14:paraId="30A7C012" w14:textId="77777777" w:rsidR="00683239" w:rsidRPr="007C0DCB" w:rsidRDefault="00683239" w:rsidP="00683239">
      <w:pPr>
        <w:pStyle w:val="SingleTxt"/>
        <w:spacing w:after="0" w:line="120" w:lineRule="exact"/>
        <w:rPr>
          <w:iCs/>
          <w:sz w:val="10"/>
          <w:lang w:val="es-ES_tradnl"/>
        </w:rPr>
      </w:pPr>
    </w:p>
    <w:p w14:paraId="097528A2" w14:textId="77777777" w:rsidR="00683239" w:rsidRPr="007C0DCB" w:rsidRDefault="00683239" w:rsidP="00683239">
      <w:pPr>
        <w:pStyle w:val="SingleTxt"/>
        <w:spacing w:after="0" w:line="120" w:lineRule="exact"/>
        <w:rPr>
          <w:iCs/>
          <w:sz w:val="10"/>
          <w:lang w:val="es-ES_tradnl"/>
        </w:rPr>
      </w:pPr>
    </w:p>
    <w:p w14:paraId="5835B6E9" w14:textId="47CD831D" w:rsidR="00627CAE" w:rsidRPr="00627CAE" w:rsidRDefault="00627CAE" w:rsidP="00A02D7A">
      <w:pPr>
        <w:pStyle w:val="SingleTxt"/>
        <w:numPr>
          <w:ilvl w:val="0"/>
          <w:numId w:val="22"/>
        </w:numPr>
        <w:ind w:left="1267"/>
        <w:rPr>
          <w:lang w:val="es-ES_tradnl"/>
        </w:rPr>
      </w:pPr>
      <w:r w:rsidRPr="00627CAE">
        <w:rPr>
          <w:lang w:val="es-ES_tradnl"/>
        </w:rPr>
        <w:t>La estrategia australiana de 2019 para promover la presencia de las mujeres en CTIM (A</w:t>
      </w:r>
      <w:r w:rsidRPr="00627CAE">
        <w:rPr>
          <w:i/>
          <w:iCs/>
          <w:lang w:val="es-ES_tradnl"/>
        </w:rPr>
        <w:t>dvancing Women in STEM</w:t>
      </w:r>
      <w:r w:rsidRPr="00627CAE">
        <w:rPr>
          <w:lang w:val="es-ES_tradnl"/>
        </w:rPr>
        <w:t>) guía las iniciativas nacionales para aumentar la equidad de género y la visibilidad de las mujeres en este campo. Algunas iniciativas del Gobierno son:</w:t>
      </w:r>
    </w:p>
    <w:p w14:paraId="1FB6F046" w14:textId="617D75ED"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Una inversión de 55,6 millones de dólares durante cuatro años a partir de 2024-25 en los programas </w:t>
      </w:r>
      <w:r w:rsidR="00285E6B">
        <w:rPr>
          <w:lang w:val="es-ES_tradnl"/>
        </w:rPr>
        <w:t>“</w:t>
      </w:r>
      <w:r w:rsidR="00627CAE" w:rsidRPr="00627CAE">
        <w:rPr>
          <w:lang w:val="es-ES_tradnl"/>
        </w:rPr>
        <w:t>Building Women's Careers</w:t>
      </w:r>
      <w:r w:rsidR="00285E6B">
        <w:rPr>
          <w:lang w:val="es-ES_tradnl"/>
        </w:rPr>
        <w:t>”</w:t>
      </w:r>
      <w:r w:rsidR="00627CAE" w:rsidRPr="00627CAE">
        <w:rPr>
          <w:lang w:val="es-ES_tradnl"/>
        </w:rPr>
        <w:t>, cuyo objetivo es fomentar la participación de las mujeres en el sector de la construcción, la energía limpia, la fabricación avanzada y la industria tecnológica y digital;</w:t>
      </w:r>
    </w:p>
    <w:p w14:paraId="482C68EC" w14:textId="46EC282B"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Un examen independiente de la senda hacia la diversidad en CTIM (Pathway to Diversity in STEM) para evaluar los programas existentes dirigidos a las mujeres en este campo; una inversión de 38,2 millones de dólares durante ocho años desde 2023-24 (y 1,3 millones de dólares con carácter permanente) para apoyar la educación de trabajadores cualificados y diversos en CTIM con miras a retener a las mujeres y otros grupos infrarrepresentados; </w:t>
      </w:r>
    </w:p>
    <w:p w14:paraId="6AC2081D" w14:textId="1870F15E"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El STEM Equity Monitor, un recurso nacional de datos en línea sobre niñas y mujeres en CTIM que ofrece información sobre la igualdad de género en este campo en Australia.</w:t>
      </w:r>
    </w:p>
    <w:p w14:paraId="51DC8C70" w14:textId="77777777" w:rsidR="00683239" w:rsidRPr="00195CF4" w:rsidRDefault="00683239" w:rsidP="00683239">
      <w:pPr>
        <w:pStyle w:val="SingleTxt"/>
        <w:spacing w:after="0" w:line="120" w:lineRule="exact"/>
        <w:rPr>
          <w:b/>
          <w:sz w:val="10"/>
          <w:lang w:val="es-ES_tradnl"/>
        </w:rPr>
      </w:pPr>
      <w:bookmarkStart w:id="217" w:name="_Toc174011714"/>
      <w:bookmarkStart w:id="218" w:name="_Toc188598257"/>
      <w:bookmarkStart w:id="219" w:name="_Toc190357154"/>
      <w:bookmarkStart w:id="220" w:name="_Toc190878938"/>
    </w:p>
    <w:p w14:paraId="6BEF0AC0" w14:textId="77777777" w:rsidR="00683239" w:rsidRPr="00195CF4" w:rsidRDefault="00683239" w:rsidP="00683239">
      <w:pPr>
        <w:pStyle w:val="SingleTxt"/>
        <w:spacing w:after="0" w:line="120" w:lineRule="exact"/>
        <w:rPr>
          <w:b/>
          <w:sz w:val="10"/>
          <w:lang w:val="es-ES_tradnl"/>
        </w:rPr>
      </w:pPr>
    </w:p>
    <w:p w14:paraId="30BE2D55" w14:textId="150495AF" w:rsidR="00627CAE" w:rsidRPr="00195CF4" w:rsidRDefault="00627CAE" w:rsidP="006832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Un entorno de aprendizaje seguro e inclusivo</w:t>
      </w:r>
      <w:bookmarkEnd w:id="217"/>
      <w:bookmarkEnd w:id="218"/>
      <w:bookmarkEnd w:id="219"/>
      <w:bookmarkEnd w:id="220"/>
    </w:p>
    <w:p w14:paraId="72F4569C" w14:textId="77777777" w:rsidR="00683239" w:rsidRPr="007C0DCB" w:rsidRDefault="00683239" w:rsidP="00683239">
      <w:pPr>
        <w:pStyle w:val="SingleTxt"/>
        <w:spacing w:after="0" w:line="120" w:lineRule="exact"/>
        <w:rPr>
          <w:iCs/>
          <w:sz w:val="10"/>
          <w:lang w:val="es-ES_tradnl"/>
        </w:rPr>
      </w:pPr>
    </w:p>
    <w:p w14:paraId="2DD53F4B" w14:textId="77777777" w:rsidR="00683239" w:rsidRPr="007C0DCB" w:rsidRDefault="00683239" w:rsidP="00683239">
      <w:pPr>
        <w:pStyle w:val="SingleTxt"/>
        <w:spacing w:after="0" w:line="120" w:lineRule="exact"/>
        <w:rPr>
          <w:iCs/>
          <w:sz w:val="10"/>
          <w:lang w:val="es-ES_tradnl"/>
        </w:rPr>
      </w:pPr>
    </w:p>
    <w:p w14:paraId="0ADDE5D5" w14:textId="40EA64A0" w:rsidR="00627CAE" w:rsidRPr="00627CAE" w:rsidRDefault="00627CAE" w:rsidP="00A02D7A">
      <w:pPr>
        <w:pStyle w:val="SingleTxt"/>
        <w:numPr>
          <w:ilvl w:val="0"/>
          <w:numId w:val="22"/>
        </w:numPr>
        <w:ind w:left="1267"/>
        <w:rPr>
          <w:lang w:val="es-ES_tradnl"/>
        </w:rPr>
      </w:pPr>
      <w:r w:rsidRPr="00627CAE">
        <w:rPr>
          <w:lang w:val="es-ES_tradnl"/>
        </w:rPr>
        <w:t>En su informe final, la Comisión Real Australiana sobre la Violencia, el Abuso, el Descuido y la Explotación de las Personas con Discapacidad formuló varias recomendaciones para crear entornos de aprendizaje inclusivos y seguros. Todas las administraciones australianas aceptaron, en principio, las recomendaciones para impartir una educación más accesible e inclusiva, fomentar la capacidad y los conocimientos especializados de los trabajadores, y mejorar las prácticas para gestionar las reclamaciones.</w:t>
      </w:r>
    </w:p>
    <w:p w14:paraId="7DC6C895" w14:textId="3CAE26E7" w:rsidR="00627CAE" w:rsidRPr="00627CAE" w:rsidRDefault="00627CAE" w:rsidP="00A02D7A">
      <w:pPr>
        <w:pStyle w:val="SingleTxt"/>
        <w:numPr>
          <w:ilvl w:val="0"/>
          <w:numId w:val="22"/>
        </w:numPr>
        <w:ind w:left="1267"/>
        <w:rPr>
          <w:lang w:val="es-ES_tradnl"/>
        </w:rPr>
      </w:pPr>
      <w:r w:rsidRPr="00627CAE">
        <w:rPr>
          <w:lang w:val="es-ES_tradnl"/>
        </w:rPr>
        <w:t xml:space="preserve">El Gobierno aplicó las recomendaciones del examen de 2020 sobre las normas relativas a la discapacidad para la educación de 2005, como garantizar que las políticas educativas sean coherentes con las leyes de lucha contra la discriminación por discapacidad, ayudar a los educadores para que se reúnan y diseñen juntos recursos dirigidos a los alumnos con discapacidad y ayuden a las familias a comprender y defender los derechos de sus hijos. </w:t>
      </w:r>
    </w:p>
    <w:p w14:paraId="4E0A02C6" w14:textId="00174F5A" w:rsidR="00627CAE" w:rsidRPr="00627CAE" w:rsidRDefault="00627CAE" w:rsidP="00A02D7A">
      <w:pPr>
        <w:pStyle w:val="SingleTxt"/>
        <w:numPr>
          <w:ilvl w:val="0"/>
          <w:numId w:val="22"/>
        </w:numPr>
        <w:ind w:left="1267"/>
        <w:rPr>
          <w:lang w:val="es-ES_tradnl"/>
        </w:rPr>
      </w:pPr>
      <w:r w:rsidRPr="00627CAE">
        <w:rPr>
          <w:lang w:val="es-ES_tradnl"/>
        </w:rPr>
        <w:t xml:space="preserve">La educación sobre las relaciones respetuosas forma parte de la versión 9.0 del plan de estudios australiano que aprobaron los ministros de educación a nivel estatal, territorial y federal en abril de 2022 para introducirlo en las escuelas a partir de 2023. </w:t>
      </w:r>
    </w:p>
    <w:p w14:paraId="71194F80" w14:textId="16E86901" w:rsidR="00627CAE" w:rsidRPr="00627CAE" w:rsidRDefault="00627CAE" w:rsidP="00A02D7A">
      <w:pPr>
        <w:pStyle w:val="SingleTxt"/>
        <w:numPr>
          <w:ilvl w:val="0"/>
          <w:numId w:val="22"/>
        </w:numPr>
        <w:ind w:left="1267"/>
        <w:rPr>
          <w:lang w:val="es-ES_tradnl"/>
        </w:rPr>
      </w:pPr>
      <w:r w:rsidRPr="00627CAE">
        <w:rPr>
          <w:lang w:val="es-ES_tradnl"/>
        </w:rPr>
        <w:t xml:space="preserve">En la educación sobre las relaciones respetuosas participan el sector educativo no gubernamental, y se utiliza el sistema educativo como catalizador del cambio generacional y cultural implicando a las escuelas para que aborden de forma integral </w:t>
      </w:r>
      <w:r w:rsidRPr="00627CAE">
        <w:rPr>
          <w:lang w:val="es-ES_tradnl"/>
        </w:rPr>
        <w:lastRenderedPageBreak/>
        <w:t>los factores que favorecen la violencia de género y puedan crear un futuro sin violencia ni discriminación.</w:t>
      </w:r>
    </w:p>
    <w:p w14:paraId="730BDF14" w14:textId="291811AE" w:rsidR="00627CAE" w:rsidRPr="00627CAE" w:rsidRDefault="00627CAE" w:rsidP="00A02D7A">
      <w:pPr>
        <w:pStyle w:val="SingleTxt"/>
        <w:numPr>
          <w:ilvl w:val="0"/>
          <w:numId w:val="22"/>
        </w:numPr>
        <w:ind w:left="1267"/>
        <w:rPr>
          <w:lang w:val="es-ES_tradnl"/>
        </w:rPr>
      </w:pPr>
      <w:r w:rsidRPr="00627CAE">
        <w:rPr>
          <w:lang w:val="es-ES_tradnl"/>
        </w:rPr>
        <w:t>Algunos programas y políticas seguros e inclusivos de los estados y los territorios son:</w:t>
      </w:r>
    </w:p>
    <w:p w14:paraId="2979EC97" w14:textId="1C6A2947"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La política de escuelas seguras y solidarias del Territorio de la Capital de Australia: las escuelas públicas de este territorio cuentan, como mínimo, con dos oficiales de contacto de escuelas seguras y solidarias, que son docentes elegidos para ayudar a los alumnos que son objeto de intimidación, discriminación y acoso racial o sexual, o que están involucrados en este tipo de actos;</w:t>
      </w:r>
    </w:p>
    <w:p w14:paraId="45762D1B" w14:textId="425FAACD"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La política de educación multicultural de Nueva Gales del Sur defiende las prácticas docentes inclusivas para la diversidad cultural, lingüística y religiosa del alumnado, incluidos los programas de apoyo dirigidos específicamente a estudiantes que aprenden el inglés como segundo idioma o dialecto para los estudiantes refugiados y recién llegados;</w:t>
      </w:r>
    </w:p>
    <w:p w14:paraId="61AD2CE3" w14:textId="53CEF877" w:rsidR="00627CAE" w:rsidRPr="00627CAE" w:rsidRDefault="00683239" w:rsidP="00683239">
      <w:pPr>
        <w:pStyle w:val="SingleTxt"/>
        <w:tabs>
          <w:tab w:val="right" w:pos="1685"/>
        </w:tabs>
        <w:ind w:left="1742" w:hanging="475"/>
        <w:rPr>
          <w:lang w:val="es-ES_tradnl"/>
        </w:rPr>
      </w:pPr>
      <w:r w:rsidRPr="007C0DCB">
        <w:rPr>
          <w:lang w:val="es-ES_tradnl"/>
        </w:rPr>
        <w:tab/>
        <w:t>•</w:t>
      </w:r>
      <w:r w:rsidR="00627CAE" w:rsidRPr="00627CAE">
        <w:rPr>
          <w:lang w:val="es-ES_tradnl"/>
        </w:rPr>
        <w:tab/>
        <w:t>El marco para la inclusión (2019-2029) del Territorio del Norte es una estrategia decenal para mejorar la educación inclusiva de todos los alumnos en sus escuelas públicas. Se han empezado a organizar consultas sobre una declaración de compromiso para apoyar la diversidad en términos de orientación sexual, identidad de género y características sexuales en la educación;</w:t>
      </w:r>
    </w:p>
    <w:p w14:paraId="4B9FF6A0" w14:textId="5B3D4A51" w:rsidR="00627CAE" w:rsidRPr="00627CAE" w:rsidRDefault="00683239" w:rsidP="00586748">
      <w:pPr>
        <w:pStyle w:val="SingleTxt"/>
        <w:tabs>
          <w:tab w:val="right" w:pos="1685"/>
        </w:tabs>
        <w:ind w:left="1742" w:hanging="475"/>
        <w:rPr>
          <w:lang w:val="es-ES_tradnl"/>
        </w:rPr>
      </w:pPr>
      <w:r w:rsidRPr="007C0DCB">
        <w:rPr>
          <w:lang w:val="es-ES_tradnl"/>
        </w:rPr>
        <w:tab/>
        <w:t>•</w:t>
      </w:r>
      <w:r w:rsidR="00627CAE" w:rsidRPr="00627CAE">
        <w:rPr>
          <w:lang w:val="es-ES_tradnl"/>
        </w:rPr>
        <w:tab/>
        <w:t>Queensland ofrece ayuda, asesoramiento y desarrollo profesional con base empírica en las escuelas del estado y al personal del departamento para crear entornos seguros, acogedores e inclusivos para todo el alumnado, incluidos los estudiantes de género y sexualidad diversos, atendiendo a lo dispuesto en las leyes estatales y federales relativas a la discriminación, los derechos humanos y la educación;</w:t>
      </w:r>
    </w:p>
    <w:p w14:paraId="52C5431F" w14:textId="1555CE47" w:rsidR="00627CAE" w:rsidRPr="00627CAE" w:rsidRDefault="00586748" w:rsidP="00586748">
      <w:pPr>
        <w:pStyle w:val="SingleTxt"/>
        <w:tabs>
          <w:tab w:val="right" w:pos="1685"/>
        </w:tabs>
        <w:ind w:left="1742" w:hanging="475"/>
        <w:rPr>
          <w:lang w:val="es-ES_tradnl"/>
        </w:rPr>
      </w:pPr>
      <w:r w:rsidRPr="007C0DCB">
        <w:rPr>
          <w:lang w:val="es-ES_tradnl"/>
        </w:rPr>
        <w:tab/>
        <w:t>•</w:t>
      </w:r>
      <w:r w:rsidR="00627CAE" w:rsidRPr="00627CAE">
        <w:rPr>
          <w:lang w:val="es-ES_tradnl"/>
        </w:rPr>
        <w:tab/>
        <w:t>Australia Meridional elaboró guías prácticas para educadores que articulan estrategias con base empírica dirigidas a mejorar los resultados del aprendizaje y el bienestar de los alumnos con otras necesidades. Las escuelas de Australia Meridional ya disponen de guías prácticas específicas sobre el autismo en las niñas;</w:t>
      </w:r>
    </w:p>
    <w:p w14:paraId="74ACE4C9" w14:textId="736BFC2B" w:rsidR="00627CAE" w:rsidRPr="00627CAE" w:rsidRDefault="00586748" w:rsidP="00586748">
      <w:pPr>
        <w:pStyle w:val="SingleTxt"/>
        <w:tabs>
          <w:tab w:val="right" w:pos="1685"/>
        </w:tabs>
        <w:ind w:left="1742" w:hanging="475"/>
        <w:rPr>
          <w:lang w:val="es-ES_tradnl"/>
        </w:rPr>
      </w:pPr>
      <w:r w:rsidRPr="007C0DCB">
        <w:rPr>
          <w:lang w:val="es-ES_tradnl"/>
        </w:rPr>
        <w:tab/>
        <w:t>•</w:t>
      </w:r>
      <w:r w:rsidR="00627CAE" w:rsidRPr="00627CAE">
        <w:rPr>
          <w:lang w:val="es-ES_tradnl"/>
        </w:rPr>
        <w:tab/>
        <w:t>Las escuelas de Tasmania diseñan planes de aprendizaje para los estudiantes que se identifican como pertenecientes a las Primeras Naciones, hablan inglés como segundo idioma o tienen una discapacidad y precisan ajustes educativos. El personal especializado en las escuelas ayuda a los jóvenes vulnerables con necesidades complejas. Las directrices sobre lenguaje inclusivo, los servicios de educación aborigen y la política de apoyo a la diversidad de género, sexo y sexualidad de la administración de Tasmania ayudan a las escuelas a fomentar un entorno inclusivo para alumnos, familias y personal;</w:t>
      </w:r>
    </w:p>
    <w:p w14:paraId="27D1DBC5" w14:textId="7625C8E8" w:rsidR="00627CAE" w:rsidRPr="00627CAE" w:rsidRDefault="00586748" w:rsidP="00586748">
      <w:pPr>
        <w:pStyle w:val="SingleTxt"/>
        <w:tabs>
          <w:tab w:val="right" w:pos="1685"/>
        </w:tabs>
        <w:ind w:left="1742" w:hanging="475"/>
        <w:rPr>
          <w:lang w:val="es-ES_tradnl"/>
        </w:rPr>
      </w:pPr>
      <w:r w:rsidRPr="007C0DCB">
        <w:rPr>
          <w:lang w:val="es-ES_tradnl"/>
        </w:rPr>
        <w:tab/>
        <w:t>•</w:t>
      </w:r>
      <w:r w:rsidR="00627CAE" w:rsidRPr="00627CAE">
        <w:rPr>
          <w:lang w:val="es-ES_tradnl"/>
        </w:rPr>
        <w:tab/>
        <w:t>Las normas de seguridad infantil de Victoria definen unos estándares mínimos obligatorios en materia de inclusividad para todas las escuelas del estado, exigiendo que los centros promuevan la diversidad y la equidad en sus políticas y prácticas, prestando atención a las necesidades de los alumnos con discapacidad, los estudiantes de orígenes culturales y lingüísticos diversos, los que no pueden vivir en casa, los alumnos internacionales, los que pertenecen a la comunidad LGBTIQA+ y los estudiantes indígenas;</w:t>
      </w:r>
    </w:p>
    <w:p w14:paraId="38E8EC02" w14:textId="0AFF0E38" w:rsidR="00627CAE" w:rsidRPr="00627CAE" w:rsidRDefault="00586748" w:rsidP="00586748">
      <w:pPr>
        <w:pStyle w:val="SingleTxt"/>
        <w:tabs>
          <w:tab w:val="right" w:pos="1685"/>
        </w:tabs>
        <w:ind w:left="1742" w:hanging="475"/>
        <w:rPr>
          <w:lang w:val="es-ES_tradnl"/>
        </w:rPr>
      </w:pPr>
      <w:bookmarkStart w:id="221" w:name="_Hlk179548437"/>
      <w:r w:rsidRPr="007C0DCB">
        <w:rPr>
          <w:lang w:val="es-ES_tradnl"/>
        </w:rPr>
        <w:tab/>
        <w:t>•</w:t>
      </w:r>
      <w:r w:rsidR="00627CAE" w:rsidRPr="00627CAE">
        <w:rPr>
          <w:lang w:val="es-ES_tradnl"/>
        </w:rPr>
        <w:tab/>
        <w:t xml:space="preserve">El programa de Australia Occidental llamado </w:t>
      </w:r>
      <w:r w:rsidR="00285E6B">
        <w:rPr>
          <w:lang w:val="es-ES_tradnl"/>
        </w:rPr>
        <w:t>“</w:t>
      </w:r>
      <w:r w:rsidR="00627CAE" w:rsidRPr="00627CAE">
        <w:rPr>
          <w:lang w:val="es-ES_tradnl"/>
        </w:rPr>
        <w:t>Tracks to Two-Way Learning</w:t>
      </w:r>
      <w:r w:rsidR="00285E6B">
        <w:rPr>
          <w:lang w:val="es-ES_tradnl"/>
        </w:rPr>
        <w:t>”</w:t>
      </w:r>
      <w:r w:rsidR="00627CAE" w:rsidRPr="00627CAE">
        <w:rPr>
          <w:lang w:val="es-ES_tradnl"/>
        </w:rPr>
        <w:t xml:space="preserve"> facilita el diseño conjunto de estrategias basadas en el lugar con educadores indígenas y no indígenas; proporciona recursos a los profesores y al personal para determinar los orígenes lingüísticos de los alumnos indígenas; y utiliza el </w:t>
      </w:r>
      <w:r w:rsidR="00627CAE" w:rsidRPr="00627CAE">
        <w:rPr>
          <w:lang w:val="es-ES_tradnl"/>
        </w:rPr>
        <w:lastRenderedPageBreak/>
        <w:t>inglés indígena para enseñar nuevas destrezas en inglés australiano estándar (oral y escrito).</w:t>
      </w:r>
      <w:bookmarkEnd w:id="221"/>
    </w:p>
    <w:p w14:paraId="5AB2E197" w14:textId="30EE1742" w:rsidR="00627CAE" w:rsidRPr="00627CAE" w:rsidRDefault="00627CAE" w:rsidP="00A02D7A">
      <w:pPr>
        <w:pStyle w:val="SingleTxt"/>
        <w:numPr>
          <w:ilvl w:val="0"/>
          <w:numId w:val="22"/>
        </w:numPr>
        <w:ind w:left="1267"/>
        <w:rPr>
          <w:lang w:val="es-ES_tradnl"/>
        </w:rPr>
      </w:pPr>
      <w:r w:rsidRPr="00627CAE">
        <w:rPr>
          <w:lang w:val="es-ES_tradnl"/>
        </w:rPr>
        <w:t>La respuesta del Gobierno a los elevados índices de violencia sexual en los campus universitarios ha sido elaborar un código nacional para prevenir y combatir la violencia de género en la educación superior y crear la figura independiente del Ómbudsman Nacional del Estudiante.</w:t>
      </w:r>
    </w:p>
    <w:p w14:paraId="2E39B229" w14:textId="77777777" w:rsidR="00586748" w:rsidRPr="00195CF4" w:rsidRDefault="00586748" w:rsidP="00586748">
      <w:pPr>
        <w:pStyle w:val="SingleTxt"/>
        <w:spacing w:after="0" w:line="120" w:lineRule="exact"/>
        <w:rPr>
          <w:b/>
          <w:sz w:val="10"/>
          <w:lang w:val="es-ES_tradnl"/>
        </w:rPr>
      </w:pPr>
      <w:bookmarkStart w:id="222" w:name="_Toc174011715"/>
      <w:bookmarkStart w:id="223" w:name="_Toc188598258"/>
      <w:bookmarkStart w:id="224" w:name="_Toc190357155"/>
      <w:bookmarkStart w:id="225" w:name="_Toc190878939"/>
    </w:p>
    <w:p w14:paraId="6F91DE7B" w14:textId="77777777" w:rsidR="00586748" w:rsidRPr="00195CF4" w:rsidRDefault="00586748" w:rsidP="00586748">
      <w:pPr>
        <w:pStyle w:val="SingleTxt"/>
        <w:spacing w:after="0" w:line="120" w:lineRule="exact"/>
        <w:rPr>
          <w:b/>
          <w:sz w:val="10"/>
          <w:lang w:val="es-ES_tradnl"/>
        </w:rPr>
      </w:pPr>
    </w:p>
    <w:p w14:paraId="1B854808" w14:textId="767487FD" w:rsidR="00627CAE" w:rsidRPr="00195CF4" w:rsidRDefault="00627CAE" w:rsidP="005867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 xml:space="preserve">Escuelas secundarias creadas en comunidades indígenas </w:t>
      </w:r>
      <w:bookmarkEnd w:id="222"/>
      <w:bookmarkEnd w:id="223"/>
      <w:bookmarkEnd w:id="224"/>
      <w:bookmarkEnd w:id="225"/>
    </w:p>
    <w:p w14:paraId="5D1E5A53" w14:textId="77777777" w:rsidR="00586748" w:rsidRPr="007C0DCB" w:rsidRDefault="00586748" w:rsidP="00586748">
      <w:pPr>
        <w:pStyle w:val="SingleTxt"/>
        <w:spacing w:after="0" w:line="120" w:lineRule="exact"/>
        <w:rPr>
          <w:iCs/>
          <w:sz w:val="10"/>
          <w:lang w:val="es-ES_tradnl"/>
        </w:rPr>
      </w:pPr>
    </w:p>
    <w:p w14:paraId="628A0DE5" w14:textId="77777777" w:rsidR="00586748" w:rsidRPr="007C0DCB" w:rsidRDefault="00586748" w:rsidP="00586748">
      <w:pPr>
        <w:pStyle w:val="SingleTxt"/>
        <w:spacing w:after="0" w:line="120" w:lineRule="exact"/>
        <w:rPr>
          <w:iCs/>
          <w:sz w:val="10"/>
          <w:lang w:val="es-ES_tradnl"/>
        </w:rPr>
      </w:pPr>
    </w:p>
    <w:p w14:paraId="63291D24" w14:textId="430AEDD1" w:rsidR="00627CAE" w:rsidRPr="00627CAE" w:rsidRDefault="00627CAE" w:rsidP="00A02D7A">
      <w:pPr>
        <w:pStyle w:val="SingleTxt"/>
        <w:numPr>
          <w:ilvl w:val="0"/>
          <w:numId w:val="22"/>
        </w:numPr>
        <w:ind w:left="1267"/>
        <w:rPr>
          <w:lang w:val="es-ES_tradnl"/>
        </w:rPr>
      </w:pPr>
      <w:r w:rsidRPr="00627CAE">
        <w:rPr>
          <w:lang w:val="es-ES_tradnl"/>
        </w:rPr>
        <w:t>Entre las escuelas secundarias accesibles creadas en comunidades indígenas figuran:</w:t>
      </w:r>
    </w:p>
    <w:p w14:paraId="3B4FDDCC" w14:textId="6EBE93BE" w:rsidR="00627CAE" w:rsidRPr="00627CAE" w:rsidRDefault="00586748" w:rsidP="00586748">
      <w:pPr>
        <w:pStyle w:val="SingleTxt"/>
        <w:tabs>
          <w:tab w:val="right" w:pos="1685"/>
        </w:tabs>
        <w:ind w:left="1742" w:hanging="475"/>
        <w:rPr>
          <w:lang w:val="es-ES_tradnl"/>
        </w:rPr>
      </w:pPr>
      <w:r w:rsidRPr="007C0DCB">
        <w:rPr>
          <w:lang w:val="es-ES_tradnl"/>
        </w:rPr>
        <w:tab/>
        <w:t>•</w:t>
      </w:r>
      <w:r w:rsidR="00627CAE" w:rsidRPr="00627CAE">
        <w:rPr>
          <w:lang w:val="es-ES_tradnl"/>
        </w:rPr>
        <w:tab/>
        <w:t>Nueva Gales del Sur: 11 centros de educación secundaria o de la administración central y comunitaria en zonas remotas y muy alejadas cuyos alumnos matriculados son mayoritariamente indígenas;</w:t>
      </w:r>
    </w:p>
    <w:p w14:paraId="01FCAE49" w14:textId="4786A025" w:rsidR="00627CAE" w:rsidRPr="00627CAE" w:rsidRDefault="00586748" w:rsidP="00586748">
      <w:pPr>
        <w:pStyle w:val="SingleTxt"/>
        <w:tabs>
          <w:tab w:val="right" w:pos="1685"/>
        </w:tabs>
        <w:ind w:left="1742" w:hanging="475"/>
        <w:rPr>
          <w:lang w:val="es-ES_tradnl"/>
        </w:rPr>
      </w:pPr>
      <w:r w:rsidRPr="007C0DCB">
        <w:rPr>
          <w:lang w:val="es-ES_tradnl"/>
        </w:rPr>
        <w:tab/>
        <w:t>•</w:t>
      </w:r>
      <w:r w:rsidR="00627CAE" w:rsidRPr="00627CAE">
        <w:rPr>
          <w:lang w:val="es-ES_tradnl"/>
        </w:rPr>
        <w:tab/>
        <w:t>Territorio del Norte: 94 centros de educación combinada y secundaria repartidos por zonas remotas y muy alejadas cuyos alumnos matriculados son mayoritariamente indígenas;</w:t>
      </w:r>
    </w:p>
    <w:p w14:paraId="55B6CB75" w14:textId="3E68148A" w:rsidR="00627CAE" w:rsidRPr="00627CAE" w:rsidRDefault="00586748" w:rsidP="00586748">
      <w:pPr>
        <w:pStyle w:val="SingleTxt"/>
        <w:tabs>
          <w:tab w:val="right" w:pos="1685"/>
        </w:tabs>
        <w:ind w:left="1742" w:hanging="475"/>
        <w:rPr>
          <w:lang w:val="es-ES_tradnl"/>
        </w:rPr>
      </w:pPr>
      <w:r w:rsidRPr="007C0DCB">
        <w:rPr>
          <w:lang w:val="es-ES_tradnl"/>
        </w:rPr>
        <w:tab/>
        <w:t>•</w:t>
      </w:r>
      <w:r w:rsidR="00627CAE" w:rsidRPr="00627CAE">
        <w:rPr>
          <w:lang w:val="es-ES_tradnl"/>
        </w:rPr>
        <w:tab/>
        <w:t>Queensland: 17 escuelas situadas en comunidades indígenas;</w:t>
      </w:r>
    </w:p>
    <w:p w14:paraId="60A83666" w14:textId="1CBE7DF4" w:rsidR="00627CAE" w:rsidRPr="00627CAE" w:rsidRDefault="00586748" w:rsidP="00586748">
      <w:pPr>
        <w:pStyle w:val="SingleTxt"/>
        <w:tabs>
          <w:tab w:val="right" w:pos="1685"/>
        </w:tabs>
        <w:ind w:left="1742" w:hanging="475"/>
        <w:rPr>
          <w:lang w:val="es-ES_tradnl"/>
        </w:rPr>
      </w:pPr>
      <w:r w:rsidRPr="007C0DCB">
        <w:rPr>
          <w:lang w:val="es-ES_tradnl"/>
        </w:rPr>
        <w:tab/>
        <w:t>•</w:t>
      </w:r>
      <w:r w:rsidR="00627CAE" w:rsidRPr="00627CAE">
        <w:rPr>
          <w:lang w:val="es-ES_tradnl"/>
        </w:rPr>
        <w:tab/>
        <w:t>Australia Meridional: 15 centros públicos de educación primaria y secundaria que atienden a comunidades indígenas regionales y remotas;</w:t>
      </w:r>
    </w:p>
    <w:p w14:paraId="303BD14E" w14:textId="2C68DE46" w:rsidR="00627CAE" w:rsidRPr="00627CAE" w:rsidRDefault="00586748" w:rsidP="00586748">
      <w:pPr>
        <w:pStyle w:val="SingleTxt"/>
        <w:tabs>
          <w:tab w:val="right" w:pos="1685"/>
        </w:tabs>
        <w:ind w:left="1742" w:hanging="475"/>
        <w:rPr>
          <w:lang w:val="es-ES_tradnl"/>
        </w:rPr>
      </w:pPr>
      <w:r w:rsidRPr="007C0DCB">
        <w:rPr>
          <w:lang w:val="es-ES_tradnl"/>
        </w:rPr>
        <w:tab/>
        <w:t>•</w:t>
      </w:r>
      <w:r w:rsidR="00627CAE" w:rsidRPr="00627CAE">
        <w:rPr>
          <w:lang w:val="es-ES_tradnl"/>
        </w:rPr>
        <w:tab/>
        <w:t>Australia Occidental: 21 escuelas públicas en comunidades remotas, una de ellas con campus en ocho comunidades remotas.</w:t>
      </w:r>
    </w:p>
    <w:p w14:paraId="5284D698" w14:textId="77777777" w:rsidR="00586748" w:rsidRPr="00195CF4" w:rsidRDefault="00586748" w:rsidP="00586748">
      <w:pPr>
        <w:pStyle w:val="SingleTxt"/>
        <w:spacing w:after="0" w:line="120" w:lineRule="exact"/>
        <w:rPr>
          <w:b/>
          <w:sz w:val="10"/>
          <w:lang w:val="es-ES_tradnl"/>
        </w:rPr>
      </w:pPr>
      <w:bookmarkStart w:id="226" w:name="_Toc174011716"/>
      <w:bookmarkStart w:id="227" w:name="_Toc188598259"/>
      <w:bookmarkStart w:id="228" w:name="_Toc190357156"/>
      <w:bookmarkStart w:id="229" w:name="_Toc190878940"/>
    </w:p>
    <w:p w14:paraId="4AA8CC29" w14:textId="77777777" w:rsidR="00586748" w:rsidRPr="00195CF4" w:rsidRDefault="00586748" w:rsidP="00586748">
      <w:pPr>
        <w:pStyle w:val="SingleTxt"/>
        <w:spacing w:after="0" w:line="120" w:lineRule="exact"/>
        <w:rPr>
          <w:b/>
          <w:sz w:val="10"/>
          <w:lang w:val="es-ES_tradnl"/>
        </w:rPr>
      </w:pPr>
    </w:p>
    <w:p w14:paraId="01D9668C" w14:textId="4D297636" w:rsidR="00627CAE" w:rsidRPr="00195CF4" w:rsidRDefault="00627CAE" w:rsidP="00B250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195CF4">
        <w:rPr>
          <w:lang w:val="es-ES_tradnl"/>
        </w:rPr>
        <w:tab/>
      </w:r>
      <w:r w:rsidRPr="00195CF4">
        <w:rPr>
          <w:lang w:val="es-ES_tradnl"/>
        </w:rPr>
        <w:tab/>
        <w:t>Incorporar la educación sobre las comunidades indígenas a los planes de estudios de las escuelas</w:t>
      </w:r>
      <w:bookmarkEnd w:id="226"/>
      <w:bookmarkEnd w:id="227"/>
      <w:bookmarkEnd w:id="228"/>
      <w:bookmarkEnd w:id="229"/>
    </w:p>
    <w:p w14:paraId="7090EB12" w14:textId="77777777" w:rsidR="00586748" w:rsidRPr="007C0DCB" w:rsidRDefault="00586748" w:rsidP="00586748">
      <w:pPr>
        <w:pStyle w:val="SingleTxt"/>
        <w:spacing w:after="0" w:line="120" w:lineRule="exact"/>
        <w:rPr>
          <w:iCs/>
          <w:sz w:val="10"/>
          <w:lang w:val="es-ES_tradnl"/>
        </w:rPr>
      </w:pPr>
    </w:p>
    <w:p w14:paraId="78CCD4FA" w14:textId="77777777" w:rsidR="00586748" w:rsidRPr="007C0DCB" w:rsidRDefault="00586748" w:rsidP="00586748">
      <w:pPr>
        <w:pStyle w:val="SingleTxt"/>
        <w:spacing w:after="0" w:line="120" w:lineRule="exact"/>
        <w:rPr>
          <w:iCs/>
          <w:sz w:val="10"/>
          <w:lang w:val="es-ES_tradnl"/>
        </w:rPr>
      </w:pPr>
    </w:p>
    <w:p w14:paraId="0C3FA7BC" w14:textId="6592A956" w:rsidR="00627CAE" w:rsidRPr="00627CAE" w:rsidRDefault="00627CAE" w:rsidP="00A02D7A">
      <w:pPr>
        <w:pStyle w:val="SingleTxt"/>
        <w:numPr>
          <w:ilvl w:val="0"/>
          <w:numId w:val="22"/>
        </w:numPr>
        <w:ind w:left="1267"/>
        <w:rPr>
          <w:lang w:val="es-ES_tradnl"/>
        </w:rPr>
      </w:pPr>
      <w:r w:rsidRPr="00627CAE">
        <w:rPr>
          <w:lang w:val="es-ES_tradnl"/>
        </w:rPr>
        <w:t xml:space="preserve">Uno de los objetivos de la versión 9.0 del plan de estudios australiano es que los estudiantes conozcan mejor la historia y la cultura indígenas y su contribución a la Australia moderna, incluyendo las perspectivas de los Pueblos Indígenas sobre la llegada y el impacto de los colonos británicos. </w:t>
      </w:r>
    </w:p>
    <w:p w14:paraId="66996C50" w14:textId="77777777" w:rsidR="00586748" w:rsidRPr="00195CF4" w:rsidRDefault="00586748" w:rsidP="00586748">
      <w:pPr>
        <w:pStyle w:val="SingleTxt"/>
        <w:spacing w:after="0" w:line="120" w:lineRule="exact"/>
        <w:rPr>
          <w:b/>
          <w:sz w:val="10"/>
          <w:lang w:val="es-ES_tradnl"/>
        </w:rPr>
      </w:pPr>
      <w:bookmarkStart w:id="230" w:name="_Toc174011717"/>
      <w:bookmarkStart w:id="231" w:name="_Toc190878941"/>
    </w:p>
    <w:p w14:paraId="0BB1E801" w14:textId="77777777" w:rsidR="00586748" w:rsidRPr="00195CF4" w:rsidRDefault="00586748" w:rsidP="00586748">
      <w:pPr>
        <w:pStyle w:val="SingleTxt"/>
        <w:spacing w:after="0" w:line="120" w:lineRule="exact"/>
        <w:rPr>
          <w:b/>
          <w:sz w:val="10"/>
          <w:lang w:val="es-ES_tradnl"/>
        </w:rPr>
      </w:pPr>
    </w:p>
    <w:p w14:paraId="0112847C" w14:textId="26DD1D18" w:rsidR="00627CAE" w:rsidRPr="00195CF4" w:rsidRDefault="00627CAE" w:rsidP="0058674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Pregunta 17: Empleo</w:t>
      </w:r>
      <w:bookmarkEnd w:id="230"/>
      <w:bookmarkEnd w:id="231"/>
    </w:p>
    <w:p w14:paraId="761224D8" w14:textId="77777777" w:rsidR="00586748" w:rsidRPr="00195CF4" w:rsidRDefault="00586748" w:rsidP="00586748">
      <w:pPr>
        <w:pStyle w:val="SingleTxt"/>
        <w:spacing w:after="0" w:line="120" w:lineRule="exact"/>
        <w:rPr>
          <w:b/>
          <w:sz w:val="10"/>
          <w:lang w:val="es-ES_tradnl"/>
        </w:rPr>
      </w:pPr>
      <w:bookmarkStart w:id="232" w:name="_Toc174011718"/>
      <w:bookmarkStart w:id="233" w:name="_Toc188598261"/>
      <w:bookmarkStart w:id="234" w:name="_Toc190357158"/>
      <w:bookmarkStart w:id="235" w:name="_Toc190878942"/>
    </w:p>
    <w:p w14:paraId="29C1752B" w14:textId="77777777" w:rsidR="00586748" w:rsidRPr="00195CF4" w:rsidRDefault="00586748" w:rsidP="00586748">
      <w:pPr>
        <w:pStyle w:val="SingleTxt"/>
        <w:spacing w:after="0" w:line="120" w:lineRule="exact"/>
        <w:rPr>
          <w:b/>
          <w:sz w:val="10"/>
          <w:lang w:val="es-ES_tradnl"/>
        </w:rPr>
      </w:pPr>
    </w:p>
    <w:p w14:paraId="3E714175" w14:textId="311C67A8" w:rsidR="00627CAE" w:rsidRPr="00195CF4" w:rsidRDefault="00627CAE" w:rsidP="005867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Intervenir en los sectores y las ocupaciones segregados por sexos</w:t>
      </w:r>
      <w:bookmarkEnd w:id="232"/>
      <w:bookmarkEnd w:id="233"/>
      <w:bookmarkEnd w:id="234"/>
      <w:bookmarkEnd w:id="235"/>
    </w:p>
    <w:p w14:paraId="02E0A82B" w14:textId="77777777" w:rsidR="00586748" w:rsidRPr="007C0DCB" w:rsidRDefault="00586748" w:rsidP="00586748">
      <w:pPr>
        <w:pStyle w:val="SingleTxt"/>
        <w:spacing w:after="0" w:line="120" w:lineRule="exact"/>
        <w:rPr>
          <w:iCs/>
          <w:sz w:val="10"/>
          <w:lang w:val="es-ES_tradnl"/>
        </w:rPr>
      </w:pPr>
    </w:p>
    <w:p w14:paraId="3BE6CCAD" w14:textId="77777777" w:rsidR="00586748" w:rsidRPr="007C0DCB" w:rsidRDefault="00586748" w:rsidP="00586748">
      <w:pPr>
        <w:pStyle w:val="SingleTxt"/>
        <w:spacing w:after="0" w:line="120" w:lineRule="exact"/>
        <w:rPr>
          <w:iCs/>
          <w:sz w:val="10"/>
          <w:lang w:val="es-ES_tradnl"/>
        </w:rPr>
      </w:pPr>
    </w:p>
    <w:p w14:paraId="19E90DD6" w14:textId="217DF950" w:rsidR="00627CAE" w:rsidRPr="00627CAE" w:rsidRDefault="00627CAE" w:rsidP="00A02D7A">
      <w:pPr>
        <w:pStyle w:val="SingleTxt"/>
        <w:numPr>
          <w:ilvl w:val="0"/>
          <w:numId w:val="22"/>
        </w:numPr>
        <w:ind w:left="1267"/>
        <w:rPr>
          <w:lang w:val="es-ES_tradnl"/>
        </w:rPr>
      </w:pPr>
      <w:r w:rsidRPr="00627CAE">
        <w:rPr>
          <w:lang w:val="es-ES_tradnl"/>
        </w:rPr>
        <w:t xml:space="preserve">El mercado laboral australiano está segregado por sector y ocupación. En la estrategia </w:t>
      </w:r>
      <w:r w:rsidR="00285E6B">
        <w:rPr>
          <w:lang w:val="es-ES_tradnl"/>
        </w:rPr>
        <w:t>“</w:t>
      </w:r>
      <w:r w:rsidRPr="00627CAE">
        <w:rPr>
          <w:lang w:val="es-ES_tradnl"/>
        </w:rPr>
        <w:t>Trabajar en favor de la Mujer</w:t>
      </w:r>
      <w:r w:rsidR="00285E6B">
        <w:rPr>
          <w:lang w:val="es-ES_tradnl"/>
        </w:rPr>
        <w:t>”</w:t>
      </w:r>
      <w:r w:rsidRPr="00627CAE">
        <w:rPr>
          <w:lang w:val="es-ES_tradnl"/>
        </w:rPr>
        <w:t xml:space="preserve"> se describe a grandes rasgos la visión de Australia para reducir la segregación por sexos en distintos sectores y ocupaciones, mejorar las actitudes y estereotipos de género sobre </w:t>
      </w:r>
      <w:r w:rsidR="00285E6B">
        <w:rPr>
          <w:lang w:val="es-ES_tradnl"/>
        </w:rPr>
        <w:t>“</w:t>
      </w:r>
      <w:r w:rsidRPr="00627CAE">
        <w:rPr>
          <w:lang w:val="es-ES_tradnl"/>
        </w:rPr>
        <w:t>el trabajo que deben realizar hombres y mujeres</w:t>
      </w:r>
      <w:r w:rsidR="00285E6B">
        <w:rPr>
          <w:lang w:val="es-ES_tradnl"/>
        </w:rPr>
        <w:t>”</w:t>
      </w:r>
      <w:r w:rsidRPr="00627CAE">
        <w:rPr>
          <w:lang w:val="es-ES_tradnl"/>
        </w:rPr>
        <w:t xml:space="preserve"> y lograr que se valoren más los sectores con mayor presencia femenina. </w:t>
      </w:r>
    </w:p>
    <w:p w14:paraId="1CC48B1C" w14:textId="65B342C1" w:rsidR="00627CAE" w:rsidRPr="00627CAE" w:rsidRDefault="00627CAE" w:rsidP="00A02D7A">
      <w:pPr>
        <w:pStyle w:val="SingleTxt"/>
        <w:numPr>
          <w:ilvl w:val="0"/>
          <w:numId w:val="22"/>
        </w:numPr>
        <w:ind w:left="1267"/>
        <w:rPr>
          <w:lang w:val="es-ES_tradnl"/>
        </w:rPr>
      </w:pPr>
      <w:r w:rsidRPr="00627CAE">
        <w:rPr>
          <w:lang w:val="es-ES_tradnl"/>
        </w:rPr>
        <w:t>Otras iniciativas para aumentar la representación de las mujeres en sectores dominados por los hombres son:</w:t>
      </w:r>
    </w:p>
    <w:p w14:paraId="3B1965C6" w14:textId="72FA6ADA" w:rsidR="00627CAE" w:rsidRPr="00627CAE" w:rsidRDefault="00586748" w:rsidP="00586748">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La Garantía Australiana de Competencias en vigor desde julio de 2024 introduce una serie de metas nacionales para aumentar el porcentaje de mujeres que trabajan en grandes proyectos de TIC y construcción, además de reducir la segregación por géneros en los programas de formación profesional. El Acuerdo Nacional sobre Competencias (2024-2028) permitirá mejorar el sector de la </w:t>
      </w:r>
      <w:r w:rsidR="00627CAE" w:rsidRPr="00627CAE">
        <w:rPr>
          <w:lang w:val="es-ES_tradnl"/>
        </w:rPr>
        <w:lastRenderedPageBreak/>
        <w:t>educación y la formación profesionales, aumentar la participación de las mujeres en la economía, reducir la segregación por sexos en sectores y ocupaciones y disminuir la brecha salarial entre hombres y mujeres;</w:t>
      </w:r>
    </w:p>
    <w:p w14:paraId="58622409" w14:textId="6365FBBD" w:rsidR="00627CAE" w:rsidRPr="00627CAE" w:rsidRDefault="00586748" w:rsidP="00586748">
      <w:pPr>
        <w:pStyle w:val="SingleTxt"/>
        <w:tabs>
          <w:tab w:val="right" w:pos="1685"/>
        </w:tabs>
        <w:ind w:left="1742" w:hanging="475"/>
        <w:rPr>
          <w:lang w:val="es-ES_tradnl"/>
        </w:rPr>
      </w:pPr>
      <w:r w:rsidRPr="007C0DCB">
        <w:rPr>
          <w:lang w:val="es-ES_tradnl"/>
        </w:rPr>
        <w:tab/>
        <w:t>•</w:t>
      </w:r>
      <w:r w:rsidR="00627CAE" w:rsidRPr="00627CAE">
        <w:rPr>
          <w:lang w:val="es-ES_tradnl"/>
        </w:rPr>
        <w:tab/>
        <w:t>El Gobierno diseñó un modelo australiano de prestación de servicios de formación profesional que prevé ayudas para las mujeres en oficios dominados por los hombres;</w:t>
      </w:r>
    </w:p>
    <w:p w14:paraId="480D5592" w14:textId="2C9B12E2" w:rsidR="00627CAE" w:rsidRPr="00627CAE" w:rsidRDefault="00586748" w:rsidP="00586748">
      <w:pPr>
        <w:pStyle w:val="SingleTxt"/>
        <w:tabs>
          <w:tab w:val="right" w:pos="1685"/>
        </w:tabs>
        <w:ind w:left="1742" w:hanging="475"/>
        <w:rPr>
          <w:lang w:val="es-ES_tradnl"/>
        </w:rPr>
      </w:pPr>
      <w:r w:rsidRPr="007C0DCB">
        <w:rPr>
          <w:lang w:val="es-ES_tradnl"/>
        </w:rPr>
        <w:tab/>
        <w:t>•</w:t>
      </w:r>
      <w:r w:rsidR="00627CAE" w:rsidRPr="00627CAE">
        <w:rPr>
          <w:lang w:val="es-ES_tradnl"/>
        </w:rPr>
        <w:tab/>
        <w:t>El Gobierno anunció en 2024 Parent Pathways, un servicio voluntario previo al empleo que ayuda a los padres y madres de niños pequeños que reúnan los requisitos necesarios. Los progenitores y las partes interesadas no gubernamentales son contribuyentes;</w:t>
      </w:r>
    </w:p>
    <w:p w14:paraId="429895E2" w14:textId="561D1D3C" w:rsidR="00627CAE" w:rsidRPr="00627CAE" w:rsidRDefault="00586748" w:rsidP="00586748">
      <w:pPr>
        <w:pStyle w:val="SingleTxt"/>
        <w:ind w:left="2218" w:hanging="951"/>
        <w:rPr>
          <w:lang w:val="es-ES_tradnl"/>
        </w:rPr>
      </w:pPr>
      <w:r w:rsidRPr="007C0DCB">
        <w:rPr>
          <w:lang w:val="es-ES_tradnl"/>
        </w:rPr>
        <w:tab/>
      </w:r>
      <w:r w:rsidRPr="007C0DCB">
        <w:rPr>
          <w:lang w:val="es-ES_tradnl"/>
        </w:rPr>
        <w:tab/>
      </w:r>
      <w:r w:rsidR="00627CAE" w:rsidRPr="00627CAE">
        <w:rPr>
          <w:lang w:val="es-ES_tradnl"/>
        </w:rPr>
        <w:t>i.</w:t>
      </w:r>
      <w:r w:rsidR="00627CAE" w:rsidRPr="00627CAE">
        <w:rPr>
          <w:lang w:val="es-ES_tradnl"/>
        </w:rPr>
        <w:tab/>
        <w:t xml:space="preserve">Podrán optar a este servicio los progenitores con hijos menores de seis años que no vivan en zonas remotas, no tengan un empleo remunerado y reciban determinadas prestaciones económicas. Para optar a este servicio, los progenitores pertenecientes a las Primeras Naciones no estarán obligados a recibir prestaciones económicas. </w:t>
      </w:r>
    </w:p>
    <w:p w14:paraId="724B1075" w14:textId="77777777" w:rsidR="00586748" w:rsidRPr="00195CF4" w:rsidRDefault="00586748" w:rsidP="00586748">
      <w:pPr>
        <w:pStyle w:val="SingleTxt"/>
        <w:spacing w:after="0" w:line="120" w:lineRule="exact"/>
        <w:rPr>
          <w:b/>
          <w:sz w:val="10"/>
          <w:lang w:val="es-ES_tradnl"/>
        </w:rPr>
      </w:pPr>
      <w:bookmarkStart w:id="236" w:name="_Toc174011719"/>
      <w:bookmarkStart w:id="237" w:name="_Toc188598262"/>
      <w:bookmarkStart w:id="238" w:name="_Toc190357159"/>
      <w:bookmarkStart w:id="239" w:name="_Toc190878943"/>
    </w:p>
    <w:p w14:paraId="11DEEF94" w14:textId="77777777" w:rsidR="00586748" w:rsidRPr="00195CF4" w:rsidRDefault="00586748" w:rsidP="00586748">
      <w:pPr>
        <w:pStyle w:val="SingleTxt"/>
        <w:spacing w:after="0" w:line="120" w:lineRule="exact"/>
        <w:rPr>
          <w:b/>
          <w:sz w:val="10"/>
          <w:lang w:val="es-ES_tradnl"/>
        </w:rPr>
      </w:pPr>
    </w:p>
    <w:p w14:paraId="72BAE2C1" w14:textId="44C3429A" w:rsidR="00627CAE" w:rsidRPr="00195CF4" w:rsidRDefault="00627CAE" w:rsidP="005867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Aplicar el principio de igual remuneración por trabajo de igual valor</w:t>
      </w:r>
      <w:bookmarkEnd w:id="236"/>
      <w:bookmarkEnd w:id="237"/>
      <w:bookmarkEnd w:id="238"/>
      <w:bookmarkEnd w:id="239"/>
    </w:p>
    <w:p w14:paraId="19778488" w14:textId="77777777" w:rsidR="00586748" w:rsidRPr="007C0DCB" w:rsidRDefault="00586748" w:rsidP="00586748">
      <w:pPr>
        <w:pStyle w:val="SingleTxt"/>
        <w:spacing w:after="0" w:line="120" w:lineRule="exact"/>
        <w:rPr>
          <w:iCs/>
          <w:sz w:val="10"/>
          <w:lang w:val="es-ES_tradnl"/>
        </w:rPr>
      </w:pPr>
    </w:p>
    <w:p w14:paraId="19BA1224" w14:textId="77777777" w:rsidR="00586748" w:rsidRPr="007C0DCB" w:rsidRDefault="00586748" w:rsidP="00586748">
      <w:pPr>
        <w:pStyle w:val="SingleTxt"/>
        <w:spacing w:after="0" w:line="120" w:lineRule="exact"/>
        <w:rPr>
          <w:iCs/>
          <w:sz w:val="10"/>
          <w:lang w:val="es-ES_tradnl"/>
        </w:rPr>
      </w:pPr>
    </w:p>
    <w:p w14:paraId="0699F649" w14:textId="4B1527A4" w:rsidR="00627CAE" w:rsidRPr="00627CAE" w:rsidRDefault="00627CAE" w:rsidP="00A02D7A">
      <w:pPr>
        <w:pStyle w:val="SingleTxt"/>
        <w:numPr>
          <w:ilvl w:val="0"/>
          <w:numId w:val="22"/>
        </w:numPr>
        <w:ind w:left="1267"/>
        <w:rPr>
          <w:lang w:val="es-ES_tradnl"/>
        </w:rPr>
      </w:pPr>
      <w:r w:rsidRPr="00627CAE">
        <w:rPr>
          <w:lang w:val="es-ES_tradnl"/>
        </w:rPr>
        <w:t>Los empresarios deben pagar el mismo salario a los empleados que realicen trabajos de igual valor o de un valor comparable. Australia mejoró la transparencia y la información sobre la brecha salarial de género, entre otras cosas modificando la Ley de Igualdad de Género en el Trabajo.</w:t>
      </w:r>
    </w:p>
    <w:p w14:paraId="5B89FED9" w14:textId="1680FB79" w:rsidR="00627CAE" w:rsidRPr="00627CAE" w:rsidRDefault="00627CAE" w:rsidP="00A02D7A">
      <w:pPr>
        <w:pStyle w:val="SingleTxt"/>
        <w:numPr>
          <w:ilvl w:val="0"/>
          <w:numId w:val="22"/>
        </w:numPr>
        <w:ind w:left="1267"/>
        <w:rPr>
          <w:lang w:val="es-ES_tradnl"/>
        </w:rPr>
      </w:pPr>
      <w:r w:rsidRPr="00627CAE">
        <w:rPr>
          <w:lang w:val="es-ES_tradnl"/>
        </w:rPr>
        <w:t>Algunas reformas del sistema de relaciones laborales han consistido en:</w:t>
      </w:r>
    </w:p>
    <w:p w14:paraId="5802AABD" w14:textId="64756ACF" w:rsidR="00627CAE" w:rsidRPr="00627CAE" w:rsidRDefault="00586748" w:rsidP="00586748">
      <w:pPr>
        <w:pStyle w:val="SingleTxt"/>
        <w:tabs>
          <w:tab w:val="right" w:pos="1685"/>
        </w:tabs>
        <w:ind w:left="1742" w:hanging="475"/>
        <w:rPr>
          <w:lang w:val="es-ES_tradnl"/>
        </w:rPr>
      </w:pPr>
      <w:r w:rsidRPr="007C0DCB">
        <w:rPr>
          <w:lang w:val="es-ES_tradnl"/>
        </w:rPr>
        <w:tab/>
        <w:t>•</w:t>
      </w:r>
      <w:r w:rsidR="00627CAE" w:rsidRPr="00627CAE">
        <w:rPr>
          <w:lang w:val="es-ES_tradnl"/>
        </w:rPr>
        <w:tab/>
        <w:t>Definir la igualdad de género como uno de los objetivos de la Ley de Trabajo Justo;</w:t>
      </w:r>
    </w:p>
    <w:p w14:paraId="795D01AD" w14:textId="0075907C" w:rsidR="00627CAE" w:rsidRPr="00627CAE" w:rsidRDefault="00586748" w:rsidP="00586748">
      <w:pPr>
        <w:pStyle w:val="SingleTxt"/>
        <w:tabs>
          <w:tab w:val="right" w:pos="1685"/>
        </w:tabs>
        <w:ind w:left="1742" w:hanging="475"/>
        <w:rPr>
          <w:lang w:val="es-ES_tradnl"/>
        </w:rPr>
      </w:pPr>
      <w:r w:rsidRPr="007C0DCB">
        <w:rPr>
          <w:lang w:val="es-ES_tradnl"/>
        </w:rPr>
        <w:tab/>
        <w:t>•</w:t>
      </w:r>
      <w:r w:rsidR="00627CAE" w:rsidRPr="00627CAE">
        <w:rPr>
          <w:lang w:val="es-ES_tradnl"/>
        </w:rPr>
        <w:tab/>
        <w:t>Proporcionar directrices a la Comisión de Trabajo Justo para que examine los casos de igualdad de remuneración y valor del trabajo;</w:t>
      </w:r>
    </w:p>
    <w:p w14:paraId="00165512" w14:textId="61B17629" w:rsidR="00627CAE" w:rsidRPr="00627CAE" w:rsidRDefault="00586748" w:rsidP="00586748">
      <w:pPr>
        <w:pStyle w:val="SingleTxt"/>
        <w:tabs>
          <w:tab w:val="right" w:pos="1685"/>
        </w:tabs>
        <w:ind w:left="1742" w:hanging="475"/>
        <w:rPr>
          <w:lang w:val="es-ES_tradnl"/>
        </w:rPr>
      </w:pPr>
      <w:r w:rsidRPr="007C0DCB">
        <w:rPr>
          <w:lang w:val="es-ES_tradnl"/>
        </w:rPr>
        <w:tab/>
        <w:t>•</w:t>
      </w:r>
      <w:r w:rsidR="00627CAE" w:rsidRPr="00627CAE">
        <w:rPr>
          <w:lang w:val="es-ES_tradnl"/>
        </w:rPr>
        <w:tab/>
        <w:t>Obligar a la Comisión de Trabajo Justo a tener en cuenta la igualdad de género para crear condiciones modernas de remuneración y fijar el salario mínimo;</w:t>
      </w:r>
    </w:p>
    <w:p w14:paraId="73CA3388" w14:textId="6CE65247" w:rsidR="00627CAE" w:rsidRPr="00627CAE" w:rsidRDefault="00586748" w:rsidP="00586748">
      <w:pPr>
        <w:pStyle w:val="SingleTxt"/>
        <w:tabs>
          <w:tab w:val="right" w:pos="1685"/>
        </w:tabs>
        <w:ind w:left="1742" w:hanging="475"/>
        <w:rPr>
          <w:lang w:val="es-ES_tradnl"/>
        </w:rPr>
      </w:pPr>
      <w:r w:rsidRPr="007C0DCB">
        <w:rPr>
          <w:lang w:val="es-ES_tradnl"/>
        </w:rPr>
        <w:tab/>
        <w:t>•</w:t>
      </w:r>
      <w:r w:rsidR="00627CAE" w:rsidRPr="00627CAE">
        <w:rPr>
          <w:lang w:val="es-ES_tradnl"/>
        </w:rPr>
        <w:tab/>
        <w:t>Crear paneles de expertos para lograr la equidad salarial en el sector de los cuidados y comunitario;</w:t>
      </w:r>
    </w:p>
    <w:p w14:paraId="2F27D7C1" w14:textId="733700AD" w:rsidR="00627CAE" w:rsidRPr="00627CAE" w:rsidRDefault="00586748" w:rsidP="00586748">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Ampliar los sistemas de negociación colectiva a los sectores mal remunerados y dominados por mujeres; </w:t>
      </w:r>
    </w:p>
    <w:p w14:paraId="268CC53B" w14:textId="3C55433B" w:rsidR="00627CAE" w:rsidRPr="00627CAE" w:rsidRDefault="00586748" w:rsidP="00586748">
      <w:pPr>
        <w:pStyle w:val="SingleTxt"/>
        <w:tabs>
          <w:tab w:val="right" w:pos="1685"/>
        </w:tabs>
        <w:ind w:left="1742" w:hanging="475"/>
        <w:rPr>
          <w:lang w:val="es-ES_tradnl"/>
        </w:rPr>
      </w:pPr>
      <w:r w:rsidRPr="007C0DCB">
        <w:rPr>
          <w:lang w:val="es-ES_tradnl"/>
        </w:rPr>
        <w:tab/>
        <w:t>•</w:t>
      </w:r>
      <w:r w:rsidR="00627CAE" w:rsidRPr="00627CAE">
        <w:rPr>
          <w:lang w:val="es-ES_tradnl"/>
        </w:rPr>
        <w:tab/>
        <w:t>Prohibir las cláusulas de confidencialidad en materia de remuneración en los contratos de trabajo.</w:t>
      </w:r>
    </w:p>
    <w:p w14:paraId="0177322B" w14:textId="5E7BA242" w:rsidR="00627CAE" w:rsidRPr="00627CAE" w:rsidRDefault="00627CAE" w:rsidP="00A02D7A">
      <w:pPr>
        <w:pStyle w:val="SingleTxt"/>
        <w:numPr>
          <w:ilvl w:val="0"/>
          <w:numId w:val="22"/>
        </w:numPr>
        <w:ind w:left="1267"/>
        <w:rPr>
          <w:lang w:val="es-ES_tradnl"/>
        </w:rPr>
      </w:pPr>
      <w:r w:rsidRPr="00627CAE">
        <w:rPr>
          <w:lang w:val="es-ES_tradnl"/>
        </w:rPr>
        <w:t>De conformidad con las enmiendas introducidas en virtud de la Ley de Empleos Seguros y Mejor Remunerados (Secure Jobs, Better Pay Act) en la Ley de Trabajo Justo, la Comisión de Trabajo Justo debe tener presente el género como criterio para conceder aumentos salariales. Algunos ejemplos de reforma son:</w:t>
      </w:r>
    </w:p>
    <w:p w14:paraId="54CC44E8" w14:textId="7960E427" w:rsidR="00627CAE" w:rsidRPr="00627CAE" w:rsidRDefault="00586748" w:rsidP="00586748">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El aumento del 8,6 % del salario mínimo nacional aprobado por la Comisión de Trabajo Justo en 2022-23 para beneficiar a los trabajadores con salarios más bajos (que suelen ser mujeres); </w:t>
      </w:r>
    </w:p>
    <w:p w14:paraId="3B7C5558" w14:textId="7761A526" w:rsidR="00627CAE" w:rsidRPr="00627CAE" w:rsidRDefault="00586748" w:rsidP="00586748">
      <w:pPr>
        <w:pStyle w:val="SingleTxt"/>
        <w:tabs>
          <w:tab w:val="right" w:pos="1685"/>
        </w:tabs>
        <w:ind w:left="1742" w:hanging="475"/>
        <w:rPr>
          <w:lang w:val="es-ES_tradnl"/>
        </w:rPr>
      </w:pPr>
      <w:r w:rsidRPr="007C0DCB">
        <w:rPr>
          <w:lang w:val="es-ES_tradnl"/>
        </w:rPr>
        <w:tab/>
        <w:t>•</w:t>
      </w:r>
      <w:r w:rsidR="00627CAE" w:rsidRPr="00627CAE">
        <w:rPr>
          <w:lang w:val="es-ES_tradnl"/>
        </w:rPr>
        <w:tab/>
        <w:t>El aumento de hasta un 28,5 % del salario para más de 250.000 trabajadores mayores del sector, históricamente infravalorados debido a supuestos basados en el género.</w:t>
      </w:r>
    </w:p>
    <w:p w14:paraId="2BE2E6D7" w14:textId="77777777" w:rsidR="00627CAE" w:rsidRPr="00195CF4" w:rsidRDefault="00627CAE" w:rsidP="005867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bookmarkStart w:id="240" w:name="_Toc174011720"/>
      <w:bookmarkStart w:id="241" w:name="_Toc188598263"/>
      <w:bookmarkStart w:id="242" w:name="_Toc190357160"/>
      <w:bookmarkStart w:id="243" w:name="_Toc190878944"/>
      <w:r w:rsidRPr="00195CF4">
        <w:rPr>
          <w:lang w:val="es-ES_tradnl"/>
        </w:rPr>
        <w:lastRenderedPageBreak/>
        <w:tab/>
      </w:r>
      <w:r w:rsidRPr="00195CF4">
        <w:rPr>
          <w:lang w:val="es-ES_tradnl"/>
        </w:rPr>
        <w:tab/>
        <w:t>Estudio de 2017 del Senado sobre la segregación de género en el lugar de trabajo</w:t>
      </w:r>
      <w:bookmarkEnd w:id="240"/>
      <w:bookmarkEnd w:id="241"/>
      <w:bookmarkEnd w:id="242"/>
      <w:bookmarkEnd w:id="243"/>
    </w:p>
    <w:p w14:paraId="0378CED0" w14:textId="77777777" w:rsidR="00586748" w:rsidRPr="007C0DCB" w:rsidRDefault="00586748" w:rsidP="00586748">
      <w:pPr>
        <w:pStyle w:val="SingleTxt"/>
        <w:spacing w:after="0" w:line="120" w:lineRule="exact"/>
        <w:rPr>
          <w:iCs/>
          <w:sz w:val="10"/>
          <w:lang w:val="es-ES_tradnl"/>
        </w:rPr>
      </w:pPr>
    </w:p>
    <w:p w14:paraId="174D6639" w14:textId="77777777" w:rsidR="00586748" w:rsidRPr="007C0DCB" w:rsidRDefault="00586748" w:rsidP="00586748">
      <w:pPr>
        <w:pStyle w:val="SingleTxt"/>
        <w:spacing w:after="0" w:line="120" w:lineRule="exact"/>
        <w:rPr>
          <w:iCs/>
          <w:sz w:val="10"/>
          <w:lang w:val="es-ES_tradnl"/>
        </w:rPr>
      </w:pPr>
    </w:p>
    <w:p w14:paraId="3ABE7FBA" w14:textId="79B1B487" w:rsidR="00627CAE" w:rsidRPr="00627CAE" w:rsidRDefault="00627CAE" w:rsidP="00A02D7A">
      <w:pPr>
        <w:pStyle w:val="SingleTxt"/>
        <w:numPr>
          <w:ilvl w:val="0"/>
          <w:numId w:val="22"/>
        </w:numPr>
        <w:ind w:left="1267"/>
        <w:rPr>
          <w:lang w:val="es-ES_tradnl"/>
        </w:rPr>
      </w:pPr>
      <w:r w:rsidRPr="00627CAE">
        <w:rPr>
          <w:lang w:val="es-ES_tradnl"/>
        </w:rPr>
        <w:t>El Gobierno publicó en julio de 2018 su respuesta al estudio realizado por el Senado sobre la segregación de género en el lugar de trabajo. El Gobierno se comprometió a realizar la encuesta sobre el uso del tiempo, una recopilación de datos que comenzó en 2024 para documentar las actividades cotidianas de los australianos, incluido el tiempo que dedican a realizar trabajos no remunerados (como el cuidado de niños y personas mayores, o las labores domésticas).</w:t>
      </w:r>
    </w:p>
    <w:p w14:paraId="09156442" w14:textId="77777777" w:rsidR="00586748" w:rsidRPr="00195CF4" w:rsidRDefault="00586748" w:rsidP="00586748">
      <w:pPr>
        <w:pStyle w:val="SingleTxt"/>
        <w:spacing w:after="0" w:line="120" w:lineRule="exact"/>
        <w:rPr>
          <w:b/>
          <w:sz w:val="10"/>
          <w:lang w:val="es-ES_tradnl"/>
        </w:rPr>
      </w:pPr>
      <w:bookmarkStart w:id="244" w:name="_Toc174011721"/>
      <w:bookmarkStart w:id="245" w:name="_Toc188598264"/>
      <w:bookmarkStart w:id="246" w:name="_Toc190357161"/>
      <w:bookmarkStart w:id="247" w:name="_Toc190878945"/>
    </w:p>
    <w:p w14:paraId="57117F27" w14:textId="77777777" w:rsidR="00586748" w:rsidRPr="00195CF4" w:rsidRDefault="00586748" w:rsidP="00586748">
      <w:pPr>
        <w:pStyle w:val="SingleTxt"/>
        <w:spacing w:after="0" w:line="120" w:lineRule="exact"/>
        <w:rPr>
          <w:b/>
          <w:sz w:val="10"/>
          <w:lang w:val="es-ES_tradnl"/>
        </w:rPr>
      </w:pPr>
    </w:p>
    <w:p w14:paraId="3936D032" w14:textId="02B5E2D4" w:rsidR="00627CAE" w:rsidRPr="00195CF4" w:rsidRDefault="00627CAE" w:rsidP="005867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 xml:space="preserve">Informe de la Comisión Australiana de Derechos Humanos titulado </w:t>
      </w:r>
      <w:r w:rsidR="00285E6B">
        <w:rPr>
          <w:lang w:val="es-ES_tradnl"/>
        </w:rPr>
        <w:t>“</w:t>
      </w:r>
      <w:r w:rsidRPr="00195CF4">
        <w:rPr>
          <w:lang w:val="es-ES_tradnl"/>
        </w:rPr>
        <w:t>Supporting working parents: pregnancy and return to work national review</w:t>
      </w:r>
      <w:r w:rsidR="00285E6B">
        <w:rPr>
          <w:lang w:val="es-ES_tradnl"/>
        </w:rPr>
        <w:t>”</w:t>
      </w:r>
      <w:bookmarkEnd w:id="244"/>
      <w:bookmarkEnd w:id="245"/>
      <w:bookmarkEnd w:id="246"/>
      <w:bookmarkEnd w:id="247"/>
    </w:p>
    <w:p w14:paraId="67B52488" w14:textId="77777777" w:rsidR="00586748" w:rsidRPr="007C0DCB" w:rsidRDefault="00586748" w:rsidP="00586748">
      <w:pPr>
        <w:pStyle w:val="SingleTxt"/>
        <w:spacing w:after="0" w:line="120" w:lineRule="exact"/>
        <w:rPr>
          <w:iCs/>
          <w:sz w:val="10"/>
          <w:lang w:val="es-ES_tradnl"/>
        </w:rPr>
      </w:pPr>
    </w:p>
    <w:p w14:paraId="6D1EEE5F" w14:textId="77777777" w:rsidR="00586748" w:rsidRPr="007C0DCB" w:rsidRDefault="00586748" w:rsidP="00586748">
      <w:pPr>
        <w:pStyle w:val="SingleTxt"/>
        <w:spacing w:after="0" w:line="120" w:lineRule="exact"/>
        <w:rPr>
          <w:iCs/>
          <w:sz w:val="10"/>
          <w:lang w:val="es-ES_tradnl"/>
        </w:rPr>
      </w:pPr>
    </w:p>
    <w:p w14:paraId="06DDEEE6" w14:textId="730D0E5A" w:rsidR="00627CAE" w:rsidRPr="00627CAE" w:rsidRDefault="00627CAE" w:rsidP="00A02D7A">
      <w:pPr>
        <w:pStyle w:val="SingleTxt"/>
        <w:numPr>
          <w:ilvl w:val="0"/>
          <w:numId w:val="22"/>
        </w:numPr>
        <w:ind w:left="1267"/>
        <w:rPr>
          <w:lang w:val="es-ES_tradnl"/>
        </w:rPr>
      </w:pPr>
      <w:r w:rsidRPr="00627CAE">
        <w:rPr>
          <w:lang w:val="es-ES_tradnl"/>
        </w:rPr>
        <w:t>Australia ha llevado a cabo varias reformas desde que la Comisión Australiana de Derechos Humanos publicó el informe de 2014, en el que se examinaba la discriminación en el lugar de trabajo tras el embarazo, incluidas las experiencias de las mujeres durante el período de la licencia parental y a la hora de reincorporarse al trabajo. Varios departamentos y organismos australianos publican documentos referidos a las obligaciones de los empresarios y los derechos de los trabajadores, entre ellos el Ómbudsman del Trabajo Justo</w:t>
      </w:r>
      <w:r w:rsidRPr="00627CAE">
        <w:rPr>
          <w:vertAlign w:val="superscript"/>
          <w:lang w:val="es-ES_tradnl"/>
        </w:rPr>
        <w:footnoteReference w:id="33"/>
      </w:r>
      <w:r w:rsidRPr="00627CAE">
        <w:rPr>
          <w:lang w:val="es-ES_tradnl"/>
        </w:rPr>
        <w:t>, la Comisión Australiana de Derechos Humanos</w:t>
      </w:r>
      <w:r w:rsidRPr="00627CAE">
        <w:rPr>
          <w:vertAlign w:val="superscript"/>
          <w:lang w:val="es-ES_tradnl"/>
        </w:rPr>
        <w:footnoteReference w:id="34"/>
      </w:r>
      <w:r w:rsidRPr="00627CAE">
        <w:rPr>
          <w:lang w:val="es-ES_tradnl"/>
        </w:rPr>
        <w:t>, el Departamento de Empleo y Relaciones Laborales</w:t>
      </w:r>
      <w:r w:rsidRPr="00627CAE">
        <w:rPr>
          <w:vertAlign w:val="superscript"/>
          <w:lang w:val="es-ES_tradnl"/>
        </w:rPr>
        <w:footnoteReference w:id="35"/>
      </w:r>
      <w:r w:rsidRPr="00627CAE">
        <w:rPr>
          <w:lang w:val="es-ES_tradnl"/>
        </w:rPr>
        <w:t xml:space="preserve"> o la Agencia de Igualdad de Género en el Lugar de Trabajo</w:t>
      </w:r>
      <w:r w:rsidRPr="00627CAE">
        <w:rPr>
          <w:vertAlign w:val="superscript"/>
          <w:lang w:val="es-ES_tradnl"/>
        </w:rPr>
        <w:footnoteReference w:id="36"/>
      </w:r>
      <w:r w:rsidRPr="00627CAE">
        <w:rPr>
          <w:lang w:val="es-ES_tradnl"/>
        </w:rPr>
        <w:t>.</w:t>
      </w:r>
    </w:p>
    <w:p w14:paraId="4C1FDB10" w14:textId="77777777" w:rsidR="00586748" w:rsidRPr="00195CF4" w:rsidRDefault="00586748" w:rsidP="00586748">
      <w:pPr>
        <w:pStyle w:val="SingleTxt"/>
        <w:spacing w:after="0" w:line="120" w:lineRule="exact"/>
        <w:rPr>
          <w:b/>
          <w:sz w:val="10"/>
          <w:lang w:val="es-ES_tradnl"/>
        </w:rPr>
      </w:pPr>
      <w:bookmarkStart w:id="248" w:name="_Toc174011722"/>
      <w:bookmarkStart w:id="249" w:name="_Toc188598265"/>
      <w:bookmarkStart w:id="250" w:name="_Toc190357162"/>
      <w:bookmarkStart w:id="251" w:name="_Toc190878946"/>
    </w:p>
    <w:p w14:paraId="5F8567D1" w14:textId="77777777" w:rsidR="00586748" w:rsidRPr="00195CF4" w:rsidRDefault="00586748" w:rsidP="00586748">
      <w:pPr>
        <w:pStyle w:val="SingleTxt"/>
        <w:spacing w:after="0" w:line="120" w:lineRule="exact"/>
        <w:rPr>
          <w:b/>
          <w:sz w:val="10"/>
          <w:lang w:val="es-ES_tradnl"/>
        </w:rPr>
      </w:pPr>
    </w:p>
    <w:p w14:paraId="0B22B424" w14:textId="7D23BFE3" w:rsidR="00627CAE" w:rsidRPr="00195CF4" w:rsidRDefault="00627CAE" w:rsidP="005867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 xml:space="preserve">Código de práctica </w:t>
      </w:r>
      <w:bookmarkEnd w:id="248"/>
      <w:bookmarkEnd w:id="249"/>
      <w:bookmarkEnd w:id="250"/>
      <w:bookmarkEnd w:id="251"/>
    </w:p>
    <w:p w14:paraId="2154E5EE" w14:textId="77777777" w:rsidR="00586748" w:rsidRPr="007C0DCB" w:rsidRDefault="00586748" w:rsidP="00586748">
      <w:pPr>
        <w:pStyle w:val="SingleTxt"/>
        <w:spacing w:after="0" w:line="120" w:lineRule="exact"/>
        <w:rPr>
          <w:iCs/>
          <w:sz w:val="10"/>
          <w:lang w:val="es-ES_tradnl"/>
        </w:rPr>
      </w:pPr>
    </w:p>
    <w:p w14:paraId="614E708F" w14:textId="77777777" w:rsidR="00586748" w:rsidRPr="007C0DCB" w:rsidRDefault="00586748" w:rsidP="00586748">
      <w:pPr>
        <w:pStyle w:val="SingleTxt"/>
        <w:spacing w:after="0" w:line="120" w:lineRule="exact"/>
        <w:rPr>
          <w:iCs/>
          <w:sz w:val="10"/>
          <w:lang w:val="es-ES_tradnl"/>
        </w:rPr>
      </w:pPr>
    </w:p>
    <w:p w14:paraId="4D658099" w14:textId="4125AB10" w:rsidR="00627CAE" w:rsidRPr="00627CAE" w:rsidRDefault="00627CAE" w:rsidP="00A02D7A">
      <w:pPr>
        <w:pStyle w:val="SingleTxt"/>
        <w:numPr>
          <w:ilvl w:val="0"/>
          <w:numId w:val="22"/>
        </w:numPr>
        <w:ind w:left="1267"/>
        <w:rPr>
          <w:lang w:val="es-ES_tradnl"/>
        </w:rPr>
      </w:pPr>
      <w:r w:rsidRPr="00627CAE">
        <w:rPr>
          <w:lang w:val="es-ES_tradnl"/>
        </w:rPr>
        <w:t>Australia no dispone de un código de práctica sobre las obligaciones legales de los empresarios respecto de las trabajadoras embarazadas o los trabajadores con cargas familiares. El país cuenta con un marco legislativo que define las obligaciones de los empresarios y los derechos de los trabajadores, como la Ley sobre Discriminación Sexual, la Ley de Trabajo Justo y la Ley sobre la Licencia Parental Remunerada de 2010 (Commonwealth).</w:t>
      </w:r>
    </w:p>
    <w:p w14:paraId="3F856B33" w14:textId="77777777" w:rsidR="00586748" w:rsidRPr="00195CF4" w:rsidRDefault="00586748" w:rsidP="00586748">
      <w:pPr>
        <w:pStyle w:val="SingleTxt"/>
        <w:spacing w:after="0" w:line="120" w:lineRule="exact"/>
        <w:rPr>
          <w:b/>
          <w:sz w:val="10"/>
          <w:lang w:val="es-ES_tradnl"/>
        </w:rPr>
      </w:pPr>
      <w:bookmarkStart w:id="252" w:name="_Toc174011723"/>
      <w:bookmarkStart w:id="253" w:name="_Toc188598266"/>
      <w:bookmarkStart w:id="254" w:name="_Toc190357163"/>
      <w:bookmarkStart w:id="255" w:name="_Toc190878947"/>
    </w:p>
    <w:p w14:paraId="3184EADF" w14:textId="77777777" w:rsidR="00586748" w:rsidRPr="00195CF4" w:rsidRDefault="00586748" w:rsidP="00586748">
      <w:pPr>
        <w:pStyle w:val="SingleTxt"/>
        <w:spacing w:after="0" w:line="120" w:lineRule="exact"/>
        <w:rPr>
          <w:b/>
          <w:sz w:val="10"/>
          <w:lang w:val="es-ES_tradnl"/>
        </w:rPr>
      </w:pPr>
    </w:p>
    <w:p w14:paraId="4A035E46" w14:textId="7C6E60CF" w:rsidR="00627CAE" w:rsidRPr="00195CF4" w:rsidRDefault="00627CAE" w:rsidP="005867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Análisis de género de la caja de pensiones de Australia</w:t>
      </w:r>
      <w:bookmarkEnd w:id="252"/>
      <w:bookmarkEnd w:id="253"/>
      <w:bookmarkEnd w:id="254"/>
      <w:bookmarkEnd w:id="255"/>
    </w:p>
    <w:p w14:paraId="47970E2E" w14:textId="77777777" w:rsidR="00586748" w:rsidRPr="007C0DCB" w:rsidRDefault="00586748" w:rsidP="00586748">
      <w:pPr>
        <w:pStyle w:val="SingleTxt"/>
        <w:spacing w:after="0" w:line="120" w:lineRule="exact"/>
        <w:rPr>
          <w:iCs/>
          <w:sz w:val="10"/>
          <w:lang w:val="es-ES_tradnl"/>
        </w:rPr>
      </w:pPr>
    </w:p>
    <w:p w14:paraId="0B94A0DB" w14:textId="77777777" w:rsidR="00586748" w:rsidRPr="007C0DCB" w:rsidRDefault="00586748" w:rsidP="00586748">
      <w:pPr>
        <w:pStyle w:val="SingleTxt"/>
        <w:spacing w:after="0" w:line="120" w:lineRule="exact"/>
        <w:rPr>
          <w:iCs/>
          <w:sz w:val="10"/>
          <w:lang w:val="es-ES_tradnl"/>
        </w:rPr>
      </w:pPr>
    </w:p>
    <w:p w14:paraId="7E448475" w14:textId="23CDA1B3" w:rsidR="00627CAE" w:rsidRPr="00627CAE" w:rsidRDefault="00627CAE" w:rsidP="00A02D7A">
      <w:pPr>
        <w:pStyle w:val="SingleTxt"/>
        <w:numPr>
          <w:ilvl w:val="0"/>
          <w:numId w:val="22"/>
        </w:numPr>
        <w:ind w:left="1267"/>
        <w:rPr>
          <w:lang w:val="es-ES_tradnl"/>
        </w:rPr>
      </w:pPr>
      <w:r w:rsidRPr="00627CAE">
        <w:rPr>
          <w:lang w:val="es-ES_tradnl"/>
        </w:rPr>
        <w:t xml:space="preserve">El objetivo del sistema australiano de ingresos por jubilación es proteger a los australianos mayores cuando se jubilan de un empleo formal e incluye las contribuciones obligatorias del empleador, las aportaciones voluntarias adicionales de los empleados y la red pública de seguridad de las pensiones de jubilación. La pensión de jubilación es una prestación social concebida para que los australianos mayores que lo necesiten puedan mantener un nivel de vida mínimo. El 55,5 % de los beneficiarios de la pensión de jubilación son mujeres. </w:t>
      </w:r>
    </w:p>
    <w:p w14:paraId="259A8553" w14:textId="6F32E36F" w:rsidR="00627CAE" w:rsidRPr="00627CAE" w:rsidRDefault="00627CAE" w:rsidP="00A02D7A">
      <w:pPr>
        <w:pStyle w:val="SingleTxt"/>
        <w:numPr>
          <w:ilvl w:val="0"/>
          <w:numId w:val="22"/>
        </w:numPr>
        <w:ind w:left="1267"/>
        <w:rPr>
          <w:lang w:val="es-ES_tradnl"/>
        </w:rPr>
      </w:pPr>
      <w:r w:rsidRPr="00627CAE">
        <w:rPr>
          <w:lang w:val="es-ES_tradnl"/>
        </w:rPr>
        <w:t xml:space="preserve">La estrategia </w:t>
      </w:r>
      <w:r w:rsidR="00285E6B">
        <w:rPr>
          <w:lang w:val="es-ES_tradnl"/>
        </w:rPr>
        <w:t>“</w:t>
      </w:r>
      <w:r w:rsidRPr="00627CAE">
        <w:rPr>
          <w:lang w:val="es-ES_tradnl"/>
        </w:rPr>
        <w:t>Trabajar en favor de la Mujer</w:t>
      </w:r>
      <w:r w:rsidR="00285E6B">
        <w:rPr>
          <w:lang w:val="es-ES_tradnl"/>
        </w:rPr>
        <w:t>”</w:t>
      </w:r>
      <w:r w:rsidRPr="00627CAE">
        <w:rPr>
          <w:lang w:val="es-ES_tradnl"/>
        </w:rPr>
        <w:t xml:space="preserve"> prevé una serie de medidas dirigidas a reducir las diferencias entre hombres y mujeres en lo que respecta a la </w:t>
      </w:r>
      <w:r w:rsidRPr="00627CAE">
        <w:rPr>
          <w:lang w:val="es-ES_tradnl"/>
        </w:rPr>
        <w:lastRenderedPageBreak/>
        <w:t xml:space="preserve">cuantía de la pensión de jubilación, proporcionar ayudas del sistema de jubilación para que las personas se pongan al día después de haber pasado un tiempo sin trabajar, y poner en marcha una red de protección como parte del sistema de seguridad social. </w:t>
      </w:r>
    </w:p>
    <w:p w14:paraId="33F98EB4" w14:textId="785432E7" w:rsidR="00627CAE" w:rsidRPr="00627CAE" w:rsidRDefault="00627CAE" w:rsidP="00A02D7A">
      <w:pPr>
        <w:pStyle w:val="SingleTxt"/>
        <w:numPr>
          <w:ilvl w:val="0"/>
          <w:numId w:val="22"/>
        </w:numPr>
        <w:ind w:left="1267"/>
        <w:rPr>
          <w:lang w:val="es-ES_tradnl"/>
        </w:rPr>
      </w:pPr>
      <w:r w:rsidRPr="00627CAE">
        <w:rPr>
          <w:lang w:val="es-ES_tradnl"/>
        </w:rPr>
        <w:t>En lo que respecta a los nacimientos o las adopciones, el Gobierno pagará a partir del 1 de julio de 2025 la contribución a la caja de pensiones en su régimen de licencia parental remunerada, reconociendo de este modo que el tiempo dedicado al cuidado de los hijos sin realizar un trabajo remunerado forma parte de la vida laboral de ambos progenitores; normalizando la licencia parental como derecho de los trabajadores; y reduciendo la repercusión de la licencia parental en los ingresos por jubilación.</w:t>
      </w:r>
    </w:p>
    <w:p w14:paraId="07E46929" w14:textId="065BEAFA" w:rsidR="00627CAE" w:rsidRPr="00627CAE" w:rsidRDefault="00627CAE" w:rsidP="00A02D7A">
      <w:pPr>
        <w:pStyle w:val="SingleTxt"/>
        <w:numPr>
          <w:ilvl w:val="0"/>
          <w:numId w:val="22"/>
        </w:numPr>
        <w:ind w:left="1267"/>
        <w:rPr>
          <w:lang w:val="es-ES_tradnl"/>
        </w:rPr>
      </w:pPr>
      <w:r w:rsidRPr="00627CAE">
        <w:rPr>
          <w:lang w:val="es-ES_tradnl"/>
        </w:rPr>
        <w:t xml:space="preserve">Las nuevas políticas propuestas en relación con el sistema australiano de ingresos por jubilación se han de someter a un análisis de género. </w:t>
      </w:r>
    </w:p>
    <w:p w14:paraId="60A2EE3C" w14:textId="498C4572" w:rsidR="00627CAE" w:rsidRPr="00627CAE" w:rsidRDefault="00627CAE" w:rsidP="00A02D7A">
      <w:pPr>
        <w:pStyle w:val="SingleTxt"/>
        <w:numPr>
          <w:ilvl w:val="0"/>
          <w:numId w:val="22"/>
        </w:numPr>
        <w:ind w:left="1267"/>
        <w:rPr>
          <w:lang w:val="es-ES_tradnl"/>
        </w:rPr>
      </w:pPr>
      <w:r w:rsidRPr="00627CAE">
        <w:rPr>
          <w:lang w:val="es-ES_tradnl"/>
        </w:rPr>
        <w:t xml:space="preserve">La brecha de género en el saldo de las pensiones por jubilación es, en gran medida, el resultado de percibir menos ingresos a lo largo de la vida y trabajar a tiempo parcial, y no una consecuencia de la configuración del sistema de pensiones de jubilación. Más allá de los saldos por jubilación, la pensión de jubilación es importante para reducir las diferencias de ingresos entre hombres y mujeres al jubilarse con respecto a la vida activa. </w:t>
      </w:r>
    </w:p>
    <w:p w14:paraId="30B72173" w14:textId="77777777" w:rsidR="003F6418" w:rsidRPr="00195CF4" w:rsidRDefault="003F6418" w:rsidP="003F6418">
      <w:pPr>
        <w:pStyle w:val="SingleTxt"/>
        <w:spacing w:after="0" w:line="120" w:lineRule="exact"/>
        <w:rPr>
          <w:b/>
          <w:sz w:val="10"/>
          <w:lang w:val="es-ES_tradnl"/>
        </w:rPr>
      </w:pPr>
      <w:bookmarkStart w:id="256" w:name="_Toc174011724"/>
      <w:bookmarkStart w:id="257" w:name="_Toc188598267"/>
      <w:bookmarkStart w:id="258" w:name="_Toc190357164"/>
      <w:bookmarkStart w:id="259" w:name="_Toc190878948"/>
    </w:p>
    <w:p w14:paraId="7B6D8A90" w14:textId="77777777" w:rsidR="003F6418" w:rsidRPr="00195CF4" w:rsidRDefault="003F6418" w:rsidP="003F6418">
      <w:pPr>
        <w:pStyle w:val="SingleTxt"/>
        <w:spacing w:after="0" w:line="120" w:lineRule="exact"/>
        <w:rPr>
          <w:b/>
          <w:sz w:val="10"/>
          <w:lang w:val="es-ES_tradnl"/>
        </w:rPr>
      </w:pPr>
    </w:p>
    <w:p w14:paraId="659A514E" w14:textId="7C8AFF35" w:rsidR="00627CAE" w:rsidRPr="00195CF4" w:rsidRDefault="00627CAE" w:rsidP="003F64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Informe Respect@Work</w:t>
      </w:r>
      <w:bookmarkEnd w:id="256"/>
      <w:bookmarkEnd w:id="257"/>
      <w:bookmarkEnd w:id="258"/>
      <w:bookmarkEnd w:id="259"/>
    </w:p>
    <w:p w14:paraId="69BEF3B0" w14:textId="77777777" w:rsidR="003F6418" w:rsidRPr="007C0DCB" w:rsidRDefault="003F6418" w:rsidP="003F6418">
      <w:pPr>
        <w:pStyle w:val="SingleTxt"/>
        <w:spacing w:after="0" w:line="120" w:lineRule="exact"/>
        <w:rPr>
          <w:iCs/>
          <w:sz w:val="10"/>
          <w:lang w:val="es-ES_tradnl"/>
        </w:rPr>
      </w:pPr>
    </w:p>
    <w:p w14:paraId="1DF101E2" w14:textId="77777777" w:rsidR="003F6418" w:rsidRPr="007C0DCB" w:rsidRDefault="003F6418" w:rsidP="003F6418">
      <w:pPr>
        <w:pStyle w:val="SingleTxt"/>
        <w:spacing w:after="0" w:line="120" w:lineRule="exact"/>
        <w:rPr>
          <w:iCs/>
          <w:sz w:val="10"/>
          <w:lang w:val="es-ES_tradnl"/>
        </w:rPr>
      </w:pPr>
    </w:p>
    <w:p w14:paraId="6C2E118C" w14:textId="4D890420" w:rsidR="00627CAE" w:rsidRPr="00627CAE" w:rsidRDefault="00627CAE" w:rsidP="00A02D7A">
      <w:pPr>
        <w:pStyle w:val="SingleTxt"/>
        <w:numPr>
          <w:ilvl w:val="0"/>
          <w:numId w:val="22"/>
        </w:numPr>
        <w:ind w:left="1267"/>
        <w:rPr>
          <w:lang w:val="es-ES_tradnl"/>
        </w:rPr>
      </w:pPr>
      <w:r w:rsidRPr="00627CAE">
        <w:rPr>
          <w:lang w:val="es-ES_tradnl"/>
        </w:rPr>
        <w:t>El Gobierno destinó 367 millones de dólares para aplicar todas las recomendaciones del Informe Respect@Work.</w:t>
      </w:r>
    </w:p>
    <w:p w14:paraId="3E641D7F" w14:textId="5ED2D8BD" w:rsidR="00627CAE" w:rsidRPr="00627CAE" w:rsidRDefault="00627CAE" w:rsidP="00A02D7A">
      <w:pPr>
        <w:pStyle w:val="SingleTxt"/>
        <w:numPr>
          <w:ilvl w:val="0"/>
          <w:numId w:val="22"/>
        </w:numPr>
        <w:ind w:left="1267"/>
        <w:rPr>
          <w:lang w:val="es-ES_tradnl"/>
        </w:rPr>
      </w:pPr>
      <w:r w:rsidRPr="00627CAE">
        <w:rPr>
          <w:lang w:val="es-ES_tradnl"/>
        </w:rPr>
        <w:t xml:space="preserve">Las reformas que exigían modificar la legislación federal se han llevado a cabo introduciendo, entre otras, las siguientes enmiendas: </w:t>
      </w:r>
    </w:p>
    <w:p w14:paraId="21CC71DF" w14:textId="1C106C06" w:rsidR="00627CAE" w:rsidRPr="00627CAE" w:rsidRDefault="003F6418" w:rsidP="003F6418">
      <w:pPr>
        <w:pStyle w:val="SingleTxt"/>
        <w:tabs>
          <w:tab w:val="right" w:pos="1685"/>
        </w:tabs>
        <w:ind w:left="1742" w:hanging="475"/>
        <w:rPr>
          <w:lang w:val="es-ES_tradnl"/>
        </w:rPr>
      </w:pPr>
      <w:r w:rsidRPr="007C0DCB">
        <w:rPr>
          <w:lang w:val="es-ES_tradnl"/>
        </w:rPr>
        <w:tab/>
        <w:t>•</w:t>
      </w:r>
      <w:r w:rsidR="00627CAE" w:rsidRPr="00627CAE">
        <w:rPr>
          <w:lang w:val="es-ES_tradnl"/>
        </w:rPr>
        <w:tab/>
        <w:t>La Ley sobre Discriminación Sexual, cuyo ámbito de aplicación se amplió para abarcar todas las modalidades de trabajo;</w:t>
      </w:r>
    </w:p>
    <w:p w14:paraId="3B393E98" w14:textId="56F381F2" w:rsidR="00627CAE" w:rsidRPr="00627CAE" w:rsidRDefault="003F6418" w:rsidP="003F6418">
      <w:pPr>
        <w:pStyle w:val="SingleTxt"/>
        <w:tabs>
          <w:tab w:val="right" w:pos="1685"/>
        </w:tabs>
        <w:ind w:left="1742" w:hanging="475"/>
        <w:rPr>
          <w:lang w:val="es-ES_tradnl"/>
        </w:rPr>
      </w:pPr>
      <w:r w:rsidRPr="007C0DCB">
        <w:rPr>
          <w:lang w:val="es-ES_tradnl"/>
        </w:rPr>
        <w:tab/>
        <w:t>•</w:t>
      </w:r>
      <w:r w:rsidR="00627CAE" w:rsidRPr="00627CAE">
        <w:rPr>
          <w:lang w:val="es-ES_tradnl"/>
        </w:rPr>
        <w:tab/>
        <w:t>La Ley de la Comisión Australiana de Derechos Humanos de 1986 (Commonwealth) se modificó para dotar a la Comisión de nuevas competencias para investigar y documentar la discriminación ilegal y sistemática, así como otras funciones nuevas relativas al cumplimiento y la ejecución para complementar el deber positivo;</w:t>
      </w:r>
    </w:p>
    <w:p w14:paraId="1E232B1B" w14:textId="566A1B24" w:rsidR="00627CAE" w:rsidRPr="00627CAE" w:rsidRDefault="003F6418" w:rsidP="003F6418">
      <w:pPr>
        <w:pStyle w:val="SingleTxt"/>
        <w:tabs>
          <w:tab w:val="right" w:pos="1685"/>
        </w:tabs>
        <w:ind w:left="1742" w:hanging="475"/>
        <w:rPr>
          <w:lang w:val="es-ES_tradnl"/>
        </w:rPr>
      </w:pPr>
      <w:r w:rsidRPr="007C0DCB">
        <w:rPr>
          <w:lang w:val="es-ES_tradnl"/>
        </w:rPr>
        <w:tab/>
        <w:t>•</w:t>
      </w:r>
      <w:r w:rsidR="00627CAE" w:rsidRPr="00627CAE">
        <w:rPr>
          <w:lang w:val="es-ES_tradnl"/>
        </w:rPr>
        <w:tab/>
        <w:t>La Ley de Trabajo Justo y el Reglamento de Trabajo Justo de 2009 (Commonwealth) se modificaron para prohibir el acoso sexual en el ámbito del trabajo, facultar a la Comisión de Trabajo Justo para que intervenga en los conflictos laborales relacionados con el acoso sexual, por ejemplo dictando órdenes para que cese ese acoso o reafirmando que el acoso sexual puede constituir una conducta equiparable al despido;</w:t>
      </w:r>
    </w:p>
    <w:p w14:paraId="46397523" w14:textId="05E69303" w:rsidR="00627CAE" w:rsidRPr="00627CAE" w:rsidRDefault="003F6418" w:rsidP="003F6418">
      <w:pPr>
        <w:pStyle w:val="SingleTxt"/>
        <w:tabs>
          <w:tab w:val="right" w:pos="1685"/>
        </w:tabs>
        <w:ind w:left="1742" w:hanging="475"/>
        <w:rPr>
          <w:lang w:val="es-ES_tradnl"/>
        </w:rPr>
      </w:pPr>
      <w:r w:rsidRPr="007C0DCB">
        <w:rPr>
          <w:lang w:val="es-ES_tradnl"/>
        </w:rPr>
        <w:tab/>
        <w:t>•</w:t>
      </w:r>
      <w:r w:rsidR="00627CAE" w:rsidRPr="00627CAE">
        <w:rPr>
          <w:lang w:val="es-ES_tradnl"/>
        </w:rPr>
        <w:tab/>
        <w:t>La Ley de Igualdad de Género en el Trabajo se ha modificado para exigir a las organizaciones del sector público federal, además de los empleadores del sector privado, que informen anualmente sobre los indicadores de igualdad de género e intercambien más información;</w:t>
      </w:r>
    </w:p>
    <w:p w14:paraId="254FA0C0" w14:textId="7A9AD5AF" w:rsidR="00627CAE" w:rsidRPr="00627CAE" w:rsidRDefault="003F6418" w:rsidP="003F6418">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La Ley de Enmienda de la Comisión Australiana de Derechos Humanos de 2024 (Exención del Pago de las Costas Judiciales) impedirá que los tribunales ordenen a los demandantes que paguen las costas de los demandados en las demandas por discriminación ante el Tribunal Federal, excepto en determinadas circunstancias. </w:t>
      </w:r>
    </w:p>
    <w:p w14:paraId="7AD6A1D7" w14:textId="2ED90CCF" w:rsidR="00627CAE" w:rsidRPr="00627CAE" w:rsidRDefault="00627CAE" w:rsidP="00A02D7A">
      <w:pPr>
        <w:pStyle w:val="SingleTxt"/>
        <w:numPr>
          <w:ilvl w:val="0"/>
          <w:numId w:val="22"/>
        </w:numPr>
        <w:ind w:left="1267"/>
        <w:rPr>
          <w:lang w:val="es-ES_tradnl"/>
        </w:rPr>
      </w:pPr>
      <w:r w:rsidRPr="00627CAE">
        <w:rPr>
          <w:lang w:val="es-ES_tradnl"/>
        </w:rPr>
        <w:t>Entre las medidas no legislativas adoptadas por el Gobierno en respuesta a las recomendaciones del Informe Respect@Work, cabe destacar:</w:t>
      </w:r>
    </w:p>
    <w:p w14:paraId="170BA8DF" w14:textId="425C2B81" w:rsidR="00627CAE" w:rsidRPr="00627CAE" w:rsidRDefault="003F6418" w:rsidP="003F6418">
      <w:pPr>
        <w:pStyle w:val="SingleTxt"/>
        <w:tabs>
          <w:tab w:val="right" w:pos="1685"/>
        </w:tabs>
        <w:ind w:left="1742" w:hanging="475"/>
        <w:rPr>
          <w:lang w:val="es-ES_tradnl"/>
        </w:rPr>
      </w:pPr>
      <w:r w:rsidRPr="007C0DCB">
        <w:rPr>
          <w:lang w:val="es-ES_tradnl"/>
        </w:rPr>
        <w:lastRenderedPageBreak/>
        <w:tab/>
        <w:t>•</w:t>
      </w:r>
      <w:r w:rsidR="00627CAE" w:rsidRPr="00627CAE">
        <w:rPr>
          <w:lang w:val="es-ES_tradnl"/>
        </w:rPr>
        <w:tab/>
        <w:t>El material de formación y educación elaborado para grupos críticos sobre el acoso sexual en el lugar de trabajo;</w:t>
      </w:r>
    </w:p>
    <w:p w14:paraId="355A3EEA" w14:textId="547470F1" w:rsidR="00627CAE" w:rsidRPr="00627CAE" w:rsidRDefault="003F6418" w:rsidP="003F6418">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La financiación de un programa de investigación del acoso sexual para crear una base de datos nacional que permita fundamentar las políticas y las prácticas; </w:t>
      </w:r>
    </w:p>
    <w:p w14:paraId="622C70EC" w14:textId="455AE7FC" w:rsidR="00627CAE" w:rsidRPr="00627CAE" w:rsidRDefault="003F6418" w:rsidP="003F6418">
      <w:pPr>
        <w:pStyle w:val="SingleTxt"/>
        <w:tabs>
          <w:tab w:val="right" w:pos="1685"/>
        </w:tabs>
        <w:ind w:left="1742" w:hanging="475"/>
        <w:rPr>
          <w:lang w:val="es-ES_tradnl"/>
        </w:rPr>
      </w:pPr>
      <w:r w:rsidRPr="007C0DCB">
        <w:rPr>
          <w:lang w:val="es-ES_tradnl"/>
        </w:rPr>
        <w:tab/>
        <w:t>•</w:t>
      </w:r>
      <w:r w:rsidR="00627CAE" w:rsidRPr="00627CAE">
        <w:rPr>
          <w:lang w:val="es-ES_tradnl"/>
        </w:rPr>
        <w:tab/>
        <w:t>La formulación de directrices sobre el uso de cláusulas de confidencialidad en los acuerdos de solución sobre asuntos relacionados con el acoso sexual;</w:t>
      </w:r>
    </w:p>
    <w:p w14:paraId="5DF4E65F" w14:textId="4C7F1C86" w:rsidR="00627CAE" w:rsidRPr="00627CAE" w:rsidRDefault="003F6418" w:rsidP="003F6418">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El estudio encargado a la Universidad Nacional de Australia sobre los costos y daños y perjuicios derivados de los litigios por acoso sexual, para fundamentar el análisis de un modelo adecuado que permita eximir del pago de las costas judiciales relacionadas con casos de discriminación; </w:t>
      </w:r>
    </w:p>
    <w:p w14:paraId="1736C625" w14:textId="3DAD29DE" w:rsidR="00627CAE" w:rsidRPr="00627CAE" w:rsidRDefault="003F6418" w:rsidP="003F6418">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La financiación de centros para trabajadoras, centros jurídicos comunitarios y comisiones de asistencia jurídica y servicio de atención telefónica 1800RESPECT para ayudar a las víctimas de acoso sexual; </w:t>
      </w:r>
    </w:p>
    <w:p w14:paraId="2B5C480B" w14:textId="2D4CADC9" w:rsidR="00627CAE" w:rsidRPr="00627CAE" w:rsidRDefault="003F6418" w:rsidP="003F6418">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La ratificación del Convenio sobre la violencia y el acoso (núm. 190) de la Organización Internacional del Trabajo; </w:t>
      </w:r>
    </w:p>
    <w:p w14:paraId="0E44963B" w14:textId="64D52761" w:rsidR="00627CAE" w:rsidRPr="00627CAE" w:rsidRDefault="003F6418" w:rsidP="003F6418">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La quinta encuesta nacional sobre el acoso sexual y la publicación de sus resultados; </w:t>
      </w:r>
    </w:p>
    <w:p w14:paraId="78440CCD" w14:textId="72952573" w:rsidR="00627CAE" w:rsidRPr="00627CAE" w:rsidRDefault="003F6418" w:rsidP="003F6418">
      <w:pPr>
        <w:pStyle w:val="SingleTxt"/>
        <w:tabs>
          <w:tab w:val="right" w:pos="1685"/>
        </w:tabs>
        <w:ind w:left="1742" w:hanging="475"/>
        <w:rPr>
          <w:lang w:val="es-ES_tradnl"/>
        </w:rPr>
      </w:pPr>
      <w:r w:rsidRPr="007C0DCB">
        <w:rPr>
          <w:lang w:val="es-ES_tradnl"/>
        </w:rPr>
        <w:tab/>
        <w:t>•</w:t>
      </w:r>
      <w:r w:rsidR="00627CAE" w:rsidRPr="00627CAE">
        <w:rPr>
          <w:lang w:val="es-ES_tradnl"/>
        </w:rPr>
        <w:tab/>
        <w:t>La creación del Consejo Respect@Work para asesorar sobre la aplicación de las recomendaciones;</w:t>
      </w:r>
    </w:p>
    <w:p w14:paraId="65AC1D97" w14:textId="2DBFB211" w:rsidR="00627CAE" w:rsidRPr="00627CAE" w:rsidRDefault="003F6418" w:rsidP="003F6418">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La creación de un marco de indicadores de buenas prácticas para prevenir y combatir el acoso sexual en el lugar de trabajo; </w:t>
      </w:r>
    </w:p>
    <w:p w14:paraId="16F81348" w14:textId="3714B93D" w:rsidR="00627CAE" w:rsidRPr="00627CAE" w:rsidRDefault="003F6418" w:rsidP="003F6418">
      <w:pPr>
        <w:pStyle w:val="SingleTxt"/>
        <w:tabs>
          <w:tab w:val="right" w:pos="1685"/>
        </w:tabs>
        <w:ind w:left="1742" w:hanging="475"/>
        <w:rPr>
          <w:lang w:val="es-ES_tradnl"/>
        </w:rPr>
      </w:pPr>
      <w:r w:rsidRPr="007C0DCB">
        <w:rPr>
          <w:lang w:val="es-ES_tradnl"/>
        </w:rPr>
        <w:tab/>
        <w:t>•</w:t>
      </w:r>
      <w:r w:rsidR="00627CAE" w:rsidRPr="00627CAE">
        <w:rPr>
          <w:lang w:val="es-ES_tradnl"/>
        </w:rPr>
        <w:tab/>
        <w:t>La creación del sitio web de Respect@Work para ofrecer información y recursos sobre el acoso sexual en el lugar de trabajo, incluidas orientaciones sobre las vías externas para hacer frente a este tipo de acoso.</w:t>
      </w:r>
    </w:p>
    <w:p w14:paraId="449906B6" w14:textId="77777777" w:rsidR="003F6418" w:rsidRPr="00195CF4" w:rsidRDefault="003F6418" w:rsidP="003F6418">
      <w:pPr>
        <w:pStyle w:val="SingleTxt"/>
        <w:spacing w:after="0" w:line="120" w:lineRule="exact"/>
        <w:rPr>
          <w:b/>
          <w:sz w:val="10"/>
          <w:lang w:val="es-ES_tradnl"/>
        </w:rPr>
      </w:pPr>
      <w:bookmarkStart w:id="260" w:name="_Toc174011725"/>
      <w:bookmarkStart w:id="261" w:name="_Toc190878949"/>
    </w:p>
    <w:p w14:paraId="3E45B26A" w14:textId="77777777" w:rsidR="003F6418" w:rsidRPr="00195CF4" w:rsidRDefault="003F6418" w:rsidP="003F6418">
      <w:pPr>
        <w:pStyle w:val="SingleTxt"/>
        <w:spacing w:after="0" w:line="120" w:lineRule="exact"/>
        <w:rPr>
          <w:b/>
          <w:sz w:val="10"/>
          <w:lang w:val="es-ES_tradnl"/>
        </w:rPr>
      </w:pPr>
    </w:p>
    <w:p w14:paraId="46087A70" w14:textId="3DA356CC" w:rsidR="00627CAE" w:rsidRPr="00195CF4" w:rsidRDefault="00627CAE" w:rsidP="003F64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Pregunta 18: Acoso sexual</w:t>
      </w:r>
      <w:bookmarkEnd w:id="260"/>
      <w:bookmarkEnd w:id="261"/>
    </w:p>
    <w:p w14:paraId="78A69928" w14:textId="77777777" w:rsidR="003F6418" w:rsidRPr="00195CF4" w:rsidRDefault="003F6418" w:rsidP="003F6418">
      <w:pPr>
        <w:pStyle w:val="SingleTxt"/>
        <w:spacing w:after="0" w:line="120" w:lineRule="exact"/>
        <w:rPr>
          <w:b/>
          <w:sz w:val="10"/>
          <w:lang w:val="es-ES_tradnl"/>
        </w:rPr>
      </w:pPr>
      <w:bookmarkStart w:id="262" w:name="_Toc174011726"/>
      <w:bookmarkStart w:id="263" w:name="_Toc188598269"/>
      <w:bookmarkStart w:id="264" w:name="_Toc190357166"/>
      <w:bookmarkStart w:id="265" w:name="_Toc190878950"/>
    </w:p>
    <w:p w14:paraId="2127E042" w14:textId="77777777" w:rsidR="003F6418" w:rsidRPr="00195CF4" w:rsidRDefault="003F6418" w:rsidP="003F6418">
      <w:pPr>
        <w:pStyle w:val="SingleTxt"/>
        <w:spacing w:after="0" w:line="120" w:lineRule="exact"/>
        <w:rPr>
          <w:b/>
          <w:sz w:val="10"/>
          <w:lang w:val="es-ES_tradnl"/>
        </w:rPr>
      </w:pPr>
    </w:p>
    <w:p w14:paraId="4E4DE6E4" w14:textId="2A4E83ED" w:rsidR="00627CAE" w:rsidRPr="00195CF4" w:rsidRDefault="00627CAE" w:rsidP="003F64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Luchar contra el acoso sexual en el lugar de trabajo</w:t>
      </w:r>
      <w:bookmarkEnd w:id="262"/>
      <w:bookmarkEnd w:id="263"/>
      <w:bookmarkEnd w:id="264"/>
      <w:bookmarkEnd w:id="265"/>
    </w:p>
    <w:p w14:paraId="330F230B" w14:textId="77777777" w:rsidR="003F6418" w:rsidRPr="007C0DCB" w:rsidRDefault="003F6418" w:rsidP="003F6418">
      <w:pPr>
        <w:pStyle w:val="SingleTxt"/>
        <w:spacing w:after="0" w:line="120" w:lineRule="exact"/>
        <w:rPr>
          <w:iCs/>
          <w:sz w:val="10"/>
          <w:lang w:val="es-ES_tradnl"/>
        </w:rPr>
      </w:pPr>
    </w:p>
    <w:p w14:paraId="776BFCC1" w14:textId="77777777" w:rsidR="003F6418" w:rsidRPr="007C0DCB" w:rsidRDefault="003F6418" w:rsidP="003F6418">
      <w:pPr>
        <w:pStyle w:val="SingleTxt"/>
        <w:spacing w:after="0" w:line="120" w:lineRule="exact"/>
        <w:rPr>
          <w:iCs/>
          <w:sz w:val="10"/>
          <w:lang w:val="es-ES_tradnl"/>
        </w:rPr>
      </w:pPr>
    </w:p>
    <w:p w14:paraId="1D9F8841" w14:textId="11CBCC30" w:rsidR="00627CAE" w:rsidRPr="00627CAE" w:rsidRDefault="00627CAE" w:rsidP="00A02D7A">
      <w:pPr>
        <w:pStyle w:val="SingleTxt"/>
        <w:numPr>
          <w:ilvl w:val="0"/>
          <w:numId w:val="22"/>
        </w:numPr>
        <w:ind w:left="1267"/>
        <w:rPr>
          <w:lang w:val="es-ES_tradnl"/>
        </w:rPr>
      </w:pPr>
      <w:r w:rsidRPr="00627CAE">
        <w:rPr>
          <w:lang w:val="es-ES_tradnl"/>
        </w:rPr>
        <w:t>Las medidas adoptadas para animar a las personas a que denuncien el acoso sexual en el lugar de trabajo se pueden consultar en la respuesta a la pregunta 17c.</w:t>
      </w:r>
    </w:p>
    <w:p w14:paraId="0C3AEDC6" w14:textId="3A6D0C0F" w:rsidR="00627CAE" w:rsidRPr="00627CAE" w:rsidRDefault="00627CAE" w:rsidP="00A02D7A">
      <w:pPr>
        <w:pStyle w:val="SingleTxt"/>
        <w:numPr>
          <w:ilvl w:val="0"/>
          <w:numId w:val="22"/>
        </w:numPr>
        <w:ind w:left="1267"/>
        <w:rPr>
          <w:lang w:val="es-ES_tradnl"/>
        </w:rPr>
      </w:pPr>
      <w:r w:rsidRPr="00627CAE">
        <w:rPr>
          <w:lang w:val="es-ES_tradnl"/>
        </w:rPr>
        <w:t>De conformidad con las enmiendas introducidas en virtud de la Ley de Empleos Seguros y Mejor Remunerados (Secure Jobs, Better Pay Act) de 2009 en la Ley de Trabajo Justo, se prohíbe el acoso sexual en el trabajo y se ofrece a los trabajadores la opción de denunciar el acoso sexual a la Comisión de Trabajo Justo, además de los canales existentes que ofrecen la Comisión Australiana de Derechos Humanos y los órganos estatales y territoriales dedicados a la lucha contra la discriminación o a la salud y seguridad ocupacionales.</w:t>
      </w:r>
    </w:p>
    <w:p w14:paraId="4BC07555" w14:textId="04745EAA" w:rsidR="00627CAE" w:rsidRPr="00627CAE" w:rsidRDefault="00627CAE" w:rsidP="00A02D7A">
      <w:pPr>
        <w:pStyle w:val="SingleTxt"/>
        <w:numPr>
          <w:ilvl w:val="0"/>
          <w:numId w:val="22"/>
        </w:numPr>
        <w:ind w:left="1267"/>
        <w:rPr>
          <w:lang w:val="es-ES_tradnl"/>
        </w:rPr>
      </w:pPr>
      <w:r w:rsidRPr="00627CAE">
        <w:rPr>
          <w:lang w:val="es-ES_tradnl"/>
        </w:rPr>
        <w:t xml:space="preserve">El Gobierno financió varios centros de atención para las trabajadoras en todos los estados y los territorios a fin de informar, asesorar y ayudar a las mujeres víctimas del acoso sexual en el lugar de trabajo y otros problemas laborales, además de poner en marcha un órgano nacional encargado de facilitar la colaboración y coordinación entre los centros. Este órgano nacional se ocupa de dirigir las iniciativas sectoriales para prevenir el acoso sexual en el lugar de trabajo, así como el estudio y análisis de los problemas sistémicos que afectan a las trabajadoras, al tiempo que contribuye a los debates políticos sobre los derechos y prestaciones de estas mujeres. </w:t>
      </w:r>
    </w:p>
    <w:p w14:paraId="2D015AFF" w14:textId="77777777" w:rsidR="003F6418" w:rsidRPr="00195CF4" w:rsidRDefault="003F6418" w:rsidP="003F6418">
      <w:pPr>
        <w:pStyle w:val="SingleTxt"/>
        <w:spacing w:after="0" w:line="120" w:lineRule="exact"/>
        <w:rPr>
          <w:b/>
          <w:sz w:val="10"/>
          <w:lang w:val="es-ES_tradnl"/>
        </w:rPr>
      </w:pPr>
      <w:bookmarkStart w:id="266" w:name="_Toc174011727"/>
      <w:bookmarkStart w:id="267" w:name="_Toc188598270"/>
      <w:bookmarkStart w:id="268" w:name="_Toc190357167"/>
      <w:bookmarkStart w:id="269" w:name="_Toc190878951"/>
    </w:p>
    <w:p w14:paraId="0B1DA48D" w14:textId="77777777" w:rsidR="003F6418" w:rsidRPr="00195CF4" w:rsidRDefault="003F6418" w:rsidP="003F6418">
      <w:pPr>
        <w:pStyle w:val="SingleTxt"/>
        <w:spacing w:after="0" w:line="120" w:lineRule="exact"/>
        <w:rPr>
          <w:b/>
          <w:sz w:val="10"/>
          <w:lang w:val="es-ES_tradnl"/>
        </w:rPr>
      </w:pPr>
    </w:p>
    <w:p w14:paraId="316224C2" w14:textId="280CB8E3" w:rsidR="00627CAE" w:rsidRPr="00195CF4" w:rsidRDefault="00627CAE" w:rsidP="003F64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90" w:hanging="1267"/>
        <w:rPr>
          <w:lang w:val="es-ES_tradnl"/>
        </w:rPr>
      </w:pPr>
      <w:r w:rsidRPr="00195CF4">
        <w:rPr>
          <w:lang w:val="es-ES_tradnl"/>
        </w:rPr>
        <w:lastRenderedPageBreak/>
        <w:tab/>
      </w:r>
      <w:r w:rsidRPr="00195CF4">
        <w:rPr>
          <w:lang w:val="es-ES_tradnl"/>
        </w:rPr>
        <w:tab/>
        <w:t>Examen independiente de los lugares de trabajo de los parlamentarios del Commonwealth</w:t>
      </w:r>
      <w:bookmarkEnd w:id="266"/>
      <w:bookmarkEnd w:id="267"/>
      <w:bookmarkEnd w:id="268"/>
      <w:bookmarkEnd w:id="269"/>
    </w:p>
    <w:p w14:paraId="21AB796A" w14:textId="77777777" w:rsidR="003F6418" w:rsidRPr="007C0DCB" w:rsidRDefault="003F6418" w:rsidP="003F6418">
      <w:pPr>
        <w:pStyle w:val="SingleTxt"/>
        <w:spacing w:after="0" w:line="120" w:lineRule="exact"/>
        <w:rPr>
          <w:iCs/>
          <w:sz w:val="10"/>
          <w:lang w:val="es-ES_tradnl"/>
        </w:rPr>
      </w:pPr>
    </w:p>
    <w:p w14:paraId="04951599" w14:textId="77777777" w:rsidR="003F6418" w:rsidRPr="007C0DCB" w:rsidRDefault="003F6418" w:rsidP="003F6418">
      <w:pPr>
        <w:pStyle w:val="SingleTxt"/>
        <w:spacing w:after="0" w:line="120" w:lineRule="exact"/>
        <w:rPr>
          <w:iCs/>
          <w:sz w:val="10"/>
          <w:lang w:val="es-ES_tradnl"/>
        </w:rPr>
      </w:pPr>
    </w:p>
    <w:p w14:paraId="1D28E904" w14:textId="0610D0E4" w:rsidR="00627CAE" w:rsidRPr="00627CAE" w:rsidRDefault="00627CAE" w:rsidP="00A02D7A">
      <w:pPr>
        <w:pStyle w:val="SingleTxt"/>
        <w:numPr>
          <w:ilvl w:val="0"/>
          <w:numId w:val="22"/>
        </w:numPr>
        <w:ind w:left="1267"/>
        <w:rPr>
          <w:lang w:val="es-ES_tradnl"/>
        </w:rPr>
      </w:pPr>
      <w:r w:rsidRPr="00627CAE">
        <w:rPr>
          <w:lang w:val="es-ES_tradnl"/>
        </w:rPr>
        <w:t xml:space="preserve">El Gobierno se comprometió a aplicar las recomendaciones del informe sobre los lugares de trabajo de los parlamentarios del Commonwealth, titulado </w:t>
      </w:r>
      <w:r w:rsidR="00285E6B">
        <w:rPr>
          <w:lang w:val="es-ES_tradnl"/>
        </w:rPr>
        <w:t>“</w:t>
      </w:r>
      <w:r w:rsidRPr="00627CAE">
        <w:rPr>
          <w:lang w:val="es-ES_tradnl"/>
        </w:rPr>
        <w:t>Set the Standard: Report on the Independent Review into Commonwealth Parliamentary Workplaces</w:t>
      </w:r>
      <w:r w:rsidR="00285E6B">
        <w:rPr>
          <w:lang w:val="es-ES_tradnl"/>
        </w:rPr>
        <w:t>”</w:t>
      </w:r>
      <w:r w:rsidRPr="00627CAE">
        <w:rPr>
          <w:lang w:val="es-ES_tradnl"/>
        </w:rPr>
        <w:t>. Con el informe se pretende garantizar el respeto y la seguridad en los lugares de trabajo de los parlamentarios del Commonwealth. Hasta la fecha, se han tomado algunas de las medidas que se describen a continuación:</w:t>
      </w:r>
    </w:p>
    <w:p w14:paraId="457FFD51" w14:textId="454A6F8F" w:rsidR="00627CAE" w:rsidRPr="00627CAE" w:rsidRDefault="00244F10"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Se creó una entidad de recursos humanos para ayudar a los parlamentarios y su personal mediante el desarrollo profesional, recursos para profesionalizar las prácticas de gestión, orientación para gestionar las decisiones relativas a la suspensión de funciones y el despido, capacitación sobre las conductas respetuosas en el lugar de trabajo y códigos de conducta; además de examinar las denuncias presentadas sobre algunas presuntas faltas de conducta en el lugar de trabajo;</w:t>
      </w:r>
    </w:p>
    <w:p w14:paraId="5A25F579" w14:textId="701B3AFA"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El Parlamento australiano aprobó normas y códigos de conducta provisionales para los parlamentarios, su personal y los lugares de trabajo de los parlamentarios del Commonwealth que, entre otras cosas, prohíben el acoso sexual en el trabajo;</w:t>
      </w:r>
    </w:p>
    <w:p w14:paraId="7D47161E" w14:textId="57328A1A"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Se introdujeron modificaciones legislativas en los marcos de empleo parlamentario para garantizar la seguridad, el respeto y la rendición de cuentas en los lugares de trabajo del personal del Parlamento; </w:t>
      </w:r>
    </w:p>
    <w:p w14:paraId="2B288412" w14:textId="41E24F74"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Se revisaron las órdenes permanentes del Parlamento australiano para mejorar la seguridad y el respeto en ambas cámaras.</w:t>
      </w:r>
    </w:p>
    <w:p w14:paraId="4C5F7417" w14:textId="3F767A32" w:rsidR="00627CAE" w:rsidRPr="00627CAE" w:rsidRDefault="00627CAE" w:rsidP="00A02D7A">
      <w:pPr>
        <w:pStyle w:val="SingleTxt"/>
        <w:numPr>
          <w:ilvl w:val="0"/>
          <w:numId w:val="22"/>
        </w:numPr>
        <w:ind w:left="1267"/>
        <w:rPr>
          <w:lang w:val="es-ES_tradnl"/>
        </w:rPr>
      </w:pPr>
      <w:r w:rsidRPr="00627CAE">
        <w:rPr>
          <w:lang w:val="es-ES_tradnl"/>
        </w:rPr>
        <w:t>Tras consultar al Parlamento australiano, el Gobierno creó una Comisión Independiente sobre Normas Parlamentarias para investigar las denuncias de infracción de los códigos y normas de conducta de los parlamentarios, el personal y los lugares de trabajo de los parlamentarios del Commonwealth.</w:t>
      </w:r>
    </w:p>
    <w:p w14:paraId="04F57020" w14:textId="3F3AA668" w:rsidR="00627CAE" w:rsidRPr="00627CAE" w:rsidRDefault="00627CAE" w:rsidP="00A02D7A">
      <w:pPr>
        <w:pStyle w:val="SingleTxt"/>
        <w:numPr>
          <w:ilvl w:val="0"/>
          <w:numId w:val="22"/>
        </w:numPr>
        <w:ind w:left="1267"/>
        <w:rPr>
          <w:lang w:val="es-ES_tradnl"/>
        </w:rPr>
      </w:pPr>
      <w:r w:rsidRPr="00627CAE">
        <w:rPr>
          <w:lang w:val="es-ES_tradnl"/>
        </w:rPr>
        <w:t>Los informes públicos sobre la aplicación de las recomendaciones están disponibles en línea y se actualizan periódicamente.</w:t>
      </w:r>
    </w:p>
    <w:p w14:paraId="78F1E9E7" w14:textId="77777777" w:rsidR="00607D1A" w:rsidRPr="00195CF4" w:rsidRDefault="00607D1A" w:rsidP="00607D1A">
      <w:pPr>
        <w:pStyle w:val="SingleTxt"/>
        <w:spacing w:after="0" w:line="120" w:lineRule="exact"/>
        <w:rPr>
          <w:b/>
          <w:sz w:val="10"/>
          <w:lang w:val="es-ES_tradnl"/>
        </w:rPr>
      </w:pPr>
      <w:bookmarkStart w:id="270" w:name="_Toc174011728"/>
      <w:bookmarkStart w:id="271" w:name="_Toc190878952"/>
    </w:p>
    <w:p w14:paraId="74171ECD" w14:textId="77777777" w:rsidR="00607D1A" w:rsidRPr="00195CF4" w:rsidRDefault="00607D1A" w:rsidP="00607D1A">
      <w:pPr>
        <w:pStyle w:val="SingleTxt"/>
        <w:spacing w:after="0" w:line="120" w:lineRule="exact"/>
        <w:rPr>
          <w:b/>
          <w:sz w:val="10"/>
          <w:lang w:val="es-ES_tradnl"/>
        </w:rPr>
      </w:pPr>
    </w:p>
    <w:p w14:paraId="56DB1FF7" w14:textId="73A74BE2" w:rsidR="00627CAE" w:rsidRPr="00195CF4" w:rsidRDefault="00627CAE" w:rsidP="00607D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Pregunta 19: Salud</w:t>
      </w:r>
      <w:bookmarkEnd w:id="270"/>
      <w:bookmarkEnd w:id="271"/>
    </w:p>
    <w:p w14:paraId="309CAB5D" w14:textId="77777777" w:rsidR="00607D1A" w:rsidRPr="007C0DCB" w:rsidRDefault="00607D1A" w:rsidP="00607D1A">
      <w:pPr>
        <w:pStyle w:val="SingleTxt"/>
        <w:spacing w:after="0" w:line="120" w:lineRule="exact"/>
        <w:rPr>
          <w:iCs/>
          <w:sz w:val="10"/>
          <w:lang w:val="es-ES_tradnl"/>
        </w:rPr>
      </w:pPr>
    </w:p>
    <w:p w14:paraId="54006173" w14:textId="77777777" w:rsidR="00607D1A" w:rsidRPr="007C0DCB" w:rsidRDefault="00607D1A" w:rsidP="00607D1A">
      <w:pPr>
        <w:pStyle w:val="SingleTxt"/>
        <w:spacing w:after="0" w:line="120" w:lineRule="exact"/>
        <w:rPr>
          <w:iCs/>
          <w:sz w:val="10"/>
          <w:lang w:val="es-ES_tradnl"/>
        </w:rPr>
      </w:pPr>
    </w:p>
    <w:p w14:paraId="2F66243E" w14:textId="5317A31D" w:rsidR="00627CAE" w:rsidRPr="00627CAE" w:rsidRDefault="00627CAE" w:rsidP="00A02D7A">
      <w:pPr>
        <w:pStyle w:val="SingleTxt"/>
        <w:numPr>
          <w:ilvl w:val="0"/>
          <w:numId w:val="22"/>
        </w:numPr>
        <w:ind w:left="1267"/>
        <w:rPr>
          <w:lang w:val="es-ES_tradnl"/>
        </w:rPr>
      </w:pPr>
      <w:r w:rsidRPr="00627CAE">
        <w:rPr>
          <w:lang w:val="es-ES_tradnl"/>
        </w:rPr>
        <w:t xml:space="preserve">La Estrategia Nacional de Salud de la Mujer describe a grandes rasgos el enfoque adoptado por Australia para mejorar los resultados de salud de todas las mujeres y niñas. La estrategia define cinco esferas prioritarias: la salud materna, sexual y reproductiva; el envejecimiento saludable; las enfermedades crónicas y la salud preventiva; la salud mental; y los efectos en la salud de la violencia contra las mujeres y las niñas. </w:t>
      </w:r>
    </w:p>
    <w:p w14:paraId="7C892C5F" w14:textId="762B0CE2" w:rsidR="00627CAE" w:rsidRPr="00627CAE" w:rsidRDefault="00627CAE" w:rsidP="00A02D7A">
      <w:pPr>
        <w:pStyle w:val="SingleTxt"/>
        <w:numPr>
          <w:ilvl w:val="0"/>
          <w:numId w:val="22"/>
        </w:numPr>
        <w:ind w:left="1267"/>
        <w:rPr>
          <w:lang w:val="es-ES_tradnl"/>
        </w:rPr>
      </w:pPr>
      <w:r w:rsidRPr="00627CAE">
        <w:rPr>
          <w:lang w:val="es-ES_tradnl"/>
        </w:rPr>
        <w:t>El Gobierno apoya los servicios de interrupción del embarazo mediante el pago de reembolsos del programa de prestaciones de Medicare para los servicios pertinentes, incluidas las consultas de telesalud, los subsidios a los medicamentos en el marco del programa de prestaciones farmacéuticas y a través del Acuerdo Nacional de Reforma de la Salud</w:t>
      </w:r>
      <w:r w:rsidRPr="00627CAE">
        <w:rPr>
          <w:vertAlign w:val="superscript"/>
          <w:lang w:val="es-ES_tradnl"/>
        </w:rPr>
        <w:footnoteReference w:id="37"/>
      </w:r>
      <w:r w:rsidRPr="00627CAE">
        <w:rPr>
          <w:lang w:val="es-ES_tradnl"/>
        </w:rPr>
        <w:t xml:space="preserve">. El Gobierno introdujo en 2023 algunos cambios en la dispensación y la expedición de recetas de fármacos para abortos médicos (la </w:t>
      </w:r>
      <w:r w:rsidRPr="00627CAE">
        <w:rPr>
          <w:lang w:val="es-ES_tradnl"/>
        </w:rPr>
        <w:lastRenderedPageBreak/>
        <w:t>mifepristona y el misoprostol (MS-2 Step©)), reduciendo así las barreras para abortar de forma segura y asequible, especialmente entre las mujeres que viven en zonas rurales y remotas.</w:t>
      </w:r>
    </w:p>
    <w:p w14:paraId="35782E26" w14:textId="5E5EAF30" w:rsidR="00627CAE" w:rsidRPr="00627CAE" w:rsidRDefault="00627CAE" w:rsidP="00A02D7A">
      <w:pPr>
        <w:pStyle w:val="SingleTxt"/>
        <w:numPr>
          <w:ilvl w:val="0"/>
          <w:numId w:val="22"/>
        </w:numPr>
        <w:ind w:left="1267"/>
        <w:rPr>
          <w:lang w:val="es-ES_tradnl"/>
        </w:rPr>
      </w:pPr>
      <w:r w:rsidRPr="00627CAE">
        <w:rPr>
          <w:lang w:val="es-ES_tradnl"/>
        </w:rPr>
        <w:t>Para facilitar la toma de conciencia y el acceso a los servicios de salud sexual y reproductiva, el Gobierno ha adoptado, entre otras, las medidas que se describen a continuación:</w:t>
      </w:r>
    </w:p>
    <w:p w14:paraId="5E8F4889" w14:textId="06367907"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5,2 millones de dólares durante tres años a partir de 2024-25 para que los proveedores de asistencia sanitaria reciban capacitación para insertar y extraer anticonceptivos reversibles de larga duración, y de ese modo mejorar el acceso a métodos de anticoncepción eficaces y reversibles;</w:t>
      </w:r>
    </w:p>
    <w:p w14:paraId="39DE9CB7" w14:textId="1AD44C46"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1,1 millones de dólares durante cuatro años a partir de 2024-25 para diseñar una herramienta virtual que permita a mujeres y proveedores de asistencia sanitaria tomar decisiones relativas a la anticoncepción; </w:t>
      </w:r>
    </w:p>
    <w:p w14:paraId="2C2EF65E" w14:textId="0D329C37"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1,1 millones de dólares durante cuatro años a partir de 2023-24 para la red australiana de apoyo a los profesionales de la anticoncepción y el aborto en la atención primaria para que los profesionales sanitarios puedan administrar anticonceptivos reversibles de larga duración y practicar abortos.</w:t>
      </w:r>
    </w:p>
    <w:p w14:paraId="2AE9E8DE" w14:textId="77777777" w:rsidR="00607D1A" w:rsidRPr="00195CF4" w:rsidRDefault="00607D1A" w:rsidP="00607D1A">
      <w:pPr>
        <w:pStyle w:val="SingleTxt"/>
        <w:spacing w:after="0" w:line="120" w:lineRule="exact"/>
        <w:rPr>
          <w:b/>
          <w:sz w:val="10"/>
          <w:lang w:val="es-ES_tradnl"/>
        </w:rPr>
      </w:pPr>
      <w:bookmarkStart w:id="272" w:name="_Toc174011729"/>
      <w:bookmarkStart w:id="273" w:name="_Toc188598272"/>
      <w:bookmarkStart w:id="274" w:name="_Toc190357169"/>
      <w:bookmarkStart w:id="275" w:name="_Toc190878953"/>
    </w:p>
    <w:p w14:paraId="4B9FEDF7" w14:textId="77777777" w:rsidR="00607D1A" w:rsidRPr="00195CF4" w:rsidRDefault="00607D1A" w:rsidP="00607D1A">
      <w:pPr>
        <w:pStyle w:val="SingleTxt"/>
        <w:spacing w:after="0" w:line="120" w:lineRule="exact"/>
        <w:rPr>
          <w:b/>
          <w:sz w:val="10"/>
          <w:lang w:val="es-ES_tradnl"/>
        </w:rPr>
      </w:pPr>
    </w:p>
    <w:p w14:paraId="20AE3E7B" w14:textId="6A975B8C" w:rsidR="00627CAE" w:rsidRPr="00195CF4" w:rsidRDefault="00627CAE" w:rsidP="00607D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Servicios de interrupción del embarazo en los estados y territorios australianos</w:t>
      </w:r>
      <w:bookmarkEnd w:id="272"/>
      <w:bookmarkEnd w:id="273"/>
      <w:bookmarkEnd w:id="274"/>
      <w:bookmarkEnd w:id="275"/>
    </w:p>
    <w:p w14:paraId="54E0DC99" w14:textId="77777777" w:rsidR="00607D1A" w:rsidRPr="007C0DCB" w:rsidRDefault="00607D1A" w:rsidP="00607D1A">
      <w:pPr>
        <w:pStyle w:val="SingleTxt"/>
        <w:spacing w:after="0" w:line="120" w:lineRule="exact"/>
        <w:rPr>
          <w:iCs/>
          <w:sz w:val="10"/>
          <w:lang w:val="es-ES_tradnl"/>
        </w:rPr>
      </w:pPr>
    </w:p>
    <w:p w14:paraId="137392D4" w14:textId="77777777" w:rsidR="00607D1A" w:rsidRPr="007C0DCB" w:rsidRDefault="00607D1A" w:rsidP="00607D1A">
      <w:pPr>
        <w:pStyle w:val="SingleTxt"/>
        <w:spacing w:after="0" w:line="120" w:lineRule="exact"/>
        <w:rPr>
          <w:iCs/>
          <w:sz w:val="10"/>
          <w:lang w:val="es-ES_tradnl"/>
        </w:rPr>
      </w:pPr>
    </w:p>
    <w:p w14:paraId="579FAF5A" w14:textId="6934A066" w:rsidR="00627CAE" w:rsidRPr="00627CAE" w:rsidRDefault="00627CAE" w:rsidP="00A02D7A">
      <w:pPr>
        <w:pStyle w:val="SingleTxt"/>
        <w:numPr>
          <w:ilvl w:val="0"/>
          <w:numId w:val="22"/>
        </w:numPr>
        <w:ind w:left="1267"/>
        <w:rPr>
          <w:lang w:val="es-ES_tradnl"/>
        </w:rPr>
      </w:pPr>
      <w:r w:rsidRPr="00627CAE">
        <w:rPr>
          <w:lang w:val="es-ES_tradnl"/>
        </w:rPr>
        <w:t>Aunque el aborto es legal en todos los estados y territorios de Australia, las leyes en la materia varían de unas jurisdicciones a otras</w:t>
      </w:r>
      <w:r w:rsidRPr="00627CAE">
        <w:rPr>
          <w:vertAlign w:val="superscript"/>
          <w:lang w:val="es-ES_tradnl"/>
        </w:rPr>
        <w:footnoteReference w:id="38"/>
      </w:r>
      <w:r w:rsidRPr="00627CAE">
        <w:rPr>
          <w:lang w:val="es-ES_tradnl"/>
        </w:rPr>
        <w:t>. Los estados y los territorios han avanzado en este sentido con leyes, políticas e iniciativas que mejoran el acceso al aborto, como teléfonos de asistencia para el aborto a nivel estatal, recursos de información en línea para los consumidores en varios idiomas y alianzas con organizaciones no gubernamentales para facilitar el acceso a servicios e información de alta calidad en el ámbito de la salud sexual y reproductiva.</w:t>
      </w:r>
    </w:p>
    <w:p w14:paraId="2416F227" w14:textId="1C6FC56F" w:rsidR="00627CAE" w:rsidRPr="00627CAE" w:rsidRDefault="00627CAE" w:rsidP="00A02D7A">
      <w:pPr>
        <w:pStyle w:val="SingleTxt"/>
        <w:numPr>
          <w:ilvl w:val="0"/>
          <w:numId w:val="22"/>
        </w:numPr>
        <w:ind w:left="1267"/>
        <w:rPr>
          <w:lang w:val="es-ES_tradnl"/>
        </w:rPr>
      </w:pPr>
      <w:r w:rsidRPr="00627CAE">
        <w:rPr>
          <w:lang w:val="es-ES_tradnl"/>
        </w:rPr>
        <w:t>Salvo el Territorio de la Capital de Australia, todos los estados y territorios australianos han promulgado leyes mediante las cuales se establecen zonas de acceso seguro de 150 metros alrededor de los locales donde se prestan servicios de aborto o interrupción del embarazo. De conformidad con la Ley de Salud, el Ministerio de Salud puede declarar zonas de acceso seguro de una superficie no inferior a 50 metros en función de las necesidades de la comunidad (hasta la fecha solo se ha declarado una zona)</w:t>
      </w:r>
      <w:r w:rsidRPr="00627CAE">
        <w:rPr>
          <w:vertAlign w:val="superscript"/>
          <w:lang w:val="es-ES_tradnl"/>
        </w:rPr>
        <w:footnoteReference w:id="39"/>
      </w:r>
      <w:r w:rsidRPr="00627CAE">
        <w:rPr>
          <w:lang w:val="es-ES_tradnl"/>
        </w:rPr>
        <w:t>.</w:t>
      </w:r>
    </w:p>
    <w:p w14:paraId="1F548F92" w14:textId="5F233465" w:rsidR="00627CAE" w:rsidRPr="00627CAE" w:rsidRDefault="00627CAE" w:rsidP="00A02D7A">
      <w:pPr>
        <w:pStyle w:val="SingleTxt"/>
        <w:numPr>
          <w:ilvl w:val="0"/>
          <w:numId w:val="22"/>
        </w:numPr>
        <w:ind w:left="1267"/>
        <w:rPr>
          <w:lang w:val="es-ES_tradnl"/>
        </w:rPr>
      </w:pPr>
      <w:r w:rsidRPr="00627CAE">
        <w:rPr>
          <w:lang w:val="es-ES_tradnl"/>
        </w:rPr>
        <w:lastRenderedPageBreak/>
        <w:t>Todos los estados y territorios australianos han legislado, o están en vías de legislar, la obligación de los profesionales médicos o proveedores de asistencia sanitaria que sean objetores de conciencia respecto de la interrupción del embarazo de remitir a las pacientes a otros proveedores de servicios sanitarios que puedan asesorar al respecto.</w:t>
      </w:r>
    </w:p>
    <w:p w14:paraId="175CB759" w14:textId="77777777" w:rsidR="00607D1A" w:rsidRPr="00195CF4" w:rsidRDefault="00607D1A" w:rsidP="00607D1A">
      <w:pPr>
        <w:pStyle w:val="SingleTxt"/>
        <w:spacing w:after="0" w:line="120" w:lineRule="exact"/>
        <w:rPr>
          <w:b/>
          <w:sz w:val="10"/>
          <w:lang w:val="es-ES_tradnl"/>
        </w:rPr>
      </w:pPr>
      <w:bookmarkStart w:id="276" w:name="_Toc174011730"/>
      <w:bookmarkStart w:id="277" w:name="_Toc188598273"/>
      <w:bookmarkStart w:id="278" w:name="_Toc190357170"/>
      <w:bookmarkStart w:id="279" w:name="_Toc190878954"/>
    </w:p>
    <w:p w14:paraId="27EE8791" w14:textId="77777777" w:rsidR="00607D1A" w:rsidRPr="00195CF4" w:rsidRDefault="00607D1A" w:rsidP="00607D1A">
      <w:pPr>
        <w:pStyle w:val="SingleTxt"/>
        <w:spacing w:after="0" w:line="120" w:lineRule="exact"/>
        <w:rPr>
          <w:b/>
          <w:sz w:val="10"/>
          <w:lang w:val="es-ES_tradnl"/>
        </w:rPr>
      </w:pPr>
    </w:p>
    <w:p w14:paraId="0A149FDF" w14:textId="5AF29943" w:rsidR="00627CAE" w:rsidRPr="00195CF4" w:rsidRDefault="00627CAE" w:rsidP="00607D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 xml:space="preserve">Salud mental </w:t>
      </w:r>
      <w:bookmarkEnd w:id="276"/>
      <w:bookmarkEnd w:id="277"/>
      <w:bookmarkEnd w:id="278"/>
      <w:bookmarkEnd w:id="279"/>
    </w:p>
    <w:p w14:paraId="67FE3169" w14:textId="77777777" w:rsidR="00607D1A" w:rsidRPr="007C0DCB" w:rsidRDefault="00607D1A" w:rsidP="00607D1A">
      <w:pPr>
        <w:pStyle w:val="SingleTxt"/>
        <w:spacing w:after="0" w:line="120" w:lineRule="exact"/>
        <w:rPr>
          <w:iCs/>
          <w:sz w:val="10"/>
          <w:lang w:val="es-ES_tradnl"/>
        </w:rPr>
      </w:pPr>
    </w:p>
    <w:p w14:paraId="1673812E" w14:textId="77777777" w:rsidR="00607D1A" w:rsidRPr="007C0DCB" w:rsidRDefault="00607D1A" w:rsidP="00607D1A">
      <w:pPr>
        <w:pStyle w:val="SingleTxt"/>
        <w:spacing w:after="0" w:line="120" w:lineRule="exact"/>
        <w:rPr>
          <w:iCs/>
          <w:sz w:val="10"/>
          <w:lang w:val="es-ES_tradnl"/>
        </w:rPr>
      </w:pPr>
    </w:p>
    <w:p w14:paraId="5445DA98" w14:textId="3F2CECE3" w:rsidR="00627CAE" w:rsidRPr="00627CAE" w:rsidRDefault="00627CAE" w:rsidP="00A02D7A">
      <w:pPr>
        <w:pStyle w:val="SingleTxt"/>
        <w:numPr>
          <w:ilvl w:val="0"/>
          <w:numId w:val="22"/>
        </w:numPr>
        <w:ind w:left="1267"/>
        <w:rPr>
          <w:lang w:val="es-ES_tradnl"/>
        </w:rPr>
      </w:pPr>
      <w:r w:rsidRPr="00627CAE">
        <w:rPr>
          <w:lang w:val="es-ES_tradnl"/>
        </w:rPr>
        <w:t>En 2020-22, según la Oficina Australiana de Estadística, una de cada cuatro mujeres (24,6 %) padeció un trastorno de salud mental en los 12 meses anteriores, frente a casi uno de cada cinco hombres (18,3 %). En 2020, el informe Wiyi Yani U Thangani</w:t>
      </w:r>
      <w:r w:rsidRPr="00627CAE">
        <w:rPr>
          <w:vertAlign w:val="superscript"/>
          <w:lang w:val="es-ES_tradnl"/>
        </w:rPr>
        <w:footnoteReference w:id="40"/>
      </w:r>
      <w:r w:rsidRPr="00627CAE">
        <w:rPr>
          <w:lang w:val="es-ES_tradnl"/>
        </w:rPr>
        <w:t xml:space="preserve"> encargado por la Comisión Australiana de Derechos Humanos concluyó que se había diagnosticado un trastorno mental al 34 % de las mujeres pertenecientes a las Primeras Naciones. Los australianos transgénero y de género diverso presentaron tasas más elevadas de trastornos mentales (33,1 %) que los australianos cisgénero (21,3 %).</w:t>
      </w:r>
    </w:p>
    <w:p w14:paraId="16DFD5FC" w14:textId="23EA03C1" w:rsidR="00627CAE" w:rsidRPr="00627CAE" w:rsidRDefault="00627CAE" w:rsidP="00A02D7A">
      <w:pPr>
        <w:pStyle w:val="SingleTxt"/>
        <w:numPr>
          <w:ilvl w:val="0"/>
          <w:numId w:val="22"/>
        </w:numPr>
        <w:ind w:left="1267"/>
        <w:rPr>
          <w:lang w:val="es-ES_tradnl"/>
        </w:rPr>
      </w:pPr>
      <w:r w:rsidRPr="00627CAE">
        <w:rPr>
          <w:lang w:val="es-ES_tradnl"/>
        </w:rPr>
        <w:t xml:space="preserve">A nivel federal, los australianos que reúnan los requisitos necesarios, con independencia de su sexo, pueden acceder a servicios de salud mental en el marco de la iniciativa </w:t>
      </w:r>
      <w:r w:rsidR="00285E6B">
        <w:rPr>
          <w:lang w:val="es-ES_tradnl"/>
        </w:rPr>
        <w:t>“</w:t>
      </w:r>
      <w:r w:rsidRPr="00627CAE">
        <w:rPr>
          <w:lang w:val="es-ES_tradnl"/>
        </w:rPr>
        <w:t>Better Access to Psychiatrists, Psychologists and General Practitioners</w:t>
      </w:r>
      <w:r w:rsidR="00285E6B">
        <w:rPr>
          <w:lang w:val="es-ES_tradnl"/>
        </w:rPr>
        <w:t>”</w:t>
      </w:r>
      <w:r w:rsidRPr="00627CAE">
        <w:rPr>
          <w:lang w:val="es-ES_tradnl"/>
        </w:rPr>
        <w:t xml:space="preserve"> (Better Access), cuyo objetivo es mejorar el acceso a psiquiatras, psicólogos y médicos de familia. Con la iniciativa Better Access se pretenden mejorar los resultados de las personas con un trastorno de salud mental diagnosticado clínicamente ofreciendo tratamientos con base empírica. Las prestaciones cubren hasta un máximo de 10 servicios de salud mental individuales y 10 servicios en grupo por año natural. Pueden prestar estos servicios médicos de familia, psicólogos (clínicos/registrados), trabajadores sociales cualificados y terapeutas ocupacionales.</w:t>
      </w:r>
    </w:p>
    <w:p w14:paraId="2420D314" w14:textId="05D19212" w:rsidR="00627CAE" w:rsidRPr="00627CAE" w:rsidRDefault="00627CAE" w:rsidP="00A02D7A">
      <w:pPr>
        <w:pStyle w:val="SingleTxt"/>
        <w:numPr>
          <w:ilvl w:val="0"/>
          <w:numId w:val="22"/>
        </w:numPr>
        <w:ind w:left="1267"/>
        <w:rPr>
          <w:lang w:val="es-ES_tradnl"/>
        </w:rPr>
      </w:pPr>
      <w:r w:rsidRPr="00627CAE">
        <w:rPr>
          <w:lang w:val="es-ES_tradnl"/>
        </w:rPr>
        <w:t>Además, el Gobierno financia servicios nacionales de salud mental digitales, gratuitos o de bajo costo para prestar ayuda en situaciones de crisis, teléfonos de asistencia y chat en la red, terapias en línea con apoyo clínico, programas y herramientas de educación al ritmo de los usuarios y foros de ayuda moderados por pares.</w:t>
      </w:r>
    </w:p>
    <w:p w14:paraId="1A4E7864" w14:textId="4561C971" w:rsidR="00627CAE" w:rsidRPr="00627CAE" w:rsidRDefault="00627CAE" w:rsidP="00A02D7A">
      <w:pPr>
        <w:pStyle w:val="SingleTxt"/>
        <w:numPr>
          <w:ilvl w:val="0"/>
          <w:numId w:val="22"/>
        </w:numPr>
        <w:ind w:left="1267"/>
        <w:rPr>
          <w:lang w:val="es-ES_tradnl"/>
        </w:rPr>
      </w:pPr>
      <w:r w:rsidRPr="00627CAE">
        <w:rPr>
          <w:lang w:val="es-ES_tradnl"/>
        </w:rPr>
        <w:t xml:space="preserve">El Gobierno ha destinado 888,1 millones de dólares por un período de ocho años a partir de 2024-25 para ampliar los servicios gratuitos de salud mental disponibles para todos los australianos, incluidas las mujeres. A partir de enero de 2026, los australianos tendrán acceso gratuito a un nuevo servicio digital de baja intensidad para personas con trastornos leves de salud mental, sin necesidad de derivarlas. El Gobierno ha invertido más de 80 millones de dólares de 2019-20 a 2024-25 para apoyar la detección universal de la salud mental perinatal y trabajar con los estados y los territorios para recopilar datos que permitan a los progenitores nuevos y futuros recibir atención temprana para los problemas de salud mental perinatal. </w:t>
      </w:r>
    </w:p>
    <w:p w14:paraId="4F6D4ACD" w14:textId="28F701C2" w:rsidR="00627CAE" w:rsidRPr="00627CAE" w:rsidRDefault="00627CAE" w:rsidP="00A02D7A">
      <w:pPr>
        <w:pStyle w:val="SingleTxt"/>
        <w:numPr>
          <w:ilvl w:val="0"/>
          <w:numId w:val="22"/>
        </w:numPr>
        <w:ind w:left="1267"/>
        <w:rPr>
          <w:lang w:val="es-ES_tradnl"/>
        </w:rPr>
      </w:pPr>
      <w:r w:rsidRPr="00627CAE">
        <w:rPr>
          <w:lang w:val="es-ES_tradnl"/>
        </w:rPr>
        <w:t>Con su Estrategia de Promoción de los Pueblos Indígenas, el Gobierno ha destinado cerca de 13 millones de dólares en 2024-25 para atender a la salud mental y prevenir el suicidio entre los Pueblos Indígenas, de los cuales:</w:t>
      </w:r>
    </w:p>
    <w:p w14:paraId="2EDB7656" w14:textId="59214304"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Cinco millones de dólares se han destinado para prestar atención posterior al suicidio y ayudas relacionadas a nivel nacional;</w:t>
      </w:r>
    </w:p>
    <w:p w14:paraId="34578F3E" w14:textId="0F9EB06D"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Cinco millones de dólares se han destinado a la capacitación en primeros auxilios de salud mental, incluidos cursos acreditados e impartidos a nivel </w:t>
      </w:r>
      <w:r w:rsidR="00627CAE" w:rsidRPr="00627CAE">
        <w:rPr>
          <w:lang w:val="es-ES_tradnl"/>
        </w:rPr>
        <w:lastRenderedPageBreak/>
        <w:t xml:space="preserve">nacional que están exclusivamente dirigidos a los jóvenes y al personal de proveedores de servicios que atienden a clientes jóvenes; </w:t>
      </w:r>
    </w:p>
    <w:p w14:paraId="1E1F1ABD" w14:textId="43B756ED"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Aproximadamente 2,7 millones de dólares se han destinado a los servicios de apoyo comunitarios a jóvenes y familias en Kimberley (Australia Occidental) para prevenir el suicidio.</w:t>
      </w:r>
    </w:p>
    <w:p w14:paraId="2A5176A4" w14:textId="34254724" w:rsidR="00627CAE" w:rsidRPr="00627CAE" w:rsidRDefault="00627CAE" w:rsidP="00A02D7A">
      <w:pPr>
        <w:pStyle w:val="SingleTxt"/>
        <w:numPr>
          <w:ilvl w:val="0"/>
          <w:numId w:val="22"/>
        </w:numPr>
        <w:ind w:left="1267"/>
        <w:rPr>
          <w:lang w:val="es-ES_tradnl"/>
        </w:rPr>
      </w:pPr>
      <w:r w:rsidRPr="00627CAE">
        <w:rPr>
          <w:lang w:val="es-ES_tradnl"/>
        </w:rPr>
        <w:t>En 2024-25, el Gobierno comprometió 12,8 millones de dólares de la Estrategia de Promoción de los Pueblos Indígenas para seguir ofreciendo durante otros cuatro años el programa de conexión de la juventud indígena con la cultura en regiones y zonas remotas de Australia.</w:t>
      </w:r>
    </w:p>
    <w:p w14:paraId="12412AFA" w14:textId="4D9D49E9" w:rsidR="00627CAE" w:rsidRPr="00627CAE" w:rsidRDefault="00627CAE" w:rsidP="00A02D7A">
      <w:pPr>
        <w:pStyle w:val="SingleTxt"/>
        <w:numPr>
          <w:ilvl w:val="0"/>
          <w:numId w:val="22"/>
        </w:numPr>
        <w:ind w:left="1267"/>
        <w:rPr>
          <w:lang w:val="es-ES_tradnl"/>
        </w:rPr>
      </w:pPr>
      <w:r w:rsidRPr="00627CAE">
        <w:rPr>
          <w:lang w:val="es-ES_tradnl"/>
        </w:rPr>
        <w:t>Los estados y los territorios cuentan con sus propias leyes sobre salud mental y diversas estrategias para apoyar la salud mental de las mujeres. Entre otras iniciativas, cabe citar:</w:t>
      </w:r>
    </w:p>
    <w:p w14:paraId="691A718A" w14:textId="6B6A697B"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Territorio de la Capital de Australia: la aplicación de la estrategia y el plan de acción para el personal de salud mental; el proyecto de ampliación de los servicios públicos de atención de la salud para los trastornos alimentarios; y las mejoras en los exámenes de la salud mental perinatal. La estrategia de salud para las personas con discapacidad del Territorio de la Capital Australiana para 2024-2034, que se encuentra en fase de elaboración, pretende garantizar un acceso equitativo y adecuado a la atención sanitaria, incluidos los servicios de salud mental, para estas personas; </w:t>
      </w:r>
    </w:p>
    <w:p w14:paraId="3682A83B" w14:textId="78383B60"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El acuerdo bilateral suscrito por el Territorio del Norte y el Gobierno sobre salud mental y prevención del suicidio (2022-26) prevé la ampliación de los servicios Headspace y los centros Head to Health en Katherine y Alice Springs, dedicando especial atención, entre otros, a los niños de las Primeras Naciones. El Territorio del Norte ofrece un servicio eficaz a niños y adolescentes en todo el territorio y está mejorando los servicios para niños que experimentan comportamientos sexuales nocivos. El Territorio del Norte está ampliando el acceso a servicios especializados de salud mental perinatal y promoviendo el cribado durante el período perinatal para las mujeres y las familias. El servicio de salud mental perinatal e infantil permite mejorar la equidad en el acceso, la prestación de servicios y la detección e intervención tempranas para mujeres y familias en situación vulnerable;</w:t>
      </w:r>
    </w:p>
    <w:p w14:paraId="4D7CA4E4" w14:textId="5D3F081E"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Los servicios de salud mental perinatal e infantil (PIMHS) de NSW Health en Nueva Gales del Sur proporcionan a las mujeres a punto de dar a luz con trastornos graves de salud mental servicios de enlace para consultas o atención directa, que incluyen la evaluación, el apoyo intensivo y las derivaciones a unidades especializadas en salud mental maternoinfantil o unidades generales de hospitalización para la atención de pacientes agudos. PIMHS ofrece servicios en las cárceles de mujeres y consultas de telesalud en zonas rurales y remotas. Los programas apoyan las relaciones tempranas entre progenitores e hijos cuando la enfermedad mental de los primeros afecta al apego;</w:t>
      </w:r>
    </w:p>
    <w:p w14:paraId="41CEA747" w14:textId="32433E06"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Queensland publicó su estrategia de salud para mujeres y niñas de cara a 2032, que tiene presentes todos los aspectos de su salud, incluida la salud mental. El Gobierno de Queensland financia programas de apoyo a la salud mental de mujeres y niñas, incluidas las respuestas a los trastornos alimentarios;</w:t>
      </w:r>
    </w:p>
    <w:p w14:paraId="2FF43093" w14:textId="1D70F580"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El servicio de salud para refugiados de Australia Meridional ofrece atención médica especializada a refugiados y solicitantes de asilo que acaban de entrar en el país, centrándose en las familias y personas recién llegadas con necesidades médicas y psicosociales complejas. El servicio lleva a cabo </w:t>
      </w:r>
      <w:r w:rsidR="00627CAE" w:rsidRPr="00627CAE">
        <w:rPr>
          <w:lang w:val="es-ES_tradnl"/>
        </w:rPr>
        <w:lastRenderedPageBreak/>
        <w:t>intervenciones para abordar las consecuencias físicas y psicosociales agudas y crónicas de la tortura, el trauma y la violencia de género;</w:t>
      </w:r>
    </w:p>
    <w:p w14:paraId="45F852D1" w14:textId="48B37CA5"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Tasmania apoya la salud mental y el bienestar de sus habitantes con el programa bilateral de salud mental y prevención del suicidio de los gobiernos de la Commonwealth y Tasmania (mayo de 2022), incluida la creación de un servicio de trastornos alimentarios y servicios universales de asistencia posterior;</w:t>
      </w:r>
    </w:p>
    <w:p w14:paraId="628DE67A" w14:textId="5EB5717F"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Victoria está invirtiendo en ayudas para las madres con trastornos agudos de salud mental y problemas graves de bienestar durante el período perinatal, además de ampliar su programa de salud emocional perinatal;</w:t>
      </w:r>
    </w:p>
    <w:p w14:paraId="78CFCC41" w14:textId="2E628A7C"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Australia Occidental proporciona financiación a 11 organizaciones comunitarias en el marco de su programa de subsidios para comunidades orgullosas y conectadas a fin de mejorar la conexión y fomentar la resiliencia de la comunidad LGBTIQA+, ajustándose a los resultados del marco de prevención del suicidio de Australia Occidental (2021-2025).</w:t>
      </w:r>
    </w:p>
    <w:p w14:paraId="3E00AABD" w14:textId="77777777" w:rsidR="00607D1A" w:rsidRPr="00195CF4" w:rsidRDefault="00607D1A" w:rsidP="00607D1A">
      <w:pPr>
        <w:pStyle w:val="SingleTxt"/>
        <w:spacing w:after="0" w:line="120" w:lineRule="exact"/>
        <w:rPr>
          <w:b/>
          <w:sz w:val="10"/>
          <w:lang w:val="es-ES_tradnl"/>
        </w:rPr>
      </w:pPr>
      <w:bookmarkStart w:id="280" w:name="_Toc174011731"/>
      <w:bookmarkStart w:id="281" w:name="_Toc188598274"/>
      <w:bookmarkStart w:id="282" w:name="_Toc190357171"/>
      <w:bookmarkStart w:id="283" w:name="_Toc190878955"/>
    </w:p>
    <w:p w14:paraId="1420BEA7" w14:textId="77777777" w:rsidR="00607D1A" w:rsidRPr="00195CF4" w:rsidRDefault="00607D1A" w:rsidP="00607D1A">
      <w:pPr>
        <w:pStyle w:val="SingleTxt"/>
        <w:spacing w:after="0" w:line="120" w:lineRule="exact"/>
        <w:rPr>
          <w:b/>
          <w:sz w:val="10"/>
          <w:lang w:val="es-ES_tradnl"/>
        </w:rPr>
      </w:pPr>
    </w:p>
    <w:p w14:paraId="56DBD611" w14:textId="3AA2D70C" w:rsidR="00627CAE" w:rsidRPr="00195CF4" w:rsidRDefault="00627CAE" w:rsidP="00607D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 xml:space="preserve">Mujeres transgénero </w:t>
      </w:r>
      <w:bookmarkEnd w:id="280"/>
      <w:bookmarkEnd w:id="281"/>
      <w:bookmarkEnd w:id="282"/>
      <w:bookmarkEnd w:id="283"/>
    </w:p>
    <w:p w14:paraId="18E56E72" w14:textId="77777777" w:rsidR="00607D1A" w:rsidRPr="007C0DCB" w:rsidRDefault="00607D1A" w:rsidP="00607D1A">
      <w:pPr>
        <w:pStyle w:val="SingleTxt"/>
        <w:spacing w:after="0" w:line="120" w:lineRule="exact"/>
        <w:rPr>
          <w:iCs/>
          <w:sz w:val="10"/>
          <w:lang w:val="es-ES_tradnl"/>
        </w:rPr>
      </w:pPr>
    </w:p>
    <w:p w14:paraId="639F3BC2" w14:textId="77777777" w:rsidR="00607D1A" w:rsidRPr="007C0DCB" w:rsidRDefault="00607D1A" w:rsidP="00607D1A">
      <w:pPr>
        <w:pStyle w:val="SingleTxt"/>
        <w:spacing w:after="0" w:line="120" w:lineRule="exact"/>
        <w:rPr>
          <w:iCs/>
          <w:sz w:val="10"/>
          <w:lang w:val="es-ES_tradnl"/>
        </w:rPr>
      </w:pPr>
    </w:p>
    <w:p w14:paraId="4AB03F23" w14:textId="023D1855" w:rsidR="00627CAE" w:rsidRPr="00627CAE" w:rsidRDefault="00627CAE" w:rsidP="00A02D7A">
      <w:pPr>
        <w:pStyle w:val="SingleTxt"/>
        <w:numPr>
          <w:ilvl w:val="0"/>
          <w:numId w:val="22"/>
        </w:numPr>
        <w:ind w:left="1267"/>
        <w:rPr>
          <w:lang w:val="es-ES_tradnl"/>
        </w:rPr>
      </w:pPr>
      <w:r w:rsidRPr="00627CAE">
        <w:rPr>
          <w:lang w:val="es-ES_tradnl"/>
        </w:rPr>
        <w:t>El Gobierno reconoce que el género con el que se identifican las personas o con el que las identifican sus respectivas comunidades puede ser distinto del sexo que se les asignó al nacer o durante la infancia, o puede tratarse de un género que no sea exclusivamente masculino ni femenino. La Ley sobre Discriminación Sexual prohíbe discriminar a las personas por su identidad de género en ámbitos clave de la vida pública. Nadie está obligado a obtener el reconocimiento legal de su identidad de género, a pesar de lo cual hay quienes desean dejar constancia de esa identidad en su partida de nacimiento.</w:t>
      </w:r>
    </w:p>
    <w:p w14:paraId="6673104F" w14:textId="72C61C79" w:rsidR="00627CAE" w:rsidRPr="00627CAE" w:rsidRDefault="00627CAE" w:rsidP="00A02D7A">
      <w:pPr>
        <w:pStyle w:val="SingleTxt"/>
        <w:numPr>
          <w:ilvl w:val="0"/>
          <w:numId w:val="22"/>
        </w:numPr>
        <w:ind w:left="1267"/>
        <w:rPr>
          <w:lang w:val="es-ES_tradnl"/>
        </w:rPr>
      </w:pPr>
      <w:r w:rsidRPr="00627CAE">
        <w:rPr>
          <w:lang w:val="es-ES_tradnl"/>
        </w:rPr>
        <w:t>Publicadas en 2013, las directrices del Gobierno relativas al reconocimiento del sexo y el género se aplican a todos los departamentos y organismos públicos que mantienen expedientes personales (incluidos los expedientes de los empleados) y recopilan información sobre el sexo y el género. Las directrices ayudan a los departamentos a cumplir las obligaciones derivadas de la Ley sobre Discriminación Sexual, introduciendo una norma coherente sobre los criterios de prueba necesarios para que las personas cambien o hagan constar la información relativa a su sexo y género en los expedientes personales.</w:t>
      </w:r>
    </w:p>
    <w:p w14:paraId="6745846F" w14:textId="0CE4029F" w:rsidR="00627CAE" w:rsidRPr="00627CAE" w:rsidRDefault="00627CAE" w:rsidP="00A02D7A">
      <w:pPr>
        <w:pStyle w:val="SingleTxt"/>
        <w:numPr>
          <w:ilvl w:val="0"/>
          <w:numId w:val="22"/>
        </w:numPr>
        <w:ind w:left="1267"/>
        <w:rPr>
          <w:lang w:val="es-ES_tradnl"/>
        </w:rPr>
      </w:pPr>
      <w:r w:rsidRPr="00627CAE">
        <w:rPr>
          <w:lang w:val="es-ES_tradnl"/>
        </w:rPr>
        <w:t xml:space="preserve">En 2021, la Oficina Australiana de Estadística publicó la norma de 2020 relativa a las variables del sexo, el género, las características sexuales y la orientación sexual (la Norma de la Oficina Australiana de Estadística). Según esta norma, el género hace referencia a diferencias sociales y culturales en términos de identidad, expresión y experiencia como hombre, mujer o persona no binaria. El género de una persona puede diferir de su sexo y del género que consta en sus documentos legales. Todas las administraciones de Australia se remiten a esta norma para orientar sus políticas y la recopilación de datos. </w:t>
      </w:r>
    </w:p>
    <w:p w14:paraId="70F67914" w14:textId="30240A95" w:rsidR="00627CAE" w:rsidRPr="00627CAE" w:rsidRDefault="00627CAE" w:rsidP="00A02D7A">
      <w:pPr>
        <w:pStyle w:val="SingleTxt"/>
        <w:numPr>
          <w:ilvl w:val="0"/>
          <w:numId w:val="22"/>
        </w:numPr>
        <w:ind w:left="1267"/>
        <w:rPr>
          <w:lang w:val="es-ES_tradnl"/>
        </w:rPr>
      </w:pPr>
      <w:r w:rsidRPr="00627CAE">
        <w:rPr>
          <w:lang w:val="es-ES_tradnl"/>
        </w:rPr>
        <w:t>Los estados y los territorios son responsables de promulgar las leyes relativas al registro de los cambios de género:</w:t>
      </w:r>
    </w:p>
    <w:p w14:paraId="3A8FDD8A" w14:textId="7CB3E43C"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En el Territorio de la Capital de Australia, la Ley de Registro de Nacimientos, Defunciones y Matrimonios de 1997 eliminó los criterios que exigían a las personas someterse a una cirugía de reasignación de sexo antes de poder modificar el sexo registrado. Gracias a las enmiendas introducidas en marzo de 2024, las personas podrán solicitar una modificación del sexo que consta en el registro si consideran que este no coincide con el sexo indicado en su solicitud, </w:t>
      </w:r>
      <w:r w:rsidR="00627CAE" w:rsidRPr="00627CAE">
        <w:rPr>
          <w:lang w:val="es-ES_tradnl"/>
        </w:rPr>
        <w:lastRenderedPageBreak/>
        <w:t xml:space="preserve">y sin necesidad ya de someterse a un tratamiento clínico u obtener la autorización o verificación de un profesional médico; </w:t>
      </w:r>
    </w:p>
    <w:p w14:paraId="3C32D8EA" w14:textId="1AB5E54B"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En Nueva Gales del Sur, la Ley de Registro de Nacimientos, Defunciones y Matrimonios de 1995 permite a los mayores de 18 años que se hayan sometido a un procedimiento de afirmación del sexo solicitar una modificación de su partida de nacimiento. Nueva Gales del Sur estudia en estos momentos la posibilidad de cambiar los requisitos referidos a la indicación del sexo en las partidas de nacimiento; </w:t>
      </w:r>
    </w:p>
    <w:p w14:paraId="05B8646D" w14:textId="0616907A"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En el Territorio del Norte, la Ley de Registro de Nacimientos, Defunciones y Matrimonios de 1996 permite que las personas cambien su sexo o su género sin tener que someterse previamente a tratamiento médico. Todas las solicitudes deben ir acompañadas de la declaración de un profesional médico o psicólogo que certifique que el adulto ha recibido el tratamiento clínico adecuado;</w:t>
      </w:r>
    </w:p>
    <w:p w14:paraId="0DF14DCB" w14:textId="48D554BA"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En Queensland, la Ley de Registro de Nacimientos, Defunciones y Matrimonios de 2023 ya no exige que las personas transgénero y de género diverso se sometan a una cirugía de reasignación de género para obtener el reconocimiento legal de su género. La Ley defiende la integridad física, la autonomía y la libre determinación. A partir de los 16 años, cualquier persona puede solicitar que se modifique el sexo registrado presentando una declaración acompañada de la declaración acreditativa de un adulto que conozca al solicitante como mínimo desde hace 12 meses. Los progenitores o las personas que ejerzan la custodia de un menor de 16 años pueden solicitar que se modifique su sexo registrado aportando el informe de un profesional especializado en el desarrollo que corrobore que el menor entiende las implicaciones legales de esta modificación;</w:t>
      </w:r>
    </w:p>
    <w:p w14:paraId="7D420DF4" w14:textId="4FD01125"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En Australia Meridional, la Ley de Registro de Nacimientos, Defunciones y Matrimonios de 1996 permite a las personas mayores de 18 años solicitar que se registre su nuevo sexo o identidad de género siempre que se hayan sometido al tratamiento clínico necesario, que puede consistir en asesoramiento y no implicar un tratamiento médico invasivo;</w:t>
      </w:r>
    </w:p>
    <w:p w14:paraId="6A1E4618" w14:textId="5B8AD1C8"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En Tasmania, la Ley de Registro de Nacimientos, Defunciones y Matrimonios de 1999 permite registrar la identidad de género mediante la autoidentificación, sin necesidad de recibir tratamiento médico. Las partidas de nacimiento se pueden expedir indicando el género de preferencia o no;</w:t>
      </w:r>
    </w:p>
    <w:p w14:paraId="2673FBAF" w14:textId="02E088EF"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En Victoria, la Ley de Registro de Nacimientos, Defunciones y Matrimonios de 1996 ya no exige que las personas se sometan a una cirugía de reasignación de sexo para solicitar una modificación del sexo que consta en el registro, tal como disponen las directrices publicadas para los servicios sanitarios sobre la recopilación y notificación inclusivas de los datos relativos al sexo y el género;</w:t>
      </w:r>
    </w:p>
    <w:p w14:paraId="4A8B30CE" w14:textId="12FEB770" w:rsidR="00627CAE" w:rsidRPr="00627CAE" w:rsidRDefault="00607D1A" w:rsidP="00607D1A">
      <w:pPr>
        <w:pStyle w:val="SingleTxt"/>
        <w:tabs>
          <w:tab w:val="right" w:pos="1685"/>
        </w:tabs>
        <w:ind w:left="1742" w:hanging="475"/>
        <w:rPr>
          <w:lang w:val="es-ES_tradnl"/>
        </w:rPr>
      </w:pPr>
      <w:r w:rsidRPr="007C0DCB">
        <w:rPr>
          <w:lang w:val="es-ES_tradnl"/>
        </w:rPr>
        <w:tab/>
        <w:t>•</w:t>
      </w:r>
      <w:r w:rsidR="00627CAE" w:rsidRPr="00627CAE">
        <w:rPr>
          <w:lang w:val="es-ES_tradnl"/>
        </w:rPr>
        <w:tab/>
        <w:t>En Australia Occidental, la Ley de Enmienda del Registro de Nacimientos, Defunciones y Matrimonios de 2024 (Cambios de Sexo o Género) abolió la Junta de Reasignación de Género en abril de 2024 e introdujo un proceso administrativo simplificado para el reconocimiento del sexo y el género. Ninguna persona está obligada a someterse a una operación médica o quirúrgica de reasignación del sexo para cambiar el sexo o el género que consta en su partida de nacimiento. Basta con aportar la declaración de un médico o psicólogo que certifique que la persona ha recibido el tratamiento clínico adecuado, que puede consistir en asesoramiento.</w:t>
      </w:r>
    </w:p>
    <w:p w14:paraId="5501FB29" w14:textId="77777777" w:rsidR="00607D1A" w:rsidRPr="00195CF4" w:rsidRDefault="00607D1A">
      <w:pPr>
        <w:suppressAutoHyphens w:val="0"/>
        <w:spacing w:after="160" w:line="259" w:lineRule="auto"/>
        <w:rPr>
          <w:b/>
          <w:kern w:val="14"/>
          <w:lang w:val="es-ES_tradnl"/>
        </w:rPr>
      </w:pPr>
      <w:bookmarkStart w:id="284" w:name="_Toc174011732"/>
      <w:bookmarkStart w:id="285" w:name="_Toc188598275"/>
      <w:bookmarkStart w:id="286" w:name="_Toc190357172"/>
      <w:bookmarkStart w:id="287" w:name="_Toc190878956"/>
      <w:r w:rsidRPr="00195CF4">
        <w:rPr>
          <w:b/>
          <w:lang w:val="es-ES_tradnl"/>
        </w:rPr>
        <w:br w:type="page"/>
      </w:r>
    </w:p>
    <w:p w14:paraId="58DC2C92" w14:textId="4384E107" w:rsidR="00627CAE" w:rsidRPr="00195CF4" w:rsidRDefault="00627CAE" w:rsidP="00607D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lastRenderedPageBreak/>
        <w:tab/>
      </w:r>
      <w:r w:rsidRPr="00195CF4">
        <w:rPr>
          <w:lang w:val="es-ES_tradnl"/>
        </w:rPr>
        <w:tab/>
        <w:t>Prestación de servicios de atención de la salud sin discriminación, apropiados desde el punto de vista cultural y sensibles al género, y</w:t>
      </w:r>
      <w:r w:rsidR="0023428B">
        <w:rPr>
          <w:lang w:val="es-ES_tradnl"/>
        </w:rPr>
        <w:t> </w:t>
      </w:r>
      <w:r w:rsidRPr="00195CF4">
        <w:rPr>
          <w:lang w:val="es-ES_tradnl"/>
        </w:rPr>
        <w:t>capacitación de los profesionales indígenas del sector de la salud</w:t>
      </w:r>
      <w:bookmarkEnd w:id="284"/>
      <w:bookmarkEnd w:id="285"/>
      <w:bookmarkEnd w:id="286"/>
      <w:bookmarkEnd w:id="287"/>
    </w:p>
    <w:p w14:paraId="350071A3" w14:textId="77777777" w:rsidR="00E42CB7" w:rsidRPr="007C0DCB" w:rsidRDefault="00E42CB7" w:rsidP="00E42CB7">
      <w:pPr>
        <w:pStyle w:val="SingleTxt"/>
        <w:spacing w:after="0" w:line="120" w:lineRule="exact"/>
        <w:rPr>
          <w:iCs/>
          <w:sz w:val="10"/>
          <w:lang w:val="es-ES_tradnl"/>
        </w:rPr>
      </w:pPr>
    </w:p>
    <w:p w14:paraId="4084A7C6" w14:textId="77777777" w:rsidR="00E42CB7" w:rsidRPr="007C0DCB" w:rsidRDefault="00E42CB7" w:rsidP="00E42CB7">
      <w:pPr>
        <w:pStyle w:val="SingleTxt"/>
        <w:spacing w:after="0" w:line="120" w:lineRule="exact"/>
        <w:rPr>
          <w:iCs/>
          <w:sz w:val="10"/>
          <w:lang w:val="es-ES_tradnl"/>
        </w:rPr>
      </w:pPr>
    </w:p>
    <w:p w14:paraId="11A6BFCC" w14:textId="19B63FD8" w:rsidR="00627CAE" w:rsidRPr="00627CAE" w:rsidRDefault="00627CAE" w:rsidP="00A02D7A">
      <w:pPr>
        <w:pStyle w:val="SingleTxt"/>
        <w:numPr>
          <w:ilvl w:val="0"/>
          <w:numId w:val="22"/>
        </w:numPr>
        <w:ind w:left="1267"/>
        <w:rPr>
          <w:lang w:val="es-ES_tradnl"/>
        </w:rPr>
      </w:pPr>
      <w:r w:rsidRPr="00627CAE">
        <w:rPr>
          <w:lang w:val="es-ES_tradnl"/>
        </w:rPr>
        <w:t>El Gobierno ha realizado inversiones y reformas sanitarias que responden a las cuestiones culturales y de género, como por ejemplo:</w:t>
      </w:r>
    </w:p>
    <w:p w14:paraId="4518B805" w14:textId="0B7AAF81" w:rsidR="00627CAE" w:rsidRPr="00627CAE" w:rsidRDefault="00E42CB7" w:rsidP="00E42CB7">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3,5 millones de dólares durante cuatro años a partir de 2024-25 (y 0,4 millones de dólares al año de forma indefinida) para ampliar el Plan de Indemnización Profesional de las Matronas, de modo que los programas </w:t>
      </w:r>
      <w:r w:rsidR="00285E6B">
        <w:rPr>
          <w:lang w:val="es-ES_tradnl"/>
        </w:rPr>
        <w:t>“</w:t>
      </w:r>
      <w:r w:rsidR="00627CAE" w:rsidRPr="00627CAE">
        <w:rPr>
          <w:lang w:val="es-ES_tradnl"/>
        </w:rPr>
        <w:t>Birthing on Country</w:t>
      </w:r>
      <w:r w:rsidR="00285E6B">
        <w:rPr>
          <w:lang w:val="es-ES_tradnl"/>
        </w:rPr>
        <w:t>”</w:t>
      </w:r>
      <w:r w:rsidR="00627CAE" w:rsidRPr="00627CAE">
        <w:rPr>
          <w:vertAlign w:val="superscript"/>
          <w:lang w:val="es-ES_tradnl"/>
        </w:rPr>
        <w:footnoteReference w:id="41"/>
      </w:r>
      <w:r w:rsidR="00627CAE" w:rsidRPr="00627CAE">
        <w:rPr>
          <w:lang w:val="es-ES_tradnl"/>
        </w:rPr>
        <w:t xml:space="preserve"> puedan contratar a matronas preparadas para prestar cuidados de partería continuos y respetuosos de la cultura de las parturientas, y así mejorar los resultados de salud de las mujeres y los bebés de las Primeras Naciones; </w:t>
      </w:r>
    </w:p>
    <w:p w14:paraId="60587985" w14:textId="10160440" w:rsidR="00627CAE" w:rsidRPr="00627CAE" w:rsidRDefault="00E42CB7" w:rsidP="00E42CB7">
      <w:pPr>
        <w:pStyle w:val="SingleTxt"/>
        <w:tabs>
          <w:tab w:val="right" w:pos="1685"/>
        </w:tabs>
        <w:ind w:left="1742" w:hanging="475"/>
        <w:rPr>
          <w:lang w:val="es-ES_tradnl"/>
        </w:rPr>
      </w:pPr>
      <w:r w:rsidRPr="007C0DCB">
        <w:rPr>
          <w:lang w:val="es-ES_tradnl"/>
        </w:rPr>
        <w:tab/>
        <w:t>•</w:t>
      </w:r>
      <w:r w:rsidR="00627CAE" w:rsidRPr="00627CAE">
        <w:rPr>
          <w:lang w:val="es-ES_tradnl"/>
        </w:rPr>
        <w:tab/>
        <w:t>12,5 millones de dólares por un período de cuatro años destinados a la National Aboriginal Community Controlled Health Organisation (NACCHO) para facilitar la distribución comunitaria de productos para la menstruación en comunidades indígenas regionales y remotas donde estos artículos resultan caros y de difícil acceso para las mujeres y niñas de las Primeras Naciones.</w:t>
      </w:r>
    </w:p>
    <w:p w14:paraId="3D3ADE20" w14:textId="6D7E061D" w:rsidR="00627CAE" w:rsidRPr="00627CAE" w:rsidRDefault="00627CAE" w:rsidP="00A02D7A">
      <w:pPr>
        <w:pStyle w:val="SingleTxt"/>
        <w:numPr>
          <w:ilvl w:val="0"/>
          <w:numId w:val="22"/>
        </w:numPr>
        <w:ind w:left="1267"/>
        <w:rPr>
          <w:lang w:val="es-ES_tradnl"/>
        </w:rPr>
      </w:pPr>
      <w:r w:rsidRPr="00627CAE">
        <w:rPr>
          <w:lang w:val="es-ES_tradnl"/>
        </w:rPr>
        <w:t>Con el Marco Estratégico Nacional para el Personal Sanitario Aborigen e Isleño del Estrecho de Torres y el Plan de Implementación (2021-2031) se abordan las barreras estructurales, sistémicas, institucionales y personales que impiden contratar y retener a personas de las Primeras Naciones en el sector de la salud.</w:t>
      </w:r>
    </w:p>
    <w:p w14:paraId="1668404D" w14:textId="0BBDA5D4" w:rsidR="00627CAE" w:rsidRPr="00627CAE" w:rsidRDefault="00627CAE" w:rsidP="00A02D7A">
      <w:pPr>
        <w:pStyle w:val="SingleTxt"/>
        <w:numPr>
          <w:ilvl w:val="0"/>
          <w:numId w:val="22"/>
        </w:numPr>
        <w:ind w:left="1267"/>
        <w:rPr>
          <w:lang w:val="es-ES_tradnl"/>
        </w:rPr>
      </w:pPr>
      <w:r w:rsidRPr="00627CAE">
        <w:rPr>
          <w:lang w:val="es-ES_tradnl"/>
        </w:rPr>
        <w:t>El Gobierno aumentará el número de trabajadores de la salud indígenas en todos los niveles, funciones y ubicaciones para acabar con el racismo y crear capacidad para brindar a los Pueblos Indígenas (incluidas las comunidades multiculturales) una atención sanitaria adecuada y respetuosa de la cultura que además tenga presente el trauma:</w:t>
      </w:r>
    </w:p>
    <w:p w14:paraId="3877992C" w14:textId="3797B971" w:rsidR="00627CAE" w:rsidRPr="00627CAE" w:rsidRDefault="00E42CB7" w:rsidP="00E42CB7">
      <w:pPr>
        <w:pStyle w:val="SingleTxt"/>
        <w:tabs>
          <w:tab w:val="right" w:pos="1685"/>
        </w:tabs>
        <w:ind w:left="1742" w:hanging="475"/>
        <w:rPr>
          <w:lang w:val="es-ES_tradnl"/>
        </w:rPr>
      </w:pPr>
      <w:r w:rsidRPr="007C0DCB">
        <w:rPr>
          <w:lang w:val="es-ES_tradnl"/>
        </w:rPr>
        <w:tab/>
        <w:t>•</w:t>
      </w:r>
      <w:r w:rsidR="00627CAE" w:rsidRPr="00627CAE">
        <w:rPr>
          <w:lang w:val="es-ES_tradnl"/>
        </w:rPr>
        <w:tab/>
        <w:t>54,3 millones de dólares durante cinco años (de 2022-23 a 2026-27) para que NACCHO ofrezca un programa de prácticas a trabajadores de la salud de las Primeras Naciones a fin de ayudar a un máximo de 500 aprendices indígenas a obtener las cualificaciones necesarias para trabajar en diversos entornos sanitarios y prestar una atención adecuada a la cultura de los Pueblos Indígenas;</w:t>
      </w:r>
    </w:p>
    <w:p w14:paraId="5F3C0699" w14:textId="2EAE810C" w:rsidR="00627CAE" w:rsidRPr="00627CAE" w:rsidRDefault="00E42CB7" w:rsidP="00E42CB7">
      <w:pPr>
        <w:pStyle w:val="SingleTxt"/>
        <w:tabs>
          <w:tab w:val="right" w:pos="1685"/>
        </w:tabs>
        <w:ind w:left="1742" w:hanging="475"/>
        <w:rPr>
          <w:lang w:val="es-ES_tradnl"/>
        </w:rPr>
      </w:pPr>
      <w:r w:rsidRPr="007C0DCB">
        <w:rPr>
          <w:lang w:val="es-ES_tradnl"/>
        </w:rPr>
        <w:tab/>
        <w:t>•</w:t>
      </w:r>
      <w:r w:rsidR="00627CAE" w:rsidRPr="00627CAE">
        <w:rPr>
          <w:lang w:val="es-ES_tradnl"/>
        </w:rPr>
        <w:tab/>
        <w:t>52,9 millones de dólares durante cuatro años (de 2022-23 a 2025-26) destinados a organizaciones de profesionales de la salud de las Primeras Naciones para apoyar y formar a personal sanitario indígena;</w:t>
      </w:r>
    </w:p>
    <w:p w14:paraId="1CD5FEB7" w14:textId="586182B6" w:rsidR="00627CAE" w:rsidRPr="00627CAE" w:rsidRDefault="00E42CB7" w:rsidP="00E42CB7">
      <w:pPr>
        <w:pStyle w:val="SingleTxt"/>
        <w:tabs>
          <w:tab w:val="right" w:pos="1685"/>
        </w:tabs>
        <w:ind w:left="1742" w:hanging="475"/>
        <w:rPr>
          <w:lang w:val="es-ES_tradnl"/>
        </w:rPr>
      </w:pPr>
      <w:r w:rsidRPr="007C0DCB">
        <w:rPr>
          <w:lang w:val="es-ES_tradnl"/>
        </w:rPr>
        <w:tab/>
        <w:t>•</w:t>
      </w:r>
      <w:r w:rsidR="00627CAE" w:rsidRPr="00627CAE">
        <w:rPr>
          <w:lang w:val="es-ES_tradnl"/>
        </w:rPr>
        <w:tab/>
        <w:t>197,9 millones de dólares para que NACCHO contrate hasta 260 nuevos puestos en los servicios de salud controlados por las comunidades indígenas con miras a ofrecer tratamientos contra el cáncer y otras ayudas, como actividades de promoción de la salud, asistencia a los pacientes para recibir atención oncológica tras el diagnóstico, y acceso a tratamientos y atención tradicionales.</w:t>
      </w:r>
    </w:p>
    <w:p w14:paraId="589971DE" w14:textId="39D32847" w:rsidR="00627CAE" w:rsidRPr="00627CAE" w:rsidRDefault="00627CAE" w:rsidP="00A02D7A">
      <w:pPr>
        <w:pStyle w:val="SingleTxt"/>
        <w:numPr>
          <w:ilvl w:val="0"/>
          <w:numId w:val="22"/>
        </w:numPr>
        <w:ind w:left="1267"/>
        <w:rPr>
          <w:lang w:val="es-ES_tradnl"/>
        </w:rPr>
      </w:pPr>
      <w:r w:rsidRPr="00627CAE">
        <w:rPr>
          <w:lang w:val="es-ES_tradnl"/>
        </w:rPr>
        <w:t xml:space="preserve">Algunas estrategias e iniciativas estatales y territoriales para prestar una atención de la salud sin discriminación, apropiada desde el punto de vista cultural y sensible al género, y para ayudar a los profesionales sanitarios indígenas son: </w:t>
      </w:r>
    </w:p>
    <w:p w14:paraId="11B2451E" w14:textId="0D481620" w:rsidR="00627CAE" w:rsidRPr="00627CAE" w:rsidRDefault="00E42CB7" w:rsidP="00E42CB7">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Nueva Gales del Sur financia desde 2011 el programa de prácticas para aborígenes en el sector de la salud (Aboriginal Allied Health Cadetship) y la dependencia de capacitación y apoyo del Instituto de Educación y Formación Sanitaria para proporcionar una educación y una asistencia que tengan en cuenta las diferencias culturales y con base empírica al personal que trabaja en el </w:t>
      </w:r>
      <w:r w:rsidR="00627CAE" w:rsidRPr="00627CAE">
        <w:rPr>
          <w:lang w:val="es-ES_tradnl"/>
        </w:rPr>
        <w:lastRenderedPageBreak/>
        <w:t>Sevicio Aborigen de Salud Maternoinfantil y en los equipos del programa Building Strong Foundations;</w:t>
      </w:r>
    </w:p>
    <w:p w14:paraId="7F123FD9" w14:textId="0DDA7A8B" w:rsidR="00627CAE" w:rsidRPr="00627CAE" w:rsidRDefault="00E42CB7" w:rsidP="00E42CB7">
      <w:pPr>
        <w:pStyle w:val="SingleTxt"/>
        <w:tabs>
          <w:tab w:val="right" w:pos="1685"/>
        </w:tabs>
        <w:ind w:left="1742" w:hanging="475"/>
        <w:rPr>
          <w:lang w:val="es-ES_tradnl"/>
        </w:rPr>
      </w:pPr>
      <w:r w:rsidRPr="007C0DCB">
        <w:rPr>
          <w:lang w:val="es-ES_tradnl"/>
        </w:rPr>
        <w:tab/>
        <w:t>•</w:t>
      </w:r>
      <w:r w:rsidR="00627CAE" w:rsidRPr="00627CAE">
        <w:rPr>
          <w:lang w:val="es-ES_tradnl"/>
        </w:rPr>
        <w:tab/>
        <w:t>Tasmania lleva a cabo iniciativas en el marco del Plan de Acción para mejorar el respeto a la cultura aborigen en todo el sistema de salud de Tasmania (2020-2026), entre otras cosas para aumentar la capacidad de los funcionarios de enlace sanitarios aborígenes y el establecimiento de un programa piloto de prácticas para trabajadores de salud aborígenes;</w:t>
      </w:r>
    </w:p>
    <w:p w14:paraId="7A28719F" w14:textId="03FDFF70" w:rsidR="00627CAE" w:rsidRPr="00627CAE" w:rsidRDefault="00E42CB7" w:rsidP="00E42CB7">
      <w:pPr>
        <w:pStyle w:val="SingleTxt"/>
        <w:tabs>
          <w:tab w:val="right" w:pos="1685"/>
        </w:tabs>
        <w:ind w:left="1742" w:hanging="475"/>
        <w:rPr>
          <w:lang w:val="es-ES_tradnl"/>
        </w:rPr>
      </w:pPr>
      <w:r w:rsidRPr="007C0DCB">
        <w:rPr>
          <w:lang w:val="es-ES_tradnl"/>
        </w:rPr>
        <w:tab/>
        <w:t>•</w:t>
      </w:r>
      <w:r w:rsidR="00627CAE" w:rsidRPr="00627CAE">
        <w:rPr>
          <w:lang w:val="es-ES_tradnl"/>
        </w:rPr>
        <w:tab/>
        <w:t>Australia Occidental creó varias plazas de funcionarios especializados en la atención médica a los indígenas para trabajar con los proveedores de servicios de salud del estado; el programa de prácticas para aborígenes (Aboriginal Cadetship), que ofrece a los estudiantes universitarios aborígenes la oportunidad de realizar prácticas remuneradas en el sistema de salud de Australia Occidental; el Programa de Excelencia y Desarrollo del Liderazgo Aborigen en el Sector de la Salud forma a los líderes indígenas con talento en el sistema de salud de Australia Occidental para ocupar puestos de alta dirección y ejecutivos.</w:t>
      </w:r>
    </w:p>
    <w:p w14:paraId="3EE1346C" w14:textId="77777777" w:rsidR="00E42CB7" w:rsidRPr="00195CF4" w:rsidRDefault="00E42CB7" w:rsidP="00E42CB7">
      <w:pPr>
        <w:pStyle w:val="SingleTxt"/>
        <w:spacing w:after="0" w:line="120" w:lineRule="exact"/>
        <w:rPr>
          <w:b/>
          <w:sz w:val="10"/>
          <w:lang w:val="es-ES_tradnl"/>
        </w:rPr>
      </w:pPr>
      <w:bookmarkStart w:id="288" w:name="_Toc188598276"/>
      <w:bookmarkStart w:id="289" w:name="_Toc190357173"/>
      <w:bookmarkStart w:id="290" w:name="_Toc190878957"/>
      <w:bookmarkStart w:id="291" w:name="_Toc174011733"/>
    </w:p>
    <w:p w14:paraId="2EDD8978" w14:textId="77777777" w:rsidR="00E42CB7" w:rsidRPr="00195CF4" w:rsidRDefault="00E42CB7" w:rsidP="00E42CB7">
      <w:pPr>
        <w:pStyle w:val="SingleTxt"/>
        <w:spacing w:after="0" w:line="120" w:lineRule="exact"/>
        <w:rPr>
          <w:b/>
          <w:sz w:val="10"/>
          <w:lang w:val="es-ES_tradnl"/>
        </w:rPr>
      </w:pPr>
    </w:p>
    <w:p w14:paraId="7C9BE276" w14:textId="60A4D71E" w:rsidR="00627CAE" w:rsidRPr="00195CF4" w:rsidRDefault="00627CAE" w:rsidP="00E42C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 xml:space="preserve">Marco nacional para la salud mental y el bienestar de los pueblos de las Primeras Naciones </w:t>
      </w:r>
      <w:bookmarkEnd w:id="288"/>
      <w:bookmarkEnd w:id="289"/>
      <w:bookmarkEnd w:id="290"/>
      <w:bookmarkEnd w:id="291"/>
    </w:p>
    <w:p w14:paraId="324070A9" w14:textId="77777777" w:rsidR="00E42CB7" w:rsidRPr="007C0DCB" w:rsidRDefault="00E42CB7" w:rsidP="00E42CB7">
      <w:pPr>
        <w:pStyle w:val="SingleTxt"/>
        <w:spacing w:after="0" w:line="120" w:lineRule="exact"/>
        <w:rPr>
          <w:iCs/>
          <w:sz w:val="10"/>
          <w:lang w:val="es-ES_tradnl"/>
        </w:rPr>
      </w:pPr>
    </w:p>
    <w:p w14:paraId="360D44F5" w14:textId="77777777" w:rsidR="00E42CB7" w:rsidRPr="007C0DCB" w:rsidRDefault="00E42CB7" w:rsidP="00E42CB7">
      <w:pPr>
        <w:pStyle w:val="SingleTxt"/>
        <w:spacing w:after="0" w:line="120" w:lineRule="exact"/>
        <w:rPr>
          <w:iCs/>
          <w:sz w:val="10"/>
          <w:lang w:val="es-ES_tradnl"/>
        </w:rPr>
      </w:pPr>
    </w:p>
    <w:p w14:paraId="034BB2E5" w14:textId="567A6058" w:rsidR="00627CAE" w:rsidRPr="00627CAE" w:rsidRDefault="00627CAE" w:rsidP="00A02D7A">
      <w:pPr>
        <w:pStyle w:val="SingleTxt"/>
        <w:numPr>
          <w:ilvl w:val="0"/>
          <w:numId w:val="22"/>
        </w:numPr>
        <w:ind w:left="1267"/>
        <w:rPr>
          <w:lang w:val="es-ES_tradnl"/>
        </w:rPr>
      </w:pPr>
      <w:r w:rsidRPr="00627CAE">
        <w:rPr>
          <w:lang w:val="es-ES_tradnl"/>
        </w:rPr>
        <w:t xml:space="preserve">El Gobierno participa activamente en la alianza para las políticas de bienestar social y emocional, cuyo objetivo es mejorar el bienestar social y emocional y la salud mental, y reducir las tasas de suicidio en las comunidades indígenas: </w:t>
      </w:r>
    </w:p>
    <w:p w14:paraId="0A1AAF92" w14:textId="129243B3" w:rsidR="00627CAE" w:rsidRPr="00627CAE" w:rsidRDefault="00E42CB7" w:rsidP="00E42CB7">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El 3 de agosto de 2023, esta alianza creó un grupo de trabajo responsable de actualizar el Marco Estratégico Nacional para la Salud Mental y el Bienestar Social y Emocional de los Aborígenes e Isleños del Estrecho de Torres (2017-2023). El Gobierno aportó fondos para facilitar el proceso de actualización y planificación de la implementación. </w:t>
      </w:r>
    </w:p>
    <w:p w14:paraId="3CCE263E" w14:textId="501C3AA4" w:rsidR="00627CAE" w:rsidRPr="00627CAE" w:rsidRDefault="00627CAE" w:rsidP="00A02D7A">
      <w:pPr>
        <w:pStyle w:val="SingleTxt"/>
        <w:numPr>
          <w:ilvl w:val="0"/>
          <w:numId w:val="22"/>
        </w:numPr>
        <w:ind w:left="1267"/>
        <w:rPr>
          <w:lang w:val="es-ES_tradnl"/>
        </w:rPr>
      </w:pPr>
      <w:r w:rsidRPr="00627CAE">
        <w:rPr>
          <w:lang w:val="es-ES_tradnl"/>
        </w:rPr>
        <w:t xml:space="preserve">El Plan Nacional y el Plan de Acción para los Aborígenes e Isleños del Estrecho de Torres reconocen la repercusión que ha tenido la colonización en los Pueblos Indígenas, incluido el trauma intergeneracional. El objetivo para el segundo ámbito de reforma del Plan de Acción para los Aborígenes e Isleños del Estrecho de Torres, denominado </w:t>
      </w:r>
      <w:r w:rsidR="00285E6B">
        <w:rPr>
          <w:lang w:val="es-ES_tradnl"/>
        </w:rPr>
        <w:t>“</w:t>
      </w:r>
      <w:r w:rsidRPr="00627CAE">
        <w:rPr>
          <w:lang w:val="es-ES_tradnl"/>
        </w:rPr>
        <w:t>Fuerza, resiliencia y curación terapéutica</w:t>
      </w:r>
      <w:r w:rsidR="00285E6B">
        <w:rPr>
          <w:lang w:val="es-ES_tradnl"/>
        </w:rPr>
        <w:t>”</w:t>
      </w:r>
      <w:r w:rsidRPr="00627CAE">
        <w:rPr>
          <w:lang w:val="es-ES_tradnl"/>
        </w:rPr>
        <w:t>, es:</w:t>
      </w:r>
    </w:p>
    <w:p w14:paraId="4B9DFDD1" w14:textId="456E97BF" w:rsidR="00627CAE" w:rsidRPr="00627CAE" w:rsidRDefault="00E42CB7" w:rsidP="00E42CB7">
      <w:pPr>
        <w:pStyle w:val="SingleTxt"/>
        <w:tabs>
          <w:tab w:val="right" w:pos="1685"/>
        </w:tabs>
        <w:ind w:left="1742" w:hanging="475"/>
        <w:rPr>
          <w:lang w:val="es-ES_tradnl"/>
        </w:rPr>
      </w:pPr>
      <w:r w:rsidRPr="007C0DCB">
        <w:rPr>
          <w:lang w:val="es-ES_tradnl"/>
        </w:rPr>
        <w:tab/>
        <w:t>•</w:t>
      </w:r>
      <w:r w:rsidR="00627CAE" w:rsidRPr="00627CAE">
        <w:rPr>
          <w:lang w:val="es-ES_tradnl"/>
        </w:rPr>
        <w:tab/>
        <w:t>Prestar servicios de prevención primaria, intervención temprana, respuesta y recuperación que tengan en cuenta el trauma, cuyo objetivo principal sea la curación, que sean respetuosos de la cultura y estén basados en el lugar donde se prestan y centrados en la familia;</w:t>
      </w:r>
    </w:p>
    <w:p w14:paraId="071F1BA9" w14:textId="70DE555D" w:rsidR="00627CAE" w:rsidRPr="00627CAE" w:rsidRDefault="00E42CB7" w:rsidP="00E42CB7">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Desarrollar conocimientos y prácticas culturales por y para los Pueblos Indígenas a fin de abordar los efectos del trauma intergeneracional; </w:t>
      </w:r>
    </w:p>
    <w:p w14:paraId="4F74E8FA" w14:textId="66772BE0" w:rsidR="00627CAE" w:rsidRPr="00627CAE" w:rsidRDefault="00E42CB7" w:rsidP="00E42CB7">
      <w:pPr>
        <w:pStyle w:val="SingleTxt"/>
        <w:tabs>
          <w:tab w:val="right" w:pos="1685"/>
        </w:tabs>
        <w:ind w:left="1742" w:hanging="475"/>
        <w:rPr>
          <w:lang w:val="es-ES_tradnl"/>
        </w:rPr>
      </w:pPr>
      <w:r w:rsidRPr="007C0DCB">
        <w:rPr>
          <w:lang w:val="es-ES_tradnl"/>
        </w:rPr>
        <w:tab/>
        <w:t>•</w:t>
      </w:r>
      <w:r w:rsidR="00627CAE" w:rsidRPr="00627CAE">
        <w:rPr>
          <w:lang w:val="es-ES_tradnl"/>
        </w:rPr>
        <w:tab/>
        <w:t>Priorizar la salud y el bienestar.</w:t>
      </w:r>
    </w:p>
    <w:p w14:paraId="531A9CB4" w14:textId="7CBDBE01" w:rsidR="00627CAE" w:rsidRPr="00627CAE" w:rsidRDefault="00627CAE" w:rsidP="00A02D7A">
      <w:pPr>
        <w:pStyle w:val="SingleTxt"/>
        <w:numPr>
          <w:ilvl w:val="0"/>
          <w:numId w:val="22"/>
        </w:numPr>
        <w:ind w:left="1267"/>
        <w:rPr>
          <w:lang w:val="es-ES_tradnl"/>
        </w:rPr>
      </w:pPr>
      <w:r w:rsidRPr="00627CAE">
        <w:rPr>
          <w:lang w:val="es-ES_tradnl"/>
        </w:rPr>
        <w:t>El Gobierno se ha comprometido con Cerrar la Brecha y financia programas en colaboración con las comunidades para ofrecer oportunidades fundamentales para recuperarse del trauma, incluido el programa Healing for Families, que ofrece ayuda para la curación de las familias basada en la cultura y el trauma, como asesoramiento y terapia, ayudas económicas y orientación. El programa reconoce la importancia de las mujeres de las Primeras Naciones para garantizar la fortaleza y el bienestar de sus familias y comunidades, al tiempo que trabaja para hacer frente a los índices desproporcionadamente altos de violencia que sufren.</w:t>
      </w:r>
    </w:p>
    <w:p w14:paraId="2869440C" w14:textId="77777777" w:rsidR="00E42CB7" w:rsidRPr="00195CF4" w:rsidRDefault="00E42CB7">
      <w:pPr>
        <w:suppressAutoHyphens w:val="0"/>
        <w:spacing w:after="160" w:line="259" w:lineRule="auto"/>
        <w:rPr>
          <w:b/>
          <w:kern w:val="14"/>
          <w:lang w:val="es-ES_tradnl"/>
        </w:rPr>
      </w:pPr>
      <w:bookmarkStart w:id="292" w:name="_Toc174011734"/>
      <w:bookmarkStart w:id="293" w:name="_Toc190878958"/>
      <w:r w:rsidRPr="00195CF4">
        <w:rPr>
          <w:b/>
          <w:lang w:val="es-ES_tradnl"/>
        </w:rPr>
        <w:br w:type="page"/>
      </w:r>
    </w:p>
    <w:p w14:paraId="3EFA9615" w14:textId="162F1C9C" w:rsidR="00627CAE" w:rsidRPr="00195CF4" w:rsidRDefault="00627CAE" w:rsidP="00E42C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lastRenderedPageBreak/>
        <w:tab/>
      </w:r>
      <w:r w:rsidRPr="00195CF4">
        <w:rPr>
          <w:lang w:val="es-ES_tradnl"/>
        </w:rPr>
        <w:tab/>
        <w:t xml:space="preserve">Pregunta 20: Prestaciones sociales y económicas </w:t>
      </w:r>
      <w:bookmarkEnd w:id="292"/>
      <w:bookmarkEnd w:id="293"/>
    </w:p>
    <w:p w14:paraId="07D8F6E5" w14:textId="77777777" w:rsidR="00E42CB7" w:rsidRPr="00195CF4" w:rsidRDefault="00E42CB7" w:rsidP="00E42CB7">
      <w:pPr>
        <w:pStyle w:val="SingleTxt"/>
        <w:spacing w:after="0" w:line="120" w:lineRule="exact"/>
        <w:rPr>
          <w:b/>
          <w:sz w:val="10"/>
          <w:lang w:val="es-ES_tradnl"/>
        </w:rPr>
      </w:pPr>
      <w:bookmarkStart w:id="294" w:name="_Toc174011735"/>
      <w:bookmarkStart w:id="295" w:name="_Toc188598278"/>
      <w:bookmarkStart w:id="296" w:name="_Toc190357175"/>
      <w:bookmarkStart w:id="297" w:name="_Toc190878959"/>
    </w:p>
    <w:p w14:paraId="57F21E79" w14:textId="77777777" w:rsidR="00E42CB7" w:rsidRPr="00195CF4" w:rsidRDefault="00E42CB7" w:rsidP="00E42CB7">
      <w:pPr>
        <w:pStyle w:val="SingleTxt"/>
        <w:spacing w:after="0" w:line="120" w:lineRule="exact"/>
        <w:rPr>
          <w:b/>
          <w:sz w:val="10"/>
          <w:lang w:val="es-ES_tradnl"/>
        </w:rPr>
      </w:pPr>
    </w:p>
    <w:p w14:paraId="2E5C84AA" w14:textId="29846A63" w:rsidR="00627CAE" w:rsidRPr="00195CF4" w:rsidRDefault="00627CAE" w:rsidP="00E42C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Garantizar un nivel de vida adecuado</w:t>
      </w:r>
      <w:bookmarkEnd w:id="294"/>
      <w:bookmarkEnd w:id="295"/>
      <w:bookmarkEnd w:id="296"/>
      <w:bookmarkEnd w:id="297"/>
    </w:p>
    <w:p w14:paraId="139C5071" w14:textId="77777777" w:rsidR="00E42CB7" w:rsidRPr="007C0DCB" w:rsidRDefault="00E42CB7" w:rsidP="00E42CB7">
      <w:pPr>
        <w:pStyle w:val="SingleTxt"/>
        <w:spacing w:after="0" w:line="120" w:lineRule="exact"/>
        <w:rPr>
          <w:iCs/>
          <w:sz w:val="10"/>
          <w:lang w:val="es-ES_tradnl"/>
        </w:rPr>
      </w:pPr>
    </w:p>
    <w:p w14:paraId="569C43A5" w14:textId="77777777" w:rsidR="00E42CB7" w:rsidRPr="007C0DCB" w:rsidRDefault="00E42CB7" w:rsidP="00E42CB7">
      <w:pPr>
        <w:pStyle w:val="SingleTxt"/>
        <w:spacing w:after="0" w:line="120" w:lineRule="exact"/>
        <w:rPr>
          <w:iCs/>
          <w:sz w:val="10"/>
          <w:lang w:val="es-ES_tradnl"/>
        </w:rPr>
      </w:pPr>
    </w:p>
    <w:p w14:paraId="2E5A29DA" w14:textId="790024E4" w:rsidR="00627CAE" w:rsidRPr="00627CAE" w:rsidRDefault="00627CAE" w:rsidP="00A02D7A">
      <w:pPr>
        <w:pStyle w:val="SingleTxt"/>
        <w:numPr>
          <w:ilvl w:val="0"/>
          <w:numId w:val="22"/>
        </w:numPr>
        <w:ind w:left="1267"/>
        <w:rPr>
          <w:lang w:val="es-ES_tradnl"/>
        </w:rPr>
      </w:pPr>
      <w:r w:rsidRPr="00627CAE">
        <w:rPr>
          <w:lang w:val="es-ES_tradnl"/>
        </w:rPr>
        <w:t>El sistema de seguridad social australiano es de tipo no contributivo y está financiado por los contribuyentes, siendo su objetivo garantizar un nivel de vida básico y facilitar la participación de los australianos en la economía.</w:t>
      </w:r>
    </w:p>
    <w:p w14:paraId="54045D98" w14:textId="6DFE0E16" w:rsidR="00627CAE" w:rsidRPr="00627CAE" w:rsidRDefault="00627CAE" w:rsidP="00A02D7A">
      <w:pPr>
        <w:pStyle w:val="SingleTxt"/>
        <w:numPr>
          <w:ilvl w:val="0"/>
          <w:numId w:val="22"/>
        </w:numPr>
        <w:ind w:left="1267"/>
        <w:rPr>
          <w:lang w:val="es-ES_tradnl"/>
        </w:rPr>
      </w:pPr>
      <w:r w:rsidRPr="00627CAE">
        <w:rPr>
          <w:lang w:val="es-ES_tradnl"/>
        </w:rPr>
        <w:t>Las ayudas a los ingresos, como JobSeeker, van dirigidas a los australianos que no pueden mantenerse mientras buscan trabajo o se recuperan de una lesión o una incapacidad temporal. Los beneficiarios de ayudas a los ingresos tienen derecho a percibir, como mínimo, otro pago complementario, como el suplemento energético, la prestación fiscal familiar o la ayuda al alquiler. La prestación fiscal familiar se concede a los australianos que no perciben ninguna ayuda a los ingresos y cuyos ingresos estén por debajo de un determinado umbral.</w:t>
      </w:r>
    </w:p>
    <w:p w14:paraId="46878269" w14:textId="77777777" w:rsidR="00627CAE" w:rsidRPr="00627CAE" w:rsidRDefault="00627CAE" w:rsidP="00627CAE">
      <w:pPr>
        <w:pStyle w:val="SingleTxt"/>
        <w:rPr>
          <w:lang w:val="es-ES_tradnl"/>
        </w:rPr>
      </w:pPr>
      <w:r w:rsidRPr="00627CAE">
        <w:rPr>
          <w:lang w:val="es-ES_tradnl"/>
        </w:rPr>
        <w:t xml:space="preserve">Los beneficiarios solteros con hijos a cargo perciben una cuantía básica más elevada de la prestación JobSeeker. La prestación por hijos a cargo es una ayuda económica destinada a los cuidadores principales responsables de criar a niños de corta edad. </w:t>
      </w:r>
    </w:p>
    <w:p w14:paraId="57A2C917" w14:textId="64DDCCB8" w:rsidR="00627CAE" w:rsidRPr="00627CAE" w:rsidRDefault="00627CAE" w:rsidP="00A02D7A">
      <w:pPr>
        <w:pStyle w:val="SingleTxt"/>
        <w:numPr>
          <w:ilvl w:val="0"/>
          <w:numId w:val="22"/>
        </w:numPr>
        <w:ind w:left="1267"/>
        <w:rPr>
          <w:lang w:val="es-ES_tradnl"/>
        </w:rPr>
      </w:pPr>
      <w:r w:rsidRPr="00627CAE">
        <w:rPr>
          <w:lang w:val="es-ES_tradnl"/>
        </w:rPr>
        <w:t>La cuantía de la prestación por hijos a cargo para los cuidadores principales es mayor que la prestación de los beneficiarios que tienen pareja. A raíz de las reformas de 2023-24, los cuidadores principales que estén solteros pueden percibir la prestación por hijos a cargo para familias monoparentales hasta que su hijo menor cumpla 14 años en lugar de ocho. Al 31 de mayo de 2024, esta medida había beneficiado a unas 82.000 mujeres y 10.075 cuidadores indígenas.</w:t>
      </w:r>
    </w:p>
    <w:p w14:paraId="1B09541F" w14:textId="5CFC323C" w:rsidR="00627CAE" w:rsidRPr="00627CAE" w:rsidRDefault="00627CAE" w:rsidP="00A02D7A">
      <w:pPr>
        <w:pStyle w:val="SingleTxt"/>
        <w:numPr>
          <w:ilvl w:val="0"/>
          <w:numId w:val="22"/>
        </w:numPr>
        <w:ind w:left="1267"/>
        <w:rPr>
          <w:lang w:val="es-ES_tradnl"/>
        </w:rPr>
      </w:pPr>
      <w:r w:rsidRPr="00627CAE">
        <w:rPr>
          <w:lang w:val="es-ES_tradnl"/>
        </w:rPr>
        <w:t xml:space="preserve">El Gobierno creó en 2022 el Comité Consultivo sobre Inclusión Económica para asesorar sobre la inclusión económica y la adecuación, eficacia y sostenibilidad de las ayudas a los ingresos antes de aprobar los presupuestos federales. El Comité estudia distintas medidas para superar las barreras a la inclusión económica de los desempleados de larga duración y los grupos desfavorecidos. El Comité presenta sus informes al Gobierno antes de que se apruebe cada presupuesto. </w:t>
      </w:r>
    </w:p>
    <w:p w14:paraId="3116B9F3" w14:textId="77777777" w:rsidR="00E42CB7" w:rsidRPr="00195CF4" w:rsidRDefault="00E42CB7" w:rsidP="00E42CB7">
      <w:pPr>
        <w:pStyle w:val="SingleTxt"/>
        <w:spacing w:after="0" w:line="120" w:lineRule="exact"/>
        <w:rPr>
          <w:b/>
          <w:sz w:val="10"/>
          <w:lang w:val="es-ES_tradnl"/>
        </w:rPr>
      </w:pPr>
      <w:bookmarkStart w:id="298" w:name="_Toc174011736"/>
      <w:bookmarkStart w:id="299" w:name="_Toc188598279"/>
      <w:bookmarkStart w:id="300" w:name="_Toc190357176"/>
      <w:bookmarkStart w:id="301" w:name="_Toc190878960"/>
    </w:p>
    <w:p w14:paraId="20E64ED4" w14:textId="77777777" w:rsidR="00E42CB7" w:rsidRPr="00195CF4" w:rsidRDefault="00E42CB7" w:rsidP="00E42CB7">
      <w:pPr>
        <w:pStyle w:val="SingleTxt"/>
        <w:spacing w:after="0" w:line="120" w:lineRule="exact"/>
        <w:rPr>
          <w:b/>
          <w:sz w:val="10"/>
          <w:lang w:val="es-ES_tradnl"/>
        </w:rPr>
      </w:pPr>
    </w:p>
    <w:p w14:paraId="4FECD7CB" w14:textId="4FE86137" w:rsidR="00627CAE" w:rsidRPr="00195CF4" w:rsidRDefault="00627CAE" w:rsidP="00E42C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Empoderamiento económico de las madres solas</w:t>
      </w:r>
      <w:bookmarkEnd w:id="298"/>
      <w:bookmarkEnd w:id="299"/>
      <w:bookmarkEnd w:id="300"/>
      <w:bookmarkEnd w:id="301"/>
    </w:p>
    <w:p w14:paraId="69D03BBC" w14:textId="77777777" w:rsidR="00E42CB7" w:rsidRPr="007C0DCB" w:rsidRDefault="00E42CB7" w:rsidP="00E42CB7">
      <w:pPr>
        <w:pStyle w:val="SingleTxt"/>
        <w:spacing w:after="0" w:line="120" w:lineRule="exact"/>
        <w:rPr>
          <w:iCs/>
          <w:sz w:val="10"/>
          <w:lang w:val="es-ES_tradnl"/>
        </w:rPr>
      </w:pPr>
    </w:p>
    <w:p w14:paraId="673D969D" w14:textId="77777777" w:rsidR="00E42CB7" w:rsidRPr="007C0DCB" w:rsidRDefault="00E42CB7" w:rsidP="00E42CB7">
      <w:pPr>
        <w:pStyle w:val="SingleTxt"/>
        <w:spacing w:after="0" w:line="120" w:lineRule="exact"/>
        <w:rPr>
          <w:iCs/>
          <w:sz w:val="10"/>
          <w:lang w:val="es-ES_tradnl"/>
        </w:rPr>
      </w:pPr>
    </w:p>
    <w:p w14:paraId="4C1F58DE" w14:textId="269901FF" w:rsidR="00627CAE" w:rsidRPr="00627CAE" w:rsidRDefault="00627CAE" w:rsidP="00A02D7A">
      <w:pPr>
        <w:pStyle w:val="SingleTxt"/>
        <w:numPr>
          <w:ilvl w:val="0"/>
          <w:numId w:val="22"/>
        </w:numPr>
        <w:ind w:left="1267"/>
        <w:rPr>
          <w:lang w:val="es-ES_tradnl"/>
        </w:rPr>
      </w:pPr>
      <w:r w:rsidRPr="00627CAE">
        <w:rPr>
          <w:lang w:val="es-ES_tradnl"/>
        </w:rPr>
        <w:t>El Gobierno promulgó leyes para mejorar el cobro de las pensiones por alimentos adeudadas a los progenitores. El Gobierno está invirtiendo 5,1 millones de dólares para poner en práctica las recomendaciones sobre la pensión por alimentos que figuran en el estudio realizado sobre el derecho de familia, y que prevén, entre otras cosas, la creación de un grupo de consulta formado por partes interesadas en las pensiones por alimentos y un panel de expertos en la materia para que las partes interesadas que participan en el plan relativo a estas pensiones y los expertos fundamenten la política en este ámbito de cara al futuro.</w:t>
      </w:r>
    </w:p>
    <w:p w14:paraId="69A1197B" w14:textId="57E9795D" w:rsidR="00627CAE" w:rsidRPr="00627CAE" w:rsidRDefault="00627CAE" w:rsidP="00A02D7A">
      <w:pPr>
        <w:pStyle w:val="SingleTxt"/>
        <w:numPr>
          <w:ilvl w:val="0"/>
          <w:numId w:val="22"/>
        </w:numPr>
        <w:ind w:left="1267"/>
        <w:rPr>
          <w:lang w:val="es-ES_tradnl"/>
        </w:rPr>
      </w:pPr>
      <w:r w:rsidRPr="00627CAE">
        <w:rPr>
          <w:lang w:val="es-ES_tradnl"/>
        </w:rPr>
        <w:t>El Gobierno está haciendo más asequible la educación y atención de la primera infancia (AEPI). El Gobierno proporciona la principal fuente de financiación para facilitar el acceso de las familias a los servicios de AEPI mediante el subsidio para el cuidado de niños (CCS) y el subsidio adicional para el cuidado de niños.</w:t>
      </w:r>
    </w:p>
    <w:p w14:paraId="645B85E8" w14:textId="32E1C704" w:rsidR="00627CAE" w:rsidRPr="00627CAE" w:rsidRDefault="00627CAE" w:rsidP="00A02D7A">
      <w:pPr>
        <w:pStyle w:val="SingleTxt"/>
        <w:numPr>
          <w:ilvl w:val="0"/>
          <w:numId w:val="22"/>
        </w:numPr>
        <w:ind w:left="1267"/>
        <w:rPr>
          <w:lang w:val="es-ES_tradnl"/>
        </w:rPr>
      </w:pPr>
      <w:r w:rsidRPr="00627CAE">
        <w:rPr>
          <w:lang w:val="es-ES_tradnl"/>
        </w:rPr>
        <w:t xml:space="preserve">El porcentaje del subsidio para el cuidado de niños al que tienen derecho las familias aumentó a partir de julio de 2023 gracias al paquete de 4.700 millones de dólares aprobado por el Gobierno en el marco del programa Cheaper Child Care para abaratar el cuidado de los niños. Las familias con ingresos iguales o inferiores a 83.280 dólares reciben el 90 % del CCS. En lo que respecta a los hogares con ingresos </w:t>
      </w:r>
      <w:r w:rsidRPr="00627CAE">
        <w:rPr>
          <w:lang w:val="es-ES_tradnl"/>
        </w:rPr>
        <w:lastRenderedPageBreak/>
        <w:t>familiares superiores a los 83.280 dólares, el subsidio disminuye gradualmente hasta el 0 % al alcanzar los 533.280 dólares o más</w:t>
      </w:r>
      <w:r w:rsidRPr="00627CAE">
        <w:rPr>
          <w:vertAlign w:val="superscript"/>
          <w:lang w:val="es-ES_tradnl"/>
        </w:rPr>
        <w:footnoteReference w:id="42"/>
      </w:r>
      <w:r w:rsidRPr="00627CAE">
        <w:rPr>
          <w:lang w:val="es-ES_tradnl"/>
        </w:rPr>
        <w:t>.</w:t>
      </w:r>
    </w:p>
    <w:p w14:paraId="262D09A6" w14:textId="7F1B8643" w:rsidR="00627CAE" w:rsidRPr="00627CAE" w:rsidRDefault="00627CAE" w:rsidP="00A02D7A">
      <w:pPr>
        <w:pStyle w:val="SingleTxt"/>
        <w:numPr>
          <w:ilvl w:val="0"/>
          <w:numId w:val="22"/>
        </w:numPr>
        <w:ind w:left="1267"/>
        <w:rPr>
          <w:lang w:val="es-ES_tradnl"/>
        </w:rPr>
      </w:pPr>
      <w:r w:rsidRPr="00627CAE">
        <w:rPr>
          <w:lang w:val="es-ES_tradnl"/>
        </w:rPr>
        <w:t>En virtud del acuerdo de gratuidad para la adquisición de habilidades del programa TAFE, el Gobierno colaboró con los estados y los territorios para invertir más de 1.500 millones de dólares en 500.000 plazas gratuitas de formación técnica y educación continua y de educación y formación profesional (EFP) en todo el territorio nacional durante el período 2023-26. La gratuidad de la formación técnica y la educación continua elimina las barreras económicas para estudiar y permite crear plazas para la formación en ámbitos con una gran demanda y necesidad de cualificaciones. Entre los sectores prioritarios figuran la agricultura, los cuidados, la construcción, la defensa, la atención y educación de la primera infancia, la hostelería y el turismo, la industria manufacturera, la capacidad soberana, la tecnología y la tecnología digital, y la mano de obra de la EFP a partir de 2024.</w:t>
      </w:r>
    </w:p>
    <w:p w14:paraId="28D7DC27" w14:textId="0D2B685B" w:rsidR="00627CAE" w:rsidRPr="00627CAE" w:rsidRDefault="00627CAE" w:rsidP="00A02D7A">
      <w:pPr>
        <w:pStyle w:val="SingleTxt"/>
        <w:numPr>
          <w:ilvl w:val="0"/>
          <w:numId w:val="22"/>
        </w:numPr>
        <w:ind w:left="1267"/>
        <w:rPr>
          <w:lang w:val="es-ES_tradnl"/>
        </w:rPr>
      </w:pPr>
      <w:r w:rsidRPr="00627CAE">
        <w:rPr>
          <w:lang w:val="es-ES_tradnl"/>
        </w:rPr>
        <w:t xml:space="preserve">El 1 de noviembre de 2024, el Gobierno puso en marcha un servicio voluntario previo al empleo para ayudar a los progenitores con niños de corta edad que reúnan los requisitos a cumplir sus metas en términos de educación, empleo y carrera profesional, sin dejar de priorizar a la familia. Para mejorar este servicio, se ha creado un grupo de asesoramiento dirigido a padres y madres. </w:t>
      </w:r>
    </w:p>
    <w:p w14:paraId="57647EAA" w14:textId="77777777" w:rsidR="00E42CB7" w:rsidRPr="00195CF4" w:rsidRDefault="00E42CB7" w:rsidP="00E42CB7">
      <w:pPr>
        <w:pStyle w:val="SingleTxt"/>
        <w:spacing w:after="0" w:line="120" w:lineRule="exact"/>
        <w:rPr>
          <w:b/>
          <w:sz w:val="10"/>
          <w:lang w:val="es-ES_tradnl"/>
        </w:rPr>
      </w:pPr>
      <w:bookmarkStart w:id="302" w:name="_Toc174011737"/>
      <w:bookmarkStart w:id="303" w:name="_Toc190878961"/>
    </w:p>
    <w:p w14:paraId="7B48BD7D" w14:textId="77777777" w:rsidR="00E42CB7" w:rsidRPr="00195CF4" w:rsidRDefault="00E42CB7" w:rsidP="00E42CB7">
      <w:pPr>
        <w:pStyle w:val="SingleTxt"/>
        <w:spacing w:after="0" w:line="120" w:lineRule="exact"/>
        <w:rPr>
          <w:b/>
          <w:sz w:val="10"/>
          <w:lang w:val="es-ES_tradnl"/>
        </w:rPr>
      </w:pPr>
    </w:p>
    <w:p w14:paraId="7C259C81" w14:textId="455C26C9" w:rsidR="00627CAE" w:rsidRPr="00195CF4" w:rsidRDefault="00627CAE" w:rsidP="00E42C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 xml:space="preserve">Pregunta 21: Mujeres indígenas </w:t>
      </w:r>
      <w:bookmarkEnd w:id="302"/>
      <w:bookmarkEnd w:id="303"/>
    </w:p>
    <w:p w14:paraId="27D3F47F" w14:textId="77777777" w:rsidR="00E42CB7" w:rsidRPr="00195CF4" w:rsidRDefault="00E42CB7" w:rsidP="00E42CB7">
      <w:pPr>
        <w:pStyle w:val="SingleTxt"/>
        <w:spacing w:after="0" w:line="120" w:lineRule="exact"/>
        <w:rPr>
          <w:b/>
          <w:sz w:val="10"/>
          <w:lang w:val="es-ES_tradnl"/>
        </w:rPr>
      </w:pPr>
      <w:bookmarkStart w:id="304" w:name="_Toc174011738"/>
      <w:bookmarkStart w:id="305" w:name="_Toc188598281"/>
      <w:bookmarkStart w:id="306" w:name="_Toc190357178"/>
      <w:bookmarkStart w:id="307" w:name="_Toc190878962"/>
    </w:p>
    <w:p w14:paraId="798889DB" w14:textId="77777777" w:rsidR="00E42CB7" w:rsidRPr="00195CF4" w:rsidRDefault="00E42CB7" w:rsidP="00E42CB7">
      <w:pPr>
        <w:pStyle w:val="SingleTxt"/>
        <w:spacing w:after="0" w:line="120" w:lineRule="exact"/>
        <w:rPr>
          <w:b/>
          <w:sz w:val="10"/>
          <w:lang w:val="es-ES_tradnl"/>
        </w:rPr>
      </w:pPr>
    </w:p>
    <w:p w14:paraId="49F206FC" w14:textId="095769F5" w:rsidR="00627CAE" w:rsidRPr="00195CF4" w:rsidRDefault="00627CAE" w:rsidP="00E42C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Congreso Nacional de los Primeros Pueblos de Australia</w:t>
      </w:r>
      <w:bookmarkEnd w:id="304"/>
      <w:bookmarkEnd w:id="305"/>
      <w:bookmarkEnd w:id="306"/>
      <w:bookmarkEnd w:id="307"/>
    </w:p>
    <w:p w14:paraId="6DF4F035" w14:textId="77777777" w:rsidR="00E42CB7" w:rsidRPr="007C0DCB" w:rsidRDefault="00E42CB7" w:rsidP="00E42CB7">
      <w:pPr>
        <w:pStyle w:val="SingleTxt"/>
        <w:spacing w:after="0" w:line="120" w:lineRule="exact"/>
        <w:rPr>
          <w:iCs/>
          <w:sz w:val="10"/>
          <w:lang w:val="es-ES_tradnl"/>
        </w:rPr>
      </w:pPr>
    </w:p>
    <w:p w14:paraId="438E0A77" w14:textId="77777777" w:rsidR="00E42CB7" w:rsidRPr="007C0DCB" w:rsidRDefault="00E42CB7" w:rsidP="00E42CB7">
      <w:pPr>
        <w:pStyle w:val="SingleTxt"/>
        <w:spacing w:after="0" w:line="120" w:lineRule="exact"/>
        <w:rPr>
          <w:iCs/>
          <w:sz w:val="10"/>
          <w:lang w:val="es-ES_tradnl"/>
        </w:rPr>
      </w:pPr>
    </w:p>
    <w:p w14:paraId="6502D0C7" w14:textId="1DF57ABA" w:rsidR="00627CAE" w:rsidRPr="00627CAE" w:rsidRDefault="00627CAE" w:rsidP="00A02D7A">
      <w:pPr>
        <w:pStyle w:val="SingleTxt"/>
        <w:numPr>
          <w:ilvl w:val="0"/>
          <w:numId w:val="22"/>
        </w:numPr>
        <w:ind w:left="1267"/>
        <w:rPr>
          <w:lang w:val="es-ES_tradnl"/>
        </w:rPr>
      </w:pPr>
      <w:r w:rsidRPr="00627CAE">
        <w:rPr>
          <w:lang w:val="es-ES_tradnl"/>
        </w:rPr>
        <w:t>El Congreso Nacional de los Primeros Pueblos de Australia se declaró insolvente en 2019. El Gobierno proporcionó 5,4 millones de dólares al Congreso Nacional entre 2013-17 para celebrar la consulta del órgano representativo nacional y unos 3,3 millones de dólares entre 2016-19 para llevar a cabo proyectos de capacidad.</w:t>
      </w:r>
    </w:p>
    <w:p w14:paraId="38105D53" w14:textId="42E05242" w:rsidR="00627CAE" w:rsidRPr="00627CAE" w:rsidRDefault="00627CAE" w:rsidP="00A02D7A">
      <w:pPr>
        <w:pStyle w:val="SingleTxt"/>
        <w:numPr>
          <w:ilvl w:val="0"/>
          <w:numId w:val="22"/>
        </w:numPr>
        <w:ind w:left="1267"/>
        <w:rPr>
          <w:lang w:val="es-ES_tradnl"/>
        </w:rPr>
      </w:pPr>
      <w:r w:rsidRPr="00627CAE">
        <w:rPr>
          <w:lang w:val="es-ES_tradnl"/>
        </w:rPr>
        <w:t xml:space="preserve">El Gobierno invirtió tres millones de dólares en los tres ejercicios económicos siguientes para ayudar a crear el Instituto Wiyi Yani U Thangani para la Justicia de Género de las Primeras Naciones. El objetivo principal del Instituto será realizar estudios e iniciativas multidisciplinares para determinar cuáles son las causas principales de la discriminación interseccional y otras barreras sistémicas que afectan a la vida de las mujeres y niñas de las Primeras Naciones. </w:t>
      </w:r>
    </w:p>
    <w:p w14:paraId="1D91E0D6" w14:textId="77777777" w:rsidR="00E42CB7" w:rsidRPr="00195CF4" w:rsidRDefault="00E42CB7" w:rsidP="00E42CB7">
      <w:pPr>
        <w:pStyle w:val="SingleTxt"/>
        <w:spacing w:after="0" w:line="120" w:lineRule="exact"/>
        <w:rPr>
          <w:b/>
          <w:sz w:val="10"/>
          <w:lang w:val="es-ES_tradnl"/>
        </w:rPr>
      </w:pPr>
      <w:bookmarkStart w:id="308" w:name="_Toc174011739"/>
      <w:bookmarkStart w:id="309" w:name="_Toc188598282"/>
      <w:bookmarkStart w:id="310" w:name="_Toc190357179"/>
      <w:bookmarkStart w:id="311" w:name="_Toc190878963"/>
    </w:p>
    <w:p w14:paraId="2A45FE18" w14:textId="77777777" w:rsidR="00E42CB7" w:rsidRPr="00195CF4" w:rsidRDefault="00E42CB7" w:rsidP="00E42CB7">
      <w:pPr>
        <w:pStyle w:val="SingleTxt"/>
        <w:spacing w:after="0" w:line="120" w:lineRule="exact"/>
        <w:rPr>
          <w:b/>
          <w:sz w:val="10"/>
          <w:lang w:val="es-ES_tradnl"/>
        </w:rPr>
      </w:pPr>
    </w:p>
    <w:p w14:paraId="66D91CBB" w14:textId="006B2A64" w:rsidR="00627CAE" w:rsidRPr="00195CF4" w:rsidRDefault="00627CAE" w:rsidP="00E42C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 xml:space="preserve">Vivienda segura y asequible </w:t>
      </w:r>
      <w:bookmarkEnd w:id="308"/>
      <w:bookmarkEnd w:id="309"/>
      <w:bookmarkEnd w:id="310"/>
      <w:bookmarkEnd w:id="311"/>
    </w:p>
    <w:p w14:paraId="31E2CD5C" w14:textId="77777777" w:rsidR="00E42CB7" w:rsidRPr="007C0DCB" w:rsidRDefault="00E42CB7" w:rsidP="00E42CB7">
      <w:pPr>
        <w:pStyle w:val="SingleTxt"/>
        <w:spacing w:after="0" w:line="120" w:lineRule="exact"/>
        <w:rPr>
          <w:iCs/>
          <w:sz w:val="10"/>
          <w:lang w:val="es-ES_tradnl"/>
        </w:rPr>
      </w:pPr>
    </w:p>
    <w:p w14:paraId="76BE2F61" w14:textId="77777777" w:rsidR="00E42CB7" w:rsidRPr="007C0DCB" w:rsidRDefault="00E42CB7" w:rsidP="00E42CB7">
      <w:pPr>
        <w:pStyle w:val="SingleTxt"/>
        <w:spacing w:after="0" w:line="120" w:lineRule="exact"/>
        <w:rPr>
          <w:iCs/>
          <w:sz w:val="10"/>
          <w:lang w:val="es-ES_tradnl"/>
        </w:rPr>
      </w:pPr>
    </w:p>
    <w:p w14:paraId="32301B22" w14:textId="6E2D5B96" w:rsidR="00627CAE" w:rsidRPr="00627CAE" w:rsidRDefault="00627CAE" w:rsidP="00A02D7A">
      <w:pPr>
        <w:pStyle w:val="SingleTxt"/>
        <w:numPr>
          <w:ilvl w:val="0"/>
          <w:numId w:val="22"/>
        </w:numPr>
        <w:ind w:left="1267"/>
        <w:rPr>
          <w:lang w:val="es-ES_tradnl"/>
        </w:rPr>
      </w:pPr>
      <w:r w:rsidRPr="00627CAE">
        <w:rPr>
          <w:lang w:val="es-ES_tradnl"/>
        </w:rPr>
        <w:t>El Gobierno se comprometió a poner en marcha un programa integral de vivienda que incluye el Acuerdo Nacional de Vivienda, el Fondo de Vivienda para el Futuro de Australia, el Acuerdo Nacional sobre Vivienda Social y Personas sin Hogar (NASHH) con los estados y los territorios, el Fondo Acelerador de Vivienda Social y el Fondo Nacional de Infraestructura de Vivienda, a través del cual el Gobierno ha destinado otros 1.000 millones de dólares a alojamientos para jóvenes en situación de crisis y de transición, y para mujeres y niños que huyen de la violencia doméstica.</w:t>
      </w:r>
    </w:p>
    <w:p w14:paraId="7A8DC216" w14:textId="34A3A685" w:rsidR="00627CAE" w:rsidRPr="00627CAE" w:rsidRDefault="00627CAE" w:rsidP="00A02D7A">
      <w:pPr>
        <w:pStyle w:val="SingleTxt"/>
        <w:numPr>
          <w:ilvl w:val="0"/>
          <w:numId w:val="22"/>
        </w:numPr>
        <w:ind w:left="1267"/>
        <w:rPr>
          <w:lang w:val="es-ES_tradnl"/>
        </w:rPr>
      </w:pPr>
      <w:r w:rsidRPr="00627CAE">
        <w:rPr>
          <w:lang w:val="es-ES_tradnl"/>
        </w:rPr>
        <w:t>Junto con los estados y los territorios, el Gobierno está elaborando un Plan Nacional de Vivienda y Falta de Hogar.</w:t>
      </w:r>
    </w:p>
    <w:p w14:paraId="2B5BC4EC" w14:textId="05380035" w:rsidR="00627CAE" w:rsidRPr="00627CAE" w:rsidRDefault="00627CAE" w:rsidP="00A02D7A">
      <w:pPr>
        <w:pStyle w:val="SingleTxt"/>
        <w:numPr>
          <w:ilvl w:val="0"/>
          <w:numId w:val="22"/>
        </w:numPr>
        <w:ind w:left="1267"/>
        <w:rPr>
          <w:lang w:val="es-ES_tradnl"/>
        </w:rPr>
      </w:pPr>
      <w:r w:rsidRPr="00627CAE">
        <w:rPr>
          <w:lang w:val="es-ES_tradnl"/>
        </w:rPr>
        <w:t xml:space="preserve">Creado en 2023, el Fondo de Vivienda para el Futuro de Australia es un elemento clave del compromiso del Gobierno de impulsar la oferta de vivienda social y </w:t>
      </w:r>
      <w:r w:rsidRPr="00627CAE">
        <w:rPr>
          <w:lang w:val="es-ES_tradnl"/>
        </w:rPr>
        <w:lastRenderedPageBreak/>
        <w:t>asequible, y contar con 30.000 nuevas viviendas sociales y asequibles en sus primeros cinco años. Los desembolsos del Fondo consistirán en:</w:t>
      </w:r>
    </w:p>
    <w:p w14:paraId="7A9E602E" w14:textId="1E351EF9" w:rsidR="00627CAE" w:rsidRPr="00627CAE" w:rsidRDefault="00E42CB7" w:rsidP="00E42CB7">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200 millones de dólares para reparar, mantener y reformar viviendas en comunidades indígenas remotas; </w:t>
      </w:r>
    </w:p>
    <w:p w14:paraId="28DCCBBC" w14:textId="329C2EF0" w:rsidR="00627CAE" w:rsidRPr="00627CAE" w:rsidRDefault="00E42CB7" w:rsidP="00E42CB7">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100 millones de dólares para ofrecer viviendas a las mujeres y los niños en situación de crisis y de transición y afectados por la violencia familiar y doméstica, y a las mujeres mayores susceptibles de quedarse sin hogar; </w:t>
      </w:r>
    </w:p>
    <w:p w14:paraId="3980AB10" w14:textId="45CEC239" w:rsidR="00627CAE" w:rsidRPr="00627CAE" w:rsidRDefault="00E42CB7" w:rsidP="00E42CB7">
      <w:pPr>
        <w:pStyle w:val="SingleTxt"/>
        <w:tabs>
          <w:tab w:val="right" w:pos="1685"/>
        </w:tabs>
        <w:ind w:left="1742" w:hanging="475"/>
        <w:rPr>
          <w:lang w:val="es-ES_tradnl"/>
        </w:rPr>
      </w:pPr>
      <w:r w:rsidRPr="007C0DCB">
        <w:rPr>
          <w:lang w:val="es-ES_tradnl"/>
        </w:rPr>
        <w:tab/>
        <w:t>•</w:t>
      </w:r>
      <w:r w:rsidR="00627CAE" w:rsidRPr="00627CAE">
        <w:rPr>
          <w:lang w:val="es-ES_tradnl"/>
        </w:rPr>
        <w:tab/>
        <w:t>24 millones de dólares para proyectos de obras de infraestructura que proporcionen más viviendas para veteranos y sus familias en situación de crisis y de transición. Seis millones de dólares adicionales para financiar servicios de apoyo especializado para veteranos sin hogar o en riesgo de quedarse sin hogar.</w:t>
      </w:r>
    </w:p>
    <w:p w14:paraId="182F4E65" w14:textId="41EBEC58" w:rsidR="00627CAE" w:rsidRPr="00627CAE" w:rsidRDefault="00627CAE" w:rsidP="00A02D7A">
      <w:pPr>
        <w:pStyle w:val="SingleTxt"/>
        <w:numPr>
          <w:ilvl w:val="0"/>
          <w:numId w:val="22"/>
        </w:numPr>
        <w:ind w:left="1267"/>
        <w:rPr>
          <w:lang w:val="es-ES_tradnl"/>
        </w:rPr>
      </w:pPr>
      <w:r w:rsidRPr="00627CAE">
        <w:rPr>
          <w:lang w:val="es-ES_tradnl"/>
        </w:rPr>
        <w:t>Una de las metas de Cerrar la Brecha es que el 88 % de los Pueblos Indígenas dispongan de una vivienda de tamaño adecuado (sin hacinamiento) de aquí a 2031. En el censo de 2021, el 81,4 % de los Pueblos Indígenas residían en viviendas de tamaño adecuado.</w:t>
      </w:r>
    </w:p>
    <w:p w14:paraId="69DF3A67" w14:textId="12D6C01E" w:rsidR="00627CAE" w:rsidRPr="00627CAE" w:rsidRDefault="00627CAE" w:rsidP="00A02D7A">
      <w:pPr>
        <w:pStyle w:val="SingleTxt"/>
        <w:numPr>
          <w:ilvl w:val="0"/>
          <w:numId w:val="22"/>
        </w:numPr>
        <w:ind w:left="1267"/>
        <w:rPr>
          <w:lang w:val="es-ES_tradnl"/>
        </w:rPr>
      </w:pPr>
      <w:r w:rsidRPr="00627CAE">
        <w:rPr>
          <w:lang w:val="es-ES_tradnl"/>
        </w:rPr>
        <w:t>Acordada en 2020 y establecida en el marco de la iniciativa Cerrar la Brecha, la Alianza de Políticas de Vivienda es un mecanismo fundamental para crear viviendas indígenas y sirve de foro para que los indígenas participen en el diseño y la prestación de servicios de vivienda destinados a las Primeras Naciones.</w:t>
      </w:r>
    </w:p>
    <w:p w14:paraId="33D066B9" w14:textId="3FFACF8C" w:rsidR="00627CAE" w:rsidRPr="00627CAE" w:rsidRDefault="00627CAE" w:rsidP="00A02D7A">
      <w:pPr>
        <w:pStyle w:val="SingleTxt"/>
        <w:numPr>
          <w:ilvl w:val="0"/>
          <w:numId w:val="22"/>
        </w:numPr>
        <w:ind w:left="1267"/>
        <w:rPr>
          <w:lang w:val="es-ES_tradnl"/>
        </w:rPr>
      </w:pPr>
      <w:r w:rsidRPr="00627CAE">
        <w:rPr>
          <w:lang w:val="es-ES_tradnl"/>
        </w:rPr>
        <w:t xml:space="preserve">El Acuerdo Nacional sobre Vivienda Social y Personas sin Hogar tiene una duración de cinco años y proporciona 9.300 millones de dólares a los estados y los territorios para ayudar a las personas sin hogar o susceptibles de quedarse sin hogar. En virtud de este acuerdo, el Gobierno aporta un componente de financiación cifrado en unos 400 millones de dólares anuales. Los estados y los territorios están obligados a aportar la parte que les corresponde de la financiación para afrontar el problema de la falta de hogar. Los Pueblos Indígenas son la única cohorte prioritaria de personas sin hogar a la que se refiere específicamente el Acuerdo, que trata de corregir la desproporcionada desigualdad en materia de vivienda que afecta a los Pueblos Indígenas. En virtud del Acuerdo, las decisiones que afectan a los Pueblos Indígenas se habrán de tomar en colaboración con las comunidades indígenas y la administración estatal. </w:t>
      </w:r>
    </w:p>
    <w:p w14:paraId="5D0190DC" w14:textId="72480F17" w:rsidR="00627CAE" w:rsidRPr="00627CAE" w:rsidRDefault="00627CAE" w:rsidP="00A02D7A">
      <w:pPr>
        <w:pStyle w:val="SingleTxt"/>
        <w:numPr>
          <w:ilvl w:val="0"/>
          <w:numId w:val="22"/>
        </w:numPr>
        <w:ind w:left="1267"/>
        <w:rPr>
          <w:lang w:val="es-ES_tradnl"/>
        </w:rPr>
      </w:pPr>
      <w:r w:rsidRPr="00627CAE">
        <w:rPr>
          <w:lang w:val="es-ES_tradnl"/>
        </w:rPr>
        <w:t>A nivel federal, una de las iniciativas dirigidas a garantizar viviendas seguras y asequibles para las mujeres de las Primeras Naciones incluyen una inversión de 172,6 millones de dólares durante siete años para el Programa de Alojamiento de Emergencia en Lugares Seguros, que proporciona subsidios para obras de infraestructuras con miras a financiar la construcción, renovación o compra de viviendas de emergencia para mujeres y niños víctimas de la violencia doméstica. De esos fondos, 100 millones se destinarán a la ronda de inclusión de lugares seguros, cuyo objetivo es mejorar el acceso a alojamientos de emergencia adecuados para mujeres y niños de las Primeras Naciones, mujeres y niños de orígenes culturales y lingüísticos diversos, y mujeres y niños con discapacidad.</w:t>
      </w:r>
    </w:p>
    <w:p w14:paraId="7E4720EF" w14:textId="77777777" w:rsidR="00E42CB7" w:rsidRPr="00195CF4" w:rsidRDefault="00E42CB7" w:rsidP="00E42CB7">
      <w:pPr>
        <w:pStyle w:val="SingleTxt"/>
        <w:spacing w:after="0" w:line="120" w:lineRule="exact"/>
        <w:rPr>
          <w:b/>
          <w:sz w:val="10"/>
          <w:lang w:val="es-ES_tradnl"/>
        </w:rPr>
      </w:pPr>
      <w:bookmarkStart w:id="312" w:name="_Toc174011740"/>
      <w:bookmarkStart w:id="313" w:name="_Toc190878964"/>
    </w:p>
    <w:p w14:paraId="420319FB" w14:textId="77777777" w:rsidR="00E42CB7" w:rsidRPr="00195CF4" w:rsidRDefault="00E42CB7" w:rsidP="00E42CB7">
      <w:pPr>
        <w:pStyle w:val="SingleTxt"/>
        <w:spacing w:after="0" w:line="120" w:lineRule="exact"/>
        <w:rPr>
          <w:b/>
          <w:sz w:val="10"/>
          <w:lang w:val="es-ES_tradnl"/>
        </w:rPr>
      </w:pPr>
    </w:p>
    <w:p w14:paraId="201F36F8" w14:textId="09C76890" w:rsidR="00627CAE" w:rsidRPr="00195CF4" w:rsidRDefault="00627CAE" w:rsidP="00E42C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Pregunta 22: Mujeres refugiadas y solicitantes de asilo</w:t>
      </w:r>
      <w:bookmarkEnd w:id="312"/>
      <w:bookmarkEnd w:id="313"/>
    </w:p>
    <w:p w14:paraId="689F8B2A" w14:textId="77777777" w:rsidR="00E42CB7" w:rsidRPr="00195CF4" w:rsidRDefault="00E42CB7" w:rsidP="00E42CB7">
      <w:pPr>
        <w:pStyle w:val="SingleTxt"/>
        <w:spacing w:after="0" w:line="120" w:lineRule="exact"/>
        <w:rPr>
          <w:b/>
          <w:sz w:val="10"/>
          <w:lang w:val="es-ES_tradnl"/>
        </w:rPr>
      </w:pPr>
      <w:bookmarkStart w:id="314" w:name="_Toc174011741"/>
      <w:bookmarkStart w:id="315" w:name="_Toc188598284"/>
      <w:bookmarkStart w:id="316" w:name="_Toc190357181"/>
      <w:bookmarkStart w:id="317" w:name="_Toc190878965"/>
    </w:p>
    <w:p w14:paraId="6F48E384" w14:textId="77777777" w:rsidR="00E42CB7" w:rsidRPr="00195CF4" w:rsidRDefault="00E42CB7" w:rsidP="00E42CB7">
      <w:pPr>
        <w:pStyle w:val="SingleTxt"/>
        <w:spacing w:after="0" w:line="120" w:lineRule="exact"/>
        <w:rPr>
          <w:b/>
          <w:sz w:val="10"/>
          <w:lang w:val="es-ES_tradnl"/>
        </w:rPr>
      </w:pPr>
    </w:p>
    <w:p w14:paraId="688C82E9" w14:textId="4BAAB75A" w:rsidR="00627CAE" w:rsidRPr="00195CF4" w:rsidRDefault="00627CAE" w:rsidP="00E42C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Interceptar y devolver a las mujeres y niñas solicitantes de asilo que llegan por mar</w:t>
      </w:r>
      <w:bookmarkEnd w:id="314"/>
      <w:bookmarkEnd w:id="315"/>
      <w:bookmarkEnd w:id="316"/>
      <w:bookmarkEnd w:id="317"/>
    </w:p>
    <w:p w14:paraId="4B021FAC" w14:textId="77777777" w:rsidR="00E42CB7" w:rsidRPr="007C0DCB" w:rsidRDefault="00E42CB7" w:rsidP="00E42CB7">
      <w:pPr>
        <w:pStyle w:val="SingleTxt"/>
        <w:spacing w:after="0" w:line="120" w:lineRule="exact"/>
        <w:rPr>
          <w:iCs/>
          <w:sz w:val="10"/>
          <w:lang w:val="es-ES_tradnl"/>
        </w:rPr>
      </w:pPr>
    </w:p>
    <w:p w14:paraId="4BD8E887" w14:textId="77777777" w:rsidR="00E42CB7" w:rsidRPr="007C0DCB" w:rsidRDefault="00E42CB7" w:rsidP="00E42CB7">
      <w:pPr>
        <w:pStyle w:val="SingleTxt"/>
        <w:spacing w:after="0" w:line="120" w:lineRule="exact"/>
        <w:rPr>
          <w:iCs/>
          <w:sz w:val="10"/>
          <w:lang w:val="es-ES_tradnl"/>
        </w:rPr>
      </w:pPr>
    </w:p>
    <w:p w14:paraId="71871509" w14:textId="53E5699C" w:rsidR="00627CAE" w:rsidRPr="00627CAE" w:rsidRDefault="00627CAE" w:rsidP="00A02D7A">
      <w:pPr>
        <w:pStyle w:val="SingleTxt"/>
        <w:numPr>
          <w:ilvl w:val="0"/>
          <w:numId w:val="22"/>
        </w:numPr>
        <w:ind w:left="1267"/>
        <w:rPr>
          <w:lang w:val="es-ES_tradnl"/>
        </w:rPr>
      </w:pPr>
      <w:r w:rsidRPr="00627CAE">
        <w:rPr>
          <w:lang w:val="es-ES_tradnl"/>
        </w:rPr>
        <w:t xml:space="preserve">La política del Gobierno es interceptar cualquier embarcación que intente llegar a Australia de forma irregular y devolver a las personas que se encuentren a bordo de </w:t>
      </w:r>
      <w:r w:rsidRPr="00627CAE">
        <w:rPr>
          <w:lang w:val="es-ES_tradnl"/>
        </w:rPr>
        <w:lastRenderedPageBreak/>
        <w:t>esas embarcaciones a su puerto de salida o país de origen en condiciones seguras, de conformidad con las leyes nacionales e internacionales aplicables.</w:t>
      </w:r>
    </w:p>
    <w:p w14:paraId="663EE5CA" w14:textId="072408B4" w:rsidR="00627CAE" w:rsidRPr="00627CAE" w:rsidRDefault="00627CAE" w:rsidP="00A02D7A">
      <w:pPr>
        <w:pStyle w:val="SingleTxt"/>
        <w:numPr>
          <w:ilvl w:val="0"/>
          <w:numId w:val="22"/>
        </w:numPr>
        <w:ind w:left="1267"/>
        <w:rPr>
          <w:lang w:val="es-ES_tradnl"/>
        </w:rPr>
      </w:pPr>
      <w:r w:rsidRPr="00627CAE">
        <w:rPr>
          <w:lang w:val="es-ES_tradnl"/>
        </w:rPr>
        <w:t xml:space="preserve">Cuando no se las pueda devolver en condiciones seguras, estas personas serán trasladadas a Nauru. El Gobierno de Nauru es responsable de evaluar las solicitudes de protección. </w:t>
      </w:r>
    </w:p>
    <w:p w14:paraId="16026967" w14:textId="080E7C62" w:rsidR="00627CAE" w:rsidRPr="00627CAE" w:rsidRDefault="00627CAE" w:rsidP="00A02D7A">
      <w:pPr>
        <w:pStyle w:val="SingleTxt"/>
        <w:numPr>
          <w:ilvl w:val="0"/>
          <w:numId w:val="23"/>
        </w:numPr>
        <w:ind w:left="1267"/>
        <w:rPr>
          <w:lang w:val="es-ES_tradnl"/>
        </w:rPr>
      </w:pPr>
      <w:r w:rsidRPr="00627CAE">
        <w:rPr>
          <w:lang w:val="es-ES_tradnl"/>
        </w:rPr>
        <w:t>Australia se ha comprometido a cumplir sus obligaciones de no devolución en virtud de la Convención sobre el Estatuto de los Refugiados de 1951 y su Protocolo de 1967 (denominados conjuntamente Convención sobre el Estatuto de los Refugiados) y otros tratados internacionales de derechos humanos en los que es parte.</w:t>
      </w:r>
    </w:p>
    <w:p w14:paraId="759240EC" w14:textId="2EC66A22" w:rsidR="00627CAE" w:rsidRPr="00627CAE" w:rsidRDefault="00627CAE" w:rsidP="00A02D7A">
      <w:pPr>
        <w:pStyle w:val="SingleTxt"/>
        <w:numPr>
          <w:ilvl w:val="0"/>
          <w:numId w:val="23"/>
        </w:numPr>
        <w:ind w:left="1267"/>
        <w:rPr>
          <w:lang w:val="es-ES_tradnl"/>
        </w:rPr>
      </w:pPr>
      <w:r w:rsidRPr="00627CAE">
        <w:rPr>
          <w:lang w:val="es-ES_tradnl"/>
        </w:rPr>
        <w:t>En consonancia con sus obligaciones jurídicas internacionales, Australia no devuelve a ninguna persona a países donde exista un verdadero riesgo de que sean víctimas de torturas, tratos o penas crueles, inhumanos o degradantes, privación arbitraria de la vida o pena de muerte.</w:t>
      </w:r>
    </w:p>
    <w:p w14:paraId="06D199E5" w14:textId="0109C266" w:rsidR="00627CAE" w:rsidRPr="00627CAE" w:rsidRDefault="00627CAE" w:rsidP="00A02D7A">
      <w:pPr>
        <w:pStyle w:val="SingleTxt"/>
        <w:numPr>
          <w:ilvl w:val="0"/>
          <w:numId w:val="23"/>
        </w:numPr>
        <w:ind w:left="1267"/>
        <w:rPr>
          <w:lang w:val="es-ES_tradnl"/>
        </w:rPr>
      </w:pPr>
      <w:r w:rsidRPr="00627CAE">
        <w:rPr>
          <w:lang w:val="es-ES_tradnl"/>
        </w:rPr>
        <w:t xml:space="preserve">Australia es uno de los pocos países de reasentamiento que cuenta con un programa de visados para ayudar específicamente a las mujeres y personas a su cargo en situación de riesgo. La subclase de visado para mujeres en situación de riesgo ofrece una vía de reasentamiento a las refugiadas y sus familiares a cargo en situación vulnerable. </w:t>
      </w:r>
    </w:p>
    <w:p w14:paraId="5C412BFA" w14:textId="77777777" w:rsidR="00E42CB7" w:rsidRPr="00195CF4" w:rsidRDefault="00E42CB7" w:rsidP="00E42CB7">
      <w:pPr>
        <w:pStyle w:val="SingleTxt"/>
        <w:spacing w:after="0" w:line="120" w:lineRule="exact"/>
        <w:rPr>
          <w:b/>
          <w:sz w:val="10"/>
          <w:lang w:val="es-ES_tradnl"/>
        </w:rPr>
      </w:pPr>
      <w:bookmarkStart w:id="318" w:name="_Toc174011742"/>
      <w:bookmarkStart w:id="319" w:name="_Toc188598285"/>
      <w:bookmarkStart w:id="320" w:name="_Toc190357182"/>
      <w:bookmarkStart w:id="321" w:name="_Toc190878966"/>
    </w:p>
    <w:p w14:paraId="18DA4E2B" w14:textId="77777777" w:rsidR="00E42CB7" w:rsidRPr="00195CF4" w:rsidRDefault="00E42CB7" w:rsidP="00E42CB7">
      <w:pPr>
        <w:pStyle w:val="SingleTxt"/>
        <w:spacing w:after="0" w:line="120" w:lineRule="exact"/>
        <w:rPr>
          <w:b/>
          <w:sz w:val="10"/>
          <w:lang w:val="es-ES_tradnl"/>
        </w:rPr>
      </w:pPr>
    </w:p>
    <w:p w14:paraId="320998EB" w14:textId="4B4107F0" w:rsidR="00627CAE" w:rsidRPr="00195CF4" w:rsidRDefault="00627CAE" w:rsidP="00E42C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 xml:space="preserve">Acuerdos regionales de procesamiento </w:t>
      </w:r>
      <w:bookmarkEnd w:id="318"/>
      <w:bookmarkEnd w:id="319"/>
      <w:bookmarkEnd w:id="320"/>
      <w:bookmarkEnd w:id="321"/>
    </w:p>
    <w:p w14:paraId="692DB552" w14:textId="77777777" w:rsidR="00E42CB7" w:rsidRPr="007C0DCB" w:rsidRDefault="00E42CB7" w:rsidP="00E42CB7">
      <w:pPr>
        <w:pStyle w:val="SingleTxt"/>
        <w:spacing w:after="0" w:line="120" w:lineRule="exact"/>
        <w:rPr>
          <w:iCs/>
          <w:sz w:val="10"/>
          <w:lang w:val="es-ES_tradnl"/>
        </w:rPr>
      </w:pPr>
    </w:p>
    <w:p w14:paraId="119A3103" w14:textId="77777777" w:rsidR="00E42CB7" w:rsidRPr="007C0DCB" w:rsidRDefault="00E42CB7" w:rsidP="00E42CB7">
      <w:pPr>
        <w:pStyle w:val="SingleTxt"/>
        <w:spacing w:after="0" w:line="120" w:lineRule="exact"/>
        <w:rPr>
          <w:iCs/>
          <w:sz w:val="10"/>
          <w:lang w:val="es-ES_tradnl"/>
        </w:rPr>
      </w:pPr>
    </w:p>
    <w:p w14:paraId="353C4816" w14:textId="5A7F8D3C" w:rsidR="00627CAE" w:rsidRPr="00627CAE" w:rsidRDefault="00627CAE" w:rsidP="00A02D7A">
      <w:pPr>
        <w:pStyle w:val="SingleTxt"/>
        <w:numPr>
          <w:ilvl w:val="0"/>
          <w:numId w:val="23"/>
        </w:numPr>
        <w:ind w:left="1267"/>
        <w:rPr>
          <w:lang w:val="es-ES_tradnl"/>
        </w:rPr>
      </w:pPr>
      <w:r w:rsidRPr="00627CAE">
        <w:rPr>
          <w:lang w:val="es-ES_tradnl"/>
        </w:rPr>
        <w:t xml:space="preserve">Desde febrero de 2019 se ha suscrito un acuerdo de procesamiento regional relativo a un menor en Nauru. Se alojó a este niño junto con sus padres, y desde entonces la familia ha regresado por voluntad propia a su hogar. </w:t>
      </w:r>
    </w:p>
    <w:p w14:paraId="64A6503A" w14:textId="5A3769E0" w:rsidR="00627CAE" w:rsidRPr="00627CAE" w:rsidRDefault="00627CAE" w:rsidP="00A02D7A">
      <w:pPr>
        <w:pStyle w:val="SingleTxt"/>
        <w:numPr>
          <w:ilvl w:val="0"/>
          <w:numId w:val="23"/>
        </w:numPr>
        <w:ind w:left="1267"/>
        <w:rPr>
          <w:lang w:val="es-ES_tradnl"/>
        </w:rPr>
      </w:pPr>
      <w:r w:rsidRPr="00627CAE">
        <w:rPr>
          <w:lang w:val="es-ES_tradnl"/>
        </w:rPr>
        <w:t>El Gobierno de Nauru es responsable de dirigir y aplicar los acuerdos de procesamiento regional en su territorio. Australia ayuda a Nauru para que este último pueda prestar servicios de salud y bienestar dirigidos específicamente a mujeres y niñas para las personas recién llegadas que son trasladadas a Nauru para su procesamiento regional.</w:t>
      </w:r>
    </w:p>
    <w:p w14:paraId="5B60B1E9" w14:textId="0AFEE4CC" w:rsidR="00627CAE" w:rsidRPr="00627CAE" w:rsidRDefault="00627CAE" w:rsidP="00A02D7A">
      <w:pPr>
        <w:pStyle w:val="SingleTxt"/>
        <w:numPr>
          <w:ilvl w:val="0"/>
          <w:numId w:val="23"/>
        </w:numPr>
        <w:ind w:left="1267"/>
        <w:rPr>
          <w:lang w:val="es-ES_tradnl"/>
        </w:rPr>
      </w:pPr>
      <w:r w:rsidRPr="00627CAE">
        <w:rPr>
          <w:lang w:val="es-ES_tradnl"/>
        </w:rPr>
        <w:t>En el marco de los acuerdos de procesamiento regional, corresponde a los países responsables del procesamiento evaluar las solicitudes de protección de todas las personas, incluidas las mujeres y las niñas, conforme a lo dispuesto en su legislación nacional.</w:t>
      </w:r>
    </w:p>
    <w:p w14:paraId="2796269D" w14:textId="76937991" w:rsidR="00627CAE" w:rsidRPr="00627CAE" w:rsidRDefault="00627CAE" w:rsidP="00A02D7A">
      <w:pPr>
        <w:pStyle w:val="SingleTxt"/>
        <w:numPr>
          <w:ilvl w:val="0"/>
          <w:numId w:val="23"/>
        </w:numPr>
        <w:ind w:left="1267"/>
        <w:rPr>
          <w:lang w:val="es-ES_tradnl"/>
        </w:rPr>
      </w:pPr>
      <w:r w:rsidRPr="00627CAE">
        <w:rPr>
          <w:lang w:val="es-ES_tradnl"/>
        </w:rPr>
        <w:t>Las solicitudes de visados de protección se evalúan con arreglo a los criterios establecidos en la Ley de Migración de 1958 (Commonwealth) (Ley de Migración) y el Reglamento de Migración de 1994 (Commonwealth). Todas las solicitudes de protección se evalúan individualmente teniendo en cuenta sus méritos y las circunstancias particulares del solicitante.</w:t>
      </w:r>
    </w:p>
    <w:p w14:paraId="46542F40" w14:textId="1B5F3174" w:rsidR="00627CAE" w:rsidRPr="00627CAE" w:rsidRDefault="00627CAE" w:rsidP="00A02D7A">
      <w:pPr>
        <w:pStyle w:val="SingleTxt"/>
        <w:numPr>
          <w:ilvl w:val="0"/>
          <w:numId w:val="23"/>
        </w:numPr>
        <w:ind w:left="1267"/>
        <w:rPr>
          <w:lang w:val="es-ES_tradnl"/>
        </w:rPr>
      </w:pPr>
      <w:r w:rsidRPr="00627CAE">
        <w:rPr>
          <w:lang w:val="es-ES_tradnl"/>
        </w:rPr>
        <w:t>El Gobierno reconoce que las mujeres pueden ser víctimas de persecución, daños y discriminación por razón de su género. Se ayuda a los responsables de las decisiones relativas a los visados para que evalúen con eficacia y sensibilidad las denuncias relacionadas con el género. Los responsables de las decisiones relativas a los visados reciben capacitación para realizar entrevistas relacionadas con la violencia doméstica.</w:t>
      </w:r>
    </w:p>
    <w:p w14:paraId="40FACEFC" w14:textId="77777777" w:rsidR="00E42CB7" w:rsidRPr="00195CF4" w:rsidRDefault="00E42CB7" w:rsidP="00E42CB7">
      <w:pPr>
        <w:pStyle w:val="SingleTxt"/>
        <w:spacing w:after="0" w:line="120" w:lineRule="exact"/>
        <w:rPr>
          <w:b/>
          <w:sz w:val="10"/>
          <w:lang w:val="es-ES_tradnl"/>
        </w:rPr>
      </w:pPr>
      <w:bookmarkStart w:id="322" w:name="_Toc174011743"/>
      <w:bookmarkStart w:id="323" w:name="_Toc188598286"/>
      <w:bookmarkStart w:id="324" w:name="_Toc190357183"/>
      <w:bookmarkStart w:id="325" w:name="_Toc190878967"/>
    </w:p>
    <w:p w14:paraId="5E8F8880" w14:textId="77777777" w:rsidR="00E42CB7" w:rsidRPr="00195CF4" w:rsidRDefault="00E42CB7" w:rsidP="00E42CB7">
      <w:pPr>
        <w:pStyle w:val="SingleTxt"/>
        <w:spacing w:after="0" w:line="120" w:lineRule="exact"/>
        <w:rPr>
          <w:b/>
          <w:sz w:val="10"/>
          <w:lang w:val="es-ES_tradnl"/>
        </w:rPr>
      </w:pPr>
    </w:p>
    <w:p w14:paraId="26A57867" w14:textId="70E36466" w:rsidR="00627CAE" w:rsidRPr="00195CF4" w:rsidRDefault="00627CAE" w:rsidP="00E42C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Detención obligatoria</w:t>
      </w:r>
      <w:bookmarkEnd w:id="322"/>
      <w:bookmarkEnd w:id="323"/>
      <w:bookmarkEnd w:id="324"/>
      <w:bookmarkEnd w:id="325"/>
    </w:p>
    <w:p w14:paraId="5746E0CB" w14:textId="77777777" w:rsidR="00E42CB7" w:rsidRPr="007C0DCB" w:rsidRDefault="00E42CB7" w:rsidP="00E42CB7">
      <w:pPr>
        <w:pStyle w:val="SingleTxt"/>
        <w:spacing w:after="0" w:line="120" w:lineRule="exact"/>
        <w:rPr>
          <w:iCs/>
          <w:sz w:val="10"/>
          <w:lang w:val="es-ES_tradnl"/>
        </w:rPr>
      </w:pPr>
    </w:p>
    <w:p w14:paraId="5FA96277" w14:textId="77777777" w:rsidR="00E42CB7" w:rsidRPr="007C0DCB" w:rsidRDefault="00E42CB7" w:rsidP="00E42CB7">
      <w:pPr>
        <w:pStyle w:val="SingleTxt"/>
        <w:spacing w:after="0" w:line="120" w:lineRule="exact"/>
        <w:rPr>
          <w:iCs/>
          <w:sz w:val="10"/>
          <w:lang w:val="es-ES_tradnl"/>
        </w:rPr>
      </w:pPr>
    </w:p>
    <w:p w14:paraId="3508CC34" w14:textId="0E4A4980" w:rsidR="00627CAE" w:rsidRPr="00627CAE" w:rsidRDefault="00627CAE" w:rsidP="00A02D7A">
      <w:pPr>
        <w:pStyle w:val="SingleTxt"/>
        <w:numPr>
          <w:ilvl w:val="0"/>
          <w:numId w:val="23"/>
        </w:numPr>
        <w:ind w:left="1267"/>
        <w:rPr>
          <w:lang w:val="es-ES_tradnl"/>
        </w:rPr>
      </w:pPr>
      <w:r w:rsidRPr="00627CAE">
        <w:rPr>
          <w:lang w:val="es-ES_tradnl"/>
        </w:rPr>
        <w:t xml:space="preserve">La detención de inmigrantes forma parte de la buena gestión del sistema de migración de Australia y permite responder ante posibles riesgos para la comunidad </w:t>
      </w:r>
      <w:r w:rsidRPr="00627CAE">
        <w:rPr>
          <w:lang w:val="es-ES_tradnl"/>
        </w:rPr>
        <w:lastRenderedPageBreak/>
        <w:t xml:space="preserve">australiana, incluidos los riesgos para la seguridad nacional, la salud y el carácter. Según la Ley de Migración, cualquier persona que carezca de visado válido se considera un no ciudadano en situación irregular y debe ser detenida. </w:t>
      </w:r>
    </w:p>
    <w:p w14:paraId="2D8EB6FE" w14:textId="51913972" w:rsidR="00627CAE" w:rsidRPr="00627CAE" w:rsidRDefault="00627CAE" w:rsidP="00A02D7A">
      <w:pPr>
        <w:pStyle w:val="SingleTxt"/>
        <w:numPr>
          <w:ilvl w:val="0"/>
          <w:numId w:val="23"/>
        </w:numPr>
        <w:ind w:left="1267"/>
        <w:rPr>
          <w:lang w:val="es-ES_tradnl"/>
        </w:rPr>
      </w:pPr>
      <w:r w:rsidRPr="00627CAE">
        <w:rPr>
          <w:lang w:val="es-ES_tradnl"/>
        </w:rPr>
        <w:t xml:space="preserve">La detención de inmigrantes se utiliza como último recurso. Siempre que sea posible, se aloja a los no ciudadanos en situación irregular que vayan a ser detenidos en la comunidad o en centros menos restrictivos, especialmente cuando hay menores implicados. </w:t>
      </w:r>
    </w:p>
    <w:p w14:paraId="570EE86B" w14:textId="6D58E6FE" w:rsidR="00627CAE" w:rsidRPr="00627CAE" w:rsidRDefault="00627CAE" w:rsidP="00A02D7A">
      <w:pPr>
        <w:pStyle w:val="SingleTxt"/>
        <w:numPr>
          <w:ilvl w:val="0"/>
          <w:numId w:val="23"/>
        </w:numPr>
        <w:ind w:left="1267"/>
        <w:rPr>
          <w:lang w:val="es-ES_tradnl"/>
        </w:rPr>
      </w:pPr>
      <w:r w:rsidRPr="00627CAE">
        <w:rPr>
          <w:lang w:val="es-ES_tradnl"/>
        </w:rPr>
        <w:t>Los no ciudadanos en situación irregular detenidos ingresan en centros de detención de inmigrantes. Para decidir cuál es el centro de detención de inmigrantes más adecuado, se estudia cada caso por separado y se tienen en cuenta diversos factores, como la capacidad operacional de cada centro y la seguridad de los no ciudadanos en situación irregular, el personal y las visitas.</w:t>
      </w:r>
    </w:p>
    <w:p w14:paraId="71F728E9" w14:textId="1F3C9C98" w:rsidR="00627CAE" w:rsidRPr="00627CAE" w:rsidRDefault="00627CAE" w:rsidP="00A02D7A">
      <w:pPr>
        <w:pStyle w:val="SingleTxt"/>
        <w:numPr>
          <w:ilvl w:val="0"/>
          <w:numId w:val="23"/>
        </w:numPr>
        <w:ind w:left="1267"/>
        <w:rPr>
          <w:lang w:val="es-ES_tradnl"/>
        </w:rPr>
      </w:pPr>
      <w:r w:rsidRPr="00627CAE">
        <w:rPr>
          <w:lang w:val="es-ES_tradnl"/>
        </w:rPr>
        <w:t>Al 30 de abril de 2024, había 50 mujeres en centros de detención de inmigrantes, lo que representa menos del 6 % de la población total detenida. Se retiró el visado a más del 40 % de estas mujeres en virtud de la sección 501 de la Ley de Migración. No se tiene constancia de que hubiera mujeres ingresadas en un centro de detención de inmigrantes tras llegar a Australia por mar y entrar en el país como no ciudadanas en situación irregular.</w:t>
      </w:r>
    </w:p>
    <w:p w14:paraId="651FE9E0" w14:textId="77777777" w:rsidR="00DA15A2" w:rsidRPr="00195CF4" w:rsidRDefault="00DA15A2" w:rsidP="00DA15A2">
      <w:pPr>
        <w:pStyle w:val="SingleTxt"/>
        <w:spacing w:after="0" w:line="120" w:lineRule="exact"/>
        <w:rPr>
          <w:b/>
          <w:sz w:val="10"/>
          <w:lang w:val="es-ES_tradnl"/>
        </w:rPr>
      </w:pPr>
      <w:bookmarkStart w:id="326" w:name="_Toc174011744"/>
      <w:bookmarkStart w:id="327" w:name="_Toc188598287"/>
      <w:bookmarkStart w:id="328" w:name="_Toc190357184"/>
      <w:bookmarkStart w:id="329" w:name="_Toc190878968"/>
    </w:p>
    <w:p w14:paraId="305BE0CD" w14:textId="77777777" w:rsidR="00DA15A2" w:rsidRPr="00195CF4" w:rsidRDefault="00DA15A2" w:rsidP="00DA15A2">
      <w:pPr>
        <w:pStyle w:val="SingleTxt"/>
        <w:spacing w:after="0" w:line="120" w:lineRule="exact"/>
        <w:rPr>
          <w:b/>
          <w:sz w:val="10"/>
          <w:lang w:val="es-ES_tradnl"/>
        </w:rPr>
      </w:pPr>
    </w:p>
    <w:p w14:paraId="31E95CE5" w14:textId="145C34A2" w:rsidR="00627CAE" w:rsidRPr="00195CF4" w:rsidRDefault="00627CAE" w:rsidP="00DA15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 xml:space="preserve">Acceso a la sanidad y la educación </w:t>
      </w:r>
      <w:bookmarkEnd w:id="326"/>
      <w:bookmarkEnd w:id="327"/>
      <w:bookmarkEnd w:id="328"/>
      <w:bookmarkEnd w:id="329"/>
    </w:p>
    <w:p w14:paraId="28D4FB2D" w14:textId="77777777" w:rsidR="00DA15A2" w:rsidRPr="007C0DCB" w:rsidRDefault="00DA15A2" w:rsidP="00DA15A2">
      <w:pPr>
        <w:pStyle w:val="SingleTxt"/>
        <w:spacing w:after="0" w:line="120" w:lineRule="exact"/>
        <w:rPr>
          <w:iCs/>
          <w:sz w:val="10"/>
          <w:lang w:val="es-ES_tradnl"/>
        </w:rPr>
      </w:pPr>
    </w:p>
    <w:p w14:paraId="66006B05" w14:textId="77777777" w:rsidR="00DA15A2" w:rsidRPr="007C0DCB" w:rsidRDefault="00DA15A2" w:rsidP="00DA15A2">
      <w:pPr>
        <w:pStyle w:val="SingleTxt"/>
        <w:spacing w:after="0" w:line="120" w:lineRule="exact"/>
        <w:rPr>
          <w:iCs/>
          <w:sz w:val="10"/>
          <w:lang w:val="es-ES_tradnl"/>
        </w:rPr>
      </w:pPr>
    </w:p>
    <w:p w14:paraId="609D868B" w14:textId="429CF455" w:rsidR="00627CAE" w:rsidRPr="00627CAE" w:rsidRDefault="00627CAE" w:rsidP="00A02D7A">
      <w:pPr>
        <w:pStyle w:val="SingleTxt"/>
        <w:numPr>
          <w:ilvl w:val="0"/>
          <w:numId w:val="23"/>
        </w:numPr>
        <w:ind w:left="1267"/>
        <w:rPr>
          <w:lang w:val="es-ES_tradnl"/>
        </w:rPr>
      </w:pPr>
      <w:r w:rsidRPr="00627CAE">
        <w:rPr>
          <w:lang w:val="es-ES_tradnl"/>
        </w:rPr>
        <w:t xml:space="preserve">El Gobierno ha contratado a dos proveedores de servicios para atender a los inmigrantes detenidos. El proveedor de servicios para centros y detenidos presta servicios de seguridad, aprovisionamiento, bienestar y gestión de instalaciones, mientras que el proveedor de servicios sanitarios para detenidos presta servicios de salud y bienestar. </w:t>
      </w:r>
    </w:p>
    <w:p w14:paraId="163F7C08" w14:textId="077F5CE4" w:rsidR="00627CAE" w:rsidRPr="00627CAE" w:rsidRDefault="00627CAE" w:rsidP="00A02D7A">
      <w:pPr>
        <w:pStyle w:val="SingleTxt"/>
        <w:numPr>
          <w:ilvl w:val="0"/>
          <w:numId w:val="23"/>
        </w:numPr>
        <w:ind w:left="1267"/>
        <w:rPr>
          <w:lang w:val="es-ES_tradnl"/>
        </w:rPr>
      </w:pPr>
      <w:r w:rsidRPr="00627CAE">
        <w:rPr>
          <w:lang w:val="es-ES_tradnl"/>
        </w:rPr>
        <w:t>Los servicios de atención de salud para los inmigrantes detenidos son comparables a los que ofrece el sistema de salud pública de Australia. Un equipo multidisciplinario presta servicios de salud a los detenidos en un marco integrado de atención primaria. El proveedor de servicios de salud para detenidos proporciona periódicamente información médica a los inmigrantes detenidos, por ejemplo sobre la salud femenina, el ciclo de la vida, anticoncepción, la salud sexual y reproductiva, o el cáncer de mama y de ovarios.</w:t>
      </w:r>
    </w:p>
    <w:p w14:paraId="1C860A36" w14:textId="02D1CC65" w:rsidR="00627CAE" w:rsidRPr="00627CAE" w:rsidRDefault="00627CAE" w:rsidP="00A02D7A">
      <w:pPr>
        <w:pStyle w:val="SingleTxt"/>
        <w:numPr>
          <w:ilvl w:val="0"/>
          <w:numId w:val="23"/>
        </w:numPr>
        <w:ind w:left="1267"/>
        <w:rPr>
          <w:lang w:val="es-ES_tradnl"/>
        </w:rPr>
      </w:pPr>
      <w:r w:rsidRPr="00627CAE">
        <w:rPr>
          <w:lang w:val="es-ES_tradnl"/>
        </w:rPr>
        <w:t xml:space="preserve">El proveedor de servicios de salud para detenidos proporciona acceso a servicios de salud sexual y reproductiva, incluidos exámenes prenatales y atención obstétrica, interrupción del embarazo previa solicitud, anticoncepción de emergencia y asistencia a víctimas y supervivientes de la mutilación genital femenina y la violencia familiar. </w:t>
      </w:r>
    </w:p>
    <w:p w14:paraId="5D428225" w14:textId="46873B6E" w:rsidR="00627CAE" w:rsidRPr="00627CAE" w:rsidRDefault="00627CAE" w:rsidP="00A02D7A">
      <w:pPr>
        <w:pStyle w:val="SingleTxt"/>
        <w:numPr>
          <w:ilvl w:val="0"/>
          <w:numId w:val="23"/>
        </w:numPr>
        <w:ind w:left="1267"/>
        <w:rPr>
          <w:lang w:val="es-ES_tradnl"/>
        </w:rPr>
      </w:pPr>
      <w:r w:rsidRPr="00627CAE">
        <w:rPr>
          <w:lang w:val="es-ES_tradnl"/>
        </w:rPr>
        <w:t>En los centros de detención de inmigrantes se proporcionan intérpretes y servicios de apoyo apropiados desde el punto de vista cultural y se hace todo lo posible para que estos tengan en cuenta el género, la cultura y la religión. Se toman medidas para garantizar la confidencialidad y ofrecer garantías de confidencialidad a los detenidos.</w:t>
      </w:r>
    </w:p>
    <w:p w14:paraId="5B87BF0C" w14:textId="0CBC24F9" w:rsidR="00627CAE" w:rsidRPr="00627CAE" w:rsidRDefault="00627CAE" w:rsidP="00A02D7A">
      <w:pPr>
        <w:pStyle w:val="SingleTxt"/>
        <w:numPr>
          <w:ilvl w:val="0"/>
          <w:numId w:val="23"/>
        </w:numPr>
        <w:ind w:left="1267"/>
        <w:rPr>
          <w:lang w:val="es-ES_tradnl"/>
        </w:rPr>
      </w:pPr>
      <w:r w:rsidRPr="00627CAE">
        <w:rPr>
          <w:lang w:val="es-ES_tradnl"/>
        </w:rPr>
        <w:t>Los niños refugiados y solicitantes de asilo pueden acceder a la educación primaria y secundaria que se imparte a los ciudadanos de los estados y los territorios donde se encuentran ubicados.</w:t>
      </w:r>
    </w:p>
    <w:p w14:paraId="2DDD1DAF" w14:textId="77777777" w:rsidR="00DA15A2" w:rsidRPr="00195CF4" w:rsidRDefault="00DA15A2" w:rsidP="00DA15A2">
      <w:pPr>
        <w:pStyle w:val="SingleTxt"/>
        <w:spacing w:after="0" w:line="120" w:lineRule="exact"/>
        <w:rPr>
          <w:b/>
          <w:sz w:val="10"/>
          <w:lang w:val="es-ES_tradnl"/>
        </w:rPr>
      </w:pPr>
      <w:bookmarkStart w:id="330" w:name="_Toc174011745"/>
      <w:bookmarkStart w:id="331" w:name="_Toc188598288"/>
      <w:bookmarkStart w:id="332" w:name="_Toc190357185"/>
      <w:bookmarkStart w:id="333" w:name="_Toc190878969"/>
    </w:p>
    <w:p w14:paraId="26A17D27" w14:textId="77777777" w:rsidR="00DA15A2" w:rsidRPr="00195CF4" w:rsidRDefault="00DA15A2" w:rsidP="00DA15A2">
      <w:pPr>
        <w:pStyle w:val="SingleTxt"/>
        <w:spacing w:after="0" w:line="120" w:lineRule="exact"/>
        <w:rPr>
          <w:b/>
          <w:sz w:val="10"/>
          <w:lang w:val="es-ES_tradnl"/>
        </w:rPr>
      </w:pPr>
    </w:p>
    <w:p w14:paraId="01B92800" w14:textId="16C88BA2" w:rsidR="00627CAE" w:rsidRPr="00195CF4" w:rsidRDefault="00627CAE" w:rsidP="00DA15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Servicios de apoyo para resolver la situación migratoria</w:t>
      </w:r>
      <w:bookmarkEnd w:id="330"/>
      <w:bookmarkEnd w:id="331"/>
      <w:bookmarkEnd w:id="332"/>
      <w:bookmarkEnd w:id="333"/>
    </w:p>
    <w:p w14:paraId="64D3E98C" w14:textId="77777777" w:rsidR="00DA15A2" w:rsidRPr="007C0DCB" w:rsidRDefault="00DA15A2" w:rsidP="00DA15A2">
      <w:pPr>
        <w:pStyle w:val="SingleTxt"/>
        <w:spacing w:after="0" w:line="120" w:lineRule="exact"/>
        <w:rPr>
          <w:iCs/>
          <w:sz w:val="10"/>
          <w:lang w:val="es-ES_tradnl"/>
        </w:rPr>
      </w:pPr>
    </w:p>
    <w:p w14:paraId="75F398C6" w14:textId="77777777" w:rsidR="00DA15A2" w:rsidRPr="007C0DCB" w:rsidRDefault="00DA15A2" w:rsidP="00DA15A2">
      <w:pPr>
        <w:pStyle w:val="SingleTxt"/>
        <w:spacing w:after="0" w:line="120" w:lineRule="exact"/>
        <w:rPr>
          <w:iCs/>
          <w:sz w:val="10"/>
          <w:lang w:val="es-ES_tradnl"/>
        </w:rPr>
      </w:pPr>
    </w:p>
    <w:p w14:paraId="3740260C" w14:textId="10958709" w:rsidR="00627CAE" w:rsidRPr="00627CAE" w:rsidRDefault="00627CAE" w:rsidP="00A02D7A">
      <w:pPr>
        <w:pStyle w:val="SingleTxt"/>
        <w:numPr>
          <w:ilvl w:val="0"/>
          <w:numId w:val="23"/>
        </w:numPr>
        <w:ind w:left="1267"/>
        <w:rPr>
          <w:lang w:val="es-ES_tradnl"/>
        </w:rPr>
      </w:pPr>
      <w:r w:rsidRPr="00627CAE">
        <w:rPr>
          <w:lang w:val="es-ES_tradnl"/>
        </w:rPr>
        <w:t xml:space="preserve">El Departamento de Interior administra el Programa de Servicios de Apoyo para Resolver la Situación Migratoria (SRSS). El programa ofrece ayuda especializada </w:t>
      </w:r>
      <w:r w:rsidRPr="00627CAE">
        <w:rPr>
          <w:lang w:val="es-ES_tradnl"/>
        </w:rPr>
        <w:lastRenderedPageBreak/>
        <w:t xml:space="preserve">para atender las necesidades de las personas que reúnan los requisitos mientras se resuelve su situación migratoria. La ayuda que reciban estas personas dependerá de sus circunstancias individuales y está dirigida a quienes reúnan los requisitos y tengan dificultades considerables para mantenerse o tratar de resolver su situación migratoria. Las mujeres y niñas refugiadas y solicitantes de asilo pueden acogerse al programa siempre que cumplan los criterios para recibir ayuda (a saber, ser titulares de un visado temporal vinculado a la solicitud de un visado de protección y poder demostrar que se encuentran en una situación precaria). La asistencia puede consistir en ayudas a los ingresos, gestión de casos, acceso a la atención de la salud, alojamiento y diseño de un plan individualizado para aumentar la independencia y facilitar la integración. </w:t>
      </w:r>
    </w:p>
    <w:p w14:paraId="33006DFC" w14:textId="7CC56470" w:rsidR="00627CAE" w:rsidRPr="00627CAE" w:rsidRDefault="00627CAE" w:rsidP="00A02D7A">
      <w:pPr>
        <w:pStyle w:val="SingleTxt"/>
        <w:numPr>
          <w:ilvl w:val="0"/>
          <w:numId w:val="23"/>
        </w:numPr>
        <w:ind w:left="1267"/>
        <w:rPr>
          <w:lang w:val="es-ES_tradnl"/>
        </w:rPr>
      </w:pPr>
      <w:r w:rsidRPr="00627CAE">
        <w:rPr>
          <w:lang w:val="es-ES_tradnl"/>
        </w:rPr>
        <w:t>Los proveedores del programa deben asegurarse de que el personal recibe capacitación sobre el Marco de Salvaguarda de la Infancia y sensibilización sobre la violencia familiar y doméstica.</w:t>
      </w:r>
    </w:p>
    <w:p w14:paraId="2DB9D193" w14:textId="77777777" w:rsidR="00DA15A2" w:rsidRPr="00195CF4" w:rsidRDefault="00DA15A2" w:rsidP="00DA15A2">
      <w:pPr>
        <w:pStyle w:val="SingleTxt"/>
        <w:spacing w:after="0" w:line="120" w:lineRule="exact"/>
        <w:rPr>
          <w:b/>
          <w:sz w:val="10"/>
          <w:lang w:val="es-ES_tradnl"/>
        </w:rPr>
      </w:pPr>
      <w:bookmarkStart w:id="334" w:name="_Toc174011746"/>
      <w:bookmarkStart w:id="335" w:name="_Toc188598289"/>
      <w:bookmarkStart w:id="336" w:name="_Toc190357186"/>
      <w:bookmarkStart w:id="337" w:name="_Toc190878970"/>
    </w:p>
    <w:p w14:paraId="27FE21D8" w14:textId="77777777" w:rsidR="00DA15A2" w:rsidRPr="00195CF4" w:rsidRDefault="00DA15A2" w:rsidP="00DA15A2">
      <w:pPr>
        <w:pStyle w:val="SingleTxt"/>
        <w:spacing w:after="0" w:line="120" w:lineRule="exact"/>
        <w:rPr>
          <w:b/>
          <w:sz w:val="10"/>
          <w:lang w:val="es-ES_tradnl"/>
        </w:rPr>
      </w:pPr>
    </w:p>
    <w:p w14:paraId="32881BF0" w14:textId="4CA9C52D" w:rsidR="00627CAE" w:rsidRPr="00195CF4" w:rsidRDefault="00627CAE" w:rsidP="00DA15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 xml:space="preserve">Violencia de género en los centros de detención de inmigrantes </w:t>
      </w:r>
      <w:bookmarkEnd w:id="334"/>
      <w:bookmarkEnd w:id="335"/>
      <w:bookmarkEnd w:id="336"/>
      <w:bookmarkEnd w:id="337"/>
    </w:p>
    <w:p w14:paraId="313B1AF6" w14:textId="77777777" w:rsidR="00DA15A2" w:rsidRPr="007C0DCB" w:rsidRDefault="00DA15A2" w:rsidP="00DA15A2">
      <w:pPr>
        <w:pStyle w:val="SingleTxt"/>
        <w:spacing w:after="0" w:line="120" w:lineRule="exact"/>
        <w:rPr>
          <w:iCs/>
          <w:sz w:val="10"/>
          <w:lang w:val="es-ES_tradnl"/>
        </w:rPr>
      </w:pPr>
    </w:p>
    <w:p w14:paraId="0A35C6F8" w14:textId="77777777" w:rsidR="00DA15A2" w:rsidRPr="007C0DCB" w:rsidRDefault="00DA15A2" w:rsidP="00DA15A2">
      <w:pPr>
        <w:pStyle w:val="SingleTxt"/>
        <w:spacing w:after="0" w:line="120" w:lineRule="exact"/>
        <w:rPr>
          <w:iCs/>
          <w:sz w:val="10"/>
          <w:lang w:val="es-ES_tradnl"/>
        </w:rPr>
      </w:pPr>
    </w:p>
    <w:p w14:paraId="2AA4934A" w14:textId="3373836E" w:rsidR="00627CAE" w:rsidRPr="00627CAE" w:rsidRDefault="00627CAE" w:rsidP="00A02D7A">
      <w:pPr>
        <w:pStyle w:val="SingleTxt"/>
        <w:numPr>
          <w:ilvl w:val="0"/>
          <w:numId w:val="23"/>
        </w:numPr>
        <w:ind w:left="1267"/>
        <w:rPr>
          <w:lang w:val="es-ES_tradnl"/>
        </w:rPr>
      </w:pPr>
      <w:r w:rsidRPr="00627CAE">
        <w:rPr>
          <w:lang w:val="es-ES_tradnl"/>
        </w:rPr>
        <w:t xml:space="preserve">Las mujeres en centros de detención de inmigrantes pueden presentar quejas u opinar sobre cualquier aspecto de su detención, sin trabas ni temor a sufrir represalias. Las quejas pueden dirigirse al Departamento de Interior, la Fuerza de Fronteras Australiana, los proveedores de servicios o los órganos de supervisión. </w:t>
      </w:r>
    </w:p>
    <w:p w14:paraId="06B35434" w14:textId="32478E13" w:rsidR="00627CAE" w:rsidRPr="00627CAE" w:rsidRDefault="00627CAE" w:rsidP="00A02D7A">
      <w:pPr>
        <w:pStyle w:val="SingleTxt"/>
        <w:numPr>
          <w:ilvl w:val="0"/>
          <w:numId w:val="23"/>
        </w:numPr>
        <w:ind w:left="1267"/>
        <w:rPr>
          <w:lang w:val="es-ES_tradnl"/>
        </w:rPr>
      </w:pPr>
      <w:r w:rsidRPr="00627CAE">
        <w:rPr>
          <w:lang w:val="es-ES_tradnl"/>
        </w:rPr>
        <w:t>Una serie de leyes, políticas, normas y prácticas regulan el trato que se dispensa a las personas que han ingresado en centros de detención de inmigrantes de Australia. La duración y las condiciones de la detención están sujetas a exámenes periódicos internos y externos. El Ómbudsman del Commonwealth, la Comisión Australiana de Derechos Humanos y la Cruz Roja Australiana inspeccionan continuamente los centros de detención de inmigrantes.</w:t>
      </w:r>
    </w:p>
    <w:p w14:paraId="0173538C" w14:textId="77777777" w:rsidR="00DA15A2" w:rsidRPr="00195CF4" w:rsidRDefault="00DA15A2" w:rsidP="00DA15A2">
      <w:pPr>
        <w:pStyle w:val="SingleTxt"/>
        <w:spacing w:after="0" w:line="120" w:lineRule="exact"/>
        <w:rPr>
          <w:b/>
          <w:sz w:val="10"/>
          <w:lang w:val="es-ES_tradnl"/>
        </w:rPr>
      </w:pPr>
      <w:bookmarkStart w:id="338" w:name="_Toc174011747"/>
      <w:bookmarkStart w:id="339" w:name="_Toc190878971"/>
    </w:p>
    <w:p w14:paraId="2C8F83D0" w14:textId="77777777" w:rsidR="00DA15A2" w:rsidRPr="00195CF4" w:rsidRDefault="00DA15A2" w:rsidP="00DA15A2">
      <w:pPr>
        <w:pStyle w:val="SingleTxt"/>
        <w:spacing w:after="0" w:line="120" w:lineRule="exact"/>
        <w:rPr>
          <w:b/>
          <w:sz w:val="10"/>
          <w:lang w:val="es-ES_tradnl"/>
        </w:rPr>
      </w:pPr>
    </w:p>
    <w:p w14:paraId="28B20BF5" w14:textId="4058DFD3" w:rsidR="00627CAE" w:rsidRPr="00195CF4" w:rsidRDefault="00627CAE" w:rsidP="00DA15A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Pregunta 23: Mujeres reclusas</w:t>
      </w:r>
      <w:bookmarkEnd w:id="338"/>
      <w:bookmarkEnd w:id="339"/>
    </w:p>
    <w:p w14:paraId="7D41338E" w14:textId="77777777" w:rsidR="00DA15A2" w:rsidRPr="007C0DCB" w:rsidRDefault="00DA15A2" w:rsidP="00DA15A2">
      <w:pPr>
        <w:pStyle w:val="SingleTxt"/>
        <w:spacing w:after="0" w:line="120" w:lineRule="exact"/>
        <w:rPr>
          <w:iCs/>
          <w:sz w:val="10"/>
          <w:lang w:val="es-ES_tradnl"/>
        </w:rPr>
      </w:pPr>
    </w:p>
    <w:p w14:paraId="1711D556" w14:textId="77777777" w:rsidR="00DA15A2" w:rsidRPr="007C0DCB" w:rsidRDefault="00DA15A2" w:rsidP="00DA15A2">
      <w:pPr>
        <w:pStyle w:val="SingleTxt"/>
        <w:spacing w:after="0" w:line="120" w:lineRule="exact"/>
        <w:rPr>
          <w:iCs/>
          <w:sz w:val="10"/>
          <w:lang w:val="es-ES_tradnl"/>
        </w:rPr>
      </w:pPr>
    </w:p>
    <w:p w14:paraId="51819144" w14:textId="5AC0FA29" w:rsidR="00627CAE" w:rsidRPr="00627CAE" w:rsidRDefault="00627CAE" w:rsidP="00A02D7A">
      <w:pPr>
        <w:pStyle w:val="SingleTxt"/>
        <w:numPr>
          <w:ilvl w:val="0"/>
          <w:numId w:val="23"/>
        </w:numPr>
        <w:ind w:left="1267"/>
        <w:rPr>
          <w:lang w:val="es-ES_tradnl"/>
        </w:rPr>
      </w:pPr>
      <w:r w:rsidRPr="00627CAE">
        <w:rPr>
          <w:lang w:val="es-ES_tradnl"/>
        </w:rPr>
        <w:t>Los estados y los territorios administran sus propios sistemas de justicia penal y sus servicios correccionales y penitenciarios. Los detalles se pueden facilitar durante el diálogo entre los Estados partes.</w:t>
      </w:r>
    </w:p>
    <w:p w14:paraId="04DEF6B2" w14:textId="77777777" w:rsidR="00DA15A2" w:rsidRPr="00195CF4" w:rsidRDefault="00DA15A2" w:rsidP="00DA15A2">
      <w:pPr>
        <w:pStyle w:val="SingleTxt"/>
        <w:spacing w:after="0" w:line="120" w:lineRule="exact"/>
        <w:rPr>
          <w:b/>
          <w:sz w:val="10"/>
          <w:lang w:val="es-ES_tradnl"/>
        </w:rPr>
      </w:pPr>
      <w:bookmarkStart w:id="340" w:name="_Toc174011748"/>
      <w:bookmarkStart w:id="341" w:name="_Toc188598291"/>
      <w:bookmarkStart w:id="342" w:name="_Toc190357188"/>
      <w:bookmarkStart w:id="343" w:name="_Toc190878972"/>
    </w:p>
    <w:p w14:paraId="474D93C5" w14:textId="77777777" w:rsidR="00DA15A2" w:rsidRPr="00195CF4" w:rsidRDefault="00DA15A2" w:rsidP="00DA15A2">
      <w:pPr>
        <w:pStyle w:val="SingleTxt"/>
        <w:spacing w:after="0" w:line="120" w:lineRule="exact"/>
        <w:rPr>
          <w:b/>
          <w:sz w:val="10"/>
          <w:lang w:val="es-ES_tradnl"/>
        </w:rPr>
      </w:pPr>
    </w:p>
    <w:p w14:paraId="72AEC0AE" w14:textId="08D61218" w:rsidR="00627CAE" w:rsidRPr="00195CF4" w:rsidRDefault="00627CAE" w:rsidP="00DA15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Intervención temprana integral y diseño de estrategias de</w:t>
      </w:r>
      <w:r w:rsidR="00DA15A2" w:rsidRPr="00195CF4">
        <w:rPr>
          <w:lang w:val="es-ES_tradnl"/>
        </w:rPr>
        <w:t> </w:t>
      </w:r>
      <w:r w:rsidRPr="00195CF4">
        <w:rPr>
          <w:lang w:val="es-ES_tradnl"/>
        </w:rPr>
        <w:t>desviación y de prevención</w:t>
      </w:r>
      <w:bookmarkEnd w:id="340"/>
      <w:bookmarkEnd w:id="341"/>
      <w:bookmarkEnd w:id="342"/>
      <w:bookmarkEnd w:id="343"/>
    </w:p>
    <w:p w14:paraId="44A04E18" w14:textId="77777777" w:rsidR="00DA15A2" w:rsidRPr="007C0DCB" w:rsidRDefault="00DA15A2" w:rsidP="00DA15A2">
      <w:pPr>
        <w:pStyle w:val="SingleTxt"/>
        <w:spacing w:after="0" w:line="120" w:lineRule="exact"/>
        <w:rPr>
          <w:iCs/>
          <w:sz w:val="10"/>
          <w:lang w:val="es-ES_tradnl"/>
        </w:rPr>
      </w:pPr>
    </w:p>
    <w:p w14:paraId="4FA5DA2C" w14:textId="77777777" w:rsidR="00DA15A2" w:rsidRPr="007C0DCB" w:rsidRDefault="00DA15A2" w:rsidP="00DA15A2">
      <w:pPr>
        <w:pStyle w:val="SingleTxt"/>
        <w:spacing w:after="0" w:line="120" w:lineRule="exact"/>
        <w:rPr>
          <w:iCs/>
          <w:sz w:val="10"/>
          <w:lang w:val="es-ES_tradnl"/>
        </w:rPr>
      </w:pPr>
    </w:p>
    <w:p w14:paraId="3522D164" w14:textId="7E61F68E" w:rsidR="00627CAE" w:rsidRPr="00627CAE" w:rsidRDefault="00627CAE" w:rsidP="00A02D7A">
      <w:pPr>
        <w:pStyle w:val="SingleTxt"/>
        <w:numPr>
          <w:ilvl w:val="0"/>
          <w:numId w:val="23"/>
        </w:numPr>
        <w:ind w:left="1267"/>
        <w:rPr>
          <w:lang w:val="es-ES_tradnl"/>
        </w:rPr>
      </w:pPr>
      <w:r w:rsidRPr="00627CAE">
        <w:rPr>
          <w:lang w:val="es-ES_tradnl"/>
        </w:rPr>
        <w:t xml:space="preserve">El Gobierno colabora con los estados y los territorios para afrontar los factores subyacentes que llevan a las personas a verse involucradas en el sistema de justicia, incidiendo en mejorar las estrategias de prevención, intervención temprana y desviación. </w:t>
      </w:r>
    </w:p>
    <w:p w14:paraId="13C7BEAD" w14:textId="2C4F5CDD" w:rsidR="00627CAE" w:rsidRPr="00627CAE" w:rsidRDefault="00627CAE" w:rsidP="00A02D7A">
      <w:pPr>
        <w:pStyle w:val="SingleTxt"/>
        <w:numPr>
          <w:ilvl w:val="0"/>
          <w:numId w:val="23"/>
        </w:numPr>
        <w:ind w:left="1267"/>
        <w:rPr>
          <w:lang w:val="es-ES_tradnl"/>
        </w:rPr>
      </w:pPr>
      <w:r w:rsidRPr="00627CAE">
        <w:rPr>
          <w:lang w:val="es-ES_tradnl"/>
        </w:rPr>
        <w:t>Debido en buena medida a la violencia que se ejerce contra ellas, las mujeres de las Primeras Naciones siguen estando sobrerrepresentadas en el sistema de justicia penal y son la población carcelaria que crece con mayor rapidez</w:t>
      </w:r>
      <w:r w:rsidRPr="00627CAE">
        <w:rPr>
          <w:vertAlign w:val="superscript"/>
          <w:lang w:val="es-ES_tradnl"/>
        </w:rPr>
        <w:footnoteReference w:id="43"/>
      </w:r>
      <w:r w:rsidRPr="00627CAE">
        <w:rPr>
          <w:lang w:val="es-ES_tradnl"/>
        </w:rPr>
        <w:t xml:space="preserve">. El Gobierno colabora con organizaciones y comunidades indígenas para mejorar los resultados de los Pueblos Indígenas en materia de justicia, complementando las iniciativas estatales y territoriales por medio de la Alianza para las Políticas de Justicia, y el Programa de Seguridad y Bienestar de la Estrategia de Promoción de los Pueblos Indígenas. El </w:t>
      </w:r>
      <w:r w:rsidRPr="00627CAE">
        <w:rPr>
          <w:lang w:val="es-ES_tradnl"/>
        </w:rPr>
        <w:lastRenderedPageBreak/>
        <w:t xml:space="preserve">objetivo de reducir las tasas de encarcelamiento y el contacto con el sistema de justicia penal es compatible con las metas 10 y 11 de la iniciativa Cerrar la Brecha. </w:t>
      </w:r>
    </w:p>
    <w:p w14:paraId="70EAA20D" w14:textId="5C7E34FF" w:rsidR="00627CAE" w:rsidRPr="00627CAE" w:rsidRDefault="00627CAE" w:rsidP="00A02D7A">
      <w:pPr>
        <w:pStyle w:val="SingleTxt"/>
        <w:numPr>
          <w:ilvl w:val="0"/>
          <w:numId w:val="23"/>
        </w:numPr>
        <w:ind w:left="1267"/>
        <w:rPr>
          <w:lang w:val="es-ES_tradnl"/>
        </w:rPr>
      </w:pPr>
      <w:r w:rsidRPr="00627CAE">
        <w:rPr>
          <w:lang w:val="es-ES_tradnl"/>
        </w:rPr>
        <w:t>El Gobierno ha invertido en iniciativas de reinversión en el sector de la justicia para mejorar los resultados de los Pueblos Indígenas, entre ellas:</w:t>
      </w:r>
    </w:p>
    <w:p w14:paraId="7457B731" w14:textId="097F7240"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La creación de un programa nacional de reinversión en el sector de la justicia para apoyar hasta 30 iniciativas comunitarias de reinversión que aborden las causas principales del encarcelamiento (69 millones de dólares en cuatro años);</w:t>
      </w:r>
    </w:p>
    <w:p w14:paraId="641BD759" w14:textId="1AA9BCCC"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El diseño y establecimiento de una dependencia nacional independiente de reinversión en el sector de la justicia responsable de coordinar y apoyar las iniciativas de reinversión a nivel nacional (12,5 millones de dólares a lo largo de cuatro años); </w:t>
      </w:r>
    </w:p>
    <w:p w14:paraId="1B21579D" w14:textId="74C13B7B"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Iniciativas de reinversión en el sector de la justicia a nivel local en la zona central de Australia.</w:t>
      </w:r>
    </w:p>
    <w:p w14:paraId="692AD330" w14:textId="21369B35" w:rsidR="00627CAE" w:rsidRPr="00627CAE" w:rsidRDefault="00627CAE" w:rsidP="00A02D7A">
      <w:pPr>
        <w:pStyle w:val="SingleTxt"/>
        <w:numPr>
          <w:ilvl w:val="0"/>
          <w:numId w:val="23"/>
        </w:numPr>
        <w:ind w:left="1267"/>
        <w:rPr>
          <w:lang w:val="es-ES_tradnl"/>
        </w:rPr>
      </w:pPr>
      <w:r w:rsidRPr="00627CAE">
        <w:rPr>
          <w:lang w:val="es-ES_tradnl"/>
        </w:rPr>
        <w:t>Algunas iniciativas de los estados y los territorios son:</w:t>
      </w:r>
    </w:p>
    <w:p w14:paraId="2AF4B846" w14:textId="358EBD17"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En el Territorio del Norte, la Ley de Enmienda de la Ley sobre la Imposición de Penas y Otras Leyes de 2022 abolió las penas obligatorias de prisión y los períodos obligatorios sin libertad condicional para los delitos violentos, delitos relacionados con drogas y el incumplimiento de órdenes contra la violencia doméstica y familiar. Con esta Ley se modificaron las distintas penas no privativas de libertad, así como los programas comunitarios para jóvenes centrados en la derivación y la intervención temprana;</w:t>
      </w:r>
    </w:p>
    <w:p w14:paraId="094E151F" w14:textId="10CB8EF5"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Los servicios penitenciarios de Queensland publicaron el Plan para los Servicios Correccionales de Queensland (2024-2033), una estrategia decenal para las Primeras Naciones con la que se pretende cerrar la brecha en lo que respecta al encarcelamiento y la victimización de los Pueblos Indígenas a causa de la violencia, ofreciendo mayores oportunidades para conectar con la cultura y la familia, proporcionando una rehabilitación significativa y ayudando a las personas a reintegrarse con éxito en la comunidad. Los servicios penitenciarios de Queensland elaboran en estos momentos los correspondientes planes de acción. La Oficina de Justicia para las Primeras Naciones del Departamento de Justicia y la Fiscalía General está elaborando una estrategia de siete años diseñada conjuntamente por el Gobierno y las comunidades para corregir el problema de la sobrerrepresentación de los Pueblos Indígenas en el sistema de justicia penal; </w:t>
      </w:r>
      <w:bookmarkStart w:id="344" w:name="_Hlk169100422"/>
      <w:bookmarkEnd w:id="344"/>
    </w:p>
    <w:p w14:paraId="138D08E0" w14:textId="2BC7128C"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Victoria modificó en 2023 la legislación sobre la libertad bajo fianza para reducir la duración de la prisión preventiva innecesaria de las personas condenadas por delitos leves y mitigar su efecto desproporcionado en grupos como las mujeres. </w:t>
      </w:r>
    </w:p>
    <w:p w14:paraId="3D0B9E0B" w14:textId="77777777" w:rsidR="00DA15A2" w:rsidRPr="00195CF4" w:rsidRDefault="00DA15A2" w:rsidP="00DA15A2">
      <w:pPr>
        <w:pStyle w:val="SingleTxt"/>
        <w:spacing w:after="0" w:line="120" w:lineRule="exact"/>
        <w:rPr>
          <w:b/>
          <w:sz w:val="10"/>
          <w:lang w:val="es-ES_tradnl"/>
        </w:rPr>
      </w:pPr>
      <w:bookmarkStart w:id="345" w:name="_Toc188598292"/>
      <w:bookmarkStart w:id="346" w:name="_Toc190357189"/>
      <w:bookmarkStart w:id="347" w:name="_Toc190878973"/>
    </w:p>
    <w:p w14:paraId="77F68C98" w14:textId="77777777" w:rsidR="00DA15A2" w:rsidRPr="00195CF4" w:rsidRDefault="00DA15A2" w:rsidP="00DA15A2">
      <w:pPr>
        <w:pStyle w:val="SingleTxt"/>
        <w:spacing w:after="0" w:line="120" w:lineRule="exact"/>
        <w:rPr>
          <w:b/>
          <w:sz w:val="10"/>
          <w:lang w:val="es-ES_tradnl"/>
        </w:rPr>
      </w:pPr>
    </w:p>
    <w:p w14:paraId="249A3F36" w14:textId="01BAD7D4" w:rsidR="00627CAE" w:rsidRPr="00195CF4" w:rsidRDefault="00627CAE" w:rsidP="00DA15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Atender a las necesidades de las mujeres reclusas</w:t>
      </w:r>
      <w:bookmarkEnd w:id="345"/>
      <w:bookmarkEnd w:id="346"/>
      <w:bookmarkEnd w:id="347"/>
    </w:p>
    <w:p w14:paraId="2C0F20B1" w14:textId="77777777" w:rsidR="00DA15A2" w:rsidRPr="007C0DCB" w:rsidRDefault="00DA15A2" w:rsidP="00DA15A2">
      <w:pPr>
        <w:pStyle w:val="SingleTxt"/>
        <w:spacing w:after="0" w:line="120" w:lineRule="exact"/>
        <w:rPr>
          <w:iCs/>
          <w:sz w:val="10"/>
          <w:lang w:val="es-ES_tradnl"/>
        </w:rPr>
      </w:pPr>
    </w:p>
    <w:p w14:paraId="6FA7FEB6" w14:textId="77777777" w:rsidR="00DA15A2" w:rsidRPr="007C0DCB" w:rsidRDefault="00DA15A2" w:rsidP="00DA15A2">
      <w:pPr>
        <w:pStyle w:val="SingleTxt"/>
        <w:spacing w:after="0" w:line="120" w:lineRule="exact"/>
        <w:rPr>
          <w:iCs/>
          <w:sz w:val="10"/>
          <w:lang w:val="es-ES_tradnl"/>
        </w:rPr>
      </w:pPr>
    </w:p>
    <w:p w14:paraId="4C77B92F" w14:textId="63B54E9B" w:rsidR="00627CAE" w:rsidRPr="00627CAE" w:rsidRDefault="00627CAE" w:rsidP="00A02D7A">
      <w:pPr>
        <w:pStyle w:val="SingleTxt"/>
        <w:numPr>
          <w:ilvl w:val="0"/>
          <w:numId w:val="23"/>
        </w:numPr>
        <w:ind w:left="1267"/>
        <w:rPr>
          <w:lang w:val="es-ES_tradnl"/>
        </w:rPr>
      </w:pPr>
      <w:r w:rsidRPr="00627CAE">
        <w:rPr>
          <w:lang w:val="es-ES_tradnl"/>
        </w:rPr>
        <w:t>Algunos programas para atender a las necesidades de las mujeres reclusas y promover opciones distintas del encarcelamiento en las distintas jurisdicciones, especialmente para las mujeres de las Primeras Naciones, son:</w:t>
      </w:r>
    </w:p>
    <w:p w14:paraId="28080D41" w14:textId="1B29E966"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En el Territorio de la Capital de Australia, las mujeres reclusas pueden acceder a programas y servicios de rehabilitación y reintegración, incluidos programas para dejar el alcohol y las drogas, apoyo a la salud mental, programas de empleo y educación, y servicios que proporcionan a las mujeres excarceladas una serie </w:t>
      </w:r>
      <w:r w:rsidR="00627CAE" w:rsidRPr="00627CAE">
        <w:rPr>
          <w:lang w:val="es-ES_tradnl"/>
        </w:rPr>
        <w:lastRenderedPageBreak/>
        <w:t>de recursos comunitarios, como alojamiento, salud, ingresos, familia y conexiones con la comunidad;</w:t>
      </w:r>
    </w:p>
    <w:p w14:paraId="57F12D89" w14:textId="4B424510"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En Nueva Gales del Sur, las mujeres de las Primeras Naciones tienen acceso a programas diseñados para atender sus singulares y complejas necesidades, como el acceso a programas culturales, itinerarios para encontrar empleo, educación, vivienda, necesidades criminógenas e iniciativas para obtener documentos esenciales, incluidas las partidas de nacimiento. Nueva Gales del Sur ofrece Miruma, un programa de desviación dirigido a las mujeres delincuentes con problemas de salud mental y drogas y alcohol;</w:t>
      </w:r>
    </w:p>
    <w:p w14:paraId="5A6CC014" w14:textId="60235BE5"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En Tasmania y el Territorio del Norte, los servicios penitenciarios ofrecen programas y ayudas para atender las necesidades de las mujeres reclusas, incluidos cursos de educación y capacitación, actividades recreativas terapéuticas, culturales y sanitarias, y programas especializados en delitos concretos;</w:t>
      </w:r>
    </w:p>
    <w:p w14:paraId="19119AE8" w14:textId="640E1FB9" w:rsidR="00627CAE" w:rsidRPr="00627CAE" w:rsidRDefault="00DA15A2" w:rsidP="00DA15A2">
      <w:pPr>
        <w:pStyle w:val="SingleTxt"/>
        <w:ind w:left="2218" w:hanging="951"/>
        <w:rPr>
          <w:lang w:val="es-ES_tradnl"/>
        </w:rPr>
      </w:pPr>
      <w:r w:rsidRPr="007C0DCB">
        <w:rPr>
          <w:lang w:val="es-ES_tradnl"/>
        </w:rPr>
        <w:tab/>
      </w:r>
      <w:r w:rsidRPr="007C0DCB">
        <w:rPr>
          <w:lang w:val="es-ES_tradnl"/>
        </w:rPr>
        <w:tab/>
      </w:r>
      <w:r w:rsidR="00627CAE" w:rsidRPr="00627CAE">
        <w:rPr>
          <w:lang w:val="es-ES_tradnl"/>
        </w:rPr>
        <w:t>i.</w:t>
      </w:r>
      <w:r w:rsidR="00627CAE" w:rsidRPr="00627CAE">
        <w:rPr>
          <w:lang w:val="es-ES_tradnl"/>
        </w:rPr>
        <w:tab/>
        <w:t>Los programas del Territorio del Norte son gestionados por asesores de cultura y prácticas indígenas. Como alternativa a la detención, el Territorio del Norte ofrece servicios de alojamiento bajo fianza en Darwin y Alice Springs para mujeres. En el Territorio del Norte, el programa Aboriginal Mental Health First Aid facilita las visitas de las personas mayores y los círculos de intercambios del Yarning. Los servicios penitenciarios del Territorio del Norte están en vías de crear dos centros penitenciarios para mujeres diseñados con fines terapéuticos, que van más allá de los centros de detención para adultos, incluidas las opciones a los centros de detención;</w:t>
      </w:r>
    </w:p>
    <w:p w14:paraId="53706F60" w14:textId="32079EA9"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En Queensland se está llevando a cabo una serie de reformas del sistema en favor de las mujeres, como aumentar su acceso a programas y servicios de tratamiento contra las drogas y el alcohol, salud mental, crianza de los hijos y violencia doméstica, familiar y sexual;</w:t>
      </w:r>
    </w:p>
    <w:p w14:paraId="1B6D9F74" w14:textId="16C14DBD"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En Australia Meridional, Yalakiana Tapa ofrece Marni Tapa, un programa de apoyo personalizado, adaptaciones culturales y tratamiento residencial contra el alcoholismo y la drogadicción para mujeres en libertad bajo fianza.</w:t>
      </w:r>
    </w:p>
    <w:p w14:paraId="1772E844" w14:textId="77777777" w:rsidR="00DA15A2" w:rsidRPr="00195CF4" w:rsidRDefault="00DA15A2" w:rsidP="00DA15A2">
      <w:pPr>
        <w:pStyle w:val="SingleTxt"/>
        <w:spacing w:after="0" w:line="120" w:lineRule="exact"/>
        <w:rPr>
          <w:b/>
          <w:sz w:val="10"/>
          <w:lang w:val="es-ES_tradnl"/>
        </w:rPr>
      </w:pPr>
      <w:bookmarkStart w:id="348" w:name="_Toc188598293"/>
      <w:bookmarkStart w:id="349" w:name="_Toc190357190"/>
      <w:bookmarkStart w:id="350" w:name="_Toc190878974"/>
    </w:p>
    <w:p w14:paraId="330C80B9" w14:textId="77777777" w:rsidR="00DA15A2" w:rsidRPr="00195CF4" w:rsidRDefault="00DA15A2" w:rsidP="00DA15A2">
      <w:pPr>
        <w:pStyle w:val="SingleTxt"/>
        <w:spacing w:after="0" w:line="120" w:lineRule="exact"/>
        <w:rPr>
          <w:b/>
          <w:sz w:val="10"/>
          <w:lang w:val="es-ES_tradnl"/>
        </w:rPr>
      </w:pPr>
    </w:p>
    <w:p w14:paraId="578AD5FE" w14:textId="2E4548F4" w:rsidR="00627CAE" w:rsidRPr="00195CF4" w:rsidRDefault="00627CAE" w:rsidP="00DA15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Exámenes médicos exhaustivos</w:t>
      </w:r>
      <w:bookmarkEnd w:id="348"/>
      <w:bookmarkEnd w:id="349"/>
      <w:bookmarkEnd w:id="350"/>
    </w:p>
    <w:p w14:paraId="052D9E9F" w14:textId="77777777" w:rsidR="00DA15A2" w:rsidRPr="007C0DCB" w:rsidRDefault="00DA15A2" w:rsidP="00DA15A2">
      <w:pPr>
        <w:pStyle w:val="SingleTxt"/>
        <w:spacing w:after="0" w:line="120" w:lineRule="exact"/>
        <w:rPr>
          <w:iCs/>
          <w:sz w:val="10"/>
          <w:lang w:val="es-ES_tradnl"/>
        </w:rPr>
      </w:pPr>
    </w:p>
    <w:p w14:paraId="0429B6D7" w14:textId="77777777" w:rsidR="00DA15A2" w:rsidRPr="007C0DCB" w:rsidRDefault="00DA15A2" w:rsidP="00DA15A2">
      <w:pPr>
        <w:pStyle w:val="SingleTxt"/>
        <w:spacing w:after="0" w:line="120" w:lineRule="exact"/>
        <w:rPr>
          <w:iCs/>
          <w:sz w:val="10"/>
          <w:lang w:val="es-ES_tradnl"/>
        </w:rPr>
      </w:pPr>
    </w:p>
    <w:p w14:paraId="04405B9A" w14:textId="0757C214" w:rsidR="00627CAE" w:rsidRPr="00627CAE" w:rsidRDefault="00627CAE" w:rsidP="00A02D7A">
      <w:pPr>
        <w:pStyle w:val="SingleTxt"/>
        <w:numPr>
          <w:ilvl w:val="0"/>
          <w:numId w:val="23"/>
        </w:numPr>
        <w:ind w:left="1267"/>
        <w:rPr>
          <w:lang w:val="es-ES_tradnl"/>
        </w:rPr>
      </w:pPr>
      <w:r w:rsidRPr="00627CAE">
        <w:rPr>
          <w:lang w:val="es-ES_tradnl"/>
        </w:rPr>
        <w:t>Los estados y los territorios evalúan, entre otras cosas, las necesidades de salud física y mental en el momento del ingreso en prisión:</w:t>
      </w:r>
    </w:p>
    <w:p w14:paraId="3406CCC2" w14:textId="4C02ED07"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En Nueva Gales del Sur, al evaluar las necesidades de las mujeres reclusas se tienen en cuenta los aspectos relacionados específicamente con el género, incluidos los factores vinculados a la salud, los malos tratos y el trauma. Nueva Gales del Sur diseña en estos momentos un itinerario de intervención para las mujeres que sirva de base a los planes individualizados de las mujeres reclusas y la derivación a programas y servicios que respondan a las cuestiones de género;</w:t>
      </w:r>
    </w:p>
    <w:p w14:paraId="03E9EF98" w14:textId="31FF62A0"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En Tasmania, las personas detenidas se someten a un examen médico inicial en el momento de ingresar en prisión que lleva a cabo un enfermero titulado para determinar cuáles son las medidas prioritarias y garantizar una respuesta de salud rápida. Cuatro semanas después de ingresar en prisión, un médico examina a los reclusos para determinar sus necesidades médicas en ese momento. Los equipos sanitarios especializados, formados por enfermeros, médicos de </w:t>
      </w:r>
      <w:r w:rsidR="00627CAE" w:rsidRPr="00627CAE">
        <w:rPr>
          <w:lang w:val="es-ES_tradnl"/>
        </w:rPr>
        <w:lastRenderedPageBreak/>
        <w:t>cabecera y psiquiatras, trabajan</w:t>
      </w:r>
      <w:r w:rsidR="00627CAE" w:rsidRPr="00627CAE">
        <w:rPr>
          <w:i/>
          <w:iCs/>
          <w:lang w:val="es-ES_tradnl"/>
        </w:rPr>
        <w:t xml:space="preserve"> in situ</w:t>
      </w:r>
      <w:r w:rsidR="00627CAE" w:rsidRPr="00627CAE">
        <w:rPr>
          <w:lang w:val="es-ES_tradnl"/>
        </w:rPr>
        <w:t xml:space="preserve"> y, en caso necesario, derivan a los reclusos;</w:t>
      </w:r>
    </w:p>
    <w:p w14:paraId="409947C7" w14:textId="6DF668BC"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En Australia Occidental, un enfermero titulado se encarga de realizar una evaluación médica completa en un plazo de 24 horas en el caso de los presos adultos y de 12 horas cuando se trata de personas jóvenes. Las jóvenes y niñas detenidas en Australia Occidental tienen acceso, entre otros, a los servicios de psicólogos, médicos de familia y dentistas, y pueden ser derivadas a servicios especializados externos en caso necesario. Australia Occidental diseña actualmente un modelo de servicios de detección, evaluación e intervención en caso de existir una discapacidad del neurodesarrollo y problemas de salud mental. Se están llevando a cabo las negociaciones preliminares para contratar los servicios médicos indígenas que complementarán los servicios de salud que se brindan en prisión.</w:t>
      </w:r>
    </w:p>
    <w:p w14:paraId="6F697DD5" w14:textId="77777777" w:rsidR="00DA15A2" w:rsidRPr="00195CF4" w:rsidRDefault="00DA15A2" w:rsidP="00DA15A2">
      <w:pPr>
        <w:pStyle w:val="SingleTxt"/>
        <w:spacing w:after="0" w:line="120" w:lineRule="exact"/>
        <w:rPr>
          <w:b/>
          <w:sz w:val="10"/>
          <w:lang w:val="es-ES_tradnl"/>
        </w:rPr>
      </w:pPr>
      <w:bookmarkStart w:id="351" w:name="_Toc188598294"/>
      <w:bookmarkStart w:id="352" w:name="_Toc190357191"/>
      <w:bookmarkStart w:id="353" w:name="_Toc190878975"/>
    </w:p>
    <w:p w14:paraId="41DD5C30" w14:textId="77777777" w:rsidR="00DA15A2" w:rsidRPr="00195CF4" w:rsidRDefault="00DA15A2" w:rsidP="00DA15A2">
      <w:pPr>
        <w:pStyle w:val="SingleTxt"/>
        <w:spacing w:after="0" w:line="120" w:lineRule="exact"/>
        <w:rPr>
          <w:b/>
          <w:sz w:val="10"/>
          <w:lang w:val="es-ES_tradnl"/>
        </w:rPr>
      </w:pPr>
    </w:p>
    <w:p w14:paraId="5363618D" w14:textId="3D0D4A04" w:rsidR="00627CAE" w:rsidRPr="00195CF4" w:rsidRDefault="00627CAE" w:rsidP="00DA15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Capacitación y comportamientos sensibles al género del personal penitenciario y mecanismos de denuncia</w:t>
      </w:r>
      <w:bookmarkEnd w:id="351"/>
      <w:bookmarkEnd w:id="352"/>
      <w:bookmarkEnd w:id="353"/>
    </w:p>
    <w:p w14:paraId="234E52C7" w14:textId="77777777" w:rsidR="00DA15A2" w:rsidRPr="007C0DCB" w:rsidRDefault="00DA15A2" w:rsidP="00DA15A2">
      <w:pPr>
        <w:pStyle w:val="SingleTxt"/>
        <w:spacing w:after="0" w:line="120" w:lineRule="exact"/>
        <w:rPr>
          <w:iCs/>
          <w:sz w:val="10"/>
          <w:lang w:val="es-ES_tradnl"/>
        </w:rPr>
      </w:pPr>
    </w:p>
    <w:p w14:paraId="03EFB865" w14:textId="77777777" w:rsidR="00DA15A2" w:rsidRPr="007C0DCB" w:rsidRDefault="00DA15A2" w:rsidP="00DA15A2">
      <w:pPr>
        <w:pStyle w:val="SingleTxt"/>
        <w:spacing w:after="0" w:line="120" w:lineRule="exact"/>
        <w:rPr>
          <w:iCs/>
          <w:sz w:val="10"/>
          <w:lang w:val="es-ES_tradnl"/>
        </w:rPr>
      </w:pPr>
    </w:p>
    <w:p w14:paraId="26A24A45" w14:textId="0A9AB257" w:rsidR="00627CAE" w:rsidRPr="00627CAE" w:rsidRDefault="00627CAE" w:rsidP="00A02D7A">
      <w:pPr>
        <w:pStyle w:val="SingleTxt"/>
        <w:numPr>
          <w:ilvl w:val="0"/>
          <w:numId w:val="23"/>
        </w:numPr>
        <w:ind w:left="1267"/>
        <w:rPr>
          <w:lang w:val="es-ES_tradnl"/>
        </w:rPr>
      </w:pPr>
      <w:r w:rsidRPr="00627CAE">
        <w:rPr>
          <w:lang w:val="es-ES_tradnl"/>
        </w:rPr>
        <w:t>Los estados y los territorios ofrecen oportunidades de capacitación y desarrollo profesional en materia de género al personal de los centros penitenciarios, y en varias jurisdicciones se recopilan datos sobre las tasas de finalización de este tipo de formación, como por ejemplo:</w:t>
      </w:r>
    </w:p>
    <w:p w14:paraId="3B08100F" w14:textId="246271E3"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En el Territorio de la Capital de Australia se imparte el curso sobre las mujeres reclusas a funcionarios de prisiones durante su proceso de contratación. A octubre de 2023, el 83 % del personal había recibido esta capacitación desde 2015;</w:t>
      </w:r>
    </w:p>
    <w:p w14:paraId="3F5CE4DE" w14:textId="1EAAFBAC"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En Queensland se imparte capacitación sobre prácticas sensibles al trauma y que respondan a las cuestiones de género al personal de centros penitenciarios comunitarios que trabaja con personas en el sistema de justicia penal, y se incorporará a la formación de los funcionarios de prisiones en 2024-25;</w:t>
      </w:r>
    </w:p>
    <w:p w14:paraId="69C4F52F" w14:textId="3E82A31F"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En Australia Meridional, los nuevos funcionarios de prisiones participan en un conjunto de actividades de capacitación obligatorias para trabajar con mujeres empleando prácticas basadas en las relaciones y que tengan en cuenta el trauma;</w:t>
      </w:r>
    </w:p>
    <w:p w14:paraId="43FEF26D" w14:textId="4D84DFB5"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Las normas para gestionar a las mujeres reclusas en Victoria exigen que el personal reciba capacitación exhaustiva sobre cuestiones relacionadas con dicha gestión, incluidas las vías mediante las cuales las mujeres acaban delinquiendo; la intersección entre el consumo de sustancias nocivas, la salud mental y la victimización pasada de las mujeres; la comunicación empática entre el personal y las mujeres reclusas; las relaciones maternofiliales; y los límites profesionales.</w:t>
      </w:r>
    </w:p>
    <w:p w14:paraId="26A71E16" w14:textId="6FCA9E93" w:rsidR="00627CAE" w:rsidRPr="00627CAE" w:rsidRDefault="00627CAE" w:rsidP="00A02D7A">
      <w:pPr>
        <w:pStyle w:val="SingleTxt"/>
        <w:numPr>
          <w:ilvl w:val="0"/>
          <w:numId w:val="23"/>
        </w:numPr>
        <w:ind w:left="1267"/>
        <w:rPr>
          <w:lang w:val="es-ES_tradnl"/>
        </w:rPr>
      </w:pPr>
      <w:r w:rsidRPr="00627CAE">
        <w:rPr>
          <w:lang w:val="es-ES_tradnl"/>
        </w:rPr>
        <w:t xml:space="preserve">En los estados y los territorios, las mujeres reclusas pueden elevar quejas al personal, a organismos externos y agencias de supervisión, incluidos los defensores del pueblo en las jurisdicciones correspondientes, y reciben información sobre cómo presentar quejas durante los procedimientos de admisión e iniciación. </w:t>
      </w:r>
    </w:p>
    <w:p w14:paraId="7439E757" w14:textId="6DB993F9" w:rsidR="00627CAE" w:rsidRPr="00627CAE" w:rsidRDefault="00627CAE" w:rsidP="00A02D7A">
      <w:pPr>
        <w:pStyle w:val="SingleTxt"/>
        <w:numPr>
          <w:ilvl w:val="0"/>
          <w:numId w:val="23"/>
        </w:numPr>
        <w:ind w:left="1267"/>
        <w:rPr>
          <w:lang w:val="es-ES_tradnl"/>
        </w:rPr>
      </w:pPr>
      <w:r w:rsidRPr="00627CAE">
        <w:rPr>
          <w:lang w:val="es-ES_tradnl"/>
        </w:rPr>
        <w:t>En cuanto a la confidencialidad, existen vías para que las mujeres reclusas puedan denunciar de manera confidencial, por ejemplo:</w:t>
      </w:r>
    </w:p>
    <w:p w14:paraId="6C6CDB08" w14:textId="5C8CF5BE"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En el Territorio de la Capital de Australia, las mujeres pueden denunciar ante órganos de supervisión externos;</w:t>
      </w:r>
    </w:p>
    <w:p w14:paraId="271BA770" w14:textId="1FDF12F2"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En Australia Occidental, las mujeres reclusas pueden denunciar por correo y de manera confidencial ante los órganos reguladores y gubernamentales. Los procesos de reclamación de los presos y el servicio de salud en Australia </w:t>
      </w:r>
      <w:r w:rsidR="00627CAE" w:rsidRPr="00627CAE">
        <w:rPr>
          <w:lang w:val="es-ES_tradnl"/>
        </w:rPr>
        <w:lastRenderedPageBreak/>
        <w:t>Occidental para la población penitenciaria son confidenciales. Las mujeres también pueden acceder a servicios jurídicos confidenciales.</w:t>
      </w:r>
    </w:p>
    <w:p w14:paraId="649FCF44" w14:textId="77777777" w:rsidR="00DA15A2" w:rsidRPr="00195CF4" w:rsidRDefault="00DA15A2" w:rsidP="00DA15A2">
      <w:pPr>
        <w:pStyle w:val="SingleTxt"/>
        <w:spacing w:after="0" w:line="120" w:lineRule="exact"/>
        <w:rPr>
          <w:b/>
          <w:sz w:val="10"/>
          <w:lang w:val="es-ES_tradnl"/>
        </w:rPr>
      </w:pPr>
      <w:bookmarkStart w:id="354" w:name="_Toc188598295"/>
      <w:bookmarkStart w:id="355" w:name="_Toc190357192"/>
      <w:bookmarkStart w:id="356" w:name="_Toc190878976"/>
    </w:p>
    <w:p w14:paraId="4F598BDD" w14:textId="77777777" w:rsidR="00DA15A2" w:rsidRPr="00195CF4" w:rsidRDefault="00DA15A2" w:rsidP="00DA15A2">
      <w:pPr>
        <w:pStyle w:val="SingleTxt"/>
        <w:spacing w:after="0" w:line="120" w:lineRule="exact"/>
        <w:rPr>
          <w:b/>
          <w:sz w:val="10"/>
          <w:lang w:val="es-ES_tradnl"/>
        </w:rPr>
      </w:pPr>
    </w:p>
    <w:p w14:paraId="6AF32BF5" w14:textId="61DF51FF" w:rsidR="00627CAE" w:rsidRPr="00195CF4" w:rsidRDefault="00627CAE" w:rsidP="00DA15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Investigaciones, enjuiciamientos y sanciones de casos de violencia sexual contra las mujeres reclusas</w:t>
      </w:r>
      <w:bookmarkEnd w:id="354"/>
      <w:bookmarkEnd w:id="355"/>
      <w:bookmarkEnd w:id="356"/>
    </w:p>
    <w:p w14:paraId="4AE7937D" w14:textId="77777777" w:rsidR="00DA15A2" w:rsidRPr="007C0DCB" w:rsidRDefault="00DA15A2" w:rsidP="00DA15A2">
      <w:pPr>
        <w:pStyle w:val="SingleTxt"/>
        <w:spacing w:after="0" w:line="120" w:lineRule="exact"/>
        <w:rPr>
          <w:iCs/>
          <w:sz w:val="10"/>
          <w:lang w:val="es-ES_tradnl"/>
        </w:rPr>
      </w:pPr>
    </w:p>
    <w:p w14:paraId="197CFB22" w14:textId="77777777" w:rsidR="00DA15A2" w:rsidRPr="007C0DCB" w:rsidRDefault="00DA15A2" w:rsidP="00DA15A2">
      <w:pPr>
        <w:pStyle w:val="SingleTxt"/>
        <w:spacing w:after="0" w:line="120" w:lineRule="exact"/>
        <w:rPr>
          <w:iCs/>
          <w:sz w:val="10"/>
          <w:lang w:val="es-ES_tradnl"/>
        </w:rPr>
      </w:pPr>
    </w:p>
    <w:p w14:paraId="0DEA3FA8" w14:textId="1FE4371F" w:rsidR="00627CAE" w:rsidRPr="00627CAE" w:rsidRDefault="00627CAE" w:rsidP="00A02D7A">
      <w:pPr>
        <w:pStyle w:val="SingleTxt"/>
        <w:numPr>
          <w:ilvl w:val="0"/>
          <w:numId w:val="23"/>
        </w:numPr>
        <w:ind w:left="1267"/>
        <w:rPr>
          <w:lang w:val="es-ES_tradnl"/>
        </w:rPr>
      </w:pPr>
      <w:r w:rsidRPr="00627CAE">
        <w:rPr>
          <w:lang w:val="es-ES_tradnl"/>
        </w:rPr>
        <w:t>En todas las jurisdicciones se toman en serio las denuncias de violencia sexual contra las mujeres reclusas. Cada jurisdicción adopta un enfoque diferente para recopilar datos relativos a la investigación, enjuiciamiento penal y sanción de los casos de violencia sexual contra las mujeres reclusas:</w:t>
      </w:r>
    </w:p>
    <w:p w14:paraId="6E98C800" w14:textId="6ECD7384"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En los últimos dos años, el Territorio de la Capital de Australia registró tres denuncias de violencia sexual contra mujeres detenidas por la policía. Estas denuncias se han archivado tras concluir que las alegaciones eran infundadas;</w:t>
      </w:r>
    </w:p>
    <w:p w14:paraId="763D9C23" w14:textId="1A69757C"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En Nueva Gales del Sur se recopilan datos sobre las investigaciones de este tipo de casos, si bien esta información no es pública. Nueva Gales del Sur puso en marcha en 2023 una línea telefónica para denunciar conductas sexuales indebidas, de modo que los reclusos que hayan sufrido o presenciado el acoso sexual o una agresión a manos de los funcionarios puedan denunciarlo. Estas alegaciones se consideran faltas graves y se remiten a la dependencia de investigación de delitos penales de los servicios penitenciarios, en la que trabajan agentes de policía;</w:t>
      </w:r>
    </w:p>
    <w:p w14:paraId="349BD989" w14:textId="096D430E"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En el Territorio del Norte no se ha registrado ninguna investigación, enjuiciamiento penal o sanción relacionados con casos de violencia sexual contra mujeres reclusas en los últimos tres años; </w:t>
      </w:r>
    </w:p>
    <w:p w14:paraId="59F5291F" w14:textId="271AA3A3"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En Tasmania, Australia Meridional, Victoria y Australia Occidental no se publica información ni se recopilan datos sobre el número de investigaciones, enjuiciamientos penales y sanciones relacionados con casos de violencia sexual contra mujeres reclusas. Queensland recopila datos sobre enjuiciamientos penales y sanciones por casos de violencia sexual que su Consejo Asesor sobre la Imposición de Penas se encarga de publicar de forma periódica.</w:t>
      </w:r>
    </w:p>
    <w:p w14:paraId="7773BE26" w14:textId="77777777" w:rsidR="00DA15A2" w:rsidRPr="00195CF4" w:rsidRDefault="00DA15A2" w:rsidP="00DA15A2">
      <w:pPr>
        <w:pStyle w:val="SingleTxt"/>
        <w:spacing w:after="0" w:line="120" w:lineRule="exact"/>
        <w:rPr>
          <w:b/>
          <w:sz w:val="10"/>
          <w:lang w:val="es-ES_tradnl"/>
        </w:rPr>
      </w:pPr>
      <w:bookmarkStart w:id="357" w:name="_Toc188598296"/>
      <w:bookmarkStart w:id="358" w:name="_Toc190357193"/>
      <w:bookmarkStart w:id="359" w:name="_Toc190878977"/>
    </w:p>
    <w:p w14:paraId="34A6AADA" w14:textId="77777777" w:rsidR="00DA15A2" w:rsidRPr="00195CF4" w:rsidRDefault="00DA15A2" w:rsidP="00DA15A2">
      <w:pPr>
        <w:pStyle w:val="SingleTxt"/>
        <w:spacing w:after="0" w:line="120" w:lineRule="exact"/>
        <w:rPr>
          <w:b/>
          <w:sz w:val="10"/>
          <w:lang w:val="es-ES_tradnl"/>
        </w:rPr>
      </w:pPr>
    </w:p>
    <w:p w14:paraId="2D3767A0" w14:textId="2E52AC3F" w:rsidR="00627CAE" w:rsidRPr="00195CF4" w:rsidRDefault="00627CAE" w:rsidP="00DA15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Métodos de registro alternativos</w:t>
      </w:r>
      <w:bookmarkEnd w:id="357"/>
      <w:bookmarkEnd w:id="358"/>
      <w:bookmarkEnd w:id="359"/>
    </w:p>
    <w:p w14:paraId="4BE09F08" w14:textId="77777777" w:rsidR="00DA15A2" w:rsidRPr="007C0DCB" w:rsidRDefault="00DA15A2" w:rsidP="00DA15A2">
      <w:pPr>
        <w:pStyle w:val="SingleTxt"/>
        <w:spacing w:after="0" w:line="120" w:lineRule="exact"/>
        <w:rPr>
          <w:iCs/>
          <w:sz w:val="10"/>
          <w:lang w:val="es-ES_tradnl"/>
        </w:rPr>
      </w:pPr>
    </w:p>
    <w:p w14:paraId="11DF40A0" w14:textId="77777777" w:rsidR="00DA15A2" w:rsidRPr="007C0DCB" w:rsidRDefault="00DA15A2" w:rsidP="00DA15A2">
      <w:pPr>
        <w:pStyle w:val="SingleTxt"/>
        <w:spacing w:after="0" w:line="120" w:lineRule="exact"/>
        <w:rPr>
          <w:iCs/>
          <w:sz w:val="10"/>
          <w:lang w:val="es-ES_tradnl"/>
        </w:rPr>
      </w:pPr>
    </w:p>
    <w:p w14:paraId="418F250A" w14:textId="120EF849" w:rsidR="00627CAE" w:rsidRPr="00627CAE" w:rsidRDefault="00627CAE" w:rsidP="00A02D7A">
      <w:pPr>
        <w:pStyle w:val="SingleTxt"/>
        <w:numPr>
          <w:ilvl w:val="0"/>
          <w:numId w:val="23"/>
        </w:numPr>
        <w:ind w:left="1267"/>
        <w:rPr>
          <w:lang w:val="es-ES_tradnl"/>
        </w:rPr>
      </w:pPr>
      <w:r w:rsidRPr="00627CAE">
        <w:rPr>
          <w:lang w:val="es-ES_tradnl"/>
        </w:rPr>
        <w:t xml:space="preserve">En los estados y los territorios se utilizan escáneres corporales de rayos X como alternativa a los registros sin ropa para velar por la dignidad de los reclusos, especialmente de las mujeres, y la seguridad en los centros. Todas las jurisdicciones cuentan ya o están en proceso de adquirir, instalar o ensayar escáneres corporales de rayos X en sus centros penitenciarios: </w:t>
      </w:r>
    </w:p>
    <w:p w14:paraId="2B8CC827" w14:textId="282636AD"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El Territorio de la Capital de Australia instaló en junio de 2022 dos escáneres corporales de rayos X en el Centro Alexander Maconochie para reducir el número de registros sin ropa no relacionados con el ingreso en prisión y garantizar la dignidad de los reclusos y la seguridad en las instalaciones;</w:t>
      </w:r>
    </w:p>
    <w:p w14:paraId="52E739A3" w14:textId="43D9D7E6"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Nueva Gales del Sur financió la compra de escáneres corporales de rayos X para instalarlos en la mayoría de sus 34 centros penitenciarios. A raíz de las modificaciones introducidas en la política y los procedimientos operativos de detención, solo se practicarán registros sin ropa cuando el escáner corporal no esté disponible o no resulte práctico utilizarlo, o cuando el escáner corporal revele la presencia de alguna anomalía;</w:t>
      </w:r>
    </w:p>
    <w:p w14:paraId="0B9B0845" w14:textId="2DE22C5A"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 xml:space="preserve">En el Territorio del Norte es obligatorio registrar sin ropa a los reclusos en determinadas circunstancias, por ejemplo al ingresar en prisión. No se debe </w:t>
      </w:r>
      <w:r w:rsidR="00627CAE" w:rsidRPr="00627CAE">
        <w:rPr>
          <w:lang w:val="es-ES_tradnl"/>
        </w:rPr>
        <w:lastRenderedPageBreak/>
        <w:t>registrar sin ropa a las mujeres a menos que sea absolutamente necesario. Los servicios penitenciarios del Territorio del Norte estudian la posibilidad de crear un servicio de registros con tecnología de rayos X en los centros correccionales de Alice Springs y Darwin;</w:t>
      </w:r>
    </w:p>
    <w:p w14:paraId="559901AD" w14:textId="11185A40"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Los servicios penitenciarios de Queensland se comprometieron a emplear prácticas que tengan presente el trauma, reduciendo, por ejemplo, la demanda de registros sin ropa en las cárceles de mujeres que dispongan de opciones como los escáneres corporales de rayos X. Los servicios penitenciarios de Queensland empezaron a ensayar en 2024 la tecnología de los escáneres corporales en el centro correccional de mujeres de Brisbane antes de introducirla en otros centros;</w:t>
      </w:r>
    </w:p>
    <w:p w14:paraId="69E2360B" w14:textId="5C8A0601"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Los servicios penitenciarios de Australia Meridional instalaron una nueva tecnología de escáner corporal en la prisión de mujeres de Adelaida. Esta es una alternativa a la práctica de los registros sin ropa;</w:t>
      </w:r>
    </w:p>
    <w:p w14:paraId="264028ED" w14:textId="19B12F90"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La prisión de mujeres de Tasmania ha instalado recientemente un escáner corporal. Una vez en funcionamiento, solo se registrará a las mujeres sin ropa cuando corran el riesgo de autolesionarse o suicidarse o el escáner revele que llevan algo encima;</w:t>
      </w:r>
    </w:p>
    <w:p w14:paraId="066ED947" w14:textId="497379BC"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Victoria empezó a reducir los registros corporales sin ropa en su sistema penitenciario, por ejemplo utilizando la tecnología de los escáneres corporales y las pruebas de saliva para detectar la presencia de drogas. De los mecanismos disponibles para evitar la entrada del contrabando en las prisiones, los registros sin ropa son el último recurso;</w:t>
      </w:r>
    </w:p>
    <w:p w14:paraId="65922FB7" w14:textId="0E4170A5" w:rsidR="00627CAE" w:rsidRPr="00627CAE" w:rsidRDefault="00DA15A2" w:rsidP="00DA15A2">
      <w:pPr>
        <w:pStyle w:val="SingleTxt"/>
        <w:tabs>
          <w:tab w:val="right" w:pos="1685"/>
        </w:tabs>
        <w:ind w:left="1742" w:hanging="475"/>
        <w:rPr>
          <w:lang w:val="es-ES_tradnl"/>
        </w:rPr>
      </w:pPr>
      <w:r w:rsidRPr="007C0DCB">
        <w:rPr>
          <w:lang w:val="es-ES_tradnl"/>
        </w:rPr>
        <w:tab/>
        <w:t>•</w:t>
      </w:r>
      <w:r w:rsidR="00627CAE" w:rsidRPr="00627CAE">
        <w:rPr>
          <w:lang w:val="es-ES_tradnl"/>
        </w:rPr>
        <w:tab/>
        <w:t>Australia Occidental cuenta con una política que describe los métodos que se deben emplear en las prisiones al tratar con mujeres, personas transgénero, de género diverso o intersexuales y personas con discapacidad, así como los métodos para registrar a las mujeres respetuosos desde un punto de vista cultural. Australia Occidental instaló en 2022 el primer escáner corporal de rayos X en la prisión de mujeres de Melaleuca.</w:t>
      </w:r>
    </w:p>
    <w:p w14:paraId="14EC1AF4" w14:textId="77777777" w:rsidR="00DA15A2" w:rsidRPr="00195CF4" w:rsidRDefault="00DA15A2" w:rsidP="00DA15A2">
      <w:pPr>
        <w:pStyle w:val="SingleTxt"/>
        <w:spacing w:after="0" w:line="120" w:lineRule="exact"/>
        <w:rPr>
          <w:b/>
          <w:sz w:val="10"/>
          <w:lang w:val="es-ES_tradnl"/>
        </w:rPr>
      </w:pPr>
      <w:bookmarkStart w:id="360" w:name="_Toc188598297"/>
      <w:bookmarkStart w:id="361" w:name="_Toc190357194"/>
      <w:bookmarkStart w:id="362" w:name="_Toc190878978"/>
    </w:p>
    <w:p w14:paraId="711F91DB" w14:textId="77777777" w:rsidR="00DA15A2" w:rsidRPr="00195CF4" w:rsidRDefault="00DA15A2" w:rsidP="00DA15A2">
      <w:pPr>
        <w:pStyle w:val="SingleTxt"/>
        <w:spacing w:after="0" w:line="120" w:lineRule="exact"/>
        <w:rPr>
          <w:b/>
          <w:sz w:val="10"/>
          <w:lang w:val="es-ES_tradnl"/>
        </w:rPr>
      </w:pPr>
    </w:p>
    <w:p w14:paraId="343D5ECA" w14:textId="40D2C6C0" w:rsidR="00627CAE" w:rsidRPr="00195CF4" w:rsidRDefault="00627CAE" w:rsidP="00DA15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Condiciones de reclusión de las mujeres</w:t>
      </w:r>
      <w:bookmarkEnd w:id="360"/>
      <w:bookmarkEnd w:id="361"/>
      <w:bookmarkEnd w:id="362"/>
    </w:p>
    <w:p w14:paraId="7627E03B" w14:textId="77777777" w:rsidR="00DA15A2" w:rsidRPr="007C0DCB" w:rsidRDefault="00DA15A2" w:rsidP="00DA15A2">
      <w:pPr>
        <w:pStyle w:val="SingleTxt"/>
        <w:spacing w:after="0" w:line="120" w:lineRule="exact"/>
        <w:rPr>
          <w:iCs/>
          <w:sz w:val="10"/>
          <w:lang w:val="es-ES_tradnl"/>
        </w:rPr>
      </w:pPr>
    </w:p>
    <w:p w14:paraId="03320203" w14:textId="77777777" w:rsidR="00DA15A2" w:rsidRPr="007C0DCB" w:rsidRDefault="00DA15A2" w:rsidP="00DA15A2">
      <w:pPr>
        <w:pStyle w:val="SingleTxt"/>
        <w:spacing w:after="0" w:line="120" w:lineRule="exact"/>
        <w:rPr>
          <w:iCs/>
          <w:sz w:val="10"/>
          <w:lang w:val="es-ES_tradnl"/>
        </w:rPr>
      </w:pPr>
    </w:p>
    <w:p w14:paraId="316A4705" w14:textId="5C4AB13F" w:rsidR="00627CAE" w:rsidRPr="00627CAE" w:rsidRDefault="00627CAE" w:rsidP="00A02D7A">
      <w:pPr>
        <w:pStyle w:val="SingleTxt"/>
        <w:numPr>
          <w:ilvl w:val="0"/>
          <w:numId w:val="23"/>
        </w:numPr>
        <w:ind w:left="1267"/>
        <w:rPr>
          <w:lang w:val="es-ES_tradnl"/>
        </w:rPr>
      </w:pPr>
      <w:r w:rsidRPr="00627CAE">
        <w:rPr>
          <w:lang w:val="es-ES_tradnl"/>
        </w:rPr>
        <w:t>Los organismos judiciales y penitenciarios estatales y territoriales tienen en cuenta las obligaciones internacionales, nacionales y estatales a la hora de gestionar las condiciones de las mujeres reclusas, incluidas las Reglas de Bangkok y las Reglas Nelson Mandela.</w:t>
      </w:r>
    </w:p>
    <w:p w14:paraId="55336A46" w14:textId="203877B8" w:rsidR="00627CAE" w:rsidRPr="00627CAE" w:rsidRDefault="00627CAE" w:rsidP="00A02D7A">
      <w:pPr>
        <w:pStyle w:val="SingleTxt"/>
        <w:numPr>
          <w:ilvl w:val="0"/>
          <w:numId w:val="23"/>
        </w:numPr>
        <w:ind w:left="1267"/>
        <w:rPr>
          <w:lang w:val="es-ES_tradnl"/>
        </w:rPr>
      </w:pPr>
      <w:r w:rsidRPr="00627CAE">
        <w:rPr>
          <w:lang w:val="es-ES_tradnl"/>
        </w:rPr>
        <w:t>Los principios rectores para los centros penitenciarios en Australia (2018) orientan a los estados y los territorios para que desarrollen prácticas, políticas y normas de actuación. Los principios se basan en reglas, normas y prácticas aceptadas internacionalmente, incluidas las Reglas Nelson Mandela, las Reglas de Bangkok, las Reglas de Tokio y mecanismos como el Protocolo Facultativo de la Convención contra la Tortura y Otros Tratos o Penas Crueles, Inhumanos o Degradantes. Se han de tener en cuenta las necesidades de los grupos de reclusos, incluidos los delincuentes adultos jóvenes, las mujeres, las personas mayores y frágiles, las personas LGBTIQA+, con problemas de salud mental o una discapacidad, y los presos preventivos.</w:t>
      </w:r>
    </w:p>
    <w:p w14:paraId="3080E901" w14:textId="3F4E031E" w:rsidR="00627CAE" w:rsidRPr="00627CAE" w:rsidRDefault="00627CAE" w:rsidP="00A02D7A">
      <w:pPr>
        <w:pStyle w:val="SingleTxt"/>
        <w:numPr>
          <w:ilvl w:val="0"/>
          <w:numId w:val="23"/>
        </w:numPr>
        <w:ind w:left="1267"/>
        <w:rPr>
          <w:lang w:val="es-ES_tradnl"/>
        </w:rPr>
      </w:pPr>
      <w:r w:rsidRPr="00627CAE">
        <w:rPr>
          <w:lang w:val="es-ES_tradnl"/>
        </w:rPr>
        <w:t xml:space="preserve">Con arreglo al Protocolo Facultativo de la Convención contra la Tortura y Otros Tratos o Penas Crueles, Inhumanos o Degradantes, Australia tiene la obligación de crear un mecanismo nacional de prevención que permita a organismos independientes como el Subcomité para la Prevención de la Tortura, inspeccionar y vigilar los lugares </w:t>
      </w:r>
      <w:r w:rsidRPr="00627CAE">
        <w:rPr>
          <w:lang w:val="es-ES_tradnl"/>
        </w:rPr>
        <w:lastRenderedPageBreak/>
        <w:t xml:space="preserve">de detención. El mecanismo garantiza que se trate con dignidad y humanidad a las mujeres, niñas, </w:t>
      </w:r>
      <w:r w:rsidRPr="00627CAE">
        <w:rPr>
          <w:i/>
          <w:iCs/>
          <w:lang w:val="es-ES_tradnl"/>
        </w:rPr>
        <w:t>sistergirls</w:t>
      </w:r>
      <w:r w:rsidRPr="00627CAE">
        <w:rPr>
          <w:vertAlign w:val="superscript"/>
          <w:lang w:val="es-ES_tradnl"/>
        </w:rPr>
        <w:footnoteReference w:id="44"/>
      </w:r>
      <w:r w:rsidRPr="00627CAE">
        <w:rPr>
          <w:lang w:val="es-ES_tradnl"/>
        </w:rPr>
        <w:t xml:space="preserve"> y personas con diversidad de género en los lugares de detención.</w:t>
      </w:r>
    </w:p>
    <w:p w14:paraId="5C77A294" w14:textId="6789CFD0" w:rsidR="00627CAE" w:rsidRPr="00627CAE" w:rsidRDefault="00627CAE" w:rsidP="00A02D7A">
      <w:pPr>
        <w:pStyle w:val="SingleTxt"/>
        <w:numPr>
          <w:ilvl w:val="0"/>
          <w:numId w:val="23"/>
        </w:numPr>
        <w:ind w:left="1267"/>
        <w:rPr>
          <w:lang w:val="es-ES_tradnl"/>
        </w:rPr>
      </w:pPr>
      <w:r w:rsidRPr="00627CAE">
        <w:rPr>
          <w:lang w:val="es-ES_tradnl"/>
        </w:rPr>
        <w:t>El 21 de junio de 2023, el Instituto Australiano de Criminología publicó el tablero nacional de información en tiempo real sobre las muertes de reclusos para garantizar al público que las administraciones australianas sean transparentes y rindan cuentas de sus respectivos sistemas de justicia penal. Los datos incluyen la condición de indígena, el tipo de detención, el sexo y el grupo de edad, y se publican a escala nacional como cifra total agregada en tiempo real de las muertes de personas detenidas, ya sean indígenas o no.</w:t>
      </w:r>
    </w:p>
    <w:p w14:paraId="01DADFAC" w14:textId="77777777" w:rsidR="00DA15A2" w:rsidRPr="00195CF4" w:rsidRDefault="00DA15A2" w:rsidP="00DA15A2">
      <w:pPr>
        <w:pStyle w:val="SingleTxt"/>
        <w:spacing w:after="0" w:line="120" w:lineRule="exact"/>
        <w:rPr>
          <w:b/>
          <w:sz w:val="10"/>
          <w:lang w:val="es-ES_tradnl"/>
        </w:rPr>
      </w:pPr>
      <w:bookmarkStart w:id="363" w:name="_Toc174011749"/>
      <w:bookmarkStart w:id="364" w:name="_Toc190878979"/>
    </w:p>
    <w:p w14:paraId="1C4CE7A5" w14:textId="77777777" w:rsidR="00DA15A2" w:rsidRPr="00195CF4" w:rsidRDefault="00DA15A2" w:rsidP="00DA15A2">
      <w:pPr>
        <w:pStyle w:val="SingleTxt"/>
        <w:spacing w:after="0" w:line="120" w:lineRule="exact"/>
        <w:rPr>
          <w:b/>
          <w:sz w:val="10"/>
          <w:lang w:val="es-ES_tradnl"/>
        </w:rPr>
      </w:pPr>
    </w:p>
    <w:p w14:paraId="74A4F216" w14:textId="44C38833" w:rsidR="00627CAE" w:rsidRPr="00195CF4" w:rsidRDefault="00627CAE" w:rsidP="00DA15A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Pregunta 24: Matrimonio y relaciones familiares</w:t>
      </w:r>
      <w:bookmarkEnd w:id="363"/>
      <w:bookmarkEnd w:id="364"/>
    </w:p>
    <w:p w14:paraId="179FFFEE" w14:textId="77777777" w:rsidR="00DA15A2" w:rsidRPr="00195CF4" w:rsidRDefault="00DA15A2" w:rsidP="00DA15A2">
      <w:pPr>
        <w:pStyle w:val="SingleTxt"/>
        <w:spacing w:after="0" w:line="120" w:lineRule="exact"/>
        <w:rPr>
          <w:b/>
          <w:sz w:val="10"/>
          <w:lang w:val="es-ES_tradnl"/>
        </w:rPr>
      </w:pPr>
      <w:bookmarkStart w:id="365" w:name="_Toc174011750"/>
      <w:bookmarkStart w:id="366" w:name="_Toc188598299"/>
      <w:bookmarkStart w:id="367" w:name="_Toc190357196"/>
      <w:bookmarkStart w:id="368" w:name="_Toc190878980"/>
    </w:p>
    <w:p w14:paraId="18BA4E9C" w14:textId="77777777" w:rsidR="00DA15A2" w:rsidRPr="00195CF4" w:rsidRDefault="00DA15A2" w:rsidP="00DA15A2">
      <w:pPr>
        <w:pStyle w:val="SingleTxt"/>
        <w:spacing w:after="0" w:line="120" w:lineRule="exact"/>
        <w:rPr>
          <w:b/>
          <w:sz w:val="10"/>
          <w:lang w:val="es-ES_tradnl"/>
        </w:rPr>
      </w:pPr>
    </w:p>
    <w:p w14:paraId="76E82C87" w14:textId="702A1025" w:rsidR="00627CAE" w:rsidRPr="00195CF4" w:rsidRDefault="00627CAE" w:rsidP="00DA15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Enmiendas a la Ley de Derecho de Familia</w:t>
      </w:r>
      <w:bookmarkEnd w:id="365"/>
      <w:bookmarkEnd w:id="366"/>
      <w:bookmarkEnd w:id="367"/>
      <w:bookmarkEnd w:id="368"/>
    </w:p>
    <w:p w14:paraId="3F3BBDB7" w14:textId="77777777" w:rsidR="00DA15A2" w:rsidRPr="007C0DCB" w:rsidRDefault="00DA15A2" w:rsidP="00DA15A2">
      <w:pPr>
        <w:pStyle w:val="SingleTxt"/>
        <w:spacing w:after="0" w:line="120" w:lineRule="exact"/>
        <w:rPr>
          <w:iCs/>
          <w:sz w:val="10"/>
          <w:lang w:val="es-ES_tradnl"/>
        </w:rPr>
      </w:pPr>
    </w:p>
    <w:p w14:paraId="373E4693" w14:textId="77777777" w:rsidR="00DA15A2" w:rsidRPr="007C0DCB" w:rsidRDefault="00DA15A2" w:rsidP="00DA15A2">
      <w:pPr>
        <w:pStyle w:val="SingleTxt"/>
        <w:spacing w:after="0" w:line="120" w:lineRule="exact"/>
        <w:rPr>
          <w:iCs/>
          <w:sz w:val="10"/>
          <w:lang w:val="es-ES_tradnl"/>
        </w:rPr>
      </w:pPr>
    </w:p>
    <w:p w14:paraId="44011EAB" w14:textId="665C2737" w:rsidR="00627CAE" w:rsidRPr="00627CAE" w:rsidRDefault="00627CAE" w:rsidP="00A02D7A">
      <w:pPr>
        <w:pStyle w:val="SingleTxt"/>
        <w:numPr>
          <w:ilvl w:val="0"/>
          <w:numId w:val="23"/>
        </w:numPr>
        <w:ind w:left="1267"/>
        <w:rPr>
          <w:lang w:val="es-ES_tradnl"/>
        </w:rPr>
      </w:pPr>
      <w:r w:rsidRPr="00627CAE">
        <w:rPr>
          <w:lang w:val="es-ES_tradnl"/>
        </w:rPr>
        <w:t>La Ley de Derecho de Familia se modificó en 2023 en respuesta a las revisiones del sistema de derecho de familia</w:t>
      </w:r>
      <w:r w:rsidRPr="00627CAE">
        <w:rPr>
          <w:vertAlign w:val="superscript"/>
          <w:lang w:val="es-ES_tradnl"/>
        </w:rPr>
        <w:footnoteReference w:id="45"/>
      </w:r>
      <w:r w:rsidRPr="00627CAE">
        <w:rPr>
          <w:lang w:val="es-ES_tradnl"/>
        </w:rPr>
        <w:t xml:space="preserve">. Con estas enmiendas se elimina el requisito de considerar la responsabilidad parental compartida de los hijos a partes iguales cuando los progenitores se separan. La disposición ha dado lugar a malentendidos jurídicos que pueden llevar a los progenitores a aceptar acuerdos inseguros o injustos. La Ley de Derecho de Familia es neutra en cuanto al género, por lo que no da por sentado nada respecto de las funciones parentales o el tiempo que debe pasar un niño con cada progenitor. </w:t>
      </w:r>
    </w:p>
    <w:p w14:paraId="3090A765" w14:textId="77777777" w:rsidR="00BE36F8" w:rsidRPr="00195CF4" w:rsidRDefault="00BE36F8" w:rsidP="00BE36F8">
      <w:pPr>
        <w:pStyle w:val="SingleTxt"/>
        <w:spacing w:after="0" w:line="120" w:lineRule="exact"/>
        <w:rPr>
          <w:b/>
          <w:sz w:val="10"/>
          <w:lang w:val="es-ES_tradnl"/>
        </w:rPr>
      </w:pPr>
      <w:bookmarkStart w:id="369" w:name="_Toc174011751"/>
      <w:bookmarkStart w:id="370" w:name="_Toc188598300"/>
      <w:bookmarkStart w:id="371" w:name="_Toc190357197"/>
      <w:bookmarkStart w:id="372" w:name="_Toc190878981"/>
    </w:p>
    <w:p w14:paraId="22583528" w14:textId="77777777" w:rsidR="00BE36F8" w:rsidRPr="00195CF4" w:rsidRDefault="00BE36F8" w:rsidP="00BE36F8">
      <w:pPr>
        <w:pStyle w:val="SingleTxt"/>
        <w:spacing w:after="0" w:line="120" w:lineRule="exact"/>
        <w:rPr>
          <w:b/>
          <w:sz w:val="10"/>
          <w:lang w:val="es-ES_tradnl"/>
        </w:rPr>
      </w:pPr>
    </w:p>
    <w:p w14:paraId="7A02680D" w14:textId="3872ACB4" w:rsidR="00627CAE" w:rsidRPr="00195CF4" w:rsidRDefault="00627CAE" w:rsidP="00BE36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Divorcio cultural y comunitario</w:t>
      </w:r>
      <w:bookmarkEnd w:id="369"/>
      <w:bookmarkEnd w:id="370"/>
      <w:bookmarkEnd w:id="371"/>
      <w:bookmarkEnd w:id="372"/>
    </w:p>
    <w:p w14:paraId="11723CCE" w14:textId="77777777" w:rsidR="00BE36F8" w:rsidRPr="007C0DCB" w:rsidRDefault="00BE36F8" w:rsidP="00BE36F8">
      <w:pPr>
        <w:pStyle w:val="SingleTxt"/>
        <w:spacing w:after="0" w:line="120" w:lineRule="exact"/>
        <w:rPr>
          <w:iCs/>
          <w:sz w:val="10"/>
          <w:lang w:val="es-ES_tradnl"/>
        </w:rPr>
      </w:pPr>
    </w:p>
    <w:p w14:paraId="426468E5" w14:textId="77777777" w:rsidR="00BE36F8" w:rsidRPr="007C0DCB" w:rsidRDefault="00BE36F8" w:rsidP="00BE36F8">
      <w:pPr>
        <w:pStyle w:val="SingleTxt"/>
        <w:spacing w:after="0" w:line="120" w:lineRule="exact"/>
        <w:rPr>
          <w:iCs/>
          <w:sz w:val="10"/>
          <w:lang w:val="es-ES_tradnl"/>
        </w:rPr>
      </w:pPr>
    </w:p>
    <w:p w14:paraId="495EA412" w14:textId="786C8856" w:rsidR="00627CAE" w:rsidRPr="00627CAE" w:rsidRDefault="00627CAE" w:rsidP="00A02D7A">
      <w:pPr>
        <w:pStyle w:val="SingleTxt"/>
        <w:numPr>
          <w:ilvl w:val="0"/>
          <w:numId w:val="23"/>
        </w:numPr>
        <w:ind w:left="1267"/>
        <w:rPr>
          <w:lang w:val="es-ES_tradnl"/>
        </w:rPr>
      </w:pPr>
      <w:r w:rsidRPr="00627CAE">
        <w:rPr>
          <w:lang w:val="es-ES_tradnl"/>
        </w:rPr>
        <w:t>La Ley del Matrimonio establece el marco para los matrimonios legales en Australia, incluidos los requisitos para que esas uniones y los matrimonios celebrados en el extranjero se consideren válidos conforme a la legislación australiana. La legislación australiana prevé el divorcio sin culpa para disolver los matrimonios legales. Este proceso está regulado por la Ley de Derecho de Familia.</w:t>
      </w:r>
    </w:p>
    <w:p w14:paraId="4EC92F5D" w14:textId="6048E36D" w:rsidR="00627CAE" w:rsidRPr="00627CAE" w:rsidRDefault="00627CAE" w:rsidP="00A02D7A">
      <w:pPr>
        <w:pStyle w:val="SingleTxt"/>
        <w:numPr>
          <w:ilvl w:val="0"/>
          <w:numId w:val="23"/>
        </w:numPr>
        <w:ind w:left="1267"/>
        <w:rPr>
          <w:lang w:val="es-ES_tradnl"/>
        </w:rPr>
      </w:pPr>
      <w:r w:rsidRPr="00627CAE">
        <w:rPr>
          <w:lang w:val="es-ES_tradnl"/>
        </w:rPr>
        <w:t>Puede ocurrir que un matrimonio legal se disuelva (divorcio en virtud de la Ley de Derecho de Familia), pero que siga en vigor un matrimonio cultural o religioso con arreglo a las costumbres culturales o las prácticas religiosas pertinentes. Los sucesivos gobiernos australianos no han secundado las recomendaciones del Informe del Consejo de Derecho de Familia de 2001. Se teme que las enmiendas puedan erosionar la figura del divorcio sin culpa.</w:t>
      </w:r>
    </w:p>
    <w:p w14:paraId="172AE10C" w14:textId="2841E5CC" w:rsidR="00627CAE" w:rsidRPr="00627CAE" w:rsidRDefault="00627CAE" w:rsidP="00A02D7A">
      <w:pPr>
        <w:pStyle w:val="SingleTxt"/>
        <w:numPr>
          <w:ilvl w:val="0"/>
          <w:numId w:val="23"/>
        </w:numPr>
        <w:ind w:left="1267"/>
        <w:rPr>
          <w:lang w:val="es-ES_tradnl"/>
        </w:rPr>
      </w:pPr>
      <w:r w:rsidRPr="00627CAE">
        <w:rPr>
          <w:lang w:val="es-ES_tradnl"/>
        </w:rPr>
        <w:t>Los australianos tienen derecho a expresar y practicar su religión y sus creencias sin injerencias, siempre que dichas prácticas respeten lo dispuesto en la legislación australiana. Según la tradición jurídica de Australia, el derecho secular está separado del religioso y se aplica a todas las personas por igual.</w:t>
      </w:r>
    </w:p>
    <w:p w14:paraId="0708FA93" w14:textId="77777777" w:rsidR="00BE36F8" w:rsidRPr="00195CF4" w:rsidRDefault="00BE36F8" w:rsidP="00BE36F8">
      <w:pPr>
        <w:pStyle w:val="SingleTxt"/>
        <w:spacing w:after="0" w:line="120" w:lineRule="exact"/>
        <w:rPr>
          <w:b/>
          <w:sz w:val="10"/>
          <w:lang w:val="es-ES_tradnl"/>
        </w:rPr>
      </w:pPr>
      <w:bookmarkStart w:id="373" w:name="_Toc174011752"/>
      <w:bookmarkStart w:id="374" w:name="_Toc190878982"/>
    </w:p>
    <w:p w14:paraId="4DA71E24" w14:textId="4C4D6979" w:rsidR="00BE36F8" w:rsidRPr="00195CF4" w:rsidRDefault="00BE36F8">
      <w:pPr>
        <w:suppressAutoHyphens w:val="0"/>
        <w:spacing w:after="160" w:line="259" w:lineRule="auto"/>
        <w:rPr>
          <w:b/>
          <w:kern w:val="14"/>
          <w:sz w:val="10"/>
          <w:lang w:val="es-ES_tradnl"/>
        </w:rPr>
      </w:pPr>
      <w:r w:rsidRPr="00195CF4">
        <w:rPr>
          <w:b/>
          <w:sz w:val="10"/>
          <w:lang w:val="es-ES_tradnl"/>
        </w:rPr>
        <w:br w:type="page"/>
      </w:r>
    </w:p>
    <w:p w14:paraId="6308502A" w14:textId="7E819E69" w:rsidR="00627CAE" w:rsidRPr="00195CF4" w:rsidRDefault="00627CAE" w:rsidP="00BE36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lastRenderedPageBreak/>
        <w:tab/>
      </w:r>
      <w:r w:rsidRPr="00195CF4">
        <w:rPr>
          <w:lang w:val="es-ES_tradnl"/>
        </w:rPr>
        <w:tab/>
        <w:t>Pregunta 25: Información adicional</w:t>
      </w:r>
      <w:bookmarkEnd w:id="373"/>
      <w:bookmarkEnd w:id="374"/>
    </w:p>
    <w:p w14:paraId="4E7A0D9C" w14:textId="77777777" w:rsidR="00BE36F8" w:rsidRPr="00195CF4" w:rsidRDefault="00BE36F8" w:rsidP="00BE36F8">
      <w:pPr>
        <w:pStyle w:val="SingleTxt"/>
        <w:spacing w:after="0" w:line="120" w:lineRule="exact"/>
        <w:rPr>
          <w:b/>
          <w:sz w:val="10"/>
          <w:lang w:val="es-ES_tradnl"/>
        </w:rPr>
      </w:pPr>
      <w:bookmarkStart w:id="375" w:name="_Toc174011753"/>
      <w:bookmarkStart w:id="376" w:name="_Toc188598302"/>
      <w:bookmarkStart w:id="377" w:name="_Toc190357199"/>
      <w:bookmarkStart w:id="378" w:name="_Toc190878983"/>
    </w:p>
    <w:p w14:paraId="45F0A7A4" w14:textId="77777777" w:rsidR="00BE36F8" w:rsidRPr="00195CF4" w:rsidRDefault="00BE36F8" w:rsidP="00BE36F8">
      <w:pPr>
        <w:pStyle w:val="SingleTxt"/>
        <w:spacing w:after="0" w:line="120" w:lineRule="exact"/>
        <w:rPr>
          <w:b/>
          <w:sz w:val="10"/>
          <w:lang w:val="es-ES_tradnl"/>
        </w:rPr>
      </w:pPr>
    </w:p>
    <w:p w14:paraId="50F84E0C" w14:textId="017CA435" w:rsidR="00627CAE" w:rsidRPr="00195CF4" w:rsidRDefault="00627CAE" w:rsidP="00BE36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95CF4">
        <w:rPr>
          <w:lang w:val="es-ES_tradnl"/>
        </w:rPr>
        <w:tab/>
      </w:r>
      <w:r w:rsidRPr="00195CF4">
        <w:rPr>
          <w:lang w:val="es-ES_tradnl"/>
        </w:rPr>
        <w:tab/>
        <w:t>Integrar una perspectiva de género en las iniciativas dirigidas a</w:t>
      </w:r>
      <w:r w:rsidR="00BE36F8" w:rsidRPr="00195CF4">
        <w:rPr>
          <w:lang w:val="es-ES_tradnl"/>
        </w:rPr>
        <w:t> </w:t>
      </w:r>
      <w:r w:rsidRPr="00195CF4">
        <w:rPr>
          <w:lang w:val="es-ES_tradnl"/>
        </w:rPr>
        <w:t>lograr los Objetivos de Desarrollo Sostenible (ODS)</w:t>
      </w:r>
      <w:bookmarkEnd w:id="375"/>
      <w:bookmarkEnd w:id="376"/>
      <w:bookmarkEnd w:id="377"/>
      <w:bookmarkEnd w:id="378"/>
    </w:p>
    <w:p w14:paraId="34564418" w14:textId="77777777" w:rsidR="00BE36F8" w:rsidRPr="007C0DCB" w:rsidRDefault="00BE36F8" w:rsidP="00BE36F8">
      <w:pPr>
        <w:pStyle w:val="SingleTxt"/>
        <w:spacing w:after="0" w:line="120" w:lineRule="exact"/>
        <w:rPr>
          <w:iCs/>
          <w:sz w:val="10"/>
          <w:lang w:val="es-ES_tradnl"/>
        </w:rPr>
      </w:pPr>
    </w:p>
    <w:p w14:paraId="625962C1" w14:textId="77777777" w:rsidR="00BE36F8" w:rsidRPr="007C0DCB" w:rsidRDefault="00BE36F8" w:rsidP="00BE36F8">
      <w:pPr>
        <w:pStyle w:val="SingleTxt"/>
        <w:spacing w:after="0" w:line="120" w:lineRule="exact"/>
        <w:rPr>
          <w:iCs/>
          <w:sz w:val="10"/>
          <w:lang w:val="es-ES_tradnl"/>
        </w:rPr>
      </w:pPr>
    </w:p>
    <w:p w14:paraId="6586DF36" w14:textId="55519792" w:rsidR="0072694B" w:rsidRPr="007C0DCB" w:rsidRDefault="00627CAE" w:rsidP="00A02D7A">
      <w:pPr>
        <w:pStyle w:val="SingleTxt"/>
        <w:numPr>
          <w:ilvl w:val="0"/>
          <w:numId w:val="23"/>
        </w:numPr>
        <w:ind w:left="1267"/>
        <w:rPr>
          <w:lang w:val="es-ES_tradnl"/>
        </w:rPr>
      </w:pPr>
      <w:r w:rsidRPr="007C0DCB">
        <w:rPr>
          <w:lang w:val="es-ES_tradnl"/>
        </w:rPr>
        <w:t xml:space="preserve">Australia presentó en </w:t>
      </w:r>
      <w:r w:rsidRPr="00195CF4">
        <w:rPr>
          <w:lang w:val="es-ES_tradnl"/>
        </w:rPr>
        <w:t>2018</w:t>
      </w:r>
      <w:r w:rsidRPr="007C0DCB">
        <w:rPr>
          <w:lang w:val="es-ES_tradnl"/>
        </w:rPr>
        <w:t xml:space="preserve"> su examen nacional voluntario sobre el cumplimiento de los ODS</w:t>
      </w:r>
      <w:r w:rsidRPr="00195CF4">
        <w:rPr>
          <w:vertAlign w:val="superscript"/>
          <w:lang w:val="es-ES_tradnl"/>
        </w:rPr>
        <w:footnoteReference w:id="46"/>
      </w:r>
      <w:r w:rsidRPr="007C0DCB">
        <w:rPr>
          <w:lang w:val="es-ES_tradnl"/>
        </w:rPr>
        <w:t xml:space="preserve">. El logro de los ODS redunda en interés del país y contribuye a la prosperidad, productividad y estabilidad a largo plazo a escala regional y mundial. Los ODS son compatibles con las prioridades del Gobierno y el compromiso asumido hace tiempo con la igualdad de género, en particular el capítulo </w:t>
      </w:r>
      <w:r w:rsidRPr="00195CF4">
        <w:rPr>
          <w:lang w:val="es-ES_tradnl"/>
        </w:rPr>
        <w:t>55</w:t>
      </w:r>
      <w:r w:rsidRPr="007C0DCB">
        <w:rPr>
          <w:lang w:val="es-ES_tradnl"/>
        </w:rPr>
        <w:t xml:space="preserve"> de los ODS, que incide en la igualdad de género y el empoderamiento de todas las mujeres y las niñas, dado que el aumento de la igualdad de género, especialmente en el liderazgo y la adopción de decisiones, sirve para mejorar las condiciones económicas a nivel nacional, local y familiar.</w:t>
      </w:r>
    </w:p>
    <w:p w14:paraId="7517EC0D" w14:textId="17D1459E" w:rsidR="00627CAE" w:rsidRPr="007C0DCB" w:rsidRDefault="00627CAE" w:rsidP="00627CAE">
      <w:pPr>
        <w:pStyle w:val="SingleTxt"/>
        <w:rPr>
          <w:lang w:val="es-ES_tradnl"/>
        </w:rPr>
      </w:pPr>
      <w:r w:rsidRPr="007C0DCB">
        <w:rPr>
          <w:noProof/>
          <w:w w:val="100"/>
          <w:lang w:val="es-ES_tradnl"/>
        </w:rPr>
        <mc:AlternateContent>
          <mc:Choice Requires="wps">
            <w:drawing>
              <wp:anchor distT="0" distB="0" distL="114300" distR="114300" simplePos="0" relativeHeight="251661312" behindDoc="0" locked="0" layoutInCell="1" allowOverlap="1" wp14:anchorId="52687FF6" wp14:editId="472E6211">
                <wp:simplePos x="0" y="0"/>
                <wp:positionH relativeFrom="column">
                  <wp:posOffset>2669540</wp:posOffset>
                </wp:positionH>
                <wp:positionV relativeFrom="paragraph">
                  <wp:posOffset>304800</wp:posOffset>
                </wp:positionV>
                <wp:extent cx="914400" cy="0"/>
                <wp:effectExtent l="0" t="0" r="0" b="0"/>
                <wp:wrapNone/>
                <wp:docPr id="209942045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1A0C4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627CAE" w:rsidRPr="007C0DCB" w:rsidSect="00627CA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6-23T09:55:00Z" w:initials="Start">
    <w:p w14:paraId="0FBC5B32" w14:textId="77777777" w:rsidR="0072694B" w:rsidRDefault="0072694B">
      <w:pPr>
        <w:pStyle w:val="CommentText"/>
      </w:pPr>
      <w:r>
        <w:rPr>
          <w:rStyle w:val="CommentReference"/>
        </w:rPr>
        <w:annotationRef/>
      </w:r>
      <w:r>
        <w:t>&lt;&lt;ODS JOB NO&gt;&gt;N2507726S&lt;&lt;ODS JOB NO&gt;&gt;</w:t>
      </w:r>
    </w:p>
    <w:p w14:paraId="431AFF7D" w14:textId="77777777" w:rsidR="0072694B" w:rsidRDefault="0072694B">
      <w:pPr>
        <w:pStyle w:val="CommentText"/>
      </w:pPr>
      <w:r>
        <w:t>&lt;&lt;ODS DOC SYMBOL1&gt;&gt;CEDAW/C/AUS/9&lt;&lt;ODS DOC SYMBOL1&gt;&gt;</w:t>
      </w:r>
    </w:p>
    <w:p w14:paraId="39084849" w14:textId="7DC829B6" w:rsidR="0072694B" w:rsidRDefault="0072694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908484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DF32CD4" w16cex:dateUtc="2025-06-23T13: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9084849" w16cid:durableId="3DF32C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7D924" w14:textId="77777777" w:rsidR="000A20E7" w:rsidRDefault="000A20E7" w:rsidP="00331D20">
      <w:r>
        <w:separator/>
      </w:r>
    </w:p>
  </w:endnote>
  <w:endnote w:type="continuationSeparator" w:id="0">
    <w:p w14:paraId="167D59FD" w14:textId="77777777" w:rsidR="000A20E7" w:rsidRDefault="000A20E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72694B" w14:paraId="00A4CA22" w14:textId="77777777" w:rsidTr="0072694B">
      <w:tc>
        <w:tcPr>
          <w:tcW w:w="4920" w:type="dxa"/>
          <w:shd w:val="clear" w:color="auto" w:fill="auto"/>
          <w:vAlign w:val="bottom"/>
        </w:tcPr>
        <w:p w14:paraId="37461605" w14:textId="6FA4EAED" w:rsidR="0072694B" w:rsidRPr="0072694B" w:rsidRDefault="0072694B" w:rsidP="0072694B">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6C78E24" w14:textId="45D91658" w:rsidR="0072694B" w:rsidRPr="0072694B" w:rsidRDefault="0072694B" w:rsidP="0072694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7626C">
            <w:rPr>
              <w:b w:val="0"/>
              <w:color w:val="000000"/>
              <w:sz w:val="14"/>
            </w:rPr>
            <w:t>25-04804</w:t>
          </w:r>
          <w:r>
            <w:rPr>
              <w:b w:val="0"/>
              <w:color w:val="000000"/>
              <w:sz w:val="14"/>
            </w:rPr>
            <w:fldChar w:fldCharType="end"/>
          </w:r>
        </w:p>
      </w:tc>
    </w:tr>
  </w:tbl>
  <w:p w14:paraId="6F40784F" w14:textId="77777777" w:rsidR="0072694B" w:rsidRPr="0072694B" w:rsidRDefault="0072694B" w:rsidP="007269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72694B" w14:paraId="1251BAB0" w14:textId="77777777" w:rsidTr="0072694B">
      <w:tc>
        <w:tcPr>
          <w:tcW w:w="4920" w:type="dxa"/>
          <w:shd w:val="clear" w:color="auto" w:fill="auto"/>
          <w:vAlign w:val="bottom"/>
        </w:tcPr>
        <w:p w14:paraId="47BF8322" w14:textId="570948FC" w:rsidR="0072694B" w:rsidRPr="0072694B" w:rsidRDefault="0072694B" w:rsidP="0072694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7626C">
            <w:rPr>
              <w:b w:val="0"/>
              <w:color w:val="000000"/>
              <w:sz w:val="14"/>
            </w:rPr>
            <w:t>25-04804</w:t>
          </w:r>
          <w:r>
            <w:rPr>
              <w:b w:val="0"/>
              <w:color w:val="000000"/>
              <w:sz w:val="14"/>
            </w:rPr>
            <w:fldChar w:fldCharType="end"/>
          </w:r>
        </w:p>
      </w:tc>
      <w:tc>
        <w:tcPr>
          <w:tcW w:w="4920" w:type="dxa"/>
          <w:shd w:val="clear" w:color="auto" w:fill="auto"/>
          <w:vAlign w:val="bottom"/>
        </w:tcPr>
        <w:p w14:paraId="191694A8" w14:textId="1D4383CB" w:rsidR="0072694B" w:rsidRPr="0072694B" w:rsidRDefault="0072694B" w:rsidP="0072694B">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242E5EE" w14:textId="77777777" w:rsidR="0072694B" w:rsidRPr="0072694B" w:rsidRDefault="0072694B" w:rsidP="007269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41B94" w14:textId="00468423" w:rsidR="0072694B" w:rsidRPr="0072694B" w:rsidRDefault="0072694B" w:rsidP="0072694B">
    <w:pPr>
      <w:pStyle w:val="Footer"/>
      <w:spacing w:line="120" w:lineRule="exact"/>
      <w:rPr>
        <w:b w:val="0"/>
        <w:sz w:val="10"/>
      </w:rPr>
    </w:pPr>
    <w:r>
      <w:rPr>
        <w:b w:val="0"/>
        <w:sz w:val="10"/>
      </w:rPr>
      <w:drawing>
        <wp:anchor distT="0" distB="0" distL="114300" distR="114300" simplePos="0" relativeHeight="251658240" behindDoc="0" locked="0" layoutInCell="1" allowOverlap="1" wp14:anchorId="4C7EACBE" wp14:editId="3D246A21">
          <wp:simplePos x="0" y="0"/>
          <wp:positionH relativeFrom="column">
            <wp:posOffset>5568315</wp:posOffset>
          </wp:positionH>
          <wp:positionV relativeFrom="paragraph">
            <wp:posOffset>-283210</wp:posOffset>
          </wp:positionV>
          <wp:extent cx="694690" cy="694690"/>
          <wp:effectExtent l="0" t="0" r="0" b="0"/>
          <wp:wrapNone/>
          <wp:docPr id="12139023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2694B" w14:paraId="55A0E9E1" w14:textId="77777777" w:rsidTr="0072694B">
      <w:tc>
        <w:tcPr>
          <w:tcW w:w="3830" w:type="dxa"/>
          <w:shd w:val="clear" w:color="auto" w:fill="auto"/>
        </w:tcPr>
        <w:p w14:paraId="5470AA18" w14:textId="50CDB392" w:rsidR="0072694B" w:rsidRDefault="0072694B" w:rsidP="0072694B">
          <w:pPr>
            <w:pStyle w:val="ReleaseDate"/>
          </w:pPr>
          <w:r>
            <w:t xml:space="preserve">25-04804 (S)    </w:t>
          </w:r>
          <w:r w:rsidR="00D50B21">
            <w:t>3004</w:t>
          </w:r>
          <w:r>
            <w:t xml:space="preserve">25    </w:t>
          </w:r>
          <w:r w:rsidR="00D50B21">
            <w:t>30</w:t>
          </w:r>
          <w:r>
            <w:t>0625</w:t>
          </w:r>
        </w:p>
        <w:p w14:paraId="337C357E" w14:textId="013A3D67" w:rsidR="0072694B" w:rsidRPr="0072694B" w:rsidRDefault="0072694B" w:rsidP="0072694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*2504804*</w:t>
          </w:r>
        </w:p>
      </w:tc>
      <w:tc>
        <w:tcPr>
          <w:tcW w:w="4920" w:type="dxa"/>
          <w:shd w:val="clear" w:color="auto" w:fill="auto"/>
          <w:vAlign w:val="bottom"/>
        </w:tcPr>
        <w:p w14:paraId="3F1CF99E" w14:textId="1B7B3341" w:rsidR="0072694B" w:rsidRDefault="0072694B" w:rsidP="0072694B">
          <w:pPr>
            <w:pStyle w:val="Footer"/>
            <w:ind w:right="115"/>
            <w:jc w:val="right"/>
            <w:rPr>
              <w:b w:val="0"/>
              <w:sz w:val="20"/>
            </w:rPr>
          </w:pPr>
          <w:r>
            <w:rPr>
              <w:b w:val="0"/>
              <w:sz w:val="20"/>
            </w:rPr>
            <w:drawing>
              <wp:inline distT="0" distB="0" distL="0" distR="0" wp14:anchorId="6069FDD2" wp14:editId="4D55737F">
                <wp:extent cx="1082042" cy="231648"/>
                <wp:effectExtent l="0" t="0" r="3810" b="0"/>
                <wp:docPr id="718112746" name="Picture 2"/>
                <wp:cNvGraphicFramePr/>
                <a:graphic xmlns:a="http://schemas.openxmlformats.org/drawingml/2006/main">
                  <a:graphicData uri="http://schemas.openxmlformats.org/drawingml/2006/picture">
                    <pic:pic xmlns:pic="http://schemas.openxmlformats.org/drawingml/2006/picture">
                      <pic:nvPicPr>
                        <pic:cNvPr id="718112746"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4436CB2" w14:textId="77777777" w:rsidR="0072694B" w:rsidRPr="0072694B" w:rsidRDefault="0072694B" w:rsidP="0072694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8E08C" w14:textId="77777777" w:rsidR="000A20E7" w:rsidRPr="00D50B21" w:rsidRDefault="000A20E7" w:rsidP="00D50B21">
      <w:pPr>
        <w:pStyle w:val="Footer"/>
        <w:spacing w:after="80"/>
        <w:ind w:left="792"/>
        <w:rPr>
          <w:sz w:val="16"/>
        </w:rPr>
      </w:pPr>
      <w:r w:rsidRPr="00D50B21">
        <w:rPr>
          <w:sz w:val="16"/>
        </w:rPr>
        <w:t>__________________</w:t>
      </w:r>
    </w:p>
  </w:footnote>
  <w:footnote w:type="continuationSeparator" w:id="0">
    <w:p w14:paraId="64F6DADD" w14:textId="77777777" w:rsidR="000A20E7" w:rsidRPr="00D50B21" w:rsidRDefault="000A20E7" w:rsidP="00D50B21">
      <w:pPr>
        <w:pStyle w:val="Footer"/>
        <w:spacing w:after="80"/>
        <w:ind w:left="792"/>
        <w:rPr>
          <w:sz w:val="16"/>
        </w:rPr>
      </w:pPr>
      <w:r w:rsidRPr="00D50B21">
        <w:rPr>
          <w:sz w:val="16"/>
        </w:rPr>
        <w:t>__________________</w:t>
      </w:r>
    </w:p>
  </w:footnote>
  <w:footnote w:id="1">
    <w:p w14:paraId="0B5DEA19" w14:textId="77777777"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pPr>
      <w:r>
        <w:tab/>
        <w:t>*</w:t>
      </w:r>
      <w:r>
        <w:tab/>
        <w:t xml:space="preserve">La versión original del presente informe no fue objeto de revisión editorial oficial. </w:t>
      </w:r>
    </w:p>
    <w:p w14:paraId="2CEA6786" w14:textId="67A5DF7D"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sz w:val="20"/>
        </w:rPr>
      </w:pPr>
      <w:r>
        <w:tab/>
        <w:t>**</w:t>
      </w:r>
      <w:r>
        <w:tab/>
        <w:t>Este documento se presentó de conformidad con el procedimiento simplificado de presentación de informes. Contiene las respuestas del Estado parte a la lista de cuestiones previa a la presentación del informe preparada por el Comité (</w:t>
      </w:r>
      <w:hyperlink r:id="rId1" w:history="1">
        <w:r w:rsidRPr="00195CF4">
          <w:rPr>
            <w:rStyle w:val="Hyperlink"/>
          </w:rPr>
          <w:t>CEDAW/C/AUS/QPR/9</w:t>
        </w:r>
      </w:hyperlink>
      <w:r>
        <w:t>).</w:t>
      </w:r>
    </w:p>
  </w:footnote>
  <w:footnote w:id="2">
    <w:p w14:paraId="37923A20" w14:textId="77777777"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pPr>
      <w:r>
        <w:tab/>
        <w:t>***</w:t>
      </w:r>
      <w:r>
        <w:tab/>
        <w:t>El anexo del presente documento puede consultarse en la página web del Comité.</w:t>
      </w:r>
    </w:p>
  </w:footnote>
  <w:footnote w:id="3">
    <w:p w14:paraId="7FCCAB2C" w14:textId="6177D3C9" w:rsidR="00627CAE" w:rsidRPr="00627CAE"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lang w:val="en-US"/>
        </w:rPr>
      </w:pPr>
      <w:r>
        <w:rPr>
          <w:rFonts w:cstheme="minorHAnsi"/>
          <w:color w:val="000000" w:themeColor="text1"/>
        </w:rPr>
        <w:tab/>
      </w:r>
      <w:r w:rsidRPr="00195CF4">
        <w:rPr>
          <w:rStyle w:val="FootnoteReference"/>
          <w:rFonts w:cstheme="minorHAnsi"/>
        </w:rPr>
        <w:footnoteRef/>
      </w:r>
      <w:r w:rsidRPr="00415460">
        <w:rPr>
          <w:lang w:val="en-US"/>
        </w:rPr>
        <w:tab/>
      </w:r>
      <w:r w:rsidRPr="00195CF4">
        <w:rPr>
          <w:i/>
          <w:iCs/>
          <w:lang w:val="en-US"/>
        </w:rPr>
        <w:t>Australia's Status of Women Report Card 2024</w:t>
      </w:r>
      <w:r w:rsidRPr="00415460">
        <w:rPr>
          <w:lang w:val="en-US"/>
        </w:rPr>
        <w:t xml:space="preserve">, </w:t>
      </w:r>
      <w:hyperlink r:id="rId2" w:history="1">
        <w:r w:rsidRPr="00195CF4">
          <w:rPr>
            <w:rStyle w:val="Hyperlink"/>
            <w:lang w:val="en-US"/>
          </w:rPr>
          <w:t>https://genderequality.gov.au/status-women-report-cards/2024-report-card</w:t>
        </w:r>
      </w:hyperlink>
      <w:r w:rsidRPr="00415460">
        <w:rPr>
          <w:lang w:val="en-US"/>
        </w:rPr>
        <w:t>.</w:t>
      </w:r>
    </w:p>
  </w:footnote>
  <w:footnote w:id="4">
    <w:p w14:paraId="69CFB71C" w14:textId="3CEFAE40"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sidRPr="00415460">
        <w:rPr>
          <w:rFonts w:cstheme="minorHAnsi"/>
          <w:color w:val="000000" w:themeColor="text1"/>
          <w:lang w:val="en-US"/>
        </w:rPr>
        <w:tab/>
      </w:r>
      <w:r w:rsidRPr="00195CF4">
        <w:rPr>
          <w:rStyle w:val="FootnoteReference"/>
          <w:rFonts w:cstheme="minorHAnsi"/>
        </w:rPr>
        <w:footnoteRef/>
      </w:r>
      <w:r>
        <w:tab/>
        <w:t xml:space="preserve">Por </w:t>
      </w:r>
      <w:r w:rsidR="00285E6B">
        <w:t>“</w:t>
      </w:r>
      <w:r>
        <w:t>Gobierno</w:t>
      </w:r>
      <w:r w:rsidR="00285E6B">
        <w:t>”</w:t>
      </w:r>
      <w:r>
        <w:t xml:space="preserve"> se entiende el Gobierno federal australiano.</w:t>
      </w:r>
    </w:p>
  </w:footnote>
  <w:footnote w:id="5">
    <w:p w14:paraId="60B09E63" w14:textId="12C5959A"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Pr>
          <w:rFonts w:cstheme="minorHAnsi"/>
          <w:color w:val="000000" w:themeColor="text1"/>
        </w:rPr>
        <w:tab/>
      </w:r>
      <w:r w:rsidRPr="00195CF4">
        <w:rPr>
          <w:rStyle w:val="FootnoteReference"/>
          <w:rFonts w:cstheme="minorHAnsi"/>
        </w:rPr>
        <w:footnoteRef/>
      </w:r>
      <w:r>
        <w:tab/>
        <w:t xml:space="preserve">Se utilizan indistintamente los términos </w:t>
      </w:r>
      <w:r w:rsidR="00285E6B">
        <w:t>“</w:t>
      </w:r>
      <w:r>
        <w:t>Pueblos Indígenas</w:t>
      </w:r>
      <w:r w:rsidR="00285E6B">
        <w:t>”</w:t>
      </w:r>
      <w:r>
        <w:t xml:space="preserve">, </w:t>
      </w:r>
      <w:r w:rsidR="00285E6B">
        <w:t>“</w:t>
      </w:r>
      <w:r>
        <w:t>pueblos de las Primeras Naciones</w:t>
      </w:r>
      <w:r w:rsidR="00285E6B">
        <w:t>”</w:t>
      </w:r>
      <w:r>
        <w:t xml:space="preserve"> y </w:t>
      </w:r>
      <w:r w:rsidR="00285E6B">
        <w:t>“</w:t>
      </w:r>
      <w:r>
        <w:t>aborígenes e isleños del estrecho de Torres</w:t>
      </w:r>
      <w:r w:rsidR="00285E6B">
        <w:t>”</w:t>
      </w:r>
      <w:r>
        <w:t xml:space="preserve">. </w:t>
      </w:r>
    </w:p>
  </w:footnote>
  <w:footnote w:id="6">
    <w:p w14:paraId="72B92769" w14:textId="48528B9E"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Pr>
          <w:rFonts w:cstheme="minorHAnsi"/>
          <w:color w:val="000000" w:themeColor="text1"/>
        </w:rPr>
        <w:tab/>
      </w:r>
      <w:r w:rsidRPr="00195CF4">
        <w:rPr>
          <w:rStyle w:val="FootnoteReference"/>
          <w:rFonts w:cstheme="minorHAnsi"/>
        </w:rPr>
        <w:footnoteRef/>
      </w:r>
      <w:r>
        <w:tab/>
        <w:t xml:space="preserve">Véase el documento básico común de Australia, disponible en </w:t>
      </w:r>
      <w:hyperlink r:id="rId3" w:history="1">
        <w:r w:rsidRPr="00195CF4">
          <w:rPr>
            <w:rStyle w:val="Hyperlink"/>
          </w:rPr>
          <w:t>https://ohchr.org/HRI/CORE/AUS/2023</w:t>
        </w:r>
      </w:hyperlink>
      <w:r>
        <w:t xml:space="preserve">. </w:t>
      </w:r>
    </w:p>
  </w:footnote>
  <w:footnote w:id="7">
    <w:p w14:paraId="4429D31E" w14:textId="77777777"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sidRPr="00195CF4">
        <w:rPr>
          <w:rFonts w:cstheme="minorHAnsi"/>
          <w:i/>
        </w:rPr>
        <w:tab/>
      </w:r>
      <w:r w:rsidRPr="00195CF4">
        <w:rPr>
          <w:rStyle w:val="FootnoteReference"/>
          <w:rFonts w:cstheme="minorHAnsi"/>
        </w:rPr>
        <w:footnoteRef/>
      </w:r>
      <w:r>
        <w:tab/>
        <w:t>Plan de Respuesta de Emergencia del Sector Sanitario Australiano al Nuevo Coronavirus (COVID-</w:t>
      </w:r>
      <w:r w:rsidRPr="00195CF4">
        <w:t>19</w:t>
      </w:r>
      <w:r>
        <w:t>) y Plan Nacional de Gestión Sanitaria de la COVID-</w:t>
      </w:r>
      <w:r w:rsidRPr="00195CF4">
        <w:t>19</w:t>
      </w:r>
      <w:r>
        <w:t xml:space="preserve"> para </w:t>
      </w:r>
      <w:r w:rsidRPr="00195CF4">
        <w:t>2023</w:t>
      </w:r>
      <w:r>
        <w:t xml:space="preserve">. Australia fue uno de los primeros países en reconocer las repercusiones de la pandemia en la salud mental y elaborar un Plan Nacional de Respuesta a la Pandemia para la Salud Mental y el Bienestar, publicado en mayo de </w:t>
      </w:r>
      <w:r w:rsidRPr="00195CF4">
        <w:t>2020</w:t>
      </w:r>
      <w:r>
        <w:t>.</w:t>
      </w:r>
    </w:p>
  </w:footnote>
  <w:footnote w:id="8">
    <w:p w14:paraId="1394F600" w14:textId="4F801E9A"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Pr>
          <w:rFonts w:cstheme="minorHAnsi"/>
          <w:color w:val="000000" w:themeColor="text1"/>
        </w:rPr>
        <w:tab/>
      </w:r>
      <w:r w:rsidRPr="00195CF4">
        <w:rPr>
          <w:rStyle w:val="FootnoteReference"/>
          <w:rFonts w:cstheme="minorHAnsi"/>
        </w:rPr>
        <w:footnoteRef/>
      </w:r>
      <w:r>
        <w:tab/>
        <w:t xml:space="preserve">Organización Mundial de la Salud, disponible en </w:t>
      </w:r>
      <w:hyperlink r:id="rId4" w:history="1">
        <w:r w:rsidRPr="00195CF4">
          <w:rPr>
            <w:rStyle w:val="Hyperlink"/>
          </w:rPr>
          <w:t>https://who.int/capacity-score</w:t>
        </w:r>
      </w:hyperlink>
      <w:r>
        <w:t xml:space="preserve">.  </w:t>
      </w:r>
    </w:p>
  </w:footnote>
  <w:footnote w:id="9">
    <w:p w14:paraId="54AE1825" w14:textId="77777777" w:rsidR="00627CAE" w:rsidRPr="00627CAE"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lang w:val="en-US"/>
        </w:rPr>
      </w:pPr>
      <w:r>
        <w:rPr>
          <w:rFonts w:cstheme="minorHAnsi"/>
          <w:color w:val="000000" w:themeColor="text1"/>
        </w:rPr>
        <w:tab/>
      </w:r>
      <w:r w:rsidRPr="00195CF4">
        <w:rPr>
          <w:rStyle w:val="FootnoteReference"/>
          <w:rFonts w:cstheme="minorHAnsi"/>
        </w:rPr>
        <w:footnoteRef/>
      </w:r>
      <w:r w:rsidRPr="00415460">
        <w:rPr>
          <w:lang w:val="en-US"/>
        </w:rPr>
        <w:tab/>
        <w:t xml:space="preserve">UNFPA, </w:t>
      </w:r>
      <w:r w:rsidRPr="00195CF4">
        <w:rPr>
          <w:i/>
          <w:iCs/>
          <w:lang w:val="en-US"/>
        </w:rPr>
        <w:t>Trends in Maternal Mortality: 1990 to 2015 (Estimates by WHO, UNICEF, UNFPA, World Bank Group and the United Nations Population Division)</w:t>
      </w:r>
      <w:r w:rsidRPr="00415460">
        <w:rPr>
          <w:lang w:val="en-US"/>
        </w:rPr>
        <w:t>, Naciones Unidas, Nueva York.</w:t>
      </w:r>
    </w:p>
  </w:footnote>
  <w:footnote w:id="10">
    <w:p w14:paraId="35E11B7C" w14:textId="07437959"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sidRPr="00415460">
        <w:rPr>
          <w:rFonts w:cstheme="minorHAnsi"/>
          <w:color w:val="000000" w:themeColor="text1"/>
          <w:lang w:val="en-US"/>
        </w:rPr>
        <w:tab/>
      </w:r>
      <w:r w:rsidRPr="00195CF4">
        <w:rPr>
          <w:rStyle w:val="FootnoteReference"/>
          <w:rFonts w:cstheme="minorHAnsi"/>
        </w:rPr>
        <w:footnoteRef/>
      </w:r>
      <w:r>
        <w:tab/>
        <w:t xml:space="preserve">Véanse </w:t>
      </w:r>
      <w:hyperlink r:id="rId5" w:history="1">
        <w:r w:rsidRPr="00195CF4">
          <w:rPr>
            <w:rStyle w:val="Hyperlink"/>
          </w:rPr>
          <w:t>https://treasury.gov.au/Independent-Evaluation-ofthe-JobKeeper-Paymentss.pdf</w:t>
        </w:r>
      </w:hyperlink>
      <w:r>
        <w:t xml:space="preserve"> y </w:t>
      </w:r>
      <w:hyperlink r:id="rId6" w:history="1">
        <w:r w:rsidRPr="00195CF4">
          <w:rPr>
            <w:rStyle w:val="Hyperlink"/>
          </w:rPr>
          <w:t>https://treasury.gov.au/sites/default/files/2023-10/p2023-455038.pdf</w:t>
        </w:r>
      </w:hyperlink>
      <w:r>
        <w:t>.</w:t>
      </w:r>
    </w:p>
  </w:footnote>
  <w:footnote w:id="11">
    <w:p w14:paraId="17E827EF" w14:textId="1EE99E7B" w:rsidR="00627CAE" w:rsidRPr="00627CAE"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lang w:val="en-US"/>
        </w:rPr>
      </w:pPr>
      <w:r>
        <w:rPr>
          <w:rFonts w:cstheme="minorHAnsi"/>
          <w:color w:val="000000" w:themeColor="text1"/>
        </w:rPr>
        <w:tab/>
      </w:r>
      <w:r w:rsidRPr="00195CF4">
        <w:rPr>
          <w:rStyle w:val="FootnoteReference"/>
          <w:rFonts w:cstheme="minorHAnsi"/>
        </w:rPr>
        <w:footnoteRef/>
      </w:r>
      <w:r w:rsidRPr="00415460">
        <w:rPr>
          <w:lang w:val="en-US"/>
        </w:rPr>
        <w:tab/>
        <w:t xml:space="preserve">Instituto Australiano de Criminología, </w:t>
      </w:r>
      <w:r w:rsidRPr="00195CF4">
        <w:rPr>
          <w:i/>
          <w:iCs/>
          <w:lang w:val="en-US"/>
        </w:rPr>
        <w:t>Who is most at risk of physical and sexual partner violence and coercive control during the COVID-19 pandemic?</w:t>
      </w:r>
      <w:r w:rsidRPr="00415460">
        <w:rPr>
          <w:lang w:val="en-US"/>
        </w:rPr>
        <w:t xml:space="preserve">, febrero de </w:t>
      </w:r>
      <w:r w:rsidRPr="00195CF4">
        <w:rPr>
          <w:lang w:val="en-US"/>
        </w:rPr>
        <w:t>2021</w:t>
      </w:r>
      <w:r w:rsidRPr="00415460">
        <w:rPr>
          <w:lang w:val="en-US"/>
        </w:rPr>
        <w:t xml:space="preserve">, disponible en </w:t>
      </w:r>
      <w:hyperlink r:id="rId7" w:history="1">
        <w:r w:rsidRPr="00195CF4">
          <w:rPr>
            <w:rStyle w:val="Hyperlink"/>
            <w:lang w:val="en-US"/>
          </w:rPr>
          <w:t>https://www.aic.gov.au/report_physicalandsexualpartnerviolence_covid-19.pdf</w:t>
        </w:r>
      </w:hyperlink>
      <w:r w:rsidRPr="00415460">
        <w:rPr>
          <w:lang w:val="en-US"/>
        </w:rPr>
        <w:t xml:space="preserve">.  </w:t>
      </w:r>
    </w:p>
  </w:footnote>
  <w:footnote w:id="12">
    <w:p w14:paraId="4050C508" w14:textId="39C88D4B"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sidRPr="00415460">
        <w:rPr>
          <w:rFonts w:cstheme="minorHAnsi"/>
          <w:color w:val="000000" w:themeColor="text1"/>
          <w:lang w:val="en-US"/>
        </w:rPr>
        <w:tab/>
      </w:r>
      <w:r w:rsidRPr="00195CF4">
        <w:rPr>
          <w:rStyle w:val="FootnoteReference"/>
          <w:rFonts w:cstheme="minorHAnsi"/>
        </w:rPr>
        <w:footnoteRef/>
      </w:r>
      <w:r>
        <w:tab/>
        <w:t xml:space="preserve">Departamento del Primer Ministro y del Gabinete, </w:t>
      </w:r>
      <w:r w:rsidRPr="00195CF4">
        <w:rPr>
          <w:i/>
          <w:iCs/>
        </w:rPr>
        <w:t>COVID-19 Response Inquiry Report</w:t>
      </w:r>
      <w:r>
        <w:t xml:space="preserve">, </w:t>
      </w:r>
      <w:r w:rsidRPr="00195CF4">
        <w:t>29</w:t>
      </w:r>
      <w:r>
        <w:t xml:space="preserve"> de octubre de </w:t>
      </w:r>
      <w:r w:rsidRPr="00195CF4">
        <w:t>2024</w:t>
      </w:r>
      <w:r>
        <w:t xml:space="preserve">, disponible </w:t>
      </w:r>
      <w:r w:rsidRPr="00327A25">
        <w:t xml:space="preserve">en </w:t>
      </w:r>
      <w:hyperlink r:id="rId8" w:history="1">
        <w:r w:rsidRPr="00195CF4">
          <w:rPr>
            <w:rStyle w:val="Hyperlink"/>
          </w:rPr>
          <w:t>https://www.pmc.gov.au/resources/covid-19-response-inquiry-report</w:t>
        </w:r>
      </w:hyperlink>
      <w:r>
        <w:t>.</w:t>
      </w:r>
    </w:p>
  </w:footnote>
  <w:footnote w:id="13">
    <w:p w14:paraId="75A38923" w14:textId="282349A8"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Pr>
          <w:rFonts w:cstheme="minorHAnsi"/>
        </w:rPr>
        <w:tab/>
      </w:r>
      <w:r w:rsidRPr="00195CF4">
        <w:rPr>
          <w:rStyle w:val="FootnoteReference"/>
          <w:rFonts w:cstheme="minorHAnsi"/>
        </w:rPr>
        <w:footnoteRef/>
      </w:r>
      <w:r>
        <w:tab/>
      </w:r>
      <w:r w:rsidRPr="00195CF4">
        <w:rPr>
          <w:i/>
          <w:iCs/>
        </w:rPr>
        <w:t>Who can get parental leave pay</w:t>
      </w:r>
      <w:r>
        <w:t xml:space="preserve"> (julio de </w:t>
      </w:r>
      <w:r w:rsidRPr="00195CF4">
        <w:t>2023</w:t>
      </w:r>
      <w:r>
        <w:t xml:space="preserve">), disponible en </w:t>
      </w:r>
      <w:hyperlink r:id="rId9" w:history="1">
        <w:r w:rsidRPr="00195CF4">
          <w:rPr>
            <w:rStyle w:val="Hyperlink"/>
          </w:rPr>
          <w:t>https://www.servicesaustralia.gov.au/who-can-get-parental-leave-pay-for-child-born-or-adopted-from-1-july-2023</w:t>
        </w:r>
      </w:hyperlink>
      <w:r>
        <w:t>.</w:t>
      </w:r>
    </w:p>
  </w:footnote>
  <w:footnote w:id="14">
    <w:p w14:paraId="1DD0FDA0" w14:textId="2284B251" w:rsidR="00627CAE" w:rsidRPr="000D5CAA"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lang w:val="fr-FR"/>
        </w:rPr>
      </w:pPr>
      <w:r>
        <w:rPr>
          <w:rFonts w:cstheme="minorHAnsi"/>
          <w:color w:val="000000" w:themeColor="text1"/>
        </w:rPr>
        <w:tab/>
      </w:r>
      <w:r w:rsidRPr="00195CF4">
        <w:rPr>
          <w:rStyle w:val="FootnoteReference"/>
          <w:rFonts w:cstheme="minorHAnsi"/>
        </w:rPr>
        <w:footnoteRef/>
      </w:r>
      <w:r w:rsidRPr="000D5CAA">
        <w:rPr>
          <w:lang w:val="fr-FR"/>
        </w:rPr>
        <w:tab/>
        <w:t xml:space="preserve">Véase </w:t>
      </w:r>
      <w:hyperlink r:id="rId10" w:history="1">
        <w:r w:rsidRPr="000D5CAA">
          <w:rPr>
            <w:rStyle w:val="Hyperlink"/>
            <w:lang w:val="fr-FR"/>
          </w:rPr>
          <w:t>https://aifs.gov.au/research/facts-and-figures/marriages-australia-2023</w:t>
        </w:r>
      </w:hyperlink>
      <w:r w:rsidRPr="000D5CAA">
        <w:rPr>
          <w:lang w:val="fr-FR"/>
        </w:rPr>
        <w:t>.</w:t>
      </w:r>
    </w:p>
  </w:footnote>
  <w:footnote w:id="15">
    <w:p w14:paraId="759EAAFA" w14:textId="77777777" w:rsidR="00627CAE" w:rsidRPr="00627CAE"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lang w:val="en-US"/>
        </w:rPr>
      </w:pPr>
      <w:r w:rsidRPr="000D5CAA">
        <w:rPr>
          <w:rFonts w:cstheme="minorHAnsi"/>
          <w:color w:val="000000" w:themeColor="text1"/>
          <w:lang w:val="fr-FR"/>
        </w:rPr>
        <w:tab/>
      </w:r>
      <w:r w:rsidRPr="00195CF4">
        <w:rPr>
          <w:rStyle w:val="FootnoteReference"/>
          <w:rFonts w:cstheme="minorHAnsi"/>
        </w:rPr>
        <w:footnoteRef/>
      </w:r>
      <w:r w:rsidRPr="00415460">
        <w:rPr>
          <w:lang w:val="en-US"/>
        </w:rPr>
        <w:tab/>
        <w:t xml:space="preserve">Oficina de Estadísticas y Estudios sobre la Delincuencia de Nueva Gales del Sur, </w:t>
      </w:r>
      <w:r w:rsidRPr="00195CF4">
        <w:rPr>
          <w:i/>
          <w:iCs/>
          <w:lang w:val="en-US"/>
        </w:rPr>
        <w:t>The long and short of it: The impact of Apprehended Domestic Violence Order duration on offending and breaches</w:t>
      </w:r>
      <w:r w:rsidRPr="00415460">
        <w:rPr>
          <w:lang w:val="en-US"/>
        </w:rPr>
        <w:t xml:space="preserve"> (A Teperski y S Boiteux), Crime and Justice Bulletin núm. </w:t>
      </w:r>
      <w:r w:rsidRPr="00195CF4">
        <w:rPr>
          <w:lang w:val="en-US"/>
        </w:rPr>
        <w:t>261</w:t>
      </w:r>
      <w:r w:rsidRPr="00415460">
        <w:rPr>
          <w:lang w:val="en-US"/>
        </w:rPr>
        <w:t xml:space="preserve">, noviembre de </w:t>
      </w:r>
      <w:r w:rsidRPr="00195CF4">
        <w:rPr>
          <w:lang w:val="en-US"/>
        </w:rPr>
        <w:t>2023</w:t>
      </w:r>
      <w:r w:rsidRPr="00415460">
        <w:rPr>
          <w:lang w:val="en-US"/>
        </w:rPr>
        <w:t>.</w:t>
      </w:r>
    </w:p>
  </w:footnote>
  <w:footnote w:id="16">
    <w:p w14:paraId="63124070" w14:textId="071C3B59"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sidRPr="00415460">
        <w:rPr>
          <w:rFonts w:cstheme="minorHAnsi"/>
          <w:color w:val="000000" w:themeColor="text1"/>
          <w:lang w:val="en-US"/>
        </w:rPr>
        <w:tab/>
      </w:r>
      <w:r w:rsidRPr="00195CF4">
        <w:rPr>
          <w:rStyle w:val="FootnoteReference"/>
          <w:rFonts w:cstheme="minorHAnsi"/>
        </w:rPr>
        <w:footnoteRef/>
      </w:r>
      <w:r>
        <w:tab/>
        <w:t xml:space="preserve">Véase el informe del Grupo de Trabajo del Consejo Permanente de las Fiscalías Generales, disponible en </w:t>
      </w:r>
      <w:hyperlink r:id="rId11" w:history="1">
        <w:r w:rsidRPr="00195CF4">
          <w:rPr>
            <w:rStyle w:val="Hyperlink"/>
          </w:rPr>
          <w:t>https://working-group-report-exec-summary-consistency-of-sexual-harassment-and-sex-discrimination-laws-in-Australia</w:t>
        </w:r>
      </w:hyperlink>
      <w:r>
        <w:t>.</w:t>
      </w:r>
    </w:p>
  </w:footnote>
  <w:footnote w:id="17">
    <w:p w14:paraId="4E3F0033" w14:textId="4054CA08"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Pr>
          <w:rFonts w:cstheme="minorHAnsi"/>
          <w:color w:val="000000" w:themeColor="text1"/>
        </w:rPr>
        <w:tab/>
      </w:r>
      <w:r w:rsidRPr="00195CF4">
        <w:rPr>
          <w:rStyle w:val="FootnoteReference"/>
          <w:rFonts w:cstheme="minorHAnsi"/>
        </w:rPr>
        <w:footnoteRef/>
      </w:r>
      <w:r>
        <w:tab/>
        <w:t xml:space="preserve">Véase también la respuesta del Gobierno al informe de la Comisión de Productividad, disponible en </w:t>
      </w:r>
      <w:hyperlink r:id="rId12" w:history="1">
        <w:r w:rsidRPr="00195CF4">
          <w:rPr>
            <w:rStyle w:val="Hyperlink"/>
          </w:rPr>
          <w:t>https://www.ag.gov.au/government-response-productivity-commissions-report-access-justice-arrangements</w:t>
        </w:r>
      </w:hyperlink>
      <w:r>
        <w:t>.</w:t>
      </w:r>
    </w:p>
  </w:footnote>
  <w:footnote w:id="18">
    <w:p w14:paraId="61F77380" w14:textId="77777777"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Pr>
          <w:rFonts w:cstheme="minorHAnsi"/>
          <w:color w:val="000000" w:themeColor="text1"/>
        </w:rPr>
        <w:tab/>
      </w:r>
      <w:r w:rsidRPr="00195CF4">
        <w:rPr>
          <w:rStyle w:val="FootnoteReference"/>
          <w:rFonts w:cstheme="minorHAnsi"/>
        </w:rPr>
        <w:footnoteRef/>
      </w:r>
      <w:r>
        <w:tab/>
        <w:t>Tribunal Federal de Circuito y de Familia de Australia, Tribunal Federal de Australia, Tribunal Superior de Australia.</w:t>
      </w:r>
    </w:p>
  </w:footnote>
  <w:footnote w:id="19">
    <w:p w14:paraId="6D16E092" w14:textId="54258510"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Pr>
          <w:rFonts w:cstheme="minorHAnsi"/>
          <w:color w:val="000000" w:themeColor="text1"/>
        </w:rPr>
        <w:tab/>
      </w:r>
      <w:r w:rsidRPr="00195CF4">
        <w:rPr>
          <w:rStyle w:val="FootnoteReference"/>
          <w:rFonts w:cstheme="minorHAnsi"/>
        </w:rPr>
        <w:footnoteRef/>
      </w:r>
      <w:r>
        <w:tab/>
        <w:t xml:space="preserve">Véase la respuesta del Gobierno al informe de la Comisión de Reforma Legislativa de Australia, disponible en </w:t>
      </w:r>
      <w:hyperlink r:id="rId13" w:history="1">
        <w:r w:rsidRPr="00195CF4">
          <w:rPr>
            <w:rStyle w:val="Hyperlink"/>
          </w:rPr>
          <w:t>https://www.ag.gov.au/alrc-government-response-2021.pdf</w:t>
        </w:r>
      </w:hyperlink>
      <w:r>
        <w:t xml:space="preserve">. </w:t>
      </w:r>
    </w:p>
  </w:footnote>
  <w:footnote w:id="20">
    <w:p w14:paraId="21B23089" w14:textId="322BEE4A"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Pr>
          <w:rFonts w:cstheme="minorHAnsi"/>
          <w:color w:val="000000" w:themeColor="text1"/>
        </w:rPr>
        <w:tab/>
      </w:r>
      <w:r w:rsidRPr="00195CF4">
        <w:rPr>
          <w:rStyle w:val="FootnoteReference"/>
          <w:rFonts w:cstheme="minorHAnsi"/>
        </w:rPr>
        <w:footnoteRef/>
      </w:r>
      <w:r>
        <w:tab/>
        <w:t xml:space="preserve">Perfil nacional de los letrados de </w:t>
      </w:r>
      <w:r w:rsidRPr="00195CF4">
        <w:t>2022</w:t>
      </w:r>
      <w:r>
        <w:t xml:space="preserve">, disponible en </w:t>
      </w:r>
      <w:hyperlink r:id="rId14" w:history="1">
        <w:r w:rsidRPr="00195CF4">
          <w:rPr>
            <w:rStyle w:val="Hyperlink"/>
          </w:rPr>
          <w:t>https://www.lawsociety.com.au/2022_Final.pdf</w:t>
        </w:r>
      </w:hyperlink>
      <w:r>
        <w:t xml:space="preserve">. </w:t>
      </w:r>
    </w:p>
  </w:footnote>
  <w:footnote w:id="21">
    <w:p w14:paraId="4BFCB609" w14:textId="65471D88"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Pr>
          <w:rFonts w:cstheme="minorHAnsi"/>
          <w:color w:val="000000" w:themeColor="text1"/>
        </w:rPr>
        <w:tab/>
      </w:r>
      <w:r w:rsidRPr="00195CF4">
        <w:rPr>
          <w:rStyle w:val="FootnoteReference"/>
          <w:rFonts w:cstheme="minorHAnsi"/>
        </w:rPr>
        <w:footnoteRef/>
      </w:r>
      <w:r>
        <w:tab/>
        <w:t xml:space="preserve">Supuestos en que se aplican las exenciones contempladas en la Ley sobre Discriminación Sexual de </w:t>
      </w:r>
      <w:r w:rsidRPr="00195CF4">
        <w:t>1984</w:t>
      </w:r>
      <w:r>
        <w:t xml:space="preserve"> (Commonwealth), disponible en </w:t>
      </w:r>
      <w:hyperlink r:id="rId15" w:history="1">
        <w:r w:rsidRPr="00195CF4">
          <w:rPr>
            <w:rStyle w:val="Hyperlink"/>
          </w:rPr>
          <w:t>https://humanrights.gov.au/exemption-applications-under-sex-discrimination-act</w:t>
        </w:r>
      </w:hyperlink>
      <w:r>
        <w:t xml:space="preserve">. </w:t>
      </w:r>
    </w:p>
  </w:footnote>
  <w:footnote w:id="22">
    <w:p w14:paraId="38E04EF0" w14:textId="77777777"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Pr>
          <w:rFonts w:cstheme="minorHAnsi"/>
          <w:color w:val="000000" w:themeColor="text1"/>
        </w:rPr>
        <w:tab/>
      </w:r>
      <w:r w:rsidRPr="00195CF4">
        <w:rPr>
          <w:rStyle w:val="FootnoteReference"/>
          <w:rFonts w:cstheme="minorHAnsi"/>
        </w:rPr>
        <w:footnoteRef/>
      </w:r>
      <w:r>
        <w:tab/>
        <w:t xml:space="preserve">Organización independiente y sin fines de lucro dedicada a fomentar un cambio en la cultura, los comportamientos y los desequilibrios de poder para prevenir la violencia contra las mujeres y los niños. </w:t>
      </w:r>
    </w:p>
  </w:footnote>
  <w:footnote w:id="23">
    <w:p w14:paraId="10411499" w14:textId="12147DEB"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Pr>
          <w:rFonts w:cstheme="minorHAnsi"/>
          <w:color w:val="000000" w:themeColor="text1"/>
        </w:rPr>
        <w:tab/>
      </w:r>
      <w:r w:rsidRPr="00195CF4">
        <w:rPr>
          <w:rStyle w:val="FootnoteReference"/>
          <w:rFonts w:cstheme="minorHAnsi"/>
        </w:rPr>
        <w:footnoteRef/>
      </w:r>
      <w:r w:rsidRPr="00415460">
        <w:rPr>
          <w:lang w:val="en-US"/>
        </w:rPr>
        <w:tab/>
        <w:t xml:space="preserve">Our Watch, </w:t>
      </w:r>
      <w:r w:rsidRPr="00195CF4">
        <w:rPr>
          <w:i/>
          <w:iCs/>
          <w:lang w:val="en-US"/>
        </w:rPr>
        <w:t>Report card: tracking progress in the primary prevention of violence against women</w:t>
      </w:r>
      <w:r w:rsidRPr="00415460">
        <w:rPr>
          <w:lang w:val="en-US"/>
        </w:rPr>
        <w:t xml:space="preserve">, julio de </w:t>
      </w:r>
      <w:r w:rsidRPr="00195CF4">
        <w:rPr>
          <w:lang w:val="en-US"/>
        </w:rPr>
        <w:t>2024</w:t>
      </w:r>
      <w:r w:rsidRPr="00415460">
        <w:rPr>
          <w:lang w:val="en-US"/>
        </w:rPr>
        <w:t xml:space="preserve">, disponible en </w:t>
      </w:r>
      <w:hyperlink r:id="rId16" w:history="1">
        <w:r w:rsidRPr="00195CF4">
          <w:rPr>
            <w:rStyle w:val="Hyperlink"/>
            <w:lang w:val="en-US"/>
          </w:rPr>
          <w:t>https://ourwatch/Tracking-Progress-in-Prevention-Report-July-2024.pdf</w:t>
        </w:r>
      </w:hyperlink>
      <w:r w:rsidRPr="00415460">
        <w:rPr>
          <w:lang w:val="en-US"/>
        </w:rPr>
        <w:t xml:space="preserve">, págs. </w:t>
      </w:r>
      <w:r w:rsidRPr="00195CF4">
        <w:t>3</w:t>
      </w:r>
      <w:r>
        <w:t xml:space="preserve"> a </w:t>
      </w:r>
      <w:r w:rsidRPr="00195CF4">
        <w:t>6</w:t>
      </w:r>
      <w:r>
        <w:t xml:space="preserve">. </w:t>
      </w:r>
    </w:p>
  </w:footnote>
  <w:footnote w:id="24">
    <w:p w14:paraId="2BBFE908" w14:textId="77777777"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Pr>
          <w:rFonts w:cstheme="minorHAnsi"/>
          <w:color w:val="000000" w:themeColor="text1"/>
        </w:rPr>
        <w:tab/>
      </w:r>
      <w:r w:rsidRPr="00195CF4">
        <w:rPr>
          <w:rStyle w:val="FootnoteReference"/>
          <w:rFonts w:cstheme="minorHAnsi"/>
        </w:rPr>
        <w:footnoteRef/>
      </w:r>
      <w:r>
        <w:tab/>
        <w:t xml:space="preserve">La edad mínima se aplicará a las plataformas de medios sociales restringidas en función de la edad, como Snapchat, TikTok, Facebook, Instagram y X, entre otras. </w:t>
      </w:r>
    </w:p>
  </w:footnote>
  <w:footnote w:id="25">
    <w:p w14:paraId="7C5B9B43" w14:textId="77777777"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sidRPr="00195CF4">
        <w:rPr>
          <w:rFonts w:cstheme="minorHAnsi"/>
          <w:i/>
        </w:rPr>
        <w:tab/>
      </w:r>
      <w:r w:rsidRPr="00195CF4">
        <w:rPr>
          <w:rStyle w:val="FootnoteReference"/>
          <w:rFonts w:cstheme="minorHAnsi"/>
        </w:rPr>
        <w:footnoteRef/>
      </w:r>
      <w:r>
        <w:tab/>
        <w:t xml:space="preserve">Código Penal (Commonwealth), secciones </w:t>
      </w:r>
      <w:r w:rsidRPr="00195CF4">
        <w:t>270</w:t>
      </w:r>
      <w:r>
        <w:t xml:space="preserve"> y </w:t>
      </w:r>
      <w:r w:rsidRPr="00195CF4">
        <w:t>271</w:t>
      </w:r>
      <w:r>
        <w:t>.</w:t>
      </w:r>
    </w:p>
  </w:footnote>
  <w:footnote w:id="26">
    <w:p w14:paraId="616064DB" w14:textId="77777777"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Pr>
          <w:rFonts w:cstheme="minorHAnsi"/>
          <w:color w:val="000000" w:themeColor="text1"/>
        </w:rPr>
        <w:tab/>
      </w:r>
      <w:r w:rsidRPr="00195CF4">
        <w:rPr>
          <w:rStyle w:val="FootnoteReference"/>
          <w:rFonts w:cstheme="minorHAnsi"/>
        </w:rPr>
        <w:footnoteRef/>
      </w:r>
      <w:r>
        <w:tab/>
        <w:t>Integran el Gabinete Nacional, entre otros, el Primer Ministro australiano y los primeros ministros y ministros principales de los estados y los territorios.</w:t>
      </w:r>
    </w:p>
  </w:footnote>
  <w:footnote w:id="27">
    <w:p w14:paraId="4A0A07CA" w14:textId="77777777"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Pr>
          <w:rFonts w:cstheme="minorHAnsi"/>
          <w:color w:val="000000" w:themeColor="text1"/>
        </w:rPr>
        <w:tab/>
      </w:r>
      <w:r w:rsidRPr="00195CF4">
        <w:rPr>
          <w:rStyle w:val="FootnoteReference"/>
          <w:rFonts w:cstheme="minorHAnsi"/>
        </w:rPr>
        <w:footnoteRef/>
      </w:r>
      <w:r>
        <w:tab/>
        <w:t xml:space="preserve">Todas las cifras financieras que figuran en este informe periódico se expresan en dólares australianos. Los </w:t>
      </w:r>
      <w:r w:rsidRPr="00195CF4">
        <w:t>4</w:t>
      </w:r>
      <w:r>
        <w:t>.</w:t>
      </w:r>
      <w:r w:rsidRPr="00195CF4">
        <w:t>000</w:t>
      </w:r>
      <w:r>
        <w:t xml:space="preserve"> millones de dólares corresponden a la inversión del Gobierno del Commonwealth (sin incluir a las administraciones de los estados y los territorios de Australia) prevista en los presupuestos de </w:t>
      </w:r>
      <w:r w:rsidRPr="00195CF4">
        <w:t>2022</w:t>
      </w:r>
      <w:r>
        <w:t>-</w:t>
      </w:r>
      <w:r w:rsidRPr="00195CF4">
        <w:t>23</w:t>
      </w:r>
      <w:r>
        <w:t xml:space="preserve"> y </w:t>
      </w:r>
      <w:r w:rsidRPr="00195CF4">
        <w:t>2024</w:t>
      </w:r>
      <w:r>
        <w:t>-</w:t>
      </w:r>
      <w:r w:rsidRPr="00195CF4">
        <w:t>25</w:t>
      </w:r>
      <w:r>
        <w:t>.</w:t>
      </w:r>
    </w:p>
  </w:footnote>
  <w:footnote w:id="28">
    <w:p w14:paraId="34287018" w14:textId="2D5481A5" w:rsidR="00627CAE" w:rsidRPr="000D5CAA"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lang w:val="fr-FR"/>
        </w:rPr>
      </w:pPr>
      <w:r>
        <w:rPr>
          <w:rFonts w:cstheme="minorHAnsi"/>
          <w:color w:val="000000" w:themeColor="text1"/>
        </w:rPr>
        <w:tab/>
      </w:r>
      <w:r w:rsidRPr="00195CF4">
        <w:rPr>
          <w:rStyle w:val="FootnoteReference"/>
          <w:rFonts w:cstheme="minorHAnsi"/>
        </w:rPr>
        <w:footnoteRef/>
      </w:r>
      <w:r w:rsidRPr="000D5CAA">
        <w:rPr>
          <w:lang w:val="fr-FR"/>
        </w:rPr>
        <w:tab/>
        <w:t xml:space="preserve">Véase </w:t>
      </w:r>
      <w:hyperlink r:id="rId17" w:history="1">
        <w:r w:rsidRPr="000D5CAA">
          <w:rPr>
            <w:rStyle w:val="Hyperlink"/>
            <w:lang w:val="fr-FR"/>
          </w:rPr>
          <w:t>https://modernslaveryregister.gov.au/</w:t>
        </w:r>
      </w:hyperlink>
      <w:r w:rsidRPr="000D5CAA">
        <w:rPr>
          <w:lang w:val="fr-FR"/>
        </w:rPr>
        <w:t xml:space="preserve">.  </w:t>
      </w:r>
    </w:p>
  </w:footnote>
  <w:footnote w:id="29">
    <w:p w14:paraId="0E61209D" w14:textId="3F7593E5"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sidRPr="000D5CAA">
        <w:rPr>
          <w:rFonts w:cstheme="minorHAnsi"/>
          <w:color w:val="000000" w:themeColor="text1"/>
          <w:lang w:val="fr-FR"/>
        </w:rPr>
        <w:tab/>
      </w:r>
      <w:r w:rsidRPr="00195CF4">
        <w:rPr>
          <w:rStyle w:val="FootnoteReference"/>
          <w:rFonts w:cstheme="minorHAnsi"/>
        </w:rPr>
        <w:footnoteRef/>
      </w:r>
      <w:r>
        <w:tab/>
        <w:t xml:space="preserve">Gobierno de Victoria, </w:t>
      </w:r>
      <w:r w:rsidRPr="00195CF4">
        <w:rPr>
          <w:i/>
          <w:iCs/>
        </w:rPr>
        <w:t>Decriminalising sex work in Victoria</w:t>
      </w:r>
      <w:r>
        <w:t xml:space="preserve">, disponible en </w:t>
      </w:r>
      <w:hyperlink r:id="rId18" w:history="1">
        <w:r w:rsidRPr="00195CF4">
          <w:rPr>
            <w:rStyle w:val="Hyperlink"/>
          </w:rPr>
          <w:t>https://www.vic.gov.au/review-make-recommendations-decriminalisation-sex-work</w:t>
        </w:r>
      </w:hyperlink>
      <w:r>
        <w:t xml:space="preserve">; Ley de Despenalización del Trabajo Sexual de </w:t>
      </w:r>
      <w:r w:rsidRPr="00195CF4">
        <w:t>2022</w:t>
      </w:r>
      <w:r>
        <w:t xml:space="preserve"> (Victoria) s </w:t>
      </w:r>
      <w:r w:rsidRPr="00195CF4">
        <w:t>34</w:t>
      </w:r>
      <w:r>
        <w:t xml:space="preserve">, disponible en </w:t>
      </w:r>
      <w:hyperlink r:id="rId19" w:history="1">
        <w:r w:rsidRPr="00195CF4">
          <w:rPr>
            <w:rStyle w:val="Hyperlink"/>
          </w:rPr>
          <w:t>https://www.vic.gov.au/review-make-recommendations-decriminalisation-sex-work</w:t>
        </w:r>
      </w:hyperlink>
      <w:r>
        <w:t xml:space="preserve">. </w:t>
      </w:r>
    </w:p>
  </w:footnote>
  <w:footnote w:id="30">
    <w:p w14:paraId="3F2CDCFC" w14:textId="473C67AB" w:rsidR="00627CAE" w:rsidRPr="000D5CAA"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lang w:val="fr-FR"/>
        </w:rPr>
      </w:pPr>
      <w:r>
        <w:rPr>
          <w:rFonts w:cstheme="minorHAnsi"/>
          <w:color w:val="000000" w:themeColor="text1"/>
        </w:rPr>
        <w:tab/>
      </w:r>
      <w:r w:rsidRPr="00195CF4">
        <w:rPr>
          <w:rStyle w:val="FootnoteReference"/>
          <w:rFonts w:cstheme="minorHAnsi"/>
        </w:rPr>
        <w:footnoteRef/>
      </w:r>
      <w:r w:rsidRPr="000D5CAA">
        <w:rPr>
          <w:lang w:val="fr-FR"/>
        </w:rPr>
        <w:tab/>
        <w:t xml:space="preserve">Véase </w:t>
      </w:r>
      <w:hyperlink r:id="rId20" w:history="1">
        <w:r w:rsidRPr="000D5CAA">
          <w:rPr>
            <w:rStyle w:val="Hyperlink"/>
            <w:lang w:val="fr-FR"/>
          </w:rPr>
          <w:t>https://www.aph.gov.au/Parliamentary_departments/</w:t>
        </w:r>
      </w:hyperlink>
      <w:r w:rsidRPr="000D5CAA">
        <w:rPr>
          <w:lang w:val="fr-FR"/>
        </w:rPr>
        <w:t xml:space="preserve">. </w:t>
      </w:r>
    </w:p>
  </w:footnote>
  <w:footnote w:id="31">
    <w:p w14:paraId="372680FF" w14:textId="0C9C8E6C" w:rsidR="00627CAE" w:rsidRPr="000D5CAA"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lang w:val="fr-FR"/>
        </w:rPr>
      </w:pPr>
      <w:r w:rsidRPr="000D5CAA">
        <w:rPr>
          <w:rFonts w:cstheme="minorHAnsi"/>
          <w:color w:val="000000" w:themeColor="text1"/>
          <w:lang w:val="fr-FR"/>
        </w:rPr>
        <w:tab/>
      </w:r>
      <w:r w:rsidRPr="00195CF4">
        <w:rPr>
          <w:rStyle w:val="FootnoteReference"/>
          <w:rFonts w:cstheme="minorHAnsi"/>
        </w:rPr>
        <w:footnoteRef/>
      </w:r>
      <w:r w:rsidRPr="000D5CAA">
        <w:rPr>
          <w:lang w:val="fr-FR"/>
        </w:rPr>
        <w:tab/>
        <w:t xml:space="preserve">Véase </w:t>
      </w:r>
      <w:hyperlink r:id="rId21" w:history="1">
        <w:r w:rsidRPr="000D5CAA">
          <w:rPr>
            <w:rStyle w:val="Hyperlink"/>
            <w:lang w:val="fr-FR"/>
          </w:rPr>
          <w:t>http://www.pmc/womens-leadership/gender-balance-australian-government-boards</w:t>
        </w:r>
      </w:hyperlink>
      <w:r w:rsidRPr="000D5CAA">
        <w:rPr>
          <w:lang w:val="fr-FR"/>
        </w:rPr>
        <w:t xml:space="preserve">.   </w:t>
      </w:r>
    </w:p>
  </w:footnote>
  <w:footnote w:id="32">
    <w:p w14:paraId="5B2F7B1F" w14:textId="77777777"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sidRPr="000D5CAA">
        <w:rPr>
          <w:rFonts w:cstheme="minorHAnsi"/>
          <w:color w:val="000000" w:themeColor="text1"/>
          <w:shd w:val="clear" w:color="auto" w:fill="FFFFFF"/>
          <w:lang w:val="fr-FR"/>
        </w:rPr>
        <w:tab/>
      </w:r>
      <w:r w:rsidRPr="00195CF4">
        <w:rPr>
          <w:rStyle w:val="FootnoteReference"/>
          <w:rFonts w:cstheme="minorHAnsi"/>
        </w:rPr>
        <w:footnoteRef/>
      </w:r>
      <w:r>
        <w:tab/>
        <w:t>La Orden de Australia premia a los australianos que han prestado un servicio sobresaliente o cosechado logros excepcionales.</w:t>
      </w:r>
    </w:p>
  </w:footnote>
  <w:footnote w:id="33">
    <w:p w14:paraId="47932EDA" w14:textId="2E83124E" w:rsidR="00627CAE" w:rsidRPr="00627CAE"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lang w:val="en-US"/>
        </w:rPr>
      </w:pPr>
      <w:r>
        <w:rPr>
          <w:rFonts w:cstheme="minorHAnsi"/>
          <w:color w:val="000000" w:themeColor="text1"/>
        </w:rPr>
        <w:tab/>
      </w:r>
      <w:r w:rsidRPr="00195CF4">
        <w:rPr>
          <w:rStyle w:val="FootnoteReference"/>
          <w:rFonts w:cstheme="minorHAnsi"/>
        </w:rPr>
        <w:footnoteRef/>
      </w:r>
      <w:r w:rsidRPr="00415460">
        <w:rPr>
          <w:lang w:val="en-US"/>
        </w:rPr>
        <w:tab/>
        <w:t xml:space="preserve">Véase </w:t>
      </w:r>
      <w:r w:rsidRPr="00195CF4">
        <w:rPr>
          <w:i/>
          <w:iCs/>
          <w:lang w:val="en-US"/>
        </w:rPr>
        <w:t>Parental Leave - Fair Work Ombudsman</w:t>
      </w:r>
      <w:r w:rsidRPr="00415460">
        <w:rPr>
          <w:lang w:val="en-US"/>
        </w:rPr>
        <w:t xml:space="preserve">, disponible en </w:t>
      </w:r>
      <w:hyperlink r:id="rId22" w:history="1">
        <w:r w:rsidRPr="00195CF4">
          <w:rPr>
            <w:rStyle w:val="Hyperlink"/>
            <w:lang w:val="en-US"/>
          </w:rPr>
          <w:t>https://www.fairwork.gov.au/leave/parental-leave</w:t>
        </w:r>
      </w:hyperlink>
      <w:r w:rsidRPr="00415460">
        <w:rPr>
          <w:lang w:val="en-US"/>
        </w:rPr>
        <w:t xml:space="preserve">. </w:t>
      </w:r>
    </w:p>
  </w:footnote>
  <w:footnote w:id="34">
    <w:p w14:paraId="74792BD2" w14:textId="4BCCF520" w:rsidR="00627CAE" w:rsidRPr="00627CAE"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lang w:val="en-US"/>
        </w:rPr>
      </w:pPr>
      <w:r w:rsidRPr="00415460">
        <w:rPr>
          <w:rFonts w:cstheme="minorHAnsi"/>
          <w:color w:val="000000" w:themeColor="text1"/>
          <w:lang w:val="en-US"/>
        </w:rPr>
        <w:tab/>
      </w:r>
      <w:r w:rsidRPr="00195CF4">
        <w:rPr>
          <w:rStyle w:val="FootnoteReference"/>
          <w:rFonts w:cstheme="minorHAnsi"/>
        </w:rPr>
        <w:footnoteRef/>
      </w:r>
      <w:r w:rsidRPr="00415460">
        <w:rPr>
          <w:lang w:val="en-US"/>
        </w:rPr>
        <w:tab/>
        <w:t xml:space="preserve">Véase </w:t>
      </w:r>
      <w:r w:rsidRPr="00195CF4">
        <w:rPr>
          <w:i/>
          <w:iCs/>
          <w:lang w:val="en-US"/>
        </w:rPr>
        <w:t>Working Parents, a guide to rights</w:t>
      </w:r>
      <w:r w:rsidRPr="00415460">
        <w:rPr>
          <w:lang w:val="en-US"/>
        </w:rPr>
        <w:t xml:space="preserve">, disponible en </w:t>
      </w:r>
      <w:hyperlink r:id="rId23" w:history="1">
        <w:r w:rsidRPr="00195CF4">
          <w:rPr>
            <w:rStyle w:val="Hyperlink"/>
            <w:lang w:val="en-US"/>
          </w:rPr>
          <w:t>https://humanrights.gov.au/our-work/sex-discrimination/working-parents-quick-guide-your-rights</w:t>
        </w:r>
      </w:hyperlink>
      <w:r w:rsidRPr="00415460">
        <w:rPr>
          <w:lang w:val="en-US"/>
        </w:rPr>
        <w:t xml:space="preserve">. </w:t>
      </w:r>
    </w:p>
  </w:footnote>
  <w:footnote w:id="35">
    <w:p w14:paraId="67931431" w14:textId="31A75450" w:rsidR="00627CAE" w:rsidRPr="00627CAE"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lang w:val="en-US"/>
        </w:rPr>
      </w:pPr>
      <w:r w:rsidRPr="00415460">
        <w:rPr>
          <w:rFonts w:cstheme="minorHAnsi"/>
          <w:color w:val="000000" w:themeColor="text1"/>
          <w:lang w:val="en-US"/>
        </w:rPr>
        <w:tab/>
      </w:r>
      <w:r w:rsidRPr="00195CF4">
        <w:rPr>
          <w:rStyle w:val="FootnoteReference"/>
          <w:rFonts w:cstheme="minorHAnsi"/>
        </w:rPr>
        <w:footnoteRef/>
      </w:r>
      <w:r w:rsidRPr="00415460">
        <w:rPr>
          <w:lang w:val="en-US"/>
        </w:rPr>
        <w:tab/>
        <w:t xml:space="preserve">Véase </w:t>
      </w:r>
      <w:r w:rsidRPr="00195CF4">
        <w:rPr>
          <w:i/>
          <w:iCs/>
          <w:lang w:val="en-US"/>
        </w:rPr>
        <w:t>Understanding workplace rights</w:t>
      </w:r>
      <w:r w:rsidRPr="00415460">
        <w:rPr>
          <w:lang w:val="en-US"/>
        </w:rPr>
        <w:t xml:space="preserve">, disponible en </w:t>
      </w:r>
      <w:hyperlink r:id="rId24" w:history="1">
        <w:r w:rsidRPr="00195CF4">
          <w:rPr>
            <w:rStyle w:val="Hyperlink"/>
            <w:lang w:val="en-US"/>
          </w:rPr>
          <w:t>https://www.dewr.gov.au/workplace-relations/understand-your-workplace-rights</w:t>
        </w:r>
      </w:hyperlink>
      <w:r w:rsidRPr="00415460">
        <w:rPr>
          <w:lang w:val="en-US"/>
        </w:rPr>
        <w:t xml:space="preserve">.  </w:t>
      </w:r>
    </w:p>
  </w:footnote>
  <w:footnote w:id="36">
    <w:p w14:paraId="107A9437" w14:textId="53E56705" w:rsidR="00627CAE" w:rsidRPr="00627CAE"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lang w:val="en-US"/>
        </w:rPr>
      </w:pPr>
      <w:r w:rsidRPr="00415460">
        <w:rPr>
          <w:rFonts w:cstheme="minorHAnsi"/>
          <w:color w:val="000000" w:themeColor="text1"/>
          <w:lang w:val="en-US"/>
        </w:rPr>
        <w:tab/>
      </w:r>
      <w:r w:rsidRPr="00195CF4">
        <w:rPr>
          <w:rStyle w:val="FootnoteReference"/>
          <w:rFonts w:cstheme="minorHAnsi"/>
        </w:rPr>
        <w:footnoteRef/>
      </w:r>
      <w:r w:rsidRPr="00415460">
        <w:rPr>
          <w:lang w:val="en-US"/>
        </w:rPr>
        <w:tab/>
        <w:t xml:space="preserve">Véase </w:t>
      </w:r>
      <w:r w:rsidRPr="00195CF4">
        <w:rPr>
          <w:i/>
          <w:iCs/>
          <w:lang w:val="en-US"/>
        </w:rPr>
        <w:t>Developing a Leading Practice Parental Leave Policy</w:t>
      </w:r>
      <w:r w:rsidRPr="00415460">
        <w:rPr>
          <w:lang w:val="en-US"/>
        </w:rPr>
        <w:t xml:space="preserve">, disponible en </w:t>
      </w:r>
      <w:hyperlink r:id="rId25" w:history="1">
        <w:r w:rsidRPr="00195CF4">
          <w:rPr>
            <w:rStyle w:val="Hyperlink"/>
            <w:lang w:val="en-US"/>
          </w:rPr>
          <w:t>https://www.wgea/WGEA-Leading-Practice-Parental-Leave-Policy-Guide.pdf</w:t>
        </w:r>
      </w:hyperlink>
      <w:r w:rsidRPr="00415460">
        <w:rPr>
          <w:lang w:val="en-US"/>
        </w:rPr>
        <w:t xml:space="preserve">. </w:t>
      </w:r>
    </w:p>
  </w:footnote>
  <w:footnote w:id="37">
    <w:p w14:paraId="4994B17C" w14:textId="77777777"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sidRPr="00415460">
        <w:rPr>
          <w:rFonts w:cstheme="minorHAnsi"/>
          <w:color w:val="000000" w:themeColor="text1"/>
          <w:lang w:val="en-US"/>
        </w:rPr>
        <w:tab/>
      </w:r>
      <w:r w:rsidRPr="00195CF4">
        <w:rPr>
          <w:rStyle w:val="FootnoteReference"/>
          <w:rFonts w:cstheme="minorHAnsi"/>
        </w:rPr>
        <w:footnoteRef/>
      </w:r>
      <w:r>
        <w:tab/>
        <w:t>El Acuerdo Nacional de Reforma de la Salud suscrito por el Gobierno y las administraciones de los estados y los territorios para la gobernanza y financiación del sistema de hospitales públicos de Australia.</w:t>
      </w:r>
    </w:p>
  </w:footnote>
  <w:footnote w:id="38">
    <w:p w14:paraId="6869C207" w14:textId="77777777"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sidRPr="00195CF4">
        <w:rPr>
          <w:rFonts w:cstheme="minorHAnsi"/>
          <w:i/>
        </w:rPr>
        <w:tab/>
      </w:r>
      <w:r w:rsidRPr="00195CF4">
        <w:rPr>
          <w:rStyle w:val="FootnoteReference"/>
          <w:rFonts w:cstheme="minorHAnsi"/>
        </w:rPr>
        <w:footnoteRef/>
      </w:r>
      <w:r>
        <w:tab/>
        <w:t xml:space="preserve">Ley de Salud de </w:t>
      </w:r>
      <w:r w:rsidRPr="00195CF4">
        <w:t>1993</w:t>
      </w:r>
      <w:r>
        <w:t xml:space="preserve"> (Territorio de la Capital de Australia); Ley de Reforma de la Ley del Aborto de </w:t>
      </w:r>
      <w:r w:rsidRPr="00195CF4">
        <w:t>2019</w:t>
      </w:r>
      <w:r>
        <w:t xml:space="preserve"> (Nueva Gales del Sur); Ley de Reforma de la Ley sobre la Interrupción del Embarazo de </w:t>
      </w:r>
      <w:r w:rsidRPr="00195CF4">
        <w:t>2017</w:t>
      </w:r>
      <w:r>
        <w:t xml:space="preserve"> (Territorio del Norte); Ley sobre la Interrupción del Embarazo de </w:t>
      </w:r>
      <w:r w:rsidRPr="00195CF4">
        <w:t>2018</w:t>
      </w:r>
      <w:r>
        <w:t xml:space="preserve"> (Queensland); Ley sobre la Interrupción del Embarazo de </w:t>
      </w:r>
      <w:r w:rsidRPr="00195CF4">
        <w:t>2021</w:t>
      </w:r>
      <w:r>
        <w:t xml:space="preserve"> (Australia Meridional); Reglamento sobre la Interrupción del Embarazo de </w:t>
      </w:r>
      <w:r w:rsidRPr="00195CF4">
        <w:t>2022</w:t>
      </w:r>
      <w:r>
        <w:t xml:space="preserve"> (Australia Meridional); Ley de Salud Reproductiva de </w:t>
      </w:r>
      <w:r w:rsidRPr="00195CF4">
        <w:t>2013</w:t>
      </w:r>
      <w:r>
        <w:t xml:space="preserve"> (Acceso al Aborto) (Tasmania); Ley de Reforma de la Ley del Aborto de </w:t>
      </w:r>
      <w:r w:rsidRPr="00195CF4">
        <w:t>2008</w:t>
      </w:r>
      <w:r>
        <w:t xml:space="preserve"> (Victoria); Ley de Reforma de la Ley del Aborto de </w:t>
      </w:r>
      <w:r w:rsidRPr="00195CF4">
        <w:t>2023</w:t>
      </w:r>
      <w:r>
        <w:t xml:space="preserve"> (Australia Occidental). </w:t>
      </w:r>
    </w:p>
  </w:footnote>
  <w:footnote w:id="39">
    <w:p w14:paraId="3C457A88" w14:textId="77777777"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sidRPr="00195CF4">
        <w:rPr>
          <w:rFonts w:cstheme="minorHAnsi"/>
          <w:i/>
        </w:rPr>
        <w:tab/>
      </w:r>
      <w:r w:rsidRPr="00195CF4">
        <w:rPr>
          <w:rStyle w:val="FootnoteReference"/>
          <w:rFonts w:cstheme="minorHAnsi"/>
        </w:rPr>
        <w:footnoteRef/>
      </w:r>
      <w:r>
        <w:tab/>
        <w:t xml:space="preserve">Ley de Enmienda de la Salud (Privacidad del Paciente) de </w:t>
      </w:r>
      <w:r w:rsidRPr="00195CF4">
        <w:t>2015</w:t>
      </w:r>
      <w:r>
        <w:t xml:space="preserve"> (Territorio de la Capital de Australia); Ley de Enmienda de la Salud Pública (Acceso Seguro a Clínicas de Salud Reproductiva) de </w:t>
      </w:r>
      <w:r w:rsidRPr="00195CF4">
        <w:t>2018</w:t>
      </w:r>
      <w:r>
        <w:t xml:space="preserve"> (Nueva Gales del Sur); Ley de Reforma de la Ley sobre la Interrupción del Embarazo de </w:t>
      </w:r>
      <w:r w:rsidRPr="00195CF4">
        <w:t>2017</w:t>
      </w:r>
      <w:r>
        <w:t xml:space="preserve"> (Territorio del Norte); Ley sobre la Interrupción del Embarazo de </w:t>
      </w:r>
      <w:r w:rsidRPr="00195CF4">
        <w:t>2018</w:t>
      </w:r>
      <w:r>
        <w:t xml:space="preserve"> (Queensland); Ley de Enmienda de la Atención Sanitaria de </w:t>
      </w:r>
      <w:r w:rsidRPr="00195CF4">
        <w:t>2020</w:t>
      </w:r>
      <w:r>
        <w:t xml:space="preserve"> (Acceso Seguro) (Australia Meridional); Ley de Salud Reproductiva de </w:t>
      </w:r>
      <w:r w:rsidRPr="00195CF4">
        <w:t>2013</w:t>
      </w:r>
      <w:r>
        <w:t xml:space="preserve"> (Acceso al Aborto) (Tasmania); Ley de Enmienda de la Salud Pública y el Bienestar de </w:t>
      </w:r>
      <w:r w:rsidRPr="00195CF4">
        <w:t>2015</w:t>
      </w:r>
      <w:r>
        <w:t xml:space="preserve"> (Zonas de Acceso Seguro) (Victoria); Ley de Enmienda de la Salud Pública de </w:t>
      </w:r>
      <w:r w:rsidRPr="00195CF4">
        <w:t>2021</w:t>
      </w:r>
      <w:r>
        <w:t xml:space="preserve"> (Zonas de Acceso Seguro) (Australia Occidental).</w:t>
      </w:r>
    </w:p>
  </w:footnote>
  <w:footnote w:id="40">
    <w:p w14:paraId="507A9423" w14:textId="0BD55199"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Pr>
          <w:rFonts w:cstheme="minorHAnsi"/>
          <w:color w:val="000000" w:themeColor="text1"/>
        </w:rPr>
        <w:tab/>
      </w:r>
      <w:r w:rsidRPr="00195CF4">
        <w:rPr>
          <w:rStyle w:val="FootnoteReference"/>
          <w:rFonts w:cstheme="minorHAnsi"/>
        </w:rPr>
        <w:footnoteRef/>
      </w:r>
      <w:r>
        <w:tab/>
      </w:r>
      <w:r w:rsidRPr="00195CF4">
        <w:rPr>
          <w:i/>
          <w:iCs/>
        </w:rPr>
        <w:t>Securing our Rights, Securing our Future</w:t>
      </w:r>
      <w:r>
        <w:t xml:space="preserve">, Comisión Australiana de Derechos Humanos, disponible en </w:t>
      </w:r>
      <w:hyperlink r:id="rId26" w:history="1">
        <w:r w:rsidRPr="00195CF4">
          <w:rPr>
            <w:rStyle w:val="Hyperlink"/>
          </w:rPr>
          <w:t>https://humanrights/aboriginal-and-torres-strait-islander-social-justice/wiyi-yani-u-thangani</w:t>
        </w:r>
      </w:hyperlink>
      <w:r>
        <w:t>.</w:t>
      </w:r>
    </w:p>
  </w:footnote>
  <w:footnote w:id="41">
    <w:p w14:paraId="0991EFAA" w14:textId="49A88F09"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Pr>
          <w:rFonts w:cstheme="minorHAnsi"/>
          <w:color w:val="000000" w:themeColor="text1"/>
        </w:rPr>
        <w:tab/>
      </w:r>
      <w:r w:rsidRPr="00195CF4">
        <w:rPr>
          <w:rStyle w:val="FootnoteReference"/>
          <w:rFonts w:cstheme="minorHAnsi"/>
        </w:rPr>
        <w:footnoteRef/>
      </w:r>
      <w:r>
        <w:tab/>
      </w:r>
      <w:r w:rsidR="00285E6B">
        <w:t>“</w:t>
      </w:r>
      <w:r>
        <w:t>On Country</w:t>
      </w:r>
      <w:r w:rsidR="00285E6B">
        <w:t>”</w:t>
      </w:r>
      <w:r>
        <w:t xml:space="preserve"> es un término empleado por los pueblos de las Primeras Naciones para referirse a las tierras, aguas y cielos a los que están conectados por lazos ancestrales y orígenes familiares.</w:t>
      </w:r>
    </w:p>
  </w:footnote>
  <w:footnote w:id="42">
    <w:p w14:paraId="3EA40448" w14:textId="77777777"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Pr>
          <w:rFonts w:cstheme="minorHAnsi"/>
          <w:color w:val="000000" w:themeColor="text1"/>
        </w:rPr>
        <w:tab/>
      </w:r>
      <w:r w:rsidRPr="00195CF4">
        <w:rPr>
          <w:rStyle w:val="FootnoteReference"/>
          <w:rFonts w:cstheme="minorHAnsi"/>
        </w:rPr>
        <w:footnoteRef/>
      </w:r>
      <w:r>
        <w:tab/>
        <w:t xml:space="preserve">Tasas del subsidio para el cuidado de niños a diciembre de </w:t>
      </w:r>
      <w:r w:rsidRPr="00195CF4">
        <w:t>2024</w:t>
      </w:r>
      <w:r>
        <w:t xml:space="preserve">. </w:t>
      </w:r>
    </w:p>
  </w:footnote>
  <w:footnote w:id="43">
    <w:p w14:paraId="3545087C" w14:textId="77777777" w:rsidR="00627CAE" w:rsidRPr="00627CAE"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lang w:val="en-US"/>
        </w:rPr>
      </w:pPr>
      <w:r>
        <w:rPr>
          <w:rFonts w:cstheme="minorHAnsi"/>
          <w:color w:val="000000" w:themeColor="text1"/>
        </w:rPr>
        <w:tab/>
      </w:r>
      <w:r w:rsidRPr="00195CF4">
        <w:rPr>
          <w:rStyle w:val="FootnoteReference"/>
          <w:rFonts w:cstheme="minorHAnsi"/>
        </w:rPr>
        <w:footnoteRef/>
      </w:r>
      <w:r w:rsidRPr="00415460">
        <w:rPr>
          <w:lang w:val="en-US"/>
        </w:rPr>
        <w:tab/>
        <w:t xml:space="preserve">Howard-Wagner, D, </w:t>
      </w:r>
      <w:r w:rsidRPr="00195CF4">
        <w:rPr>
          <w:lang w:val="en-US"/>
        </w:rPr>
        <w:t>2021</w:t>
      </w:r>
      <w:r w:rsidRPr="00415460">
        <w:rPr>
          <w:lang w:val="en-US"/>
        </w:rPr>
        <w:t xml:space="preserve">, </w:t>
      </w:r>
      <w:r w:rsidRPr="00195CF4">
        <w:rPr>
          <w:i/>
          <w:iCs/>
          <w:lang w:val="en-US"/>
        </w:rPr>
        <w:t>Increased incarceration of First Nations women is interwoven with the experience of violence and trauma</w:t>
      </w:r>
      <w:r w:rsidRPr="00415460">
        <w:rPr>
          <w:lang w:val="en-US"/>
        </w:rPr>
        <w:t>, The Conversation (</w:t>
      </w:r>
      <w:r w:rsidRPr="00195CF4">
        <w:rPr>
          <w:lang w:val="en-US"/>
        </w:rPr>
        <w:t>6</w:t>
      </w:r>
      <w:r w:rsidRPr="00415460">
        <w:rPr>
          <w:lang w:val="en-US"/>
        </w:rPr>
        <w:t xml:space="preserve"> de agosto de </w:t>
      </w:r>
      <w:r w:rsidRPr="00195CF4">
        <w:rPr>
          <w:lang w:val="en-US"/>
        </w:rPr>
        <w:t>2021</w:t>
      </w:r>
      <w:r w:rsidRPr="00415460">
        <w:rPr>
          <w:lang w:val="en-US"/>
        </w:rPr>
        <w:t xml:space="preserve">). </w:t>
      </w:r>
    </w:p>
  </w:footnote>
  <w:footnote w:id="44">
    <w:p w14:paraId="34635E14" w14:textId="77777777" w:rsidR="00627CAE" w:rsidRPr="00415460"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rPr>
      </w:pPr>
      <w:r w:rsidRPr="00415460">
        <w:rPr>
          <w:rFonts w:cstheme="minorHAnsi"/>
          <w:color w:val="000000" w:themeColor="text1"/>
          <w:lang w:val="en-US"/>
        </w:rPr>
        <w:tab/>
      </w:r>
      <w:r w:rsidRPr="00195CF4">
        <w:rPr>
          <w:rStyle w:val="FootnoteReference"/>
          <w:rFonts w:cstheme="minorHAnsi"/>
        </w:rPr>
        <w:footnoteRef/>
      </w:r>
      <w:r>
        <w:tab/>
        <w:t xml:space="preserve">Las </w:t>
      </w:r>
      <w:r w:rsidRPr="00195CF4">
        <w:rPr>
          <w:i/>
          <w:iCs/>
        </w:rPr>
        <w:t>sistergirls</w:t>
      </w:r>
      <w:r>
        <w:t xml:space="preserve"> son personas de género diverso que tienen un espíritu femenino y asumen roles femeninos en la comunidad de las Primeras Naciones.</w:t>
      </w:r>
    </w:p>
  </w:footnote>
  <w:footnote w:id="45">
    <w:p w14:paraId="631D07B8" w14:textId="77777777" w:rsidR="00627CAE" w:rsidRPr="00627CAE"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lang w:val="en-US"/>
        </w:rPr>
      </w:pPr>
      <w:r>
        <w:rPr>
          <w:rFonts w:cstheme="minorHAnsi"/>
          <w:color w:val="000000" w:themeColor="text1"/>
        </w:rPr>
        <w:tab/>
      </w:r>
      <w:r w:rsidRPr="00195CF4">
        <w:rPr>
          <w:rStyle w:val="FootnoteReference"/>
          <w:rFonts w:cstheme="minorHAnsi"/>
        </w:rPr>
        <w:footnoteRef/>
      </w:r>
      <w:r w:rsidRPr="00415460">
        <w:rPr>
          <w:lang w:val="en-US"/>
        </w:rPr>
        <w:tab/>
        <w:t xml:space="preserve">Por ejemplo, </w:t>
      </w:r>
      <w:r w:rsidRPr="00195CF4">
        <w:rPr>
          <w:i/>
          <w:iCs/>
          <w:lang w:val="en-US"/>
        </w:rPr>
        <w:t>Australian Law Reform Commission's Family Law for the Future - An Inquiry into the Family Law System</w:t>
      </w:r>
      <w:r w:rsidRPr="00415460">
        <w:rPr>
          <w:lang w:val="en-US"/>
        </w:rPr>
        <w:t xml:space="preserve"> y </w:t>
      </w:r>
      <w:r w:rsidRPr="00195CF4">
        <w:rPr>
          <w:i/>
          <w:iCs/>
          <w:lang w:val="en-US"/>
        </w:rPr>
        <w:t>Joint Select Committee on Australia's Family Law System Inquiry</w:t>
      </w:r>
      <w:r w:rsidRPr="00415460">
        <w:rPr>
          <w:lang w:val="en-US"/>
        </w:rPr>
        <w:t>.</w:t>
      </w:r>
    </w:p>
  </w:footnote>
  <w:footnote w:id="46">
    <w:p w14:paraId="6BBE119B" w14:textId="79FEC6C9" w:rsidR="00627CAE" w:rsidRPr="000D5CAA" w:rsidRDefault="00627CAE" w:rsidP="00D50B21">
      <w:pPr>
        <w:pStyle w:val="FootnoteText"/>
        <w:tabs>
          <w:tab w:val="clear" w:pos="418"/>
          <w:tab w:val="right" w:pos="1195"/>
          <w:tab w:val="left" w:pos="1267"/>
          <w:tab w:val="left" w:pos="1742"/>
          <w:tab w:val="left" w:pos="2218"/>
          <w:tab w:val="left" w:pos="2693"/>
        </w:tabs>
        <w:ind w:left="1267" w:right="1267" w:hanging="432"/>
        <w:rPr>
          <w:rFonts w:cstheme="minorHAnsi"/>
          <w:color w:val="000000" w:themeColor="text1"/>
          <w:lang w:val="fr-FR"/>
        </w:rPr>
      </w:pPr>
      <w:r w:rsidRPr="00415460">
        <w:rPr>
          <w:rFonts w:cstheme="minorHAnsi"/>
          <w:color w:val="000000" w:themeColor="text1"/>
          <w:lang w:val="en-US"/>
        </w:rPr>
        <w:tab/>
      </w:r>
      <w:r w:rsidRPr="00195CF4">
        <w:rPr>
          <w:rStyle w:val="FootnoteReference"/>
          <w:rFonts w:cstheme="minorHAnsi"/>
        </w:rPr>
        <w:footnoteRef/>
      </w:r>
      <w:r w:rsidRPr="000D5CAA">
        <w:rPr>
          <w:lang w:val="fr-FR"/>
        </w:rPr>
        <w:tab/>
        <w:t xml:space="preserve">Véase </w:t>
      </w:r>
      <w:hyperlink r:id="rId27" w:history="1">
        <w:r w:rsidRPr="000D5CAA">
          <w:rPr>
            <w:rStyle w:val="Hyperlink"/>
            <w:lang w:val="fr-FR"/>
          </w:rPr>
          <w:t>https://www.dfat.gov.au/report-of-the-implementation-of-the-sustainable-development-goals.pdf</w:t>
        </w:r>
      </w:hyperlink>
      <w:r w:rsidRPr="000D5CAA">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2694B" w14:paraId="51ABB05E" w14:textId="77777777" w:rsidTr="0072694B">
      <w:trPr>
        <w:trHeight w:hRule="exact" w:val="864"/>
      </w:trPr>
      <w:tc>
        <w:tcPr>
          <w:tcW w:w="4920" w:type="dxa"/>
          <w:shd w:val="clear" w:color="auto" w:fill="auto"/>
          <w:vAlign w:val="bottom"/>
        </w:tcPr>
        <w:p w14:paraId="02C216B8" w14:textId="46C64332" w:rsidR="0072694B" w:rsidRPr="0072694B" w:rsidRDefault="0072694B" w:rsidP="0072694B">
          <w:pPr>
            <w:pStyle w:val="Header"/>
            <w:spacing w:after="80"/>
            <w:rPr>
              <w:b/>
            </w:rPr>
          </w:pPr>
          <w:r>
            <w:rPr>
              <w:b/>
            </w:rPr>
            <w:fldChar w:fldCharType="begin"/>
          </w:r>
          <w:r>
            <w:rPr>
              <w:b/>
            </w:rPr>
            <w:instrText xml:space="preserve"> DOCVARIABLE "Symbol1" \* MERGEFORMAT </w:instrText>
          </w:r>
          <w:r>
            <w:rPr>
              <w:b/>
            </w:rPr>
            <w:fldChar w:fldCharType="separate"/>
          </w:r>
          <w:r w:rsidR="00A7626C">
            <w:rPr>
              <w:b/>
            </w:rPr>
            <w:t>CEDAW/C/AUS/9</w:t>
          </w:r>
          <w:r>
            <w:rPr>
              <w:b/>
            </w:rPr>
            <w:fldChar w:fldCharType="end"/>
          </w:r>
        </w:p>
      </w:tc>
      <w:tc>
        <w:tcPr>
          <w:tcW w:w="4920" w:type="dxa"/>
          <w:shd w:val="clear" w:color="auto" w:fill="auto"/>
          <w:vAlign w:val="bottom"/>
        </w:tcPr>
        <w:p w14:paraId="6AEE43CB" w14:textId="77777777" w:rsidR="0072694B" w:rsidRDefault="0072694B" w:rsidP="0072694B">
          <w:pPr>
            <w:pStyle w:val="Header"/>
          </w:pPr>
        </w:p>
      </w:tc>
    </w:tr>
  </w:tbl>
  <w:p w14:paraId="480ECB04" w14:textId="77777777" w:rsidR="0072694B" w:rsidRPr="0072694B" w:rsidRDefault="0072694B" w:rsidP="007269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2694B" w14:paraId="6EB0F3A0" w14:textId="77777777" w:rsidTr="0072694B">
      <w:trPr>
        <w:trHeight w:hRule="exact" w:val="864"/>
      </w:trPr>
      <w:tc>
        <w:tcPr>
          <w:tcW w:w="4920" w:type="dxa"/>
          <w:shd w:val="clear" w:color="auto" w:fill="auto"/>
          <w:vAlign w:val="bottom"/>
        </w:tcPr>
        <w:p w14:paraId="6D635F9A" w14:textId="77777777" w:rsidR="0072694B" w:rsidRDefault="0072694B" w:rsidP="0072694B">
          <w:pPr>
            <w:pStyle w:val="Header"/>
          </w:pPr>
        </w:p>
      </w:tc>
      <w:tc>
        <w:tcPr>
          <w:tcW w:w="4920" w:type="dxa"/>
          <w:shd w:val="clear" w:color="auto" w:fill="auto"/>
          <w:vAlign w:val="bottom"/>
        </w:tcPr>
        <w:p w14:paraId="1857785B" w14:textId="65F2DBE7" w:rsidR="0072694B" w:rsidRPr="0072694B" w:rsidRDefault="0072694B" w:rsidP="0072694B">
          <w:pPr>
            <w:pStyle w:val="Header"/>
            <w:spacing w:after="80"/>
            <w:jc w:val="right"/>
            <w:rPr>
              <w:b/>
            </w:rPr>
          </w:pPr>
          <w:r>
            <w:rPr>
              <w:b/>
            </w:rPr>
            <w:fldChar w:fldCharType="begin"/>
          </w:r>
          <w:r>
            <w:rPr>
              <w:b/>
            </w:rPr>
            <w:instrText xml:space="preserve"> DOCVARIABLE "Symbol1" \* MERGEFORMAT </w:instrText>
          </w:r>
          <w:r>
            <w:rPr>
              <w:b/>
            </w:rPr>
            <w:fldChar w:fldCharType="separate"/>
          </w:r>
          <w:r w:rsidR="00A7626C">
            <w:rPr>
              <w:b/>
            </w:rPr>
            <w:t>CEDAW/C/AUS/9</w:t>
          </w:r>
          <w:r>
            <w:rPr>
              <w:b/>
            </w:rPr>
            <w:fldChar w:fldCharType="end"/>
          </w:r>
        </w:p>
      </w:tc>
    </w:tr>
  </w:tbl>
  <w:p w14:paraId="565B9D90" w14:textId="77777777" w:rsidR="0072694B" w:rsidRPr="0072694B" w:rsidRDefault="0072694B" w:rsidP="007269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2694B" w14:paraId="31CA928C" w14:textId="77777777" w:rsidTr="0072694B">
      <w:trPr>
        <w:gridAfter w:val="1"/>
        <w:wAfter w:w="15" w:type="dxa"/>
        <w:trHeight w:hRule="exact" w:val="864"/>
      </w:trPr>
      <w:tc>
        <w:tcPr>
          <w:tcW w:w="1267" w:type="dxa"/>
          <w:tcBorders>
            <w:bottom w:val="single" w:sz="4" w:space="0" w:color="auto"/>
          </w:tcBorders>
          <w:shd w:val="clear" w:color="auto" w:fill="auto"/>
          <w:vAlign w:val="bottom"/>
        </w:tcPr>
        <w:p w14:paraId="2D341CA9" w14:textId="77777777" w:rsidR="0072694B" w:rsidRDefault="0072694B" w:rsidP="0072694B">
          <w:pPr>
            <w:pStyle w:val="Header"/>
            <w:spacing w:after="120"/>
          </w:pPr>
        </w:p>
      </w:tc>
      <w:tc>
        <w:tcPr>
          <w:tcW w:w="2059" w:type="dxa"/>
          <w:tcBorders>
            <w:bottom w:val="single" w:sz="4" w:space="0" w:color="auto"/>
          </w:tcBorders>
          <w:shd w:val="clear" w:color="auto" w:fill="auto"/>
          <w:vAlign w:val="bottom"/>
        </w:tcPr>
        <w:p w14:paraId="433C5689" w14:textId="2EB7C8EC" w:rsidR="0072694B" w:rsidRPr="0072694B" w:rsidRDefault="0072694B" w:rsidP="0072694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CD0A91F" w14:textId="77777777" w:rsidR="0072694B" w:rsidRDefault="0072694B" w:rsidP="0072694B">
          <w:pPr>
            <w:pStyle w:val="Header"/>
            <w:spacing w:after="120"/>
          </w:pPr>
        </w:p>
      </w:tc>
      <w:tc>
        <w:tcPr>
          <w:tcW w:w="6480" w:type="dxa"/>
          <w:gridSpan w:val="3"/>
          <w:tcBorders>
            <w:bottom w:val="single" w:sz="4" w:space="0" w:color="auto"/>
          </w:tcBorders>
          <w:shd w:val="clear" w:color="auto" w:fill="auto"/>
          <w:vAlign w:val="bottom"/>
        </w:tcPr>
        <w:p w14:paraId="6BF504EB" w14:textId="343B9053" w:rsidR="0072694B" w:rsidRPr="0072694B" w:rsidRDefault="0072694B" w:rsidP="0072694B">
          <w:pPr>
            <w:spacing w:after="80" w:line="240" w:lineRule="auto"/>
            <w:jc w:val="right"/>
            <w:rPr>
              <w:position w:val="-4"/>
            </w:rPr>
          </w:pPr>
          <w:r>
            <w:rPr>
              <w:position w:val="-4"/>
              <w:sz w:val="40"/>
            </w:rPr>
            <w:t>CEDAW</w:t>
          </w:r>
          <w:r>
            <w:rPr>
              <w:position w:val="-4"/>
            </w:rPr>
            <w:t>/C/AUS/9</w:t>
          </w:r>
        </w:p>
      </w:tc>
    </w:tr>
    <w:tr w:rsidR="0072694B" w:rsidRPr="0072694B" w14:paraId="4E1C4CB6" w14:textId="77777777" w:rsidTr="0072694B">
      <w:trPr>
        <w:trHeight w:hRule="exact" w:val="2880"/>
      </w:trPr>
      <w:tc>
        <w:tcPr>
          <w:tcW w:w="1267" w:type="dxa"/>
          <w:tcBorders>
            <w:top w:val="single" w:sz="4" w:space="0" w:color="auto"/>
            <w:bottom w:val="single" w:sz="12" w:space="0" w:color="auto"/>
          </w:tcBorders>
          <w:shd w:val="clear" w:color="auto" w:fill="auto"/>
        </w:tcPr>
        <w:p w14:paraId="4364E358" w14:textId="6E1E19A2" w:rsidR="0072694B" w:rsidRPr="0072694B" w:rsidRDefault="0072694B" w:rsidP="0072694B">
          <w:pPr>
            <w:pStyle w:val="Header"/>
            <w:spacing w:before="120"/>
            <w:jc w:val="center"/>
          </w:pPr>
          <w:r>
            <w:t xml:space="preserve"> </w:t>
          </w:r>
          <w:r>
            <w:drawing>
              <wp:inline distT="0" distB="0" distL="0" distR="0" wp14:anchorId="13CA4DE5" wp14:editId="53236D41">
                <wp:extent cx="713232" cy="597103"/>
                <wp:effectExtent l="0" t="0" r="0" b="0"/>
                <wp:docPr id="1475105668" name="Picture 1"/>
                <wp:cNvGraphicFramePr/>
                <a:graphic xmlns:a="http://schemas.openxmlformats.org/drawingml/2006/main">
                  <a:graphicData uri="http://schemas.openxmlformats.org/drawingml/2006/picture">
                    <pic:pic xmlns:pic="http://schemas.openxmlformats.org/drawingml/2006/picture">
                      <pic:nvPicPr>
                        <pic:cNvPr id="147510566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07282AF" w14:textId="1123395F" w:rsidR="0072694B" w:rsidRPr="0072694B" w:rsidRDefault="0072694B" w:rsidP="0072694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40C33A4" w14:textId="77777777" w:rsidR="0072694B" w:rsidRPr="00627CAE" w:rsidRDefault="0072694B" w:rsidP="0072694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3D1A664" w14:textId="77777777" w:rsidR="0072694B" w:rsidRDefault="0072694B" w:rsidP="0072694B">
          <w:pPr>
            <w:pStyle w:val="Distribution"/>
            <w:spacing w:before="240"/>
          </w:pPr>
          <w:r>
            <w:t>Distr. general</w:t>
          </w:r>
        </w:p>
        <w:p w14:paraId="535CA4F9" w14:textId="77777777" w:rsidR="0072694B" w:rsidRDefault="0072694B" w:rsidP="0072694B">
          <w:pPr>
            <w:pStyle w:val="Publication"/>
          </w:pPr>
          <w:r>
            <w:t>25 de marzo de 2025</w:t>
          </w:r>
        </w:p>
        <w:p w14:paraId="2FE3664D" w14:textId="77777777" w:rsidR="0072694B" w:rsidRDefault="0072694B" w:rsidP="0072694B">
          <w:r>
            <w:t>Español</w:t>
          </w:r>
        </w:p>
        <w:p w14:paraId="75209C03" w14:textId="77777777" w:rsidR="00D50B21" w:rsidRDefault="0072694B" w:rsidP="0072694B">
          <w:pPr>
            <w:pStyle w:val="Original"/>
          </w:pPr>
          <w:r>
            <w:t xml:space="preserve">Original: </w:t>
          </w:r>
          <w:r w:rsidR="00D50B21">
            <w:t>inglés</w:t>
          </w:r>
        </w:p>
        <w:p w14:paraId="65DC6EF7" w14:textId="7EAB9FFA" w:rsidR="0072694B" w:rsidRDefault="00D50B21" w:rsidP="0072694B">
          <w:pPr>
            <w:pStyle w:val="Original"/>
          </w:pPr>
          <w:r>
            <w:t>E</w:t>
          </w:r>
          <w:r w:rsidR="0072694B">
            <w:t>spañol</w:t>
          </w:r>
          <w:r>
            <w:t xml:space="preserve">, </w:t>
          </w:r>
          <w:r w:rsidR="0072694B">
            <w:t>francés</w:t>
          </w:r>
          <w:r>
            <w:t xml:space="preserve"> e </w:t>
          </w:r>
          <w:r w:rsidR="0072694B">
            <w:t>inglés</w:t>
          </w:r>
        </w:p>
        <w:p w14:paraId="3325D9AB" w14:textId="17FA9A60" w:rsidR="0072694B" w:rsidRPr="0072694B" w:rsidRDefault="00D50B21" w:rsidP="0072694B">
          <w:r>
            <w:t>únicamente</w:t>
          </w:r>
        </w:p>
      </w:tc>
    </w:tr>
  </w:tbl>
  <w:p w14:paraId="06F0E20B" w14:textId="77777777" w:rsidR="0072694B" w:rsidRPr="00D50B21" w:rsidRDefault="0072694B" w:rsidP="0072694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2CE4F49"/>
    <w:multiLevelType w:val="multilevel"/>
    <w:tmpl w:val="09A2F3A0"/>
    <w:lvl w:ilvl="0">
      <w:start w:val="1"/>
      <w:numFmt w:val="bullet"/>
      <w:pStyle w:val="Bullet"/>
      <w:lvlText w:val="•"/>
      <w:lvlJc w:val="left"/>
      <w:pPr>
        <w:tabs>
          <w:tab w:val="num" w:pos="1287"/>
        </w:tabs>
        <w:ind w:left="1287" w:hanging="567"/>
      </w:pPr>
      <w:rPr>
        <w:rFonts w:ascii="Times New Roman" w:hAnsi="Times New Roman" w:cs="Times New Roman"/>
        <w:b/>
        <w:color w:val="000000"/>
        <w:sz w:val="34"/>
        <w:szCs w:val="34"/>
      </w:rPr>
    </w:lvl>
    <w:lvl w:ilvl="1">
      <w:start w:val="1"/>
      <w:numFmt w:val="bullet"/>
      <w:pStyle w:val="Dash"/>
      <w:lvlText w:val="–"/>
      <w:lvlJc w:val="left"/>
      <w:pPr>
        <w:tabs>
          <w:tab w:val="num" w:pos="1854"/>
        </w:tabs>
        <w:ind w:left="1854" w:hanging="567"/>
      </w:pPr>
      <w:rPr>
        <w:rFonts w:ascii="Times New Roman" w:hAnsi="Times New Roman" w:cs="Times New Roman"/>
        <w:color w:val="000000"/>
      </w:rPr>
    </w:lvl>
    <w:lvl w:ilvl="2">
      <w:start w:val="1"/>
      <w:numFmt w:val="bullet"/>
      <w:pStyle w:val="DoubleDot"/>
      <w:lvlText w:val=""/>
      <w:lvlJc w:val="left"/>
      <w:pPr>
        <w:tabs>
          <w:tab w:val="num" w:pos="2421"/>
        </w:tabs>
        <w:ind w:left="2421" w:hanging="567"/>
      </w:pPr>
      <w:rPr>
        <w:rFonts w:ascii="Wingdings" w:hAnsi="Wingdings" w:hint="default"/>
        <w:color w:val="000000"/>
      </w:rPr>
    </w:lvl>
    <w:lvl w:ilvl="3">
      <w:start w:val="1"/>
      <w:numFmt w:val="decimal"/>
      <w:lvlText w:val="(%4)"/>
      <w:lvlJc w:val="left"/>
      <w:pPr>
        <w:tabs>
          <w:tab w:val="num" w:pos="2160"/>
        </w:tabs>
        <w:ind w:left="2160" w:hanging="360"/>
      </w:pPr>
    </w:lvl>
    <w:lvl w:ilvl="4">
      <w:start w:val="1"/>
      <w:numFmt w:val="lowerLetter"/>
      <w:lvlText w:val="(%5)"/>
      <w:lvlJc w:val="left"/>
      <w:pPr>
        <w:tabs>
          <w:tab w:val="num" w:pos="2520"/>
        </w:tabs>
        <w:ind w:left="2520" w:hanging="360"/>
      </w:pPr>
    </w:lvl>
    <w:lvl w:ilvl="5">
      <w:start w:val="1"/>
      <w:numFmt w:val="lowerRoman"/>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lowerLetter"/>
      <w:lvlText w:val="%8."/>
      <w:lvlJc w:val="left"/>
      <w:pPr>
        <w:tabs>
          <w:tab w:val="num" w:pos="3600"/>
        </w:tabs>
        <w:ind w:left="3600" w:hanging="360"/>
      </w:pPr>
    </w:lvl>
    <w:lvl w:ilvl="8">
      <w:start w:val="1"/>
      <w:numFmt w:val="lowerRoman"/>
      <w:lvlText w:val="%9."/>
      <w:lvlJc w:val="left"/>
      <w:pPr>
        <w:tabs>
          <w:tab w:val="num" w:pos="3960"/>
        </w:tabs>
        <w:ind w:left="3960" w:hanging="360"/>
      </w:pPr>
    </w:lvl>
  </w:abstractNum>
  <w:abstractNum w:abstractNumId="6" w15:restartNumberingAfterBreak="0">
    <w:nsid w:val="0D954887"/>
    <w:multiLevelType w:val="hybridMultilevel"/>
    <w:tmpl w:val="2B362816"/>
    <w:lvl w:ilvl="0" w:tplc="2DA0CB8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4AEC20E" w:tentative="1">
      <w:start w:val="1"/>
      <w:numFmt w:val="lowerLetter"/>
      <w:lvlText w:val="%2."/>
      <w:lvlJc w:val="left"/>
      <w:pPr>
        <w:tabs>
          <w:tab w:val="num" w:pos="1440"/>
        </w:tabs>
        <w:ind w:left="1440" w:hanging="360"/>
      </w:pPr>
    </w:lvl>
    <w:lvl w:ilvl="2" w:tplc="28F492F4" w:tentative="1">
      <w:start w:val="1"/>
      <w:numFmt w:val="lowerRoman"/>
      <w:lvlText w:val="%3."/>
      <w:lvlJc w:val="right"/>
      <w:pPr>
        <w:tabs>
          <w:tab w:val="num" w:pos="2160"/>
        </w:tabs>
        <w:ind w:left="2160" w:hanging="180"/>
      </w:pPr>
    </w:lvl>
    <w:lvl w:ilvl="3" w:tplc="FD10EA9C" w:tentative="1">
      <w:start w:val="1"/>
      <w:numFmt w:val="decimal"/>
      <w:lvlText w:val="%4."/>
      <w:lvlJc w:val="left"/>
      <w:pPr>
        <w:tabs>
          <w:tab w:val="num" w:pos="2880"/>
        </w:tabs>
        <w:ind w:left="2880" w:hanging="360"/>
      </w:pPr>
    </w:lvl>
    <w:lvl w:ilvl="4" w:tplc="F8F2F546" w:tentative="1">
      <w:start w:val="1"/>
      <w:numFmt w:val="lowerLetter"/>
      <w:lvlText w:val="%5."/>
      <w:lvlJc w:val="left"/>
      <w:pPr>
        <w:tabs>
          <w:tab w:val="num" w:pos="3600"/>
        </w:tabs>
        <w:ind w:left="3600" w:hanging="360"/>
      </w:pPr>
    </w:lvl>
    <w:lvl w:ilvl="5" w:tplc="1E3C63E8" w:tentative="1">
      <w:start w:val="1"/>
      <w:numFmt w:val="lowerRoman"/>
      <w:lvlText w:val="%6."/>
      <w:lvlJc w:val="right"/>
      <w:pPr>
        <w:tabs>
          <w:tab w:val="num" w:pos="4320"/>
        </w:tabs>
        <w:ind w:left="4320" w:hanging="180"/>
      </w:pPr>
    </w:lvl>
    <w:lvl w:ilvl="6" w:tplc="4FDE5E5E" w:tentative="1">
      <w:start w:val="1"/>
      <w:numFmt w:val="decimal"/>
      <w:lvlText w:val="%7."/>
      <w:lvlJc w:val="left"/>
      <w:pPr>
        <w:tabs>
          <w:tab w:val="num" w:pos="5040"/>
        </w:tabs>
        <w:ind w:left="5040" w:hanging="360"/>
      </w:pPr>
    </w:lvl>
    <w:lvl w:ilvl="7" w:tplc="954ACA7A" w:tentative="1">
      <w:start w:val="1"/>
      <w:numFmt w:val="lowerLetter"/>
      <w:lvlText w:val="%8."/>
      <w:lvlJc w:val="left"/>
      <w:pPr>
        <w:tabs>
          <w:tab w:val="num" w:pos="5760"/>
        </w:tabs>
        <w:ind w:left="5760" w:hanging="360"/>
      </w:pPr>
    </w:lvl>
    <w:lvl w:ilvl="8" w:tplc="458C5766" w:tentative="1">
      <w:start w:val="1"/>
      <w:numFmt w:val="lowerRoman"/>
      <w:lvlText w:val="%9."/>
      <w:lvlJc w:val="right"/>
      <w:pPr>
        <w:tabs>
          <w:tab w:val="num" w:pos="6480"/>
        </w:tabs>
        <w:ind w:left="6480" w:hanging="18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28C54EBC"/>
    <w:multiLevelType w:val="hybridMultilevel"/>
    <w:tmpl w:val="FA960D52"/>
    <w:lvl w:ilvl="0" w:tplc="F514AEE8">
      <w:start w:val="1"/>
      <w:numFmt w:val="bullet"/>
      <w:pStyle w:val="Keypoints"/>
      <w:lvlText w:val=""/>
      <w:lvlJc w:val="left"/>
      <w:pPr>
        <w:ind w:left="1074" w:hanging="360"/>
      </w:pPr>
      <w:rPr>
        <w:rFonts w:ascii="Symbol" w:hAnsi="Symbol" w:hint="default"/>
      </w:rPr>
    </w:lvl>
    <w:lvl w:ilvl="1" w:tplc="68DC3242">
      <w:start w:val="1"/>
      <w:numFmt w:val="bullet"/>
      <w:pStyle w:val="Subkeypoint"/>
      <w:lvlText w:val="o"/>
      <w:lvlJc w:val="left"/>
      <w:pPr>
        <w:ind w:left="1794" w:hanging="587"/>
      </w:pPr>
      <w:rPr>
        <w:rFonts w:ascii="Courier New" w:hAnsi="Courier New" w:cs="Courier New" w:hint="default"/>
      </w:rPr>
    </w:lvl>
    <w:lvl w:ilvl="2" w:tplc="0C090005">
      <w:start w:val="1"/>
      <w:numFmt w:val="bullet"/>
      <w:lvlText w:val=""/>
      <w:lvlJc w:val="left"/>
      <w:pPr>
        <w:ind w:left="2514" w:hanging="360"/>
      </w:pPr>
      <w:rPr>
        <w:rFonts w:ascii="Wingdings" w:hAnsi="Wingdings" w:hint="default"/>
      </w:rPr>
    </w:lvl>
    <w:lvl w:ilvl="3" w:tplc="0C090001">
      <w:start w:val="1"/>
      <w:numFmt w:val="bullet"/>
      <w:lvlText w:val=""/>
      <w:lvlJc w:val="left"/>
      <w:pPr>
        <w:ind w:left="3234" w:hanging="360"/>
      </w:pPr>
      <w:rPr>
        <w:rFonts w:ascii="Symbol" w:hAnsi="Symbol" w:hint="default"/>
      </w:rPr>
    </w:lvl>
    <w:lvl w:ilvl="4" w:tplc="0C090003" w:tentative="1">
      <w:start w:val="1"/>
      <w:numFmt w:val="bullet"/>
      <w:lvlText w:val="o"/>
      <w:lvlJc w:val="left"/>
      <w:pPr>
        <w:ind w:left="3954" w:hanging="360"/>
      </w:pPr>
      <w:rPr>
        <w:rFonts w:ascii="Courier New" w:hAnsi="Courier New" w:cs="Courier New" w:hint="default"/>
      </w:rPr>
    </w:lvl>
    <w:lvl w:ilvl="5" w:tplc="0C090005" w:tentative="1">
      <w:start w:val="1"/>
      <w:numFmt w:val="bullet"/>
      <w:lvlText w:val=""/>
      <w:lvlJc w:val="left"/>
      <w:pPr>
        <w:ind w:left="4674" w:hanging="360"/>
      </w:pPr>
      <w:rPr>
        <w:rFonts w:ascii="Wingdings" w:hAnsi="Wingdings" w:hint="default"/>
      </w:rPr>
    </w:lvl>
    <w:lvl w:ilvl="6" w:tplc="0C090001" w:tentative="1">
      <w:start w:val="1"/>
      <w:numFmt w:val="bullet"/>
      <w:lvlText w:val=""/>
      <w:lvlJc w:val="left"/>
      <w:pPr>
        <w:ind w:left="5394" w:hanging="360"/>
      </w:pPr>
      <w:rPr>
        <w:rFonts w:ascii="Symbol" w:hAnsi="Symbol" w:hint="default"/>
      </w:rPr>
    </w:lvl>
    <w:lvl w:ilvl="7" w:tplc="0C090003" w:tentative="1">
      <w:start w:val="1"/>
      <w:numFmt w:val="bullet"/>
      <w:lvlText w:val="o"/>
      <w:lvlJc w:val="left"/>
      <w:pPr>
        <w:ind w:left="6114" w:hanging="360"/>
      </w:pPr>
      <w:rPr>
        <w:rFonts w:ascii="Courier New" w:hAnsi="Courier New" w:cs="Courier New" w:hint="default"/>
      </w:rPr>
    </w:lvl>
    <w:lvl w:ilvl="8" w:tplc="0C090005" w:tentative="1">
      <w:start w:val="1"/>
      <w:numFmt w:val="bullet"/>
      <w:lvlText w:val=""/>
      <w:lvlJc w:val="left"/>
      <w:pPr>
        <w:ind w:left="6834" w:hanging="360"/>
      </w:pPr>
      <w:rPr>
        <w:rFonts w:ascii="Wingdings" w:hAnsi="Wingdings" w:hint="default"/>
      </w:rPr>
    </w:lvl>
  </w:abstractNum>
  <w:abstractNum w:abstractNumId="9" w15:restartNumberingAfterBreak="0">
    <w:nsid w:val="3ACF4EB2"/>
    <w:multiLevelType w:val="hybridMultilevel"/>
    <w:tmpl w:val="CB6C816A"/>
    <w:lvl w:ilvl="0" w:tplc="7758E440">
      <w:start w:val="1"/>
      <w:numFmt w:val="bullet"/>
      <w:pStyle w:val="Bullet2G"/>
      <w:lvlText w:val="•"/>
      <w:lvlJc w:val="left"/>
      <w:pPr>
        <w:tabs>
          <w:tab w:val="num" w:pos="2268"/>
        </w:tabs>
        <w:ind w:left="2268" w:hanging="170"/>
      </w:pPr>
      <w:rPr>
        <w:rFonts w:ascii="Times New Roman" w:hAnsi="Times New Roman" w:cs="Times New Roman" w:hint="default"/>
      </w:rPr>
    </w:lvl>
    <w:lvl w:ilvl="1" w:tplc="0178BE04" w:tentative="1">
      <w:start w:val="1"/>
      <w:numFmt w:val="bullet"/>
      <w:lvlText w:val="o"/>
      <w:lvlJc w:val="left"/>
      <w:pPr>
        <w:tabs>
          <w:tab w:val="num" w:pos="3708"/>
        </w:tabs>
        <w:ind w:left="3708" w:hanging="360"/>
      </w:pPr>
      <w:rPr>
        <w:rFonts w:ascii="Courier New" w:hAnsi="Courier New" w:hint="default"/>
      </w:rPr>
    </w:lvl>
    <w:lvl w:ilvl="2" w:tplc="35B837AA" w:tentative="1">
      <w:start w:val="1"/>
      <w:numFmt w:val="bullet"/>
      <w:lvlText w:val=""/>
      <w:lvlJc w:val="left"/>
      <w:pPr>
        <w:tabs>
          <w:tab w:val="num" w:pos="4428"/>
        </w:tabs>
        <w:ind w:left="4428" w:hanging="360"/>
      </w:pPr>
      <w:rPr>
        <w:rFonts w:ascii="Wingdings" w:hAnsi="Wingdings" w:hint="default"/>
      </w:rPr>
    </w:lvl>
    <w:lvl w:ilvl="3" w:tplc="CF824EDE" w:tentative="1">
      <w:start w:val="1"/>
      <w:numFmt w:val="bullet"/>
      <w:lvlText w:val=""/>
      <w:lvlJc w:val="left"/>
      <w:pPr>
        <w:tabs>
          <w:tab w:val="num" w:pos="5148"/>
        </w:tabs>
        <w:ind w:left="5148" w:hanging="360"/>
      </w:pPr>
      <w:rPr>
        <w:rFonts w:ascii="Symbol" w:hAnsi="Symbol" w:hint="default"/>
      </w:rPr>
    </w:lvl>
    <w:lvl w:ilvl="4" w:tplc="0FD254DC" w:tentative="1">
      <w:start w:val="1"/>
      <w:numFmt w:val="bullet"/>
      <w:lvlText w:val="o"/>
      <w:lvlJc w:val="left"/>
      <w:pPr>
        <w:tabs>
          <w:tab w:val="num" w:pos="5868"/>
        </w:tabs>
        <w:ind w:left="5868" w:hanging="360"/>
      </w:pPr>
      <w:rPr>
        <w:rFonts w:ascii="Courier New" w:hAnsi="Courier New" w:hint="default"/>
      </w:rPr>
    </w:lvl>
    <w:lvl w:ilvl="5" w:tplc="D7FA3D0E" w:tentative="1">
      <w:start w:val="1"/>
      <w:numFmt w:val="bullet"/>
      <w:lvlText w:val=""/>
      <w:lvlJc w:val="left"/>
      <w:pPr>
        <w:tabs>
          <w:tab w:val="num" w:pos="6588"/>
        </w:tabs>
        <w:ind w:left="6588" w:hanging="360"/>
      </w:pPr>
      <w:rPr>
        <w:rFonts w:ascii="Wingdings" w:hAnsi="Wingdings" w:hint="default"/>
      </w:rPr>
    </w:lvl>
    <w:lvl w:ilvl="6" w:tplc="B8D207BE" w:tentative="1">
      <w:start w:val="1"/>
      <w:numFmt w:val="bullet"/>
      <w:lvlText w:val=""/>
      <w:lvlJc w:val="left"/>
      <w:pPr>
        <w:tabs>
          <w:tab w:val="num" w:pos="7308"/>
        </w:tabs>
        <w:ind w:left="7308" w:hanging="360"/>
      </w:pPr>
      <w:rPr>
        <w:rFonts w:ascii="Symbol" w:hAnsi="Symbol" w:hint="default"/>
      </w:rPr>
    </w:lvl>
    <w:lvl w:ilvl="7" w:tplc="3D7C0F9A" w:tentative="1">
      <w:start w:val="1"/>
      <w:numFmt w:val="bullet"/>
      <w:lvlText w:val="o"/>
      <w:lvlJc w:val="left"/>
      <w:pPr>
        <w:tabs>
          <w:tab w:val="num" w:pos="8028"/>
        </w:tabs>
        <w:ind w:left="8028" w:hanging="360"/>
      </w:pPr>
      <w:rPr>
        <w:rFonts w:ascii="Courier New" w:hAnsi="Courier New" w:hint="default"/>
      </w:rPr>
    </w:lvl>
    <w:lvl w:ilvl="8" w:tplc="C234D8E8"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B754351"/>
    <w:multiLevelType w:val="hybridMultilevel"/>
    <w:tmpl w:val="77C68552"/>
    <w:lvl w:ilvl="0" w:tplc="BD40E4A4">
      <w:start w:val="1"/>
      <w:numFmt w:val="decimal"/>
      <w:pStyle w:val="Numbers"/>
      <w:lvlText w:val="%1."/>
      <w:lvlJc w:val="left"/>
      <w:pPr>
        <w:ind w:left="1637" w:hanging="360"/>
      </w:pPr>
      <w:rPr>
        <w:i w:val="0"/>
        <w:iCs w:val="0"/>
      </w:rPr>
    </w:lvl>
    <w:lvl w:ilvl="1" w:tplc="0C090001">
      <w:start w:val="1"/>
      <w:numFmt w:val="bullet"/>
      <w:lvlText w:val=""/>
      <w:lvlJc w:val="left"/>
      <w:pPr>
        <w:ind w:left="2574" w:hanging="360"/>
      </w:pPr>
      <w:rPr>
        <w:rFonts w:ascii="Symbol" w:hAnsi="Symbol" w:hint="default"/>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513E0AAC"/>
    <w:multiLevelType w:val="singleLevel"/>
    <w:tmpl w:val="749C10E2"/>
    <w:lvl w:ilvl="0">
      <w:start w:val="1"/>
      <w:numFmt w:val="decimal"/>
      <w:lvlRestart w:val="0"/>
      <w:lvlText w:val="%1."/>
      <w:lvlJc w:val="left"/>
      <w:pPr>
        <w:tabs>
          <w:tab w:val="num" w:pos="475"/>
        </w:tabs>
        <w:ind w:left="0" w:firstLine="0"/>
      </w:pPr>
      <w:rPr>
        <w:i w:val="0"/>
        <w:iCs/>
        <w:spacing w:val="0"/>
        <w:w w:val="100"/>
      </w:rPr>
    </w:lvl>
  </w:abstractNum>
  <w:abstractNum w:abstractNumId="16" w15:restartNumberingAfterBreak="0">
    <w:nsid w:val="550E3256"/>
    <w:multiLevelType w:val="hybridMultilevel"/>
    <w:tmpl w:val="D200FF02"/>
    <w:lvl w:ilvl="0" w:tplc="35488512">
      <w:start w:val="1"/>
      <w:numFmt w:val="decimal"/>
      <w:pStyle w:val="Paragraph"/>
      <w:lvlText w:val="%1."/>
      <w:lvlJc w:val="left"/>
      <w:pPr>
        <w:ind w:left="360" w:hanging="360"/>
      </w:pPr>
      <w:rPr>
        <w:rFonts w:hint="default"/>
        <w:b w:val="0"/>
        <w:i w:val="0"/>
        <w:color w:val="000000" w:themeColor="text1"/>
      </w:rPr>
    </w:lvl>
    <w:lvl w:ilvl="1" w:tplc="7EAC2608">
      <w:start w:val="1"/>
      <w:numFmt w:val="lowerLetter"/>
      <w:lvlText w:val="%2."/>
      <w:lvlJc w:val="left"/>
      <w:pPr>
        <w:ind w:left="1080" w:hanging="360"/>
      </w:pPr>
      <w:rPr>
        <w:i w:val="0"/>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9" w15:restartNumberingAfterBreak="0">
    <w:nsid w:val="66E933D3"/>
    <w:multiLevelType w:val="hybridMultilevel"/>
    <w:tmpl w:val="FCF2521C"/>
    <w:lvl w:ilvl="0" w:tplc="19A04FDC">
      <w:start w:val="1"/>
      <w:numFmt w:val="bullet"/>
      <w:pStyle w:val="Dotpoint"/>
      <w:lvlText w:val=""/>
      <w:lvlJc w:val="left"/>
      <w:pPr>
        <w:ind w:left="502" w:hanging="360"/>
      </w:pPr>
      <w:rPr>
        <w:rFonts w:ascii="Symbol" w:hAnsi="Symbol" w:hint="default"/>
      </w:rPr>
    </w:lvl>
    <w:lvl w:ilvl="1" w:tplc="08B0CBF8">
      <w:start w:val="1"/>
      <w:numFmt w:val="bullet"/>
      <w:pStyle w:val="Sub-dotpoint"/>
      <w:lvlText w:val="o"/>
      <w:lvlJc w:val="left"/>
      <w:pPr>
        <w:ind w:left="1440" w:hanging="360"/>
      </w:pPr>
      <w:rPr>
        <w:rFonts w:ascii="Courier New" w:hAnsi="Courier New" w:cs="Courier New" w:hint="default"/>
      </w:rPr>
    </w:lvl>
    <w:lvl w:ilvl="2" w:tplc="90D84E48">
      <w:start w:val="1"/>
      <w:numFmt w:val="bullet"/>
      <w:lvlText w:val=""/>
      <w:lvlJc w:val="left"/>
      <w:pPr>
        <w:ind w:left="2160" w:hanging="360"/>
      </w:pPr>
      <w:rPr>
        <w:rFonts w:ascii="Wingdings" w:hAnsi="Wingdings" w:hint="default"/>
      </w:rPr>
    </w:lvl>
    <w:lvl w:ilvl="3" w:tplc="7750D202">
      <w:start w:val="1"/>
      <w:numFmt w:val="bullet"/>
      <w:lvlText w:val=""/>
      <w:lvlJc w:val="left"/>
      <w:pPr>
        <w:ind w:left="2880" w:hanging="360"/>
      </w:pPr>
      <w:rPr>
        <w:rFonts w:ascii="Symbol" w:hAnsi="Symbol" w:hint="default"/>
      </w:rPr>
    </w:lvl>
    <w:lvl w:ilvl="4" w:tplc="4DC04A94">
      <w:start w:val="1"/>
      <w:numFmt w:val="bullet"/>
      <w:lvlText w:val="o"/>
      <w:lvlJc w:val="left"/>
      <w:pPr>
        <w:ind w:left="3600" w:hanging="360"/>
      </w:pPr>
      <w:rPr>
        <w:rFonts w:ascii="Courier New" w:hAnsi="Courier New" w:cs="Courier New" w:hint="default"/>
      </w:rPr>
    </w:lvl>
    <w:lvl w:ilvl="5" w:tplc="97284DF8">
      <w:start w:val="1"/>
      <w:numFmt w:val="bullet"/>
      <w:lvlText w:val=""/>
      <w:lvlJc w:val="left"/>
      <w:pPr>
        <w:ind w:left="4320" w:hanging="360"/>
      </w:pPr>
      <w:rPr>
        <w:rFonts w:ascii="Wingdings" w:hAnsi="Wingdings" w:hint="default"/>
      </w:rPr>
    </w:lvl>
    <w:lvl w:ilvl="6" w:tplc="912482B0">
      <w:start w:val="1"/>
      <w:numFmt w:val="bullet"/>
      <w:lvlText w:val=""/>
      <w:lvlJc w:val="left"/>
      <w:pPr>
        <w:ind w:left="5040" w:hanging="360"/>
      </w:pPr>
      <w:rPr>
        <w:rFonts w:ascii="Symbol" w:hAnsi="Symbol" w:hint="default"/>
      </w:rPr>
    </w:lvl>
    <w:lvl w:ilvl="7" w:tplc="054C828E">
      <w:start w:val="1"/>
      <w:numFmt w:val="bullet"/>
      <w:lvlText w:val="o"/>
      <w:lvlJc w:val="left"/>
      <w:pPr>
        <w:ind w:left="5760" w:hanging="360"/>
      </w:pPr>
      <w:rPr>
        <w:rFonts w:ascii="Courier New" w:hAnsi="Courier New" w:cs="Courier New" w:hint="default"/>
      </w:rPr>
    </w:lvl>
    <w:lvl w:ilvl="8" w:tplc="01D24B40">
      <w:start w:val="1"/>
      <w:numFmt w:val="bullet"/>
      <w:lvlText w:val=""/>
      <w:lvlJc w:val="left"/>
      <w:pPr>
        <w:ind w:left="6480" w:hanging="360"/>
      </w:pPr>
      <w:rPr>
        <w:rFonts w:ascii="Wingdings" w:hAnsi="Wingdings" w:hint="default"/>
      </w:rPr>
    </w:lvl>
  </w:abstractNum>
  <w:abstractNum w:abstractNumId="20" w15:restartNumberingAfterBreak="0">
    <w:nsid w:val="68AD07B2"/>
    <w:multiLevelType w:val="hybridMultilevel"/>
    <w:tmpl w:val="7FEE3222"/>
    <w:lvl w:ilvl="0" w:tplc="64B87744">
      <w:start w:val="1"/>
      <w:numFmt w:val="bullet"/>
      <w:pStyle w:val="Bullet1G"/>
      <w:lvlText w:val="•"/>
      <w:lvlJc w:val="left"/>
      <w:pPr>
        <w:tabs>
          <w:tab w:val="num" w:pos="1701"/>
        </w:tabs>
        <w:ind w:left="1701" w:hanging="170"/>
      </w:pPr>
      <w:rPr>
        <w:rFonts w:ascii="Times New Roman" w:hAnsi="Times New Roman" w:cs="Times New Roman" w:hint="default"/>
      </w:rPr>
    </w:lvl>
    <w:lvl w:ilvl="1" w:tplc="DF264AE0" w:tentative="1">
      <w:start w:val="1"/>
      <w:numFmt w:val="bullet"/>
      <w:lvlText w:val="o"/>
      <w:lvlJc w:val="left"/>
      <w:pPr>
        <w:tabs>
          <w:tab w:val="num" w:pos="3141"/>
        </w:tabs>
        <w:ind w:left="3141" w:hanging="360"/>
      </w:pPr>
      <w:rPr>
        <w:rFonts w:ascii="Courier New" w:hAnsi="Courier New" w:hint="default"/>
      </w:rPr>
    </w:lvl>
    <w:lvl w:ilvl="2" w:tplc="E7E6EBB0" w:tentative="1">
      <w:start w:val="1"/>
      <w:numFmt w:val="bullet"/>
      <w:lvlText w:val=""/>
      <w:lvlJc w:val="left"/>
      <w:pPr>
        <w:tabs>
          <w:tab w:val="num" w:pos="3861"/>
        </w:tabs>
        <w:ind w:left="3861" w:hanging="360"/>
      </w:pPr>
      <w:rPr>
        <w:rFonts w:ascii="Wingdings" w:hAnsi="Wingdings" w:hint="default"/>
      </w:rPr>
    </w:lvl>
    <w:lvl w:ilvl="3" w:tplc="6B5C3A78" w:tentative="1">
      <w:start w:val="1"/>
      <w:numFmt w:val="bullet"/>
      <w:lvlText w:val=""/>
      <w:lvlJc w:val="left"/>
      <w:pPr>
        <w:tabs>
          <w:tab w:val="num" w:pos="4581"/>
        </w:tabs>
        <w:ind w:left="4581" w:hanging="360"/>
      </w:pPr>
      <w:rPr>
        <w:rFonts w:ascii="Symbol" w:hAnsi="Symbol" w:hint="default"/>
      </w:rPr>
    </w:lvl>
    <w:lvl w:ilvl="4" w:tplc="5E36D5B6" w:tentative="1">
      <w:start w:val="1"/>
      <w:numFmt w:val="bullet"/>
      <w:lvlText w:val="o"/>
      <w:lvlJc w:val="left"/>
      <w:pPr>
        <w:tabs>
          <w:tab w:val="num" w:pos="5301"/>
        </w:tabs>
        <w:ind w:left="5301" w:hanging="360"/>
      </w:pPr>
      <w:rPr>
        <w:rFonts w:ascii="Courier New" w:hAnsi="Courier New" w:hint="default"/>
      </w:rPr>
    </w:lvl>
    <w:lvl w:ilvl="5" w:tplc="50B2479A" w:tentative="1">
      <w:start w:val="1"/>
      <w:numFmt w:val="bullet"/>
      <w:lvlText w:val=""/>
      <w:lvlJc w:val="left"/>
      <w:pPr>
        <w:tabs>
          <w:tab w:val="num" w:pos="6021"/>
        </w:tabs>
        <w:ind w:left="6021" w:hanging="360"/>
      </w:pPr>
      <w:rPr>
        <w:rFonts w:ascii="Wingdings" w:hAnsi="Wingdings" w:hint="default"/>
      </w:rPr>
    </w:lvl>
    <w:lvl w:ilvl="6" w:tplc="46581AB4" w:tentative="1">
      <w:start w:val="1"/>
      <w:numFmt w:val="bullet"/>
      <w:lvlText w:val=""/>
      <w:lvlJc w:val="left"/>
      <w:pPr>
        <w:tabs>
          <w:tab w:val="num" w:pos="6741"/>
        </w:tabs>
        <w:ind w:left="6741" w:hanging="360"/>
      </w:pPr>
      <w:rPr>
        <w:rFonts w:ascii="Symbol" w:hAnsi="Symbol" w:hint="default"/>
      </w:rPr>
    </w:lvl>
    <w:lvl w:ilvl="7" w:tplc="D0EEE928" w:tentative="1">
      <w:start w:val="1"/>
      <w:numFmt w:val="bullet"/>
      <w:lvlText w:val="o"/>
      <w:lvlJc w:val="left"/>
      <w:pPr>
        <w:tabs>
          <w:tab w:val="num" w:pos="7461"/>
        </w:tabs>
        <w:ind w:left="7461" w:hanging="360"/>
      </w:pPr>
      <w:rPr>
        <w:rFonts w:ascii="Courier New" w:hAnsi="Courier New" w:hint="default"/>
      </w:rPr>
    </w:lvl>
    <w:lvl w:ilvl="8" w:tplc="28C21342"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1"/>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8"/>
  </w:num>
  <w:num w:numId="8" w16cid:durableId="1679231921">
    <w:abstractNumId w:val="7"/>
  </w:num>
  <w:num w:numId="9" w16cid:durableId="1031536774">
    <w:abstractNumId w:val="14"/>
  </w:num>
  <w:num w:numId="10" w16cid:durableId="1877236076">
    <w:abstractNumId w:val="13"/>
  </w:num>
  <w:num w:numId="11" w16cid:durableId="1461075889">
    <w:abstractNumId w:val="12"/>
  </w:num>
  <w:num w:numId="12" w16cid:durableId="1630672889">
    <w:abstractNumId w:val="20"/>
  </w:num>
  <w:num w:numId="13" w16cid:durableId="1538158506">
    <w:abstractNumId w:val="9"/>
  </w:num>
  <w:num w:numId="14" w16cid:durableId="1317800264">
    <w:abstractNumId w:val="6"/>
  </w:num>
  <w:num w:numId="15" w16cid:durableId="887763543">
    <w:abstractNumId w:val="17"/>
  </w:num>
  <w:num w:numId="16" w16cid:durableId="862784833">
    <w:abstractNumId w:val="21"/>
  </w:num>
  <w:num w:numId="17" w16cid:durableId="13964337">
    <w:abstractNumId w:val="10"/>
  </w:num>
  <w:num w:numId="18" w16cid:durableId="448471770">
    <w:abstractNumId w:val="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60398551">
    <w:abstractNumId w:val="19"/>
  </w:num>
  <w:num w:numId="20" w16cid:durableId="1298029850">
    <w:abstractNumId w:val="8"/>
  </w:num>
  <w:num w:numId="21" w16cid:durableId="879241135">
    <w:abstractNumId w:val="16"/>
  </w:num>
  <w:num w:numId="22" w16cid:durableId="1940946060">
    <w:abstractNumId w:val="15"/>
  </w:num>
  <w:num w:numId="23" w16cid:durableId="1394038391">
    <w:abstractNumId w:val="15"/>
    <w:lvlOverride w:ilvl="0">
      <w:lvl w:ilvl="0">
        <w:start w:val="1"/>
        <w:numFmt w:val="decimal"/>
        <w:lvlRestart w:val="0"/>
        <w:lvlText w:val="%1."/>
        <w:lvlJc w:val="left"/>
        <w:pPr>
          <w:tabs>
            <w:tab w:val="num" w:pos="475"/>
          </w:tabs>
          <w:ind w:left="0" w:firstLine="0"/>
        </w:pPr>
        <w:rPr>
          <w:spacing w:val="0"/>
          <w:w w:val="100"/>
        </w:rPr>
      </w:lvl>
    </w:lvlOverride>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4804*"/>
    <w:docVar w:name="CreationDt" w:val="6/23/2025 9:55: AM"/>
    <w:docVar w:name="DocCategory" w:val="Doc"/>
    <w:docVar w:name="DocType" w:val="Final"/>
    <w:docVar w:name="DutyStation" w:val="New York"/>
    <w:docVar w:name="FooterJN" w:val="25-04804"/>
    <w:docVar w:name="jobn" w:val="25-04804 (S)"/>
    <w:docVar w:name="jobnDT" w:val="25-04804 (S)   230625"/>
    <w:docVar w:name="jobnDTDT" w:val="25-04804 (S)   230625   230625"/>
    <w:docVar w:name="JobNo" w:val="2504804S"/>
    <w:docVar w:name="JobNo2" w:val="25077269:55: AM"/>
    <w:docVar w:name="LocalDrive" w:val="-1"/>
    <w:docVar w:name="OandT" w:val="yb"/>
    <w:docVar w:name="sss1" w:val="CEDAW/C/AUS/9"/>
    <w:docVar w:name="sss2" w:val="-"/>
    <w:docVar w:name="Symbol1" w:val="CEDAW/C/AUS/9"/>
    <w:docVar w:name="Symbol2" w:val="-"/>
    <w:docVar w:name="Title1" w:val="_x0009__x0009_Noveno informe periódico que Australia debía presentar en 2024 en virtud del artículo 18 de la Convención*, **, ***_x000d_"/>
  </w:docVars>
  <w:rsids>
    <w:rsidRoot w:val="00674827"/>
    <w:rsid w:val="00001169"/>
    <w:rsid w:val="00001967"/>
    <w:rsid w:val="0006706E"/>
    <w:rsid w:val="000A20E7"/>
    <w:rsid w:val="000A30AF"/>
    <w:rsid w:val="000C04AC"/>
    <w:rsid w:val="000D5CAA"/>
    <w:rsid w:val="00105618"/>
    <w:rsid w:val="001103C7"/>
    <w:rsid w:val="00112306"/>
    <w:rsid w:val="00112A2C"/>
    <w:rsid w:val="00113CAD"/>
    <w:rsid w:val="00116C5B"/>
    <w:rsid w:val="001325B0"/>
    <w:rsid w:val="00151F81"/>
    <w:rsid w:val="00171CDD"/>
    <w:rsid w:val="00194AA4"/>
    <w:rsid w:val="00195CF4"/>
    <w:rsid w:val="001978D5"/>
    <w:rsid w:val="001E6191"/>
    <w:rsid w:val="0023428B"/>
    <w:rsid w:val="00244F10"/>
    <w:rsid w:val="00247400"/>
    <w:rsid w:val="00270FA9"/>
    <w:rsid w:val="0027492E"/>
    <w:rsid w:val="00276DF8"/>
    <w:rsid w:val="00285E6B"/>
    <w:rsid w:val="002A2EA6"/>
    <w:rsid w:val="002F6A1A"/>
    <w:rsid w:val="002F7D16"/>
    <w:rsid w:val="00327A25"/>
    <w:rsid w:val="00331D20"/>
    <w:rsid w:val="00332237"/>
    <w:rsid w:val="00340746"/>
    <w:rsid w:val="00345552"/>
    <w:rsid w:val="00362AD0"/>
    <w:rsid w:val="00365FD7"/>
    <w:rsid w:val="003D6F91"/>
    <w:rsid w:val="003E5E54"/>
    <w:rsid w:val="003F6418"/>
    <w:rsid w:val="003F75F8"/>
    <w:rsid w:val="00437288"/>
    <w:rsid w:val="004449B9"/>
    <w:rsid w:val="00457395"/>
    <w:rsid w:val="0047638E"/>
    <w:rsid w:val="00495E7B"/>
    <w:rsid w:val="0049669D"/>
    <w:rsid w:val="004B420B"/>
    <w:rsid w:val="004F1442"/>
    <w:rsid w:val="004F5722"/>
    <w:rsid w:val="00521B8A"/>
    <w:rsid w:val="00541A7A"/>
    <w:rsid w:val="0054211F"/>
    <w:rsid w:val="005610B1"/>
    <w:rsid w:val="0058425C"/>
    <w:rsid w:val="00586748"/>
    <w:rsid w:val="005A470A"/>
    <w:rsid w:val="005B18AA"/>
    <w:rsid w:val="005B2074"/>
    <w:rsid w:val="005D4F00"/>
    <w:rsid w:val="005E0735"/>
    <w:rsid w:val="005F1A3B"/>
    <w:rsid w:val="00607D1A"/>
    <w:rsid w:val="00627CAE"/>
    <w:rsid w:val="0065280B"/>
    <w:rsid w:val="00652AE8"/>
    <w:rsid w:val="00673226"/>
    <w:rsid w:val="00674827"/>
    <w:rsid w:val="00683239"/>
    <w:rsid w:val="0069077F"/>
    <w:rsid w:val="006C2A7D"/>
    <w:rsid w:val="006C7738"/>
    <w:rsid w:val="006F2D92"/>
    <w:rsid w:val="006F654D"/>
    <w:rsid w:val="007160A2"/>
    <w:rsid w:val="0072246D"/>
    <w:rsid w:val="0072694B"/>
    <w:rsid w:val="00727155"/>
    <w:rsid w:val="007340E7"/>
    <w:rsid w:val="0075332F"/>
    <w:rsid w:val="007633C9"/>
    <w:rsid w:val="00777D58"/>
    <w:rsid w:val="007B0C03"/>
    <w:rsid w:val="007B4CD6"/>
    <w:rsid w:val="007C0DCB"/>
    <w:rsid w:val="008138CB"/>
    <w:rsid w:val="0082117D"/>
    <w:rsid w:val="0082261B"/>
    <w:rsid w:val="0083075A"/>
    <w:rsid w:val="00853FAF"/>
    <w:rsid w:val="00863195"/>
    <w:rsid w:val="00871053"/>
    <w:rsid w:val="00877270"/>
    <w:rsid w:val="0088056D"/>
    <w:rsid w:val="00881B95"/>
    <w:rsid w:val="008850D4"/>
    <w:rsid w:val="008A2590"/>
    <w:rsid w:val="008D347F"/>
    <w:rsid w:val="008F11CA"/>
    <w:rsid w:val="009309DE"/>
    <w:rsid w:val="00932AE4"/>
    <w:rsid w:val="009402B2"/>
    <w:rsid w:val="009B00E9"/>
    <w:rsid w:val="009D56BA"/>
    <w:rsid w:val="009E208E"/>
    <w:rsid w:val="00A003F7"/>
    <w:rsid w:val="00A02D7A"/>
    <w:rsid w:val="00A17DA4"/>
    <w:rsid w:val="00A17E6A"/>
    <w:rsid w:val="00A36480"/>
    <w:rsid w:val="00A5769A"/>
    <w:rsid w:val="00A72797"/>
    <w:rsid w:val="00A7626C"/>
    <w:rsid w:val="00AA29EE"/>
    <w:rsid w:val="00AC5DB6"/>
    <w:rsid w:val="00AD3D19"/>
    <w:rsid w:val="00AE2EDB"/>
    <w:rsid w:val="00B125A0"/>
    <w:rsid w:val="00B25076"/>
    <w:rsid w:val="00B272FA"/>
    <w:rsid w:val="00B27698"/>
    <w:rsid w:val="00B317C9"/>
    <w:rsid w:val="00B43769"/>
    <w:rsid w:val="00B62A29"/>
    <w:rsid w:val="00B6364A"/>
    <w:rsid w:val="00B7299C"/>
    <w:rsid w:val="00B83258"/>
    <w:rsid w:val="00B86F2A"/>
    <w:rsid w:val="00B901FD"/>
    <w:rsid w:val="00BC2C8A"/>
    <w:rsid w:val="00BE36F8"/>
    <w:rsid w:val="00C1172F"/>
    <w:rsid w:val="00C16A02"/>
    <w:rsid w:val="00C16B18"/>
    <w:rsid w:val="00C16D72"/>
    <w:rsid w:val="00C174A0"/>
    <w:rsid w:val="00C175D3"/>
    <w:rsid w:val="00C358FE"/>
    <w:rsid w:val="00C50F5C"/>
    <w:rsid w:val="00C60123"/>
    <w:rsid w:val="00C6119A"/>
    <w:rsid w:val="00C77070"/>
    <w:rsid w:val="00CB3B25"/>
    <w:rsid w:val="00CC2D86"/>
    <w:rsid w:val="00CE35F9"/>
    <w:rsid w:val="00D073E4"/>
    <w:rsid w:val="00D23FFB"/>
    <w:rsid w:val="00D409D0"/>
    <w:rsid w:val="00D50B21"/>
    <w:rsid w:val="00D60085"/>
    <w:rsid w:val="00DA15A2"/>
    <w:rsid w:val="00DB0712"/>
    <w:rsid w:val="00DB652C"/>
    <w:rsid w:val="00DC61CE"/>
    <w:rsid w:val="00DD166E"/>
    <w:rsid w:val="00DE254A"/>
    <w:rsid w:val="00E11E37"/>
    <w:rsid w:val="00E42CB7"/>
    <w:rsid w:val="00E548DF"/>
    <w:rsid w:val="00E8036E"/>
    <w:rsid w:val="00EA1709"/>
    <w:rsid w:val="00EE314B"/>
    <w:rsid w:val="00EE6FA4"/>
    <w:rsid w:val="00F05AC4"/>
    <w:rsid w:val="00F65F4F"/>
    <w:rsid w:val="00F81DB3"/>
    <w:rsid w:val="00F854EE"/>
    <w:rsid w:val="00F91D56"/>
    <w:rsid w:val="00F95E56"/>
    <w:rsid w:val="00FB66C6"/>
    <w:rsid w:val="00FD1B9D"/>
    <w:rsid w:val="00FF0FD0"/>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FEFF8"/>
  <w15:chartTrackingRefBased/>
  <w15:docId w15:val="{E7BA2E03-579E-42F2-9D04-11595118D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uiPriority w:val="99"/>
    <w:qFormat/>
    <w:rsid w:val="00C60123"/>
    <w:rPr>
      <w:color w:val="auto"/>
      <w:spacing w:val="5"/>
      <w:w w:val="103"/>
      <w:kern w:val="14"/>
      <w:position w:val="0"/>
      <w:vertAlign w:val="superscript"/>
    </w:rPr>
  </w:style>
  <w:style w:type="paragraph" w:styleId="EndnoteText">
    <w:name w:val="endnote text"/>
    <w:aliases w:val="2_G"/>
    <w:basedOn w:val="FootnoteText"/>
    <w:link w:val="EndnoteTextChar"/>
    <w:uiPriority w:val="99"/>
    <w:qFormat/>
    <w:rsid w:val="00C60123"/>
    <w:pPr>
      <w:spacing w:after="80"/>
    </w:pPr>
  </w:style>
  <w:style w:type="character" w:customStyle="1" w:styleId="EndnoteTextChar">
    <w:name w:val="Endnote Text Char"/>
    <w:aliases w:val="2_G Char"/>
    <w:basedOn w:val="DefaultParagraphFont"/>
    <w:link w:val="EndnoteText"/>
    <w:uiPriority w:val="99"/>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60123"/>
    <w:rPr>
      <w:color w:val="auto"/>
      <w:spacing w:val="5"/>
      <w:w w:val="103"/>
      <w:kern w:val="14"/>
      <w:position w:val="0"/>
      <w:vertAlign w:val="superscript"/>
    </w:rPr>
  </w:style>
  <w:style w:type="paragraph" w:styleId="FootnoteText">
    <w:name w:val="footnote text"/>
    <w:aliases w:val="5_G"/>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6748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4827"/>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67482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4827"/>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67482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4827"/>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aliases w:val="Bullet point,Bullets,CV text,Dot pt,F5 List Paragraph,FooterText,L,List Paragraph1,List Paragraph11,List Paragraph111,List Paragraph2,Medium Grid 1 - Accent 21,NAST Quote,NFP GP Bulleted List,Numbered Paragraph,Recommendation,Table text,列"/>
    <w:basedOn w:val="Normal"/>
    <w:link w:val="ListParagraphChar"/>
    <w:uiPriority w:val="34"/>
    <w:qFormat/>
    <w:rsid w:val="00674827"/>
    <w:pPr>
      <w:ind w:left="720"/>
      <w:contextualSpacing/>
    </w:pPr>
  </w:style>
  <w:style w:type="character" w:styleId="IntenseEmphasis">
    <w:name w:val="Intense Emphasis"/>
    <w:basedOn w:val="DefaultParagraphFont"/>
    <w:uiPriority w:val="21"/>
    <w:qFormat/>
    <w:rsid w:val="00674827"/>
    <w:rPr>
      <w:i/>
      <w:iCs/>
      <w:color w:val="2F5496" w:themeColor="accent1" w:themeShade="BF"/>
    </w:rPr>
  </w:style>
  <w:style w:type="paragraph" w:styleId="IntenseQuote">
    <w:name w:val="Intense Quote"/>
    <w:basedOn w:val="Normal"/>
    <w:next w:val="Normal"/>
    <w:link w:val="IntenseQuoteChar"/>
    <w:uiPriority w:val="30"/>
    <w:qFormat/>
    <w:rsid w:val="006748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4827"/>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674827"/>
    <w:rPr>
      <w:b/>
      <w:bCs/>
      <w:smallCaps/>
      <w:color w:val="2F5496" w:themeColor="accent1" w:themeShade="BF"/>
      <w:spacing w:val="5"/>
    </w:rPr>
  </w:style>
  <w:style w:type="paragraph" w:styleId="CommentText">
    <w:name w:val="annotation text"/>
    <w:basedOn w:val="Normal"/>
    <w:link w:val="CommentTextChar"/>
    <w:uiPriority w:val="99"/>
    <w:unhideWhenUsed/>
    <w:rsid w:val="0072694B"/>
    <w:pPr>
      <w:spacing w:line="240" w:lineRule="auto"/>
    </w:pPr>
    <w:rPr>
      <w:szCs w:val="20"/>
    </w:rPr>
  </w:style>
  <w:style w:type="character" w:customStyle="1" w:styleId="CommentTextChar">
    <w:name w:val="Comment Text Char"/>
    <w:basedOn w:val="DefaultParagraphFont"/>
    <w:link w:val="CommentText"/>
    <w:uiPriority w:val="99"/>
    <w:rsid w:val="0072694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2694B"/>
    <w:rPr>
      <w:b/>
      <w:bCs/>
    </w:rPr>
  </w:style>
  <w:style w:type="character" w:customStyle="1" w:styleId="CommentSubjectChar">
    <w:name w:val="Comment Subject Char"/>
    <w:basedOn w:val="CommentTextChar"/>
    <w:link w:val="CommentSubject"/>
    <w:uiPriority w:val="99"/>
    <w:semiHidden/>
    <w:rsid w:val="0072694B"/>
    <w:rPr>
      <w:rFonts w:ascii="Times New Roman" w:hAnsi="Times New Roman" w:cs="Times New Roman"/>
      <w:b/>
      <w:bCs/>
      <w:spacing w:val="4"/>
      <w:w w:val="103"/>
      <w:sz w:val="20"/>
      <w:szCs w:val="20"/>
      <w:lang w:val="es-ES" w:eastAsia="en-US"/>
    </w:rPr>
  </w:style>
  <w:style w:type="paragraph" w:customStyle="1" w:styleId="SingleTxtG">
    <w:name w:val="_ Single Txt_G"/>
    <w:basedOn w:val="Normal"/>
    <w:link w:val="SingleTxtGChar"/>
    <w:qFormat/>
    <w:rsid w:val="00627CAE"/>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627CAE"/>
    <w:rPr>
      <w:rFonts w:ascii="Times New Roman" w:hAnsi="Times New Roman" w:cs="Times New Roman"/>
      <w:sz w:val="20"/>
      <w:szCs w:val="20"/>
      <w:lang w:val="en-GB" w:eastAsia="en-US"/>
    </w:rPr>
  </w:style>
  <w:style w:type="paragraph" w:customStyle="1" w:styleId="HMG">
    <w:name w:val="_ H __M_G"/>
    <w:basedOn w:val="Normal"/>
    <w:next w:val="Normal"/>
    <w:qFormat/>
    <w:rsid w:val="00627CAE"/>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627CAE"/>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627CAE"/>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627CAE"/>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627CAE"/>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627CAE"/>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LG">
    <w:name w:val="__S_L_G"/>
    <w:basedOn w:val="Normal"/>
    <w:next w:val="Normal"/>
    <w:rsid w:val="00627CAE"/>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627CAE"/>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627CAE"/>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627CAE"/>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627CAE"/>
    <w:pPr>
      <w:numPr>
        <w:numId w:val="12"/>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627CAE"/>
    <w:pPr>
      <w:numPr>
        <w:numId w:val="13"/>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627CAE"/>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character" w:styleId="PageNumber">
    <w:name w:val="page number"/>
    <w:aliases w:val="7_G"/>
    <w:basedOn w:val="DefaultParagraphFont"/>
    <w:qFormat/>
    <w:rsid w:val="00627CAE"/>
    <w:rPr>
      <w:rFonts w:ascii="Times New Roman" w:hAnsi="Times New Roman"/>
      <w:b/>
      <w:sz w:val="18"/>
      <w:lang w:val="en-GB"/>
    </w:rPr>
  </w:style>
  <w:style w:type="numbering" w:styleId="111111">
    <w:name w:val="Outline List 2"/>
    <w:basedOn w:val="NoList"/>
    <w:semiHidden/>
    <w:rsid w:val="00627CAE"/>
    <w:pPr>
      <w:numPr>
        <w:numId w:val="15"/>
      </w:numPr>
    </w:pPr>
  </w:style>
  <w:style w:type="numbering" w:styleId="1ai">
    <w:name w:val="Outline List 1"/>
    <w:basedOn w:val="NoList"/>
    <w:semiHidden/>
    <w:rsid w:val="00627CAE"/>
    <w:pPr>
      <w:numPr>
        <w:numId w:val="16"/>
      </w:numPr>
    </w:pPr>
  </w:style>
  <w:style w:type="table" w:customStyle="1" w:styleId="TableGrid1">
    <w:name w:val="Table Grid1"/>
    <w:basedOn w:val="TableNormal"/>
    <w:rsid w:val="00627CAE"/>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odyText3">
    <w:name w:val="Body Text 3"/>
    <w:basedOn w:val="Normal"/>
    <w:link w:val="BodyText3Char"/>
    <w:uiPriority w:val="99"/>
    <w:semiHidden/>
    <w:unhideWhenUsed/>
    <w:rsid w:val="00627CAE"/>
    <w:pPr>
      <w:suppressAutoHyphens w:val="0"/>
      <w:spacing w:after="120" w:line="240" w:lineRule="auto"/>
    </w:pPr>
    <w:rPr>
      <w:spacing w:val="0"/>
      <w:w w:val="100"/>
      <w:sz w:val="28"/>
      <w:szCs w:val="28"/>
      <w:lang w:val="en-AU"/>
    </w:rPr>
  </w:style>
  <w:style w:type="character" w:customStyle="1" w:styleId="BodyText3Char">
    <w:name w:val="Body Text 3 Char"/>
    <w:basedOn w:val="DefaultParagraphFont"/>
    <w:link w:val="BodyText3"/>
    <w:uiPriority w:val="99"/>
    <w:semiHidden/>
    <w:rsid w:val="00627CAE"/>
    <w:rPr>
      <w:rFonts w:ascii="Times New Roman" w:hAnsi="Times New Roman" w:cs="Times New Roman"/>
      <w:sz w:val="28"/>
      <w:szCs w:val="28"/>
      <w:lang w:val="en-AU" w:eastAsia="en-US"/>
    </w:rPr>
  </w:style>
  <w:style w:type="paragraph" w:customStyle="1" w:styleId="Bullet">
    <w:name w:val="Bullet"/>
    <w:basedOn w:val="Normal"/>
    <w:rsid w:val="00627CAE"/>
    <w:pPr>
      <w:numPr>
        <w:numId w:val="18"/>
      </w:numPr>
      <w:suppressAutoHyphens w:val="0"/>
      <w:spacing w:after="240" w:line="240" w:lineRule="auto"/>
    </w:pPr>
    <w:rPr>
      <w:spacing w:val="0"/>
      <w:w w:val="100"/>
      <w:sz w:val="24"/>
      <w:szCs w:val="24"/>
      <w:lang w:val="en-AU"/>
    </w:rPr>
  </w:style>
  <w:style w:type="paragraph" w:customStyle="1" w:styleId="Dash">
    <w:name w:val="Dash"/>
    <w:basedOn w:val="Normal"/>
    <w:rsid w:val="00627CAE"/>
    <w:pPr>
      <w:numPr>
        <w:ilvl w:val="1"/>
        <w:numId w:val="18"/>
      </w:numPr>
      <w:suppressAutoHyphens w:val="0"/>
      <w:spacing w:after="240" w:line="240" w:lineRule="auto"/>
    </w:pPr>
    <w:rPr>
      <w:spacing w:val="0"/>
      <w:w w:val="100"/>
      <w:sz w:val="24"/>
      <w:szCs w:val="24"/>
      <w:lang w:val="en-AU"/>
    </w:rPr>
  </w:style>
  <w:style w:type="paragraph" w:customStyle="1" w:styleId="DoubleDot">
    <w:name w:val="Double Dot"/>
    <w:basedOn w:val="Normal"/>
    <w:rsid w:val="00627CAE"/>
    <w:pPr>
      <w:numPr>
        <w:ilvl w:val="2"/>
        <w:numId w:val="18"/>
      </w:numPr>
      <w:suppressAutoHyphens w:val="0"/>
      <w:spacing w:after="240" w:line="240" w:lineRule="auto"/>
    </w:pPr>
    <w:rPr>
      <w:spacing w:val="0"/>
      <w:w w:val="100"/>
      <w:sz w:val="24"/>
      <w:szCs w:val="24"/>
      <w:lang w:val="en-AU"/>
    </w:rPr>
  </w:style>
  <w:style w:type="character" w:customStyle="1" w:styleId="ListParagraphChar">
    <w:name w:val="List Paragraph Char"/>
    <w:aliases w:val="Bullet point Char,Bullets Char,CV text Char,Dot pt Char,F5 List Paragraph Char,FooterText Char,L Char,List Paragraph1 Char,List Paragraph11 Char,List Paragraph111 Char,List Paragraph2 Char,Medium Grid 1 - Accent 21 Char,列 Char"/>
    <w:basedOn w:val="DefaultParagraphFont"/>
    <w:link w:val="ListParagraph"/>
    <w:uiPriority w:val="34"/>
    <w:qFormat/>
    <w:locked/>
    <w:rsid w:val="00627CAE"/>
    <w:rPr>
      <w:rFonts w:ascii="Times New Roman" w:hAnsi="Times New Roman" w:cs="Times New Roman"/>
      <w:spacing w:val="4"/>
      <w:w w:val="103"/>
      <w:sz w:val="20"/>
      <w:lang w:val="es-ES" w:eastAsia="en-US"/>
    </w:rPr>
  </w:style>
  <w:style w:type="paragraph" w:customStyle="1" w:styleId="paragraph0">
    <w:name w:val="paragraph"/>
    <w:basedOn w:val="Normal"/>
    <w:rsid w:val="00627CAE"/>
    <w:pPr>
      <w:suppressAutoHyphens w:val="0"/>
      <w:spacing w:before="100" w:beforeAutospacing="1" w:after="100" w:afterAutospacing="1" w:line="240" w:lineRule="auto"/>
    </w:pPr>
    <w:rPr>
      <w:spacing w:val="0"/>
      <w:w w:val="100"/>
      <w:sz w:val="24"/>
      <w:szCs w:val="24"/>
      <w:lang w:val="en-AU" w:eastAsia="en-AU"/>
    </w:rPr>
  </w:style>
  <w:style w:type="character" w:customStyle="1" w:styleId="normaltextrun">
    <w:name w:val="normaltextrun"/>
    <w:basedOn w:val="DefaultParagraphFont"/>
    <w:rsid w:val="00627CAE"/>
  </w:style>
  <w:style w:type="character" w:customStyle="1" w:styleId="Sub-dotpointChar">
    <w:name w:val="Sub-dot point Char"/>
    <w:basedOn w:val="DefaultParagraphFont"/>
    <w:link w:val="Sub-dotpoint"/>
    <w:locked/>
    <w:rsid w:val="00627CAE"/>
    <w:rPr>
      <w:rFonts w:ascii="Calibri" w:hAnsi="Calibri" w:cs="Calibri"/>
      <w:sz w:val="28"/>
      <w:szCs w:val="28"/>
    </w:rPr>
  </w:style>
  <w:style w:type="paragraph" w:customStyle="1" w:styleId="Sub-dotpoint">
    <w:name w:val="Sub-dot point"/>
    <w:basedOn w:val="Normal"/>
    <w:link w:val="Sub-dotpointChar"/>
    <w:rsid w:val="00627CAE"/>
    <w:pPr>
      <w:numPr>
        <w:ilvl w:val="1"/>
        <w:numId w:val="19"/>
      </w:numPr>
      <w:suppressAutoHyphens w:val="0"/>
      <w:spacing w:after="120" w:line="240" w:lineRule="auto"/>
    </w:pPr>
    <w:rPr>
      <w:rFonts w:ascii="Calibri" w:hAnsi="Calibri" w:cs="Calibri"/>
      <w:spacing w:val="0"/>
      <w:w w:val="100"/>
      <w:sz w:val="28"/>
      <w:szCs w:val="28"/>
      <w:lang w:val="en-US" w:eastAsia="zh-CN"/>
    </w:rPr>
  </w:style>
  <w:style w:type="paragraph" w:customStyle="1" w:styleId="Dotpoint">
    <w:name w:val="Dot point"/>
    <w:basedOn w:val="Normal"/>
    <w:rsid w:val="00627CAE"/>
    <w:pPr>
      <w:numPr>
        <w:numId w:val="19"/>
      </w:numPr>
      <w:suppressAutoHyphens w:val="0"/>
      <w:spacing w:after="120" w:line="240" w:lineRule="auto"/>
      <w:ind w:left="720" w:firstLine="0"/>
    </w:pPr>
    <w:rPr>
      <w:rFonts w:ascii="Calibri" w:hAnsi="Calibri" w:cs="Calibri"/>
      <w:spacing w:val="0"/>
      <w:w w:val="100"/>
      <w:sz w:val="28"/>
      <w:szCs w:val="28"/>
      <w:lang w:val="en-AU" w:eastAsia="en-AU"/>
    </w:rPr>
  </w:style>
  <w:style w:type="paragraph" w:customStyle="1" w:styleId="null">
    <w:name w:val="null"/>
    <w:basedOn w:val="Normal"/>
    <w:rsid w:val="00627CAE"/>
    <w:pPr>
      <w:suppressAutoHyphens w:val="0"/>
      <w:spacing w:before="100" w:beforeAutospacing="1" w:after="100" w:afterAutospacing="1" w:line="240" w:lineRule="auto"/>
    </w:pPr>
    <w:rPr>
      <w:rFonts w:ascii="Calibri" w:hAnsi="Calibri" w:cs="Calibri"/>
      <w:spacing w:val="0"/>
      <w:w w:val="100"/>
      <w:sz w:val="22"/>
      <w:lang w:val="en-AU" w:eastAsia="en-AU"/>
    </w:rPr>
  </w:style>
  <w:style w:type="character" w:customStyle="1" w:styleId="eop">
    <w:name w:val="eop"/>
    <w:basedOn w:val="DefaultParagraphFont"/>
    <w:rsid w:val="00627CAE"/>
  </w:style>
  <w:style w:type="character" w:customStyle="1" w:styleId="findhit">
    <w:name w:val="findhit"/>
    <w:basedOn w:val="DefaultParagraphFont"/>
    <w:rsid w:val="00627CAE"/>
  </w:style>
  <w:style w:type="paragraph" w:styleId="NormalWeb">
    <w:name w:val="Normal (Web)"/>
    <w:basedOn w:val="Normal"/>
    <w:uiPriority w:val="99"/>
    <w:unhideWhenUsed/>
    <w:rsid w:val="00627CAE"/>
    <w:pPr>
      <w:suppressAutoHyphens w:val="0"/>
      <w:spacing w:before="100" w:beforeAutospacing="1" w:after="100" w:afterAutospacing="1" w:line="240" w:lineRule="auto"/>
    </w:pPr>
    <w:rPr>
      <w:rFonts w:eastAsia="Times New Roman"/>
      <w:spacing w:val="0"/>
      <w:w w:val="100"/>
      <w:sz w:val="24"/>
      <w:szCs w:val="24"/>
      <w:lang w:val="en-AU" w:eastAsia="en-AU"/>
    </w:rPr>
  </w:style>
  <w:style w:type="character" w:customStyle="1" w:styleId="null1">
    <w:name w:val="null1"/>
    <w:basedOn w:val="DefaultParagraphFont"/>
    <w:rsid w:val="00627CAE"/>
  </w:style>
  <w:style w:type="paragraph" w:customStyle="1" w:styleId="Background">
    <w:name w:val="Background"/>
    <w:basedOn w:val="Normal"/>
    <w:link w:val="BackgroundChar"/>
    <w:rsid w:val="00627CAE"/>
    <w:pPr>
      <w:suppressAutoHyphens w:val="0"/>
      <w:spacing w:before="120" w:after="120" w:line="288" w:lineRule="auto"/>
      <w:ind w:left="360" w:hanging="360"/>
    </w:pPr>
    <w:rPr>
      <w:rFonts w:asciiTheme="majorHAnsi" w:hAnsiTheme="majorHAnsi" w:cstheme="minorBidi"/>
      <w:color w:val="595959" w:themeColor="text1" w:themeTint="A6"/>
      <w:spacing w:val="0"/>
      <w:w w:val="100"/>
      <w:kern w:val="20"/>
      <w:sz w:val="24"/>
      <w:szCs w:val="24"/>
      <w:lang w:val="en-GB" w:eastAsia="ja-JP"/>
    </w:rPr>
  </w:style>
  <w:style w:type="character" w:customStyle="1" w:styleId="BackgroundChar">
    <w:name w:val="Background Char"/>
    <w:basedOn w:val="DefaultParagraphFont"/>
    <w:link w:val="Background"/>
    <w:rsid w:val="00627CAE"/>
    <w:rPr>
      <w:rFonts w:asciiTheme="majorHAnsi" w:hAnsiTheme="majorHAnsi"/>
      <w:color w:val="595959" w:themeColor="text1" w:themeTint="A6"/>
      <w:kern w:val="20"/>
      <w:sz w:val="24"/>
      <w:szCs w:val="24"/>
      <w:lang w:val="en-GB" w:eastAsia="ja-JP"/>
    </w:rPr>
  </w:style>
  <w:style w:type="paragraph" w:customStyle="1" w:styleId="Keypoints">
    <w:name w:val="Key points"/>
    <w:basedOn w:val="Normal"/>
    <w:rsid w:val="00627CAE"/>
    <w:pPr>
      <w:numPr>
        <w:numId w:val="20"/>
      </w:numPr>
      <w:suppressAutoHyphens w:val="0"/>
      <w:spacing w:before="120" w:line="288" w:lineRule="auto"/>
    </w:pPr>
    <w:rPr>
      <w:rFonts w:ascii="Calibri" w:hAnsi="Calibri" w:cs="Calibri"/>
      <w:spacing w:val="0"/>
      <w:w w:val="100"/>
      <w:kern w:val="20"/>
      <w:sz w:val="24"/>
      <w:szCs w:val="28"/>
      <w:lang w:val="en-AU" w:eastAsia="ja-JP"/>
    </w:rPr>
  </w:style>
  <w:style w:type="paragraph" w:customStyle="1" w:styleId="Subkeypoint">
    <w:name w:val="Sub key point"/>
    <w:basedOn w:val="Keypoints"/>
    <w:rsid w:val="00627CAE"/>
    <w:pPr>
      <w:numPr>
        <w:ilvl w:val="1"/>
      </w:numPr>
    </w:pPr>
  </w:style>
  <w:style w:type="paragraph" w:customStyle="1" w:styleId="BoxKeyPoint">
    <w:name w:val="Box Key Point"/>
    <w:basedOn w:val="Keypoints"/>
    <w:link w:val="BoxKeyPointChar"/>
    <w:qFormat/>
    <w:rsid w:val="00627CAE"/>
    <w:pPr>
      <w:spacing w:before="0" w:after="60" w:line="276" w:lineRule="auto"/>
    </w:pPr>
    <w:rPr>
      <w:rFonts w:ascii="Calibri Light" w:hAnsi="Calibri Light" w:cs="Calibri Light"/>
    </w:rPr>
  </w:style>
  <w:style w:type="character" w:customStyle="1" w:styleId="BoxKeyPointChar">
    <w:name w:val="Box Key Point Char"/>
    <w:basedOn w:val="DefaultParagraphFont"/>
    <w:link w:val="BoxKeyPoint"/>
    <w:rsid w:val="00627CAE"/>
    <w:rPr>
      <w:rFonts w:ascii="Calibri Light" w:hAnsi="Calibri Light" w:cs="Calibri Light"/>
      <w:kern w:val="20"/>
      <w:sz w:val="24"/>
      <w:szCs w:val="28"/>
      <w:lang w:val="en-AU" w:eastAsia="ja-JP"/>
    </w:rPr>
  </w:style>
  <w:style w:type="character" w:styleId="Emphasis">
    <w:name w:val="Emphasis"/>
    <w:basedOn w:val="DefaultParagraphFont"/>
    <w:uiPriority w:val="20"/>
    <w:qFormat/>
    <w:rsid w:val="00627CAE"/>
    <w:rPr>
      <w:i/>
      <w:iCs/>
    </w:rPr>
  </w:style>
  <w:style w:type="character" w:customStyle="1" w:styleId="vuuxrf">
    <w:name w:val="vuuxrf"/>
    <w:basedOn w:val="DefaultParagraphFont"/>
    <w:rsid w:val="00627CAE"/>
  </w:style>
  <w:style w:type="paragraph" w:customStyle="1" w:styleId="Paragraph">
    <w:name w:val="Paragraph"/>
    <w:basedOn w:val="Normal"/>
    <w:link w:val="ParagraphChar"/>
    <w:qFormat/>
    <w:rsid w:val="00627CAE"/>
    <w:pPr>
      <w:numPr>
        <w:numId w:val="21"/>
      </w:numPr>
      <w:suppressAutoHyphens w:val="0"/>
      <w:spacing w:after="120" w:line="288" w:lineRule="auto"/>
    </w:pPr>
    <w:rPr>
      <w:rFonts w:ascii="Calibri Light" w:eastAsia="Calibri" w:hAnsi="Calibri Light" w:cs="Calibri Light"/>
      <w:spacing w:val="0"/>
      <w:w w:val="100"/>
      <w:kern w:val="20"/>
      <w:sz w:val="24"/>
      <w:szCs w:val="24"/>
      <w:lang w:val="en-AU" w:eastAsia="ja-JP"/>
    </w:rPr>
  </w:style>
  <w:style w:type="character" w:customStyle="1" w:styleId="ParagraphChar">
    <w:name w:val="Paragraph Char"/>
    <w:basedOn w:val="DefaultParagraphFont"/>
    <w:link w:val="Paragraph"/>
    <w:rsid w:val="00627CAE"/>
    <w:rPr>
      <w:rFonts w:ascii="Calibri Light" w:eastAsia="Calibri" w:hAnsi="Calibri Light" w:cs="Calibri Light"/>
      <w:kern w:val="20"/>
      <w:sz w:val="24"/>
      <w:szCs w:val="24"/>
      <w:lang w:val="en-AU" w:eastAsia="ja-JP"/>
    </w:rPr>
  </w:style>
  <w:style w:type="paragraph" w:customStyle="1" w:styleId="rogs-comment">
    <w:name w:val="rogs-comment"/>
    <w:basedOn w:val="Normal"/>
    <w:rsid w:val="00627CAE"/>
    <w:pPr>
      <w:suppressAutoHyphens w:val="0"/>
      <w:spacing w:before="100" w:beforeAutospacing="1" w:after="100" w:afterAutospacing="1" w:line="240" w:lineRule="auto"/>
    </w:pPr>
    <w:rPr>
      <w:rFonts w:eastAsia="Times New Roman"/>
      <w:spacing w:val="0"/>
      <w:w w:val="100"/>
      <w:sz w:val="24"/>
      <w:szCs w:val="24"/>
      <w:lang w:val="en-AU" w:eastAsia="en-AU"/>
    </w:rPr>
  </w:style>
  <w:style w:type="paragraph" w:customStyle="1" w:styleId="Numbers">
    <w:name w:val="Numbers"/>
    <w:basedOn w:val="SingleTxtG"/>
    <w:link w:val="NumbersChar"/>
    <w:qFormat/>
    <w:rsid w:val="00627CAE"/>
    <w:pPr>
      <w:numPr>
        <w:numId w:val="17"/>
      </w:numPr>
      <w:spacing w:line="360" w:lineRule="auto"/>
    </w:pPr>
    <w:rPr>
      <w:sz w:val="24"/>
      <w:szCs w:val="24"/>
    </w:rPr>
  </w:style>
  <w:style w:type="paragraph" w:customStyle="1" w:styleId="Letters">
    <w:name w:val="Letters"/>
    <w:basedOn w:val="SingleTxtG"/>
    <w:link w:val="LettersChar"/>
    <w:qFormat/>
    <w:rsid w:val="00627CAE"/>
    <w:pPr>
      <w:spacing w:line="360" w:lineRule="auto"/>
      <w:ind w:left="1920" w:hanging="360"/>
      <w:jc w:val="left"/>
    </w:pPr>
    <w:rPr>
      <w:sz w:val="24"/>
      <w:szCs w:val="24"/>
    </w:rPr>
  </w:style>
  <w:style w:type="character" w:customStyle="1" w:styleId="NumbersChar">
    <w:name w:val="Numbers Char"/>
    <w:basedOn w:val="SingleTxtGChar"/>
    <w:link w:val="Numbers"/>
    <w:rsid w:val="00627CAE"/>
    <w:rPr>
      <w:rFonts w:ascii="Times New Roman" w:hAnsi="Times New Roman" w:cs="Times New Roman"/>
      <w:sz w:val="24"/>
      <w:szCs w:val="24"/>
      <w:lang w:val="en-GB" w:eastAsia="en-US"/>
    </w:rPr>
  </w:style>
  <w:style w:type="character" w:styleId="Strong">
    <w:name w:val="Strong"/>
    <w:basedOn w:val="DefaultParagraphFont"/>
    <w:uiPriority w:val="22"/>
    <w:qFormat/>
    <w:rsid w:val="00627CAE"/>
    <w:rPr>
      <w:b/>
      <w:bCs/>
    </w:rPr>
  </w:style>
  <w:style w:type="character" w:customStyle="1" w:styleId="LettersChar">
    <w:name w:val="Letters Char"/>
    <w:basedOn w:val="NumbersChar"/>
    <w:link w:val="Letters"/>
    <w:rsid w:val="00627CAE"/>
    <w:rPr>
      <w:rFonts w:ascii="Times New Roman" w:hAnsi="Times New Roman" w:cs="Times New Roman"/>
      <w:sz w:val="24"/>
      <w:szCs w:val="24"/>
      <w:lang w:val="en-GB" w:eastAsia="en-US"/>
    </w:rPr>
  </w:style>
  <w:style w:type="paragraph" w:styleId="Revision">
    <w:name w:val="Revision"/>
    <w:hidden/>
    <w:uiPriority w:val="99"/>
    <w:semiHidden/>
    <w:rsid w:val="00627CAE"/>
    <w:pPr>
      <w:spacing w:after="0" w:line="240" w:lineRule="auto"/>
    </w:pPr>
    <w:rPr>
      <w:kern w:val="2"/>
      <w:sz w:val="24"/>
      <w:szCs w:val="24"/>
      <w:lang w:val="en-AU" w:eastAsia="en-US"/>
      <w14:ligatures w14:val="standardContextual"/>
    </w:rPr>
  </w:style>
  <w:style w:type="character" w:customStyle="1" w:styleId="ui-provider">
    <w:name w:val="ui-provider"/>
    <w:basedOn w:val="DefaultParagraphFont"/>
    <w:rsid w:val="00627CAE"/>
  </w:style>
  <w:style w:type="paragraph" w:customStyle="1" w:styleId="Default">
    <w:name w:val="Default"/>
    <w:rsid w:val="00627CAE"/>
    <w:pPr>
      <w:autoSpaceDE w:val="0"/>
      <w:autoSpaceDN w:val="0"/>
      <w:adjustRightInd w:val="0"/>
      <w:spacing w:after="0" w:line="240" w:lineRule="auto"/>
    </w:pPr>
    <w:rPr>
      <w:rFonts w:ascii="Calibri Light" w:hAnsi="Calibri Light" w:cs="Calibri Light"/>
      <w:color w:val="000000"/>
      <w:sz w:val="24"/>
      <w:szCs w:val="24"/>
      <w:lang w:val="en-AU" w:eastAsia="en-US"/>
      <w14:ligatures w14:val="standardContextual"/>
    </w:rPr>
  </w:style>
  <w:style w:type="paragraph" w:styleId="TOC1">
    <w:name w:val="toc 1"/>
    <w:basedOn w:val="Normal"/>
    <w:next w:val="Normal"/>
    <w:autoRedefine/>
    <w:uiPriority w:val="39"/>
    <w:unhideWhenUsed/>
    <w:rsid w:val="00627CAE"/>
    <w:pPr>
      <w:tabs>
        <w:tab w:val="right" w:leader="dot" w:pos="10610"/>
      </w:tabs>
      <w:suppressAutoHyphens w:val="0"/>
      <w:spacing w:after="100" w:line="240" w:lineRule="auto"/>
    </w:pPr>
    <w:rPr>
      <w:rFonts w:asciiTheme="minorHAnsi" w:hAnsiTheme="minorHAnsi" w:cstheme="minorBidi"/>
      <w:b/>
      <w:noProof/>
      <w:spacing w:val="0"/>
      <w:w w:val="100"/>
      <w:kern w:val="2"/>
      <w:sz w:val="24"/>
      <w:szCs w:val="24"/>
      <w:lang w:val="en-AU"/>
      <w14:ligatures w14:val="standardContextual"/>
    </w:rPr>
  </w:style>
  <w:style w:type="paragraph" w:styleId="TOC2">
    <w:name w:val="toc 2"/>
    <w:basedOn w:val="Normal"/>
    <w:next w:val="Normal"/>
    <w:autoRedefine/>
    <w:uiPriority w:val="39"/>
    <w:unhideWhenUsed/>
    <w:rsid w:val="00627CAE"/>
    <w:pPr>
      <w:tabs>
        <w:tab w:val="right" w:leader="dot" w:pos="10610"/>
      </w:tabs>
      <w:suppressAutoHyphens w:val="0"/>
      <w:spacing w:after="100" w:line="240" w:lineRule="auto"/>
      <w:ind w:left="240"/>
    </w:pPr>
    <w:rPr>
      <w:rFonts w:asciiTheme="minorHAnsi" w:hAnsiTheme="minorHAnsi" w:cstheme="minorBidi"/>
      <w:noProof/>
      <w:spacing w:val="0"/>
      <w:w w:val="100"/>
      <w:kern w:val="2"/>
      <w:sz w:val="24"/>
      <w:szCs w:val="24"/>
      <w:lang w:val="en-AU"/>
      <w14:ligatures w14:val="standardContextual"/>
    </w:rPr>
  </w:style>
  <w:style w:type="paragraph" w:styleId="TOC3">
    <w:name w:val="toc 3"/>
    <w:basedOn w:val="Normal"/>
    <w:next w:val="Normal"/>
    <w:autoRedefine/>
    <w:uiPriority w:val="39"/>
    <w:unhideWhenUsed/>
    <w:rsid w:val="00627CAE"/>
    <w:pPr>
      <w:suppressAutoHyphens w:val="0"/>
      <w:spacing w:after="100" w:line="259" w:lineRule="auto"/>
      <w:ind w:left="440"/>
    </w:pPr>
    <w:rPr>
      <w:rFonts w:asciiTheme="minorHAnsi" w:eastAsiaTheme="minorEastAsia" w:hAnsiTheme="minorHAnsi" w:cstheme="minorBidi"/>
      <w:spacing w:val="0"/>
      <w:w w:val="100"/>
      <w:sz w:val="22"/>
      <w:lang w:val="en-AU" w:eastAsia="en-AU"/>
    </w:rPr>
  </w:style>
  <w:style w:type="paragraph" w:styleId="TOC4">
    <w:name w:val="toc 4"/>
    <w:basedOn w:val="Normal"/>
    <w:next w:val="Normal"/>
    <w:autoRedefine/>
    <w:uiPriority w:val="39"/>
    <w:unhideWhenUsed/>
    <w:rsid w:val="00627CAE"/>
    <w:pPr>
      <w:suppressAutoHyphens w:val="0"/>
      <w:spacing w:after="100" w:line="259" w:lineRule="auto"/>
      <w:ind w:left="660"/>
    </w:pPr>
    <w:rPr>
      <w:rFonts w:asciiTheme="minorHAnsi" w:eastAsiaTheme="minorEastAsia" w:hAnsiTheme="minorHAnsi" w:cstheme="minorBidi"/>
      <w:spacing w:val="0"/>
      <w:w w:val="100"/>
      <w:sz w:val="22"/>
      <w:lang w:val="en-AU" w:eastAsia="en-AU"/>
    </w:rPr>
  </w:style>
  <w:style w:type="paragraph" w:styleId="TOC5">
    <w:name w:val="toc 5"/>
    <w:basedOn w:val="Normal"/>
    <w:next w:val="Normal"/>
    <w:autoRedefine/>
    <w:uiPriority w:val="39"/>
    <w:unhideWhenUsed/>
    <w:rsid w:val="00627CAE"/>
    <w:pPr>
      <w:suppressAutoHyphens w:val="0"/>
      <w:spacing w:after="100" w:line="259" w:lineRule="auto"/>
      <w:ind w:left="880"/>
    </w:pPr>
    <w:rPr>
      <w:rFonts w:asciiTheme="minorHAnsi" w:eastAsiaTheme="minorEastAsia" w:hAnsiTheme="minorHAnsi" w:cstheme="minorBidi"/>
      <w:spacing w:val="0"/>
      <w:w w:val="100"/>
      <w:sz w:val="22"/>
      <w:lang w:val="en-AU" w:eastAsia="en-AU"/>
    </w:rPr>
  </w:style>
  <w:style w:type="paragraph" w:styleId="TOC6">
    <w:name w:val="toc 6"/>
    <w:basedOn w:val="Normal"/>
    <w:next w:val="Normal"/>
    <w:autoRedefine/>
    <w:uiPriority w:val="39"/>
    <w:unhideWhenUsed/>
    <w:rsid w:val="00627CAE"/>
    <w:pPr>
      <w:suppressAutoHyphens w:val="0"/>
      <w:spacing w:after="100" w:line="259" w:lineRule="auto"/>
      <w:ind w:left="1100"/>
    </w:pPr>
    <w:rPr>
      <w:rFonts w:asciiTheme="minorHAnsi" w:eastAsiaTheme="minorEastAsia" w:hAnsiTheme="minorHAnsi" w:cstheme="minorBidi"/>
      <w:spacing w:val="0"/>
      <w:w w:val="100"/>
      <w:sz w:val="22"/>
      <w:lang w:val="en-AU" w:eastAsia="en-AU"/>
    </w:rPr>
  </w:style>
  <w:style w:type="paragraph" w:styleId="TOC7">
    <w:name w:val="toc 7"/>
    <w:basedOn w:val="Normal"/>
    <w:next w:val="Normal"/>
    <w:autoRedefine/>
    <w:uiPriority w:val="39"/>
    <w:unhideWhenUsed/>
    <w:rsid w:val="00627CAE"/>
    <w:pPr>
      <w:suppressAutoHyphens w:val="0"/>
      <w:spacing w:after="100" w:line="259" w:lineRule="auto"/>
      <w:ind w:left="1320"/>
    </w:pPr>
    <w:rPr>
      <w:rFonts w:asciiTheme="minorHAnsi" w:eastAsiaTheme="minorEastAsia" w:hAnsiTheme="minorHAnsi" w:cstheme="minorBidi"/>
      <w:spacing w:val="0"/>
      <w:w w:val="100"/>
      <w:sz w:val="22"/>
      <w:lang w:val="en-AU" w:eastAsia="en-AU"/>
    </w:rPr>
  </w:style>
  <w:style w:type="paragraph" w:styleId="TOC8">
    <w:name w:val="toc 8"/>
    <w:basedOn w:val="Normal"/>
    <w:next w:val="Normal"/>
    <w:autoRedefine/>
    <w:uiPriority w:val="39"/>
    <w:unhideWhenUsed/>
    <w:rsid w:val="00627CAE"/>
    <w:pPr>
      <w:suppressAutoHyphens w:val="0"/>
      <w:spacing w:after="100" w:line="259" w:lineRule="auto"/>
      <w:ind w:left="1540"/>
    </w:pPr>
    <w:rPr>
      <w:rFonts w:asciiTheme="minorHAnsi" w:eastAsiaTheme="minorEastAsia" w:hAnsiTheme="minorHAnsi" w:cstheme="minorBidi"/>
      <w:spacing w:val="0"/>
      <w:w w:val="100"/>
      <w:sz w:val="22"/>
      <w:lang w:val="en-AU" w:eastAsia="en-AU"/>
    </w:rPr>
  </w:style>
  <w:style w:type="paragraph" w:styleId="TOC9">
    <w:name w:val="toc 9"/>
    <w:basedOn w:val="Normal"/>
    <w:next w:val="Normal"/>
    <w:autoRedefine/>
    <w:uiPriority w:val="39"/>
    <w:unhideWhenUsed/>
    <w:rsid w:val="00627CAE"/>
    <w:pPr>
      <w:suppressAutoHyphens w:val="0"/>
      <w:spacing w:after="100" w:line="259" w:lineRule="auto"/>
      <w:ind w:left="1760"/>
    </w:pPr>
    <w:rPr>
      <w:rFonts w:asciiTheme="minorHAnsi" w:eastAsiaTheme="minorEastAsia" w:hAnsiTheme="minorHAnsi" w:cstheme="minorBidi"/>
      <w:spacing w:val="0"/>
      <w:w w:val="100"/>
      <w:sz w:val="22"/>
      <w:lang w:val="en-AU" w:eastAsia="en-AU"/>
    </w:rPr>
  </w:style>
  <w:style w:type="paragraph" w:styleId="BodyText">
    <w:name w:val="Body Text"/>
    <w:basedOn w:val="Normal"/>
    <w:link w:val="BodyTextChar"/>
    <w:uiPriority w:val="99"/>
    <w:unhideWhenUsed/>
    <w:rsid w:val="00627CAE"/>
    <w:pPr>
      <w:suppressAutoHyphens w:val="0"/>
      <w:spacing w:after="120" w:line="240" w:lineRule="auto"/>
    </w:pPr>
    <w:rPr>
      <w:rFonts w:asciiTheme="minorHAnsi" w:hAnsiTheme="minorHAnsi" w:cstheme="minorBidi"/>
      <w:spacing w:val="0"/>
      <w:w w:val="100"/>
      <w:kern w:val="2"/>
      <w:sz w:val="24"/>
      <w:szCs w:val="24"/>
      <w:lang w:val="en-AU"/>
      <w14:ligatures w14:val="standardContextual"/>
    </w:rPr>
  </w:style>
  <w:style w:type="character" w:customStyle="1" w:styleId="BodyTextChar">
    <w:name w:val="Body Text Char"/>
    <w:basedOn w:val="DefaultParagraphFont"/>
    <w:link w:val="BodyText"/>
    <w:uiPriority w:val="99"/>
    <w:rsid w:val="00627CAE"/>
    <w:rPr>
      <w:kern w:val="2"/>
      <w:sz w:val="24"/>
      <w:szCs w:val="24"/>
      <w:lang w:val="en-AU"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pmc.gov.au/resources/covid-19-response-inquiry-report" TargetMode="External"/><Relationship Id="rId13" Type="http://schemas.openxmlformats.org/officeDocument/2006/relationships/hyperlink" Target="https://www.ag.gov.au/alrc-government-response-2021.pdf" TargetMode="External"/><Relationship Id="rId18" Type="http://schemas.openxmlformats.org/officeDocument/2006/relationships/hyperlink" Target="https://www.vic.gov.au/review-make-recommendations-decriminalisation-sex-work" TargetMode="External"/><Relationship Id="rId26" Type="http://schemas.openxmlformats.org/officeDocument/2006/relationships/hyperlink" Target="https://humanrights/aboriginal-and-torres-strait-islander-social-justice/wiyi-yani-u-thangani" TargetMode="External"/><Relationship Id="rId3" Type="http://schemas.openxmlformats.org/officeDocument/2006/relationships/hyperlink" Target="https://ohchr.org/HRI/CORE/AUS/2023" TargetMode="External"/><Relationship Id="rId21" Type="http://schemas.openxmlformats.org/officeDocument/2006/relationships/hyperlink" Target="http://www.pmc/womens-leadership/gender-balance-australian-government-boards" TargetMode="External"/><Relationship Id="rId7" Type="http://schemas.openxmlformats.org/officeDocument/2006/relationships/hyperlink" Target="https://www.aic.gov.au/report_physicalandsexualpartnerviolence_covid-19.pdf" TargetMode="External"/><Relationship Id="rId12" Type="http://schemas.openxmlformats.org/officeDocument/2006/relationships/hyperlink" Target="https://www.ag.gov.au/government-response-productivity-commissions-report-access-justice-arrangements" TargetMode="External"/><Relationship Id="rId17" Type="http://schemas.openxmlformats.org/officeDocument/2006/relationships/hyperlink" Target="https://modernslaveryregister.gov.au/" TargetMode="External"/><Relationship Id="rId25" Type="http://schemas.openxmlformats.org/officeDocument/2006/relationships/hyperlink" Target="https://www.wgea/WGEA-Leading-Practice-Parental-Leave-Policy-Guide.pdf" TargetMode="External"/><Relationship Id="rId2" Type="http://schemas.openxmlformats.org/officeDocument/2006/relationships/hyperlink" Target="https://genderequality.gov.au/status-women-report-cards/2024-report-card" TargetMode="External"/><Relationship Id="rId16" Type="http://schemas.openxmlformats.org/officeDocument/2006/relationships/hyperlink" Target="https://ourwatch/Tracking-Progress-in-Prevention-Report-July-2024.pdf" TargetMode="External"/><Relationship Id="rId20" Type="http://schemas.openxmlformats.org/officeDocument/2006/relationships/hyperlink" Target="https://www.aph.gov.au/Parliamentary_departments/" TargetMode="External"/><Relationship Id="rId1" Type="http://schemas.openxmlformats.org/officeDocument/2006/relationships/hyperlink" Target="https://docs.un.org/es/CEDAW/C/AUS/QPR/9" TargetMode="External"/><Relationship Id="rId6" Type="http://schemas.openxmlformats.org/officeDocument/2006/relationships/hyperlink" Target="https://treasury.gov.au/sites/default/files/2023-10/p2023-455038.pdf" TargetMode="External"/><Relationship Id="rId11" Type="http://schemas.openxmlformats.org/officeDocument/2006/relationships/hyperlink" Target="https://working-group-report-exec-summary-consistency-of-sexual-harassment-and-sex-discrimination-laws-in-Australia" TargetMode="External"/><Relationship Id="rId24" Type="http://schemas.openxmlformats.org/officeDocument/2006/relationships/hyperlink" Target="https://www.dewr.gov.au/workplace-relations/understand-your-workplace-rights" TargetMode="External"/><Relationship Id="rId5" Type="http://schemas.openxmlformats.org/officeDocument/2006/relationships/hyperlink" Target="https://treasury.gov.au/Independent-Evaluation-ofthe-JobKeeper-Paymentss.pdf" TargetMode="External"/><Relationship Id="rId15" Type="http://schemas.openxmlformats.org/officeDocument/2006/relationships/hyperlink" Target="https://humanrights.gov.au/exemption-applications-under-sex-discrimination-act" TargetMode="External"/><Relationship Id="rId23" Type="http://schemas.openxmlformats.org/officeDocument/2006/relationships/hyperlink" Target="https://humanrights.gov.au/our-work/sex-discrimination/working-parents-quick-guide-your-rights" TargetMode="External"/><Relationship Id="rId10" Type="http://schemas.openxmlformats.org/officeDocument/2006/relationships/hyperlink" Target="https://aifs.gov.au/research/facts-and-figures/marriages-australia-2023" TargetMode="External"/><Relationship Id="rId19" Type="http://schemas.openxmlformats.org/officeDocument/2006/relationships/hyperlink" Target="https://www.vic.gov.au/review-make-recommendations-decriminalisation-sex-work" TargetMode="External"/><Relationship Id="rId4" Type="http://schemas.openxmlformats.org/officeDocument/2006/relationships/hyperlink" Target="https://who.int/capacity-score" TargetMode="External"/><Relationship Id="rId9" Type="http://schemas.openxmlformats.org/officeDocument/2006/relationships/hyperlink" Target="https://www.servicesaustralia.gov.au/who-can-get-parental-leave-pay-for-child-born-or-adopted-from-1-july-2023" TargetMode="External"/><Relationship Id="rId14" Type="http://schemas.openxmlformats.org/officeDocument/2006/relationships/hyperlink" Target="https://www.lawsociety.com.au/2022_Final.pdf" TargetMode="External"/><Relationship Id="rId22" Type="http://schemas.openxmlformats.org/officeDocument/2006/relationships/hyperlink" Target="https://www.fairwork.gov.au/leave/parental-leave" TargetMode="External"/><Relationship Id="rId27" Type="http://schemas.openxmlformats.org/officeDocument/2006/relationships/hyperlink" Target="https://www.dfat.gov.au/report-of-the-implementation-of-the-sustainable-development-goals.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62</Pages>
  <Words>27532</Words>
  <Characters>156936</Characters>
  <Application>Microsoft Office Word</Application>
  <DocSecurity>0</DocSecurity>
  <Lines>1307</Lines>
  <Paragraphs>368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Dagmara Araica Duran</cp:lastModifiedBy>
  <cp:revision>3</cp:revision>
  <cp:lastPrinted>2025-06-30T15:02:00Z</cp:lastPrinted>
  <dcterms:created xsi:type="dcterms:W3CDTF">2025-06-30T15:02:00Z</dcterms:created>
  <dcterms:modified xsi:type="dcterms:W3CDTF">2025-06-30T15:02:00Z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2504804</vt:lpwstr>
  </property>
  <property fmtid="{D5CDD505-2E9C-101B-9397-08002B2CF9AE}" pid="3" name="ODSRefJobNo">
    <vt:lpwstr>2507726S</vt:lpwstr>
  </property>
  <property fmtid="{D5CDD505-2E9C-101B-9397-08002B2CF9AE}" pid="4" name="Symbol1">
    <vt:lpwstr>CEDAW/C/AUS/9</vt:lpwstr>
  </property>
  <property fmtid="{D5CDD505-2E9C-101B-9397-08002B2CF9AE}" pid="5" name="Symbol2">
    <vt:lpwstr/>
  </property>
  <property fmtid="{D5CDD505-2E9C-101B-9397-08002B2CF9AE}" pid="6" name="Translator">
    <vt:lpwstr/>
  </property>
  <property fmtid="{D5CDD505-2E9C-101B-9397-08002B2CF9AE}" pid="7" name="Operator">
    <vt:lpwstr>yb</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Title1">
    <vt:lpwstr>		Noveno informe periódico que Australia debía presentar en 2024 en virtud del artículo 18 de la Convención*, **, ***_x000d_</vt:lpwstr>
  </property>
</Properties>
</file>