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51647F" w:rsidRPr="002402BA" w:rsidRDefault="0051647F">
                  <w:r>
                    <w:rPr>
                      <w:lang w:val="en-US"/>
                    </w:rPr>
                    <w:t>GE.0</w:t>
                  </w:r>
                  <w: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40564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</w:t>
                  </w:r>
                  <w:r>
                    <w:t xml:space="preserve">   250209   030309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5011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4B5DE4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082BF4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082BF4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082BF4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82BF4">
              <w:rPr>
                <w:sz w:val="22"/>
                <w:lang w:val="en-US"/>
              </w:rPr>
              <w:instrText xml:space="preserve">" \* MERGEFORMAT </w:instrText>
            </w:r>
            <w:r w:rsidR="000974FB">
              <w:rPr>
                <w:sz w:val="22"/>
              </w:rPr>
              <w:fldChar w:fldCharType="separate"/>
            </w:r>
            <w:r w:rsidR="000974FB" w:rsidRPr="00082BF4">
              <w:rPr>
                <w:sz w:val="22"/>
                <w:lang w:val="en-US"/>
              </w:rPr>
              <w:t>CAT/C/ISR/Q/4</w:t>
            </w:r>
            <w:r>
              <w:rPr>
                <w:sz w:val="22"/>
              </w:rPr>
              <w:fldChar w:fldCharType="end"/>
            </w:r>
          </w:p>
          <w:p w:rsidR="004D5A73" w:rsidRPr="00082BF4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082BF4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082BF4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82BF4">
              <w:rPr>
                <w:sz w:val="22"/>
                <w:lang w:val="en-US"/>
              </w:rPr>
              <w:instrText xml:space="preserve">" \* MERGEFORMAT </w:instrText>
            </w:r>
            <w:r w:rsidR="000974FB">
              <w:rPr>
                <w:sz w:val="22"/>
              </w:rPr>
              <w:fldChar w:fldCharType="separate"/>
            </w:r>
            <w:r w:rsidR="000974FB" w:rsidRPr="00082BF4">
              <w:rPr>
                <w:sz w:val="22"/>
                <w:lang w:val="en-US"/>
              </w:rPr>
              <w:t>12 February 2009</w:t>
            </w:r>
            <w:r>
              <w:rPr>
                <w:sz w:val="22"/>
              </w:rPr>
              <w:fldChar w:fldCharType="end"/>
            </w:r>
          </w:p>
          <w:p w:rsidR="004D5A73" w:rsidRPr="00082BF4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82BF4" w:rsidRDefault="00082BF4" w:rsidP="00082BF4">
      <w:pPr>
        <w:spacing w:before="120"/>
        <w:rPr>
          <w:lang w:val="en-GB"/>
        </w:rPr>
      </w:pPr>
      <w:r w:rsidRPr="00F47154">
        <w:t>КОМИТЕТ</w:t>
      </w:r>
      <w:r w:rsidRPr="00AA6219">
        <w:rPr>
          <w:lang w:val="en-US"/>
        </w:rPr>
        <w:t xml:space="preserve"> </w:t>
      </w:r>
      <w:r w:rsidRPr="00F47154">
        <w:t>ПРОТИВ</w:t>
      </w:r>
      <w:r w:rsidRPr="00AA6219">
        <w:rPr>
          <w:lang w:val="en-US"/>
        </w:rPr>
        <w:t xml:space="preserve"> </w:t>
      </w:r>
      <w:r w:rsidRPr="00F47154">
        <w:t>ПЫТОК</w:t>
      </w:r>
    </w:p>
    <w:p w:rsidR="00082BF4" w:rsidRPr="00AA6219" w:rsidRDefault="00082BF4" w:rsidP="00082BF4">
      <w:r>
        <w:t>Сорок вторая сессия</w:t>
      </w:r>
    </w:p>
    <w:p w:rsidR="00082BF4" w:rsidRPr="00AA6219" w:rsidRDefault="00082BF4" w:rsidP="00082BF4">
      <w:pPr>
        <w:spacing w:after="720"/>
      </w:pPr>
      <w:r w:rsidRPr="00AA6219">
        <w:t xml:space="preserve">27 </w:t>
      </w:r>
      <w:r>
        <w:t>апреля</w:t>
      </w:r>
      <w:r w:rsidRPr="00AA6219">
        <w:t xml:space="preserve"> – 15 </w:t>
      </w:r>
      <w:r>
        <w:t>мая</w:t>
      </w:r>
      <w:r w:rsidRPr="00AA6219">
        <w:t xml:space="preserve"> 2009</w:t>
      </w:r>
      <w:r>
        <w:t xml:space="preserve"> года</w:t>
      </w:r>
    </w:p>
    <w:p w:rsidR="00082BF4" w:rsidRPr="00AC7B5C" w:rsidRDefault="00082BF4" w:rsidP="00082BF4">
      <w:pPr>
        <w:pStyle w:val="Heading2"/>
        <w:jc w:val="center"/>
        <w:rPr>
          <w:szCs w:val="24"/>
        </w:rPr>
      </w:pPr>
      <w:r w:rsidRPr="008E7183">
        <w:rPr>
          <w:color w:val="000000"/>
          <w:szCs w:val="24"/>
        </w:rPr>
        <w:t>П</w:t>
      </w:r>
      <w:r w:rsidRPr="008E7183">
        <w:rPr>
          <w:szCs w:val="24"/>
        </w:rPr>
        <w:t>ереч</w:t>
      </w:r>
      <w:r w:rsidRPr="008E7183">
        <w:rPr>
          <w:color w:val="000000"/>
          <w:szCs w:val="24"/>
        </w:rPr>
        <w:t>е</w:t>
      </w:r>
      <w:r w:rsidRPr="008E7183">
        <w:rPr>
          <w:szCs w:val="24"/>
        </w:rPr>
        <w:t>н</w:t>
      </w:r>
      <w:r w:rsidRPr="008E7183">
        <w:rPr>
          <w:color w:val="000000"/>
          <w:szCs w:val="24"/>
        </w:rPr>
        <w:t>ь</w:t>
      </w:r>
      <w:r w:rsidRPr="008E7183">
        <w:rPr>
          <w:szCs w:val="24"/>
        </w:rPr>
        <w:t xml:space="preserve"> вопросов для рассмотрения в ходе обсуждения четвертого периодического доклада ИЗРАИЛЯ (CAT/C/ISR/4)</w:t>
      </w:r>
    </w:p>
    <w:p w:rsidR="00082BF4" w:rsidRPr="00AC7B5C" w:rsidRDefault="00082BF4" w:rsidP="00082BF4">
      <w:pPr>
        <w:pStyle w:val="Heading2"/>
        <w:rPr>
          <w:szCs w:val="24"/>
        </w:rPr>
      </w:pPr>
    </w:p>
    <w:p w:rsidR="00082BF4" w:rsidRPr="00F47154" w:rsidRDefault="00082BF4" w:rsidP="00082BF4">
      <w:pPr>
        <w:spacing w:after="120"/>
        <w:jc w:val="center"/>
        <w:rPr>
          <w:b/>
          <w:lang w:val="en-US"/>
        </w:rPr>
      </w:pPr>
      <w:r w:rsidRPr="00F47154">
        <w:rPr>
          <w:b/>
        </w:rPr>
        <w:t>Статьи 1 и 4</w:t>
      </w:r>
    </w:p>
    <w:p w:rsidR="00082BF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В своих предыдущих заключительных замечаниях по третьему периодическому докладу государства-участника</w:t>
      </w:r>
      <w:r>
        <w:rPr>
          <w:rStyle w:val="FootnoteReference"/>
        </w:rPr>
        <w:footnoteReference w:id="1"/>
      </w:r>
      <w:r w:rsidRPr="00F47154">
        <w:t xml:space="preserve"> Комитет рекомендовал включить положения Конвенции, </w:t>
      </w:r>
      <w:r>
        <w:t xml:space="preserve">и </w:t>
      </w:r>
      <w:r w:rsidRPr="00F47154">
        <w:t>в частности преступление пытки, как это определяется в статье 1 Конвенции</w:t>
      </w:r>
      <w:r>
        <w:t>,</w:t>
      </w:r>
      <w:r w:rsidRPr="00F47154">
        <w:t xml:space="preserve"> во внутригосударственную правовую систему Израиля.</w:t>
      </w:r>
      <w:r w:rsidRPr="008E7183">
        <w:t xml:space="preserve"> </w:t>
      </w:r>
      <w:r w:rsidRPr="00F47154">
        <w:t xml:space="preserve">Вне зависимости от того разъяснения государства-участника, что "все акты пыток… квалифицируются в израильском законодательстве в качестве преступления", просьба указать, какие меры были приняты для осуществления рекомендации, предлагающей прямо включить в законодательство все положения </w:t>
      </w:r>
      <w:r w:rsidRPr="00F47154">
        <w:rPr>
          <w:color w:val="000000"/>
        </w:rPr>
        <w:t>Конвенции</w:t>
      </w:r>
      <w:r>
        <w:rPr>
          <w:rStyle w:val="FootnoteReference"/>
          <w:color w:val="000000"/>
        </w:rPr>
        <w:footnoteReference w:id="2"/>
      </w:r>
      <w:r w:rsidRPr="00F47154">
        <w:t>.</w:t>
      </w:r>
      <w:r>
        <w:t xml:space="preserve"> </w:t>
      </w:r>
      <w:r w:rsidR="005F7527">
        <w:t xml:space="preserve"> </w:t>
      </w:r>
      <w:r w:rsidRPr="00F47154">
        <w:t>В соответствии с информацией, имеющейся у Комитета</w:t>
      </w:r>
      <w:r>
        <w:t>,</w:t>
      </w:r>
      <w:r w:rsidRPr="00F47154">
        <w:t xml:space="preserve"> в 2007 году комитет кнессета по конституционному праву и юстиции обсуждал предложение о включении запрета пыток в подготовленный им проект конституции.</w:t>
      </w:r>
      <w:r w:rsidRPr="008E7183">
        <w:t xml:space="preserve"> </w:t>
      </w:r>
      <w:r w:rsidRPr="00F47154">
        <w:t xml:space="preserve">Просьба охарактеризовать содержание этого предложения и </w:t>
      </w:r>
      <w:r>
        <w:t>сообщить, как обстоят дела с</w:t>
      </w:r>
      <w:r w:rsidRPr="00F47154">
        <w:t xml:space="preserve"> его приняти</w:t>
      </w:r>
      <w:r>
        <w:t>ем в настоящее время</w:t>
      </w:r>
      <w:r w:rsidRPr="00F47154">
        <w:t>.</w:t>
      </w:r>
    </w:p>
    <w:p w:rsidR="00B470CA" w:rsidRDefault="00B470CA" w:rsidP="00B470CA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</w:p>
    <w:p w:rsidR="00B470CA" w:rsidRPr="008E7183" w:rsidRDefault="00B470CA" w:rsidP="00B470CA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</w:p>
    <w:p w:rsidR="00082BF4" w:rsidRPr="009B4D71" w:rsidRDefault="00082BF4" w:rsidP="00B470CA">
      <w:pPr>
        <w:spacing w:after="120"/>
        <w:jc w:val="center"/>
        <w:rPr>
          <w:b/>
          <w:lang w:val="en-US"/>
        </w:rPr>
      </w:pPr>
      <w:r w:rsidRPr="00F47154">
        <w:rPr>
          <w:b/>
        </w:rPr>
        <w:t>Статья 2</w:t>
      </w:r>
    </w:p>
    <w:p w:rsidR="00082BF4" w:rsidRPr="0038697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Просьба пояснить, какие меры были предприняты государством-участником для осуществления предыдущей рекомендации Комитета</w:t>
      </w:r>
      <w:r w:rsidRPr="00F47154">
        <w:rPr>
          <w:rStyle w:val="FootnoteReference"/>
        </w:rPr>
        <w:footnoteReference w:id="3"/>
      </w:r>
      <w:r w:rsidRPr="00F47154">
        <w:t xml:space="preserve"> </w:t>
      </w:r>
      <w:r w:rsidRPr="00F47154">
        <w:rPr>
          <w:color w:val="000000"/>
        </w:rPr>
        <w:t>изъять</w:t>
      </w:r>
      <w:r w:rsidRPr="00F47154">
        <w:t xml:space="preserve"> из его законодательства норму о возможно</w:t>
      </w:r>
      <w:r w:rsidRPr="00F47154">
        <w:rPr>
          <w:color w:val="000000"/>
        </w:rPr>
        <w:t>й ссылк</w:t>
      </w:r>
      <w:r>
        <w:rPr>
          <w:color w:val="000000"/>
        </w:rPr>
        <w:t>е</w:t>
      </w:r>
      <w:r w:rsidRPr="00F47154">
        <w:rPr>
          <w:color w:val="000000"/>
        </w:rPr>
        <w:t xml:space="preserve"> на необходимость в </w:t>
      </w:r>
      <w:r w:rsidRPr="00F47154">
        <w:t>оправдани</w:t>
      </w:r>
      <w:r w:rsidRPr="00F47154">
        <w:rPr>
          <w:color w:val="000000"/>
        </w:rPr>
        <w:t>е</w:t>
      </w:r>
      <w:r w:rsidRPr="00F47154">
        <w:t xml:space="preserve"> преступления пытки.</w:t>
      </w:r>
    </w:p>
    <w:p w:rsidR="00533621" w:rsidRPr="00533621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В докладе отмечается, что административное задержание может производиться только в исключительных случаях при наличии "четких, конкретных и достоверных доказательств, которые из соображений конфиденциальности и защиты источников разведывательной информации не могут быть представлены в ходе обычного уголовного процесса".</w:t>
      </w:r>
      <w:r w:rsidRPr="009B4D71">
        <w:rPr>
          <w:rStyle w:val="FootnoteReference"/>
          <w:lang w:val="en-US"/>
        </w:rPr>
        <w:footnoteReference w:id="4"/>
      </w:r>
      <w:r w:rsidRPr="00AC7B5C">
        <w:t xml:space="preserve"> </w:t>
      </w:r>
      <w:r w:rsidRPr="00F47154">
        <w:t>Комитет выразил обеспокоенность тем, что практика административного задержания не соответствует статье 16 Конвенции</w:t>
      </w:r>
      <w:r>
        <w:rPr>
          <w:rStyle w:val="FootnoteReference"/>
        </w:rPr>
        <w:footnoteReference w:id="5"/>
      </w:r>
      <w:r w:rsidRPr="00F47154">
        <w:t>, поскольку она используется "необычно длительные периоды времени по причинам, которые не связаны с риском, создаваемым освобождением задержанных".</w:t>
      </w:r>
      <w:r w:rsidR="00921733" w:rsidRPr="00921733">
        <w:t xml:space="preserve">  </w:t>
      </w:r>
      <w:r w:rsidRPr="003E3B2E">
        <w:rPr>
          <w:color w:val="000000"/>
        </w:rPr>
        <w:t>Государство-участник поясняет</w:t>
      </w:r>
      <w:r>
        <w:rPr>
          <w:rStyle w:val="FootnoteReference"/>
          <w:color w:val="000000"/>
        </w:rPr>
        <w:footnoteReference w:id="6"/>
      </w:r>
      <w:r w:rsidRPr="003E3B2E">
        <w:rPr>
          <w:color w:val="000000"/>
        </w:rPr>
        <w:t xml:space="preserve">, что эта практика регулярно рассматривается и используется только в исключительных случаях, когда конфиденциальность и необходимость защиты источников оперативной информации делают невозможным представление доказательств в уголовном судопроизводстве. </w:t>
      </w:r>
      <w:r w:rsidRPr="003E3B2E">
        <w:t xml:space="preserve"> </w:t>
      </w:r>
      <w:r w:rsidRPr="00F47154">
        <w:rPr>
          <w:color w:val="000000"/>
        </w:rPr>
        <w:t xml:space="preserve">Просьба </w:t>
      </w:r>
      <w:r>
        <w:rPr>
          <w:color w:val="000000"/>
        </w:rPr>
        <w:t>сообщить</w:t>
      </w:r>
      <w:r w:rsidRPr="00F47154">
        <w:rPr>
          <w:color w:val="000000"/>
        </w:rPr>
        <w:t>, какие меры были приняты для прекращения применения такой практики.</w:t>
      </w:r>
      <w:r w:rsidRPr="00FC3C96">
        <w:t xml:space="preserve"> </w:t>
      </w:r>
      <w:r w:rsidR="00921733" w:rsidRPr="00921733">
        <w:t xml:space="preserve"> </w:t>
      </w:r>
      <w:r w:rsidRPr="00F47154">
        <w:rPr>
          <w:color w:val="000000"/>
        </w:rPr>
        <w:t xml:space="preserve">Как правительство обосновывает свое </w:t>
      </w:r>
      <w:r>
        <w:rPr>
          <w:color w:val="000000"/>
        </w:rPr>
        <w:t>утверждение</w:t>
      </w:r>
      <w:r w:rsidRPr="00F47154">
        <w:rPr>
          <w:color w:val="000000"/>
        </w:rPr>
        <w:t xml:space="preserve">, что она используется в исключительных случаях, в свете </w:t>
      </w:r>
      <w:r>
        <w:rPr>
          <w:color w:val="000000"/>
        </w:rPr>
        <w:t>сообщения</w:t>
      </w:r>
      <w:r w:rsidRPr="00F47154">
        <w:rPr>
          <w:color w:val="000000"/>
        </w:rPr>
        <w:t xml:space="preserve"> "Международной амнистии", </w:t>
      </w:r>
      <w:r>
        <w:rPr>
          <w:color w:val="000000"/>
        </w:rPr>
        <w:t>согласно которому</w:t>
      </w:r>
      <w:r w:rsidRPr="00F47154">
        <w:rPr>
          <w:color w:val="000000"/>
        </w:rPr>
        <w:t xml:space="preserve"> в 2007 году в порядке административного задержания под стражей находилось 900 палестинцев и некоторые из них, в том числе бывшие министры Хамас, "по</w:t>
      </w:r>
      <w:r w:rsidRPr="00F47154">
        <w:rPr>
          <w:color w:val="000000"/>
        </w:rPr>
        <w:noBreakHyphen/>
        <w:t>видимому были задержаны для того, чтобы оказать давление на Хамас в целях освобождения Гилада Шалита, израильского солдата (…)".  Государству-участнику следует также пояснить совместимость статьи 16 Конвенции как с военным приказом</w:t>
      </w:r>
      <w:r w:rsidR="00921733">
        <w:rPr>
          <w:color w:val="000000"/>
          <w:lang w:val="en-US"/>
        </w:rPr>
        <w:t> </w:t>
      </w:r>
      <w:r w:rsidRPr="00F47154">
        <w:rPr>
          <w:color w:val="000000"/>
        </w:rPr>
        <w:t>№</w:t>
      </w:r>
      <w:r w:rsidR="00921733">
        <w:rPr>
          <w:color w:val="000000"/>
          <w:lang w:val="en-US"/>
        </w:rPr>
        <w:t> </w:t>
      </w:r>
      <w:r w:rsidRPr="00F47154">
        <w:rPr>
          <w:color w:val="000000"/>
        </w:rPr>
        <w:t xml:space="preserve">1226, который разрешает израильским воинским начальникам задерживать палестинских граждан на срок до шести месяцев, когда "имеются разумные основания </w:t>
      </w:r>
    </w:p>
    <w:p w:rsidR="00533621" w:rsidRDefault="00533621" w:rsidP="0053362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</w:p>
    <w:p w:rsidR="00533621" w:rsidRPr="00533621" w:rsidRDefault="00533621" w:rsidP="0053362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</w:p>
    <w:p w:rsidR="00082BF4" w:rsidRPr="00141FBA" w:rsidRDefault="00082BF4" w:rsidP="0053362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  <w:r w:rsidRPr="00F47154">
        <w:rPr>
          <w:color w:val="000000"/>
        </w:rPr>
        <w:t>предполагать, что безопасность данного района или государственная безопасность требуют задержания"</w:t>
      </w:r>
      <w:r w:rsidRPr="00F47154">
        <w:rPr>
          <w:rStyle w:val="FootnoteReference"/>
          <w:color w:val="000000"/>
        </w:rPr>
        <w:footnoteReference w:id="7"/>
      </w:r>
      <w:r w:rsidRPr="00F47154">
        <w:rPr>
          <w:color w:val="000000"/>
        </w:rPr>
        <w:t>, так и с законом о задержании незаконных комбатантов 2002 года, который разрешает задержание "незаконных комбатантов" в течение 14 дней до доставки их компетентному судье.</w:t>
      </w:r>
      <w:r w:rsidRPr="00141FBA">
        <w:t xml:space="preserve"> 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В дополнение к предыдущей рекомендации Комитета</w:t>
      </w:r>
      <w:r w:rsidRPr="00F47154">
        <w:rPr>
          <w:rStyle w:val="FootnoteReference"/>
        </w:rPr>
        <w:footnoteReference w:id="8"/>
      </w:r>
      <w:r w:rsidRPr="00F47154">
        <w:t xml:space="preserve"> </w:t>
      </w:r>
      <w:r w:rsidRPr="00F47154">
        <w:rPr>
          <w:color w:val="000000"/>
        </w:rPr>
        <w:t>просьба</w:t>
      </w:r>
      <w:r w:rsidRPr="00F47154">
        <w:t xml:space="preserve"> пояснить, как государство-участник обеспечивает, чтобы все без исключения задержанные лица безотлагательно доставлялись к судье и им обеспечивался безотлагательный доступ к защитнику.</w:t>
      </w:r>
      <w:r w:rsidRPr="00063CC1">
        <w:t xml:space="preserve"> </w:t>
      </w:r>
      <w:r w:rsidR="00921733" w:rsidRPr="00921733">
        <w:t xml:space="preserve"> </w:t>
      </w:r>
      <w:r w:rsidRPr="00C45086">
        <w:rPr>
          <w:color w:val="000000"/>
        </w:rPr>
        <w:t>В частности, поясните, как государство-участник обеспечивает надлежащие гарантии для искоренения продолжительного задержания инкоммуникадо задержанных по соображениям безопасности.</w:t>
      </w:r>
      <w:r w:rsidRPr="00AC7B5C">
        <w:t xml:space="preserve"> </w:t>
      </w:r>
    </w:p>
    <w:p w:rsidR="00082BF4" w:rsidRPr="0099191A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В докладе государства-участника</w:t>
      </w:r>
      <w:r w:rsidRPr="00F47154">
        <w:rPr>
          <w:rStyle w:val="FootnoteReference"/>
        </w:rPr>
        <w:footnoteReference w:id="9"/>
      </w:r>
      <w:r w:rsidRPr="00F47154">
        <w:t xml:space="preserve"> указывается несколько положений уголовно-процессуального закона (полномочия правоохранительных органов - аресты), регламентирующего </w:t>
      </w:r>
      <w:r>
        <w:t>режим</w:t>
      </w:r>
      <w:r w:rsidRPr="00F47154">
        <w:t xml:space="preserve"> содержания </w:t>
      </w:r>
      <w:r>
        <w:t xml:space="preserve">лиц, </w:t>
      </w:r>
      <w:r w:rsidRPr="00F47154">
        <w:t xml:space="preserve">задержанных </w:t>
      </w:r>
      <w:r>
        <w:t xml:space="preserve">за нарушение </w:t>
      </w:r>
      <w:r w:rsidRPr="00F47154">
        <w:t>уголовн</w:t>
      </w:r>
      <w:r>
        <w:t>ого</w:t>
      </w:r>
      <w:r w:rsidRPr="00F47154">
        <w:t xml:space="preserve"> </w:t>
      </w:r>
      <w:r>
        <w:t>законодательства,</w:t>
      </w:r>
      <w:r w:rsidRPr="00F47154">
        <w:t xml:space="preserve"> в Израиле.</w:t>
      </w:r>
      <w:r w:rsidRPr="00C45086">
        <w:t xml:space="preserve"> </w:t>
      </w:r>
      <w:r w:rsidR="007D4753" w:rsidRPr="007D4753">
        <w:t xml:space="preserve"> </w:t>
      </w:r>
      <w:r w:rsidRPr="00F47154">
        <w:t xml:space="preserve">Однако израильский военный приказ № 378, который применяется на </w:t>
      </w:r>
      <w:r w:rsidRPr="00F47154">
        <w:rPr>
          <w:color w:val="000000"/>
        </w:rPr>
        <w:t>Западном берегу</w:t>
      </w:r>
      <w:r w:rsidRPr="00F47154">
        <w:t xml:space="preserve">, разрешает содержать под стражей палестинских задержанных, включая детей в возрасте с 12 лет, до восьми дней до доставки к военному судье вне зависимости от того, предъявлено ли </w:t>
      </w:r>
      <w:r w:rsidRPr="00F47154">
        <w:rPr>
          <w:color w:val="000000"/>
        </w:rPr>
        <w:t xml:space="preserve">этому лицу </w:t>
      </w:r>
      <w:r w:rsidRPr="00F47154">
        <w:t>обвинение в правонарушении против безопасности.</w:t>
      </w:r>
      <w:r w:rsidRPr="00AC7B5C">
        <w:t xml:space="preserve"> </w:t>
      </w:r>
      <w:r w:rsidR="003A048F" w:rsidRPr="003A048F">
        <w:t xml:space="preserve"> </w:t>
      </w:r>
      <w:r w:rsidRPr="00F47154">
        <w:t>Этот же приказ разрешает содержать задержанных до 90 дней без доступа к защитнику и до 188 дней до предъявления обвинения</w:t>
      </w:r>
      <w:r>
        <w:rPr>
          <w:rStyle w:val="FootnoteReference"/>
        </w:rPr>
        <w:footnoteReference w:id="10"/>
      </w:r>
      <w:r w:rsidRPr="00F47154">
        <w:t>.</w:t>
      </w:r>
      <w:r w:rsidR="003A048F" w:rsidRPr="003A048F">
        <w:t xml:space="preserve"> </w:t>
      </w:r>
      <w:r>
        <w:t xml:space="preserve"> </w:t>
      </w:r>
      <w:r w:rsidRPr="00EF6BF9">
        <w:rPr>
          <w:color w:val="000000"/>
        </w:rPr>
        <w:t>Как</w:t>
      </w:r>
      <w:r>
        <w:rPr>
          <w:color w:val="000000"/>
        </w:rPr>
        <w:t>, по мнению</w:t>
      </w:r>
      <w:r w:rsidRPr="00EF6BF9">
        <w:rPr>
          <w:color w:val="000000"/>
        </w:rPr>
        <w:t xml:space="preserve"> государств</w:t>
      </w:r>
      <w:r>
        <w:rPr>
          <w:color w:val="000000"/>
        </w:rPr>
        <w:t>а</w:t>
      </w:r>
      <w:r w:rsidRPr="00EF6BF9">
        <w:rPr>
          <w:color w:val="000000"/>
        </w:rPr>
        <w:t>-участник</w:t>
      </w:r>
      <w:r>
        <w:rPr>
          <w:color w:val="000000"/>
        </w:rPr>
        <w:t>а,</w:t>
      </w:r>
      <w:r w:rsidRPr="00EF6BF9">
        <w:rPr>
          <w:color w:val="000000"/>
        </w:rPr>
        <w:t xml:space="preserve"> эти положения военных приказов </w:t>
      </w:r>
      <w:r>
        <w:rPr>
          <w:color w:val="000000"/>
        </w:rPr>
        <w:t>согласуются с его</w:t>
      </w:r>
      <w:r w:rsidRPr="00EF6BF9">
        <w:rPr>
          <w:color w:val="000000"/>
        </w:rPr>
        <w:t xml:space="preserve"> обязательством по статье 2 Конвенции принимать эффективные меры для предупреждения пыток?</w:t>
      </w:r>
      <w:r w:rsidRPr="0099191A">
        <w:t xml:space="preserve"> 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В докладе государства-участник</w:t>
      </w:r>
      <w:r>
        <w:t>а от</w:t>
      </w:r>
      <w:r w:rsidRPr="00F47154">
        <w:rPr>
          <w:color w:val="000000"/>
        </w:rPr>
        <w:t>мечается</w:t>
      </w:r>
      <w:r w:rsidRPr="00F47154">
        <w:t>, что в соответствии со статьей 3 уголовно-процессуального закона (задержанные, подозреваемые в совершении преступления против безопасности) (временное положение) 2006 года лица, подозреваемые в совершении правонарушений против безопасности, могут быть задержаны для допроса на срок до 96 часов</w:t>
      </w:r>
      <w:r>
        <w:rPr>
          <w:rStyle w:val="FootnoteReference"/>
        </w:rPr>
        <w:footnoteReference w:id="11"/>
      </w:r>
      <w:r w:rsidRPr="00F47154">
        <w:t xml:space="preserve"> до доставки их к судье</w:t>
      </w:r>
      <w:r w:rsidRPr="00F47154">
        <w:rPr>
          <w:color w:val="000000"/>
        </w:rPr>
        <w:t xml:space="preserve"> и содержаться под стражей до 21 дня без доступа к адвокату</w:t>
      </w:r>
      <w:r>
        <w:rPr>
          <w:rStyle w:val="FootnoteReference"/>
          <w:color w:val="000000"/>
        </w:rPr>
        <w:footnoteReference w:id="12"/>
      </w:r>
      <w:r w:rsidRPr="00F47154">
        <w:t>.</w:t>
      </w:r>
      <w:r w:rsidRPr="00CA0C5B">
        <w:t xml:space="preserve"> </w:t>
      </w:r>
      <w:r w:rsidR="003A048F" w:rsidRPr="003A048F">
        <w:t xml:space="preserve"> </w:t>
      </w:r>
      <w:r w:rsidRPr="00F47154">
        <w:t xml:space="preserve">Этот закон также предусматривает последующее слушание по поводу возвращения под стражу в отсутствие задержанного на срок до 20 дней. </w:t>
      </w:r>
      <w:r w:rsidR="003A048F" w:rsidRPr="003A048F">
        <w:t xml:space="preserve"> </w:t>
      </w:r>
      <w:r w:rsidRPr="00F47154">
        <w:t>Просьба обосновать совместимость этого закона со статьей 2 Конвенции. Также уточните, был ли этот закон, принятый на первоначальный период в 18 месяцев, продлен до конца 2010 года с намерением включения его положений в закон о борьбе с терроризмом.</w:t>
      </w:r>
      <w:r w:rsidRPr="00AC7B5C">
        <w:rPr>
          <w:rStyle w:val="FootnoteReference"/>
        </w:rPr>
        <w:t xml:space="preserve"> 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 xml:space="preserve">Согласно имеющейся в распоряжении Комитета информации, Израильское агентство безопасности (ИАБ) </w:t>
      </w:r>
      <w:r w:rsidRPr="00F47154">
        <w:rPr>
          <w:color w:val="000000"/>
        </w:rPr>
        <w:t xml:space="preserve">предположительно </w:t>
      </w:r>
      <w:r w:rsidRPr="00F47154">
        <w:t>имеет тайное место заключения и проведения допросов, известное как "объект 1391", в не раскрываемом месте на территории Израиля, которое закрыто для Международного комитета Красного Креста (МККК), адвокатов или родственников задержанных.</w:t>
      </w:r>
      <w:r w:rsidRPr="00AC7B5C">
        <w:t xml:space="preserve"> </w:t>
      </w:r>
      <w:r w:rsidR="003A048F" w:rsidRPr="003A048F">
        <w:t xml:space="preserve"> </w:t>
      </w:r>
      <w:r w:rsidRPr="00F47154">
        <w:t xml:space="preserve">По запросу Хамокеда в Верховный суд о проверке законности этого объекта Верховный суд </w:t>
      </w:r>
      <w:r w:rsidRPr="00F47154">
        <w:rPr>
          <w:color w:val="000000"/>
        </w:rPr>
        <w:t xml:space="preserve">отказался принять </w:t>
      </w:r>
      <w:r w:rsidRPr="00F47154">
        <w:t>временные меры по предотвращению содержания задержанных и потребовал от государства информировать его о любых лицах, содержащихся в этом месте.</w:t>
      </w:r>
      <w:r w:rsidRPr="00AC7B5C">
        <w:t xml:space="preserve"> </w:t>
      </w:r>
      <w:r w:rsidR="003A048F" w:rsidRPr="003A048F">
        <w:t xml:space="preserve"> </w:t>
      </w:r>
      <w:r w:rsidRPr="00F47154">
        <w:t xml:space="preserve">Позднее военный прокурор сообщил Хамокеду, что расследование не проводилось, а в 2005 году Суд установил, что власти действовали разумным образом, не </w:t>
      </w:r>
      <w:r w:rsidRPr="00F47154">
        <w:rPr>
          <w:color w:val="000000"/>
        </w:rPr>
        <w:t xml:space="preserve">проведя </w:t>
      </w:r>
      <w:r w:rsidRPr="00F47154">
        <w:t>расследовани</w:t>
      </w:r>
      <w:r w:rsidRPr="00F47154">
        <w:rPr>
          <w:color w:val="000000"/>
        </w:rPr>
        <w:t>я</w:t>
      </w:r>
      <w:r w:rsidRPr="00F47154">
        <w:t>.</w:t>
      </w:r>
      <w:r w:rsidRPr="00AC7B5C">
        <w:t xml:space="preserve"> </w:t>
      </w:r>
      <w:r w:rsidR="003A048F" w:rsidRPr="003A048F">
        <w:t xml:space="preserve"> </w:t>
      </w:r>
      <w:r w:rsidRPr="00F47154">
        <w:t>Просьба уточнить, как может быть обосновано решение не проводить расследование и как оно может быть совместимо со статьей 12 Конвенции.</w:t>
      </w:r>
      <w:r w:rsidRPr="00AC7B5C">
        <w:t xml:space="preserve"> </w:t>
      </w:r>
      <w:r w:rsidR="003A048F" w:rsidRPr="003A048F">
        <w:t xml:space="preserve"> </w:t>
      </w:r>
      <w:r w:rsidRPr="00F47154">
        <w:t>До сведения Комитета были доведены сообщения о пытках, жестоком обращении и плохих условиях содержания в этом месте.</w:t>
      </w:r>
      <w:r w:rsidR="00A85E86">
        <w:t xml:space="preserve"> </w:t>
      </w:r>
      <w:r w:rsidRPr="00AC7B5C">
        <w:t xml:space="preserve"> </w:t>
      </w:r>
      <w:r w:rsidRPr="00F47154">
        <w:t>Какие меры были приняты для обеспечения надлежащего доступа МККК ко всем задержанным в этом месте?</w:t>
      </w:r>
      <w:r w:rsidRPr="00AC7B5C">
        <w:t xml:space="preserve"> </w:t>
      </w:r>
    </w:p>
    <w:p w:rsidR="00082BF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В докладе государства-участника</w:t>
      </w:r>
      <w:r w:rsidRPr="00F47154">
        <w:rPr>
          <w:rStyle w:val="FootnoteReference"/>
        </w:rPr>
        <w:footnoteReference w:id="13"/>
      </w:r>
      <w:r w:rsidRPr="00F47154">
        <w:t xml:space="preserve"> </w:t>
      </w:r>
      <w:r w:rsidRPr="00F47154">
        <w:rPr>
          <w:color w:val="000000"/>
        </w:rPr>
        <w:t>упоминается</w:t>
      </w:r>
      <w:r w:rsidRPr="00F47154">
        <w:t xml:space="preserve"> решение Верховного суда по делу "Центр защиты физических лиц против Генерального прокурора"</w:t>
      </w:r>
      <w:r w:rsidRPr="00F47154">
        <w:rPr>
          <w:rStyle w:val="FootnoteReference"/>
        </w:rPr>
        <w:footnoteReference w:id="14"/>
      </w:r>
      <w:r w:rsidRPr="00F47154">
        <w:t xml:space="preserve">, </w:t>
      </w:r>
      <w:r w:rsidRPr="00F47154">
        <w:rPr>
          <w:color w:val="000000"/>
        </w:rPr>
        <w:t>в</w:t>
      </w:r>
      <w:r w:rsidRPr="00F47154">
        <w:t xml:space="preserve"> котором Суд отклонил два обращения с просьбой о проведении дополнительного расследования сообщений о пытках на объекте 1391.</w:t>
      </w:r>
      <w:r w:rsidRPr="00795F70">
        <w:t xml:space="preserve"> </w:t>
      </w:r>
      <w:r w:rsidR="005230C6" w:rsidRPr="005230C6">
        <w:t xml:space="preserve"> </w:t>
      </w:r>
      <w:r w:rsidRPr="00F47154">
        <w:t>Просьба сообщить, какие другие дела возбуждались, если они возбуждались, в суде в отношении актов пыток и жестокого обращения в этом месте и каковы результаты этих расследований и разбирательств.</w:t>
      </w:r>
    </w:p>
    <w:p w:rsidR="00A85E86" w:rsidRDefault="00A85E86" w:rsidP="00A85E8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</w:p>
    <w:p w:rsidR="00A85E86" w:rsidRPr="00AC7B5C" w:rsidRDefault="00A85E86" w:rsidP="00A85E8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 xml:space="preserve">Просьба представить информацию о сообщениях, полученных Комитетом о том, что задержанные подвергаются актам нарушения Конвенции со стороны израильских сотрудников безопасности до, в период и после допросов, включая, как сообщается, побои, связывание в положении "шабах", отказ в удовлетворении основных потребностей, лишение сна, затягивание наручников, резкое вытягивание тела, резкое скручивание шеи, принуждение сидеть на корточках и вытягивание спины в положении "банан". </w:t>
      </w:r>
      <w:r w:rsidR="005230C6" w:rsidRPr="005230C6">
        <w:t xml:space="preserve"> </w:t>
      </w:r>
      <w:r w:rsidRPr="00F47154">
        <w:t xml:space="preserve">Были ли расследованы эти сообщения о пытках и жестоком обращении? </w:t>
      </w:r>
      <w:r w:rsidR="005230C6" w:rsidRPr="005230C6">
        <w:t xml:space="preserve"> </w:t>
      </w:r>
      <w:r w:rsidRPr="00F47154">
        <w:t xml:space="preserve">Были ли виновные привлечены к ответственности? </w:t>
      </w:r>
      <w:r w:rsidR="005230C6" w:rsidRPr="005230C6">
        <w:t xml:space="preserve"> </w:t>
      </w:r>
      <w:r w:rsidRPr="00F47154">
        <w:t>Сколько из них было осуждено и какие меры наказания были вынесены?</w:t>
      </w:r>
      <w:r w:rsidRPr="00AC7B5C">
        <w:t xml:space="preserve"> </w:t>
      </w:r>
      <w:r w:rsidR="005230C6" w:rsidRPr="005230C6">
        <w:t xml:space="preserve"> </w:t>
      </w:r>
      <w:r w:rsidRPr="001125B4">
        <w:rPr>
          <w:color w:val="000000"/>
        </w:rPr>
        <w:t>Просьба прокомментировать, в частности, сообщения о жестоком обращении с подозреваемыми по так называемым делам о "тикающей бомбе", т.е. подозреваемыми террористами или лицами, владеющими информацией о потенциальном террористическом нападении.</w:t>
      </w:r>
      <w:r w:rsidRPr="009B4D71">
        <w:rPr>
          <w:rStyle w:val="FootnoteReference"/>
          <w:lang w:val="en-US"/>
        </w:rPr>
        <w:footnoteReference w:id="15"/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rPr>
          <w:color w:val="000000"/>
        </w:rPr>
        <w:t xml:space="preserve">В соответствии с сообщениями, </w:t>
      </w:r>
      <w:r>
        <w:rPr>
          <w:color w:val="000000"/>
        </w:rPr>
        <w:t>полученными</w:t>
      </w:r>
      <w:r w:rsidRPr="00F47154">
        <w:rPr>
          <w:color w:val="000000"/>
        </w:rPr>
        <w:t xml:space="preserve"> Комитет</w:t>
      </w:r>
      <w:r>
        <w:rPr>
          <w:color w:val="000000"/>
        </w:rPr>
        <w:t>ом</w:t>
      </w:r>
      <w:r w:rsidRPr="00F47154">
        <w:rPr>
          <w:color w:val="000000"/>
        </w:rPr>
        <w:t>, как силы безопасности Хамаса в Газе, так и власти Фатха на Западном берегу прибегали к произвольным арестам и незаконным задержаниям политических противников, лишали их доступа к адвокат</w:t>
      </w:r>
      <w:r>
        <w:rPr>
          <w:color w:val="000000"/>
        </w:rPr>
        <w:t>ам</w:t>
      </w:r>
      <w:r w:rsidRPr="00F47154">
        <w:rPr>
          <w:color w:val="000000"/>
        </w:rPr>
        <w:t xml:space="preserve"> и применяли к задержанным пытки и жестокое обращение, что особенно усугубилось </w:t>
      </w:r>
      <w:r>
        <w:rPr>
          <w:color w:val="000000"/>
        </w:rPr>
        <w:t xml:space="preserve">в период </w:t>
      </w:r>
      <w:r w:rsidRPr="00F47154">
        <w:rPr>
          <w:color w:val="000000"/>
        </w:rPr>
        <w:t xml:space="preserve">после июня 2007 года. </w:t>
      </w:r>
      <w:r w:rsidRPr="00AC7B5C">
        <w:t xml:space="preserve"> </w:t>
      </w:r>
      <w:r w:rsidRPr="00A04398">
        <w:rPr>
          <w:color w:val="000000"/>
        </w:rPr>
        <w:t>Согласно сообщениям, эти задержанные, среди прочего, лишались основных процессуальных гарантий и права на оперативное и эффективное расследование.</w:t>
      </w:r>
      <w:r w:rsidRPr="00A37C1E">
        <w:t xml:space="preserve"> </w:t>
      </w:r>
      <w:r w:rsidR="005230C6" w:rsidRPr="005230C6">
        <w:t xml:space="preserve"> </w:t>
      </w:r>
      <w:r w:rsidRPr="00E41406">
        <w:rPr>
          <w:color w:val="000000"/>
        </w:rPr>
        <w:t>Просьба пояснить, осуществляет ли государство-участник эффективный контроль в этом районе с целью осуществления своих обязательств по Конвенции и какие меры были приняты государством-участником для расследования этих актов и преследования в них виновных.</w:t>
      </w:r>
      <w:r w:rsidRPr="00AC7B5C">
        <w:t xml:space="preserve">  </w:t>
      </w:r>
    </w:p>
    <w:p w:rsidR="00082BF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Просьба представить информацию о законодательных, административных и иных мерах, принятых государством-участником по реагированию на угрозы терроризма, и в этой связи пояснить, как эти меры затрагивали гарантии прав человека в законодательстве и на практике.</w:t>
      </w:r>
      <w:r w:rsidRPr="00AC7B5C">
        <w:t xml:space="preserve"> </w:t>
      </w:r>
    </w:p>
    <w:p w:rsidR="007F5201" w:rsidRDefault="007F5201" w:rsidP="007F520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</w:p>
    <w:p w:rsidR="007F5201" w:rsidRPr="005230C6" w:rsidRDefault="007F5201" w:rsidP="007F520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  <w:r>
        <w:br w:type="page"/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Согласно информации</w:t>
      </w:r>
      <w:r w:rsidRPr="00E41406">
        <w:rPr>
          <w:color w:val="000000"/>
        </w:rPr>
        <w:t xml:space="preserve"> из неправительственных источников</w:t>
      </w:r>
      <w:r w:rsidRPr="00F47154">
        <w:t>, содержащейся в докладе Специального докладчика по вопросу о насилии в отношении женщин</w:t>
      </w:r>
      <w:r>
        <w:t>, его причинах и последствиях</w:t>
      </w:r>
      <w:r w:rsidRPr="00F47154">
        <w:rPr>
          <w:rStyle w:val="FootnoteReference"/>
        </w:rPr>
        <w:footnoteReference w:id="16"/>
      </w:r>
      <w:r w:rsidRPr="00F47154">
        <w:t>, установлено увеличение с 2000 года числа палестинских женщин, содержащихся в израильских военных тюрьмах, при этом 86 из 91 таких женщин, как сообщается, задержаны в 2004 году по соображениям безопасности;  четыре женщины задержаны в административном порядке.</w:t>
      </w:r>
      <w:r w:rsidRPr="00E41406">
        <w:t xml:space="preserve"> </w:t>
      </w:r>
      <w:r w:rsidR="003D0020" w:rsidRPr="003D0020">
        <w:t xml:space="preserve"> </w:t>
      </w:r>
      <w:r w:rsidRPr="00F47154">
        <w:t>Кроме того, Специальный докладчик отметил, что "целые семьи могут быть арестованы, когда ИС</w:t>
      </w:r>
      <w:r>
        <w:t>О</w:t>
      </w:r>
      <w:r w:rsidRPr="00F47154">
        <w:t xml:space="preserve"> не наход</w:t>
      </w:r>
      <w:r>
        <w:t>я</w:t>
      </w:r>
      <w:r w:rsidRPr="00F47154">
        <w:t>т подозреваемого террориста, и могут содержаться неопределенный период времени в целях давления на их родственников, которые могут разыскиваться или допрашиваться"</w:t>
      </w:r>
      <w:r>
        <w:rPr>
          <w:rStyle w:val="FootnoteReference"/>
        </w:rPr>
        <w:footnoteReference w:id="17"/>
      </w:r>
      <w:r w:rsidRPr="00F47154">
        <w:t>.</w:t>
      </w:r>
      <w:r>
        <w:t xml:space="preserve"> </w:t>
      </w:r>
      <w:r w:rsidR="003D0020" w:rsidRPr="003D0020">
        <w:t xml:space="preserve"> </w:t>
      </w:r>
      <w:r w:rsidRPr="00F47154">
        <w:t>Специальный докладчик далее указал, что большинство задержанных содержится за правонарушения против безопасности, такие, как попытки убийства поселенцев или военнослужащих.</w:t>
      </w:r>
      <w:r w:rsidRPr="00AC7B5C">
        <w:t xml:space="preserve"> </w:t>
      </w:r>
      <w:r w:rsidR="003D0020" w:rsidRPr="003D0020">
        <w:t xml:space="preserve"> </w:t>
      </w:r>
      <w:r w:rsidRPr="00F47154">
        <w:t>Поскольку несколько женщин получили подготовку в качестве смертниц, женщины стали "первыми подозреваемыми на контрольно–пропускных пунктах, где они могут подвергаться личному обыску и задерживаться в административном порядке"</w:t>
      </w:r>
      <w:r>
        <w:rPr>
          <w:rStyle w:val="FootnoteReference"/>
        </w:rPr>
        <w:footnoteReference w:id="18"/>
      </w:r>
      <w:r w:rsidRPr="00F47154">
        <w:t xml:space="preserve">.  Просьба представить обновленную информацию о числе и положении задержанных палестинских женщин и их детей. </w:t>
      </w:r>
      <w:r w:rsidR="003D0020" w:rsidRPr="003D0020">
        <w:t xml:space="preserve"> </w:t>
      </w:r>
      <w:r w:rsidRPr="00F47154">
        <w:t xml:space="preserve">В частности, укажите, какие меры принимаются для защиты их личной неприкосновенности и обеспечения надлежащих условий содержания, доступа к независимому адвокату и свиданий с родственниками. </w:t>
      </w:r>
      <w:r w:rsidR="003D0020" w:rsidRPr="003D0020">
        <w:t xml:space="preserve"> </w:t>
      </w:r>
      <w:r w:rsidRPr="00F47154">
        <w:t xml:space="preserve">Кто проводит личный обыск и с какими результатами, и как эти женщины защищаются от унизительных обысков? </w:t>
      </w:r>
      <w:r w:rsidR="003D0020" w:rsidRPr="003D0020">
        <w:t xml:space="preserve"> </w:t>
      </w:r>
      <w:r w:rsidRPr="00F47154">
        <w:t>Просьба представить конкретные примеры и статистику в отношении числа таких дел, фамилий и жалоб.</w:t>
      </w:r>
    </w:p>
    <w:p w:rsidR="00082BF4" w:rsidRPr="009B4D71" w:rsidRDefault="00082BF4" w:rsidP="00B470CA">
      <w:pPr>
        <w:spacing w:after="120"/>
        <w:jc w:val="center"/>
        <w:rPr>
          <w:b/>
          <w:lang w:val="en-US"/>
        </w:rPr>
      </w:pPr>
      <w:r w:rsidRPr="00F47154">
        <w:rPr>
          <w:b/>
        </w:rPr>
        <w:t>Статья 3</w:t>
      </w:r>
    </w:p>
    <w:p w:rsidR="00082BF4" w:rsidRPr="006625D3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В докладе государства-участника</w:t>
      </w:r>
      <w:r w:rsidRPr="00F47154">
        <w:rPr>
          <w:rStyle w:val="FootnoteReference"/>
        </w:rPr>
        <w:footnoteReference w:id="19"/>
      </w:r>
      <w:r w:rsidRPr="00F47154">
        <w:t xml:space="preserve"> </w:t>
      </w:r>
      <w:r w:rsidRPr="00F47154">
        <w:rPr>
          <w:color w:val="000000"/>
        </w:rPr>
        <w:t>отмечается</w:t>
      </w:r>
      <w:r w:rsidRPr="00F47154">
        <w:t>, что закон о выдаче запрещает выдачу лица, если удовлетворение просьбы нецелесообразно по соображениям публичного порядка или основных интересов государства.</w:t>
      </w:r>
      <w:r w:rsidRPr="0076330B">
        <w:t xml:space="preserve"> </w:t>
      </w:r>
      <w:r w:rsidR="003D0020" w:rsidRPr="003D0020">
        <w:t xml:space="preserve"> </w:t>
      </w:r>
      <w:r w:rsidRPr="00F47154">
        <w:t>Кроме того, министр юстиции при осуществлении своего права принимать решения по вопросу о выдаче должен действовать обоснованно".</w:t>
      </w:r>
      <w:r w:rsidR="003D0020" w:rsidRPr="003D0020">
        <w:t xml:space="preserve">  </w:t>
      </w:r>
      <w:r w:rsidRPr="00F47154">
        <w:t>Как государство-участник обеспечивает соблюдение принципа недопущения принудительного возвращения, содержащегося в статье 3 Конвенции, во всех тех случаях, когда имеются веские основания полагать, что там данному лицу грозила бы опасность подвергнуться пыткам?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 xml:space="preserve">Просьба прокомментировать использование дипломатических гарантий, о которых упоминается в пункте 73 доклада государства-участника, а также то, были ли они использованы в </w:t>
      </w:r>
      <w:r>
        <w:t>процитированном</w:t>
      </w:r>
      <w:r w:rsidRPr="00F47154">
        <w:t xml:space="preserve"> деле </w:t>
      </w:r>
      <w:r w:rsidRPr="00506B4B">
        <w:rPr>
          <w:i/>
        </w:rPr>
        <w:t>Геннадий Ягудаев против государства Израиль</w:t>
      </w:r>
      <w:r w:rsidRPr="00F47154">
        <w:t xml:space="preserve"> и какие последующие меры были приняты государством-участником, если они были им приняты.</w:t>
      </w:r>
      <w:r w:rsidRPr="00AC7B5C">
        <w:t xml:space="preserve"> </w:t>
      </w:r>
      <w:r w:rsidR="003D0020" w:rsidRPr="003D0020">
        <w:t xml:space="preserve"> </w:t>
      </w:r>
      <w:r w:rsidRPr="00F47154">
        <w:t xml:space="preserve">Просьба </w:t>
      </w:r>
      <w:r w:rsidRPr="008813EC">
        <w:rPr>
          <w:color w:val="000000"/>
        </w:rPr>
        <w:t>сообщить</w:t>
      </w:r>
      <w:r w:rsidRPr="00F47154">
        <w:t xml:space="preserve"> о том, использовались ли такие гарантии в других делах и с каким результатом.</w:t>
      </w:r>
      <w:r w:rsidRPr="00AC7B5C">
        <w:t xml:space="preserve"> 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rPr>
          <w:color w:val="000000"/>
        </w:rPr>
        <w:t>Просьба сообщить Комитету о характере и масштабах "координированной процедуры немедленного возвращения", введенной приказом ИСО 1/3000.</w:t>
      </w:r>
      <w:r w:rsidRPr="00AC7B5C">
        <w:t xml:space="preserve"> </w:t>
      </w:r>
      <w:r w:rsidR="0054525E">
        <w:t xml:space="preserve"> </w:t>
      </w:r>
      <w:r w:rsidRPr="00F47154">
        <w:rPr>
          <w:color w:val="000000"/>
        </w:rPr>
        <w:t xml:space="preserve">Поясните, в частности, как эта процедура обеспечивает оценку риска пыток </w:t>
      </w:r>
      <w:r>
        <w:rPr>
          <w:color w:val="000000"/>
        </w:rPr>
        <w:t xml:space="preserve">для </w:t>
      </w:r>
      <w:r w:rsidRPr="00F47154">
        <w:rPr>
          <w:color w:val="000000"/>
        </w:rPr>
        <w:t>лиц, обращающихся за защитой в Израиле.</w:t>
      </w:r>
      <w:r w:rsidRPr="00AC7B5C">
        <w:t xml:space="preserve"> 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По информации, имеющейся у Комитета, 19 мая 2008 года в первом чтении кнессетом была принята поправка к закону 1954 года об инфильтрации (юрисдикция и опасные правонарушения).</w:t>
      </w:r>
      <w:r w:rsidRPr="00AC7B5C">
        <w:t xml:space="preserve"> </w:t>
      </w:r>
      <w:r w:rsidR="0054525E">
        <w:t xml:space="preserve"> </w:t>
      </w:r>
      <w:r w:rsidRPr="00F47154">
        <w:t>Статья 11 этого предложения разрешает офицерам Израильских сил обороны предписывать возвращение "незаконно проникшего лица" в государство или в район, из которого тот прибыл, в течение 72 часов без каких бы то ни было изъятий, процедур или гарантий.</w:t>
      </w:r>
      <w:r w:rsidRPr="00AC7B5C">
        <w:t xml:space="preserve"> </w:t>
      </w:r>
      <w:r w:rsidR="0054525E">
        <w:t xml:space="preserve"> </w:t>
      </w:r>
      <w:r w:rsidRPr="00F47154">
        <w:t>Просьба сообщить Комитету о состоянии рассмотрения этого предложения и о том, какие меры были приняты парламентом для обеспечения соблюдения государством-участником своих обязательств по статье 3 Конвенции (и Конвенции о беженцах 1951 года).</w:t>
      </w:r>
      <w:r w:rsidRPr="00AC7B5C">
        <w:t xml:space="preserve"> 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AC7B5C">
        <w:t xml:space="preserve"> </w:t>
      </w:r>
      <w:r w:rsidRPr="00F47154">
        <w:t>Согласно информации, имеющейся у Комитета 19 августа 2007 года 48 человек были в суммарном порядке депортированы в Египет вскоре после пересечения ими израильской границы, как сообщается, без соблюдения какой-либо юридической процедуры или предоставления потенциальным беженцам возможности ходатайствовать о предоставлении убежища в Израиле или о пересмотре решения о депортации в судебном порядке.</w:t>
      </w:r>
      <w:r w:rsidR="0054525E">
        <w:t xml:space="preserve"> </w:t>
      </w:r>
      <w:r w:rsidRPr="00F47154">
        <w:t xml:space="preserve"> Просьба представить информацию по поводу этого инцидента о том, какая процедура применялась, если какая-либо процедура была применена, а также информацию об обращении с этими депортированными лицами и их местонахождении, если оно известно, со ссылкой на обязательства государства-участника по статье 3 Конвенции.</w:t>
      </w:r>
    </w:p>
    <w:p w:rsidR="00082BF4" w:rsidRPr="009B4D71" w:rsidRDefault="00082BF4" w:rsidP="00B470CA">
      <w:pPr>
        <w:keepNext/>
        <w:spacing w:after="120"/>
        <w:jc w:val="center"/>
        <w:rPr>
          <w:b/>
          <w:lang w:val="en-US"/>
        </w:rPr>
      </w:pPr>
      <w:r w:rsidRPr="00F47154">
        <w:rPr>
          <w:b/>
        </w:rPr>
        <w:t>Статья 5</w:t>
      </w:r>
    </w:p>
    <w:p w:rsidR="00082BF4" w:rsidRPr="00AC7B5C" w:rsidRDefault="00082BF4" w:rsidP="00B470CA">
      <w:pPr>
        <w:keepNext/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 xml:space="preserve">Просьба пояснить совместимость со статьей 5 Конвенции той позиции государства-участника, подтвержденной в решении израильского Верховного суда от 30 января 2008 года по делу </w:t>
      </w:r>
      <w:r w:rsidRPr="00A55CC3">
        <w:rPr>
          <w:i/>
        </w:rPr>
        <w:t>Джабер Аль-Басьюни Ахмед против премьер-министра</w:t>
      </w:r>
      <w:r w:rsidRPr="00F47154">
        <w:t>, что Израиль не обладает "эффективным контролем над Газой" и что поэтому его обязанности ограничиваются прекращением гуманитарного кризиса.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Для чего государство-участник привлекает частные охранные предприятия, действующие на контрольно-пропускных пунктах вдоль разделительного барьера между Израилем и оккупированными палестинскими территориями?</w:t>
      </w:r>
      <w:r w:rsidRPr="00AC7B5C">
        <w:t xml:space="preserve"> </w:t>
      </w:r>
      <w:r w:rsidR="0054525E">
        <w:t xml:space="preserve"> </w:t>
      </w:r>
      <w:r w:rsidRPr="00F47154">
        <w:t xml:space="preserve">Комитет получил сообщения о жестоком обращении со стороны </w:t>
      </w:r>
      <w:r>
        <w:t xml:space="preserve">сотрудников </w:t>
      </w:r>
      <w:r w:rsidRPr="00F47154">
        <w:t>этих предприятий, включая обыски с раздеванием и использование подпольных мест в качестве де-факто мест содержания задержанных.</w:t>
      </w:r>
      <w:r w:rsidRPr="00AC7B5C">
        <w:t xml:space="preserve"> </w:t>
      </w:r>
      <w:r w:rsidR="0054525E">
        <w:t xml:space="preserve"> </w:t>
      </w:r>
      <w:r w:rsidRPr="00F47154">
        <w:t xml:space="preserve">Какую ответственность несет государство-участник за какие-либо правонарушения, совершенные </w:t>
      </w:r>
      <w:r>
        <w:t xml:space="preserve">сотрудниками </w:t>
      </w:r>
      <w:r w:rsidRPr="00F47154">
        <w:t>эти</w:t>
      </w:r>
      <w:r>
        <w:t>х</w:t>
      </w:r>
      <w:r w:rsidRPr="00F47154">
        <w:t xml:space="preserve"> </w:t>
      </w:r>
      <w:r>
        <w:t>агентств</w:t>
      </w:r>
      <w:r w:rsidRPr="00F47154">
        <w:t>?</w:t>
      </w:r>
      <w:r w:rsidRPr="00AC7B5C">
        <w:t xml:space="preserve"> </w:t>
      </w:r>
      <w:r w:rsidR="0054525E">
        <w:t xml:space="preserve"> </w:t>
      </w:r>
      <w:r w:rsidRPr="00F47154">
        <w:t xml:space="preserve">Получают ли они какую-либо подготовку </w:t>
      </w:r>
      <w:r>
        <w:t>по вопросам</w:t>
      </w:r>
      <w:r w:rsidRPr="00F47154">
        <w:t xml:space="preserve"> запрещения пыток?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rPr>
          <w:color w:val="000000"/>
        </w:rPr>
        <w:t>Просьба прокомментировать меры, принятые государством-участником в ответ на призыв Верховного комиссара Организации Объединенных Наций к немедленному прекращению израильской блокады Газы, в результате которой 1,5 млн. палестинцев в течение многих месяцев были насильственно лишены возможности осуществлять свои наиболее основополагающие права человека.</w:t>
      </w:r>
    </w:p>
    <w:p w:rsidR="00082BF4" w:rsidRPr="009B4D71" w:rsidRDefault="00082BF4" w:rsidP="00B470CA">
      <w:pPr>
        <w:spacing w:after="120"/>
        <w:jc w:val="center"/>
        <w:rPr>
          <w:b/>
          <w:lang w:val="en-US"/>
        </w:rPr>
      </w:pPr>
      <w:r w:rsidRPr="00F47154">
        <w:rPr>
          <w:b/>
        </w:rPr>
        <w:t>Статья 11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 xml:space="preserve">В соответствии с информацией, имеющейся у Комитета </w:t>
      </w:r>
      <w:r w:rsidRPr="00F47154">
        <w:rPr>
          <w:color w:val="000000"/>
        </w:rPr>
        <w:t>уголовно-процессуальный</w:t>
      </w:r>
      <w:r w:rsidRPr="00F47154">
        <w:t xml:space="preserve"> закон (допрос подозреваемых) 2002 года предусматривает необходимость видеозаписи всех стадий допроса подозреваемого. </w:t>
      </w:r>
      <w:r w:rsidR="0054525E">
        <w:t xml:space="preserve"> </w:t>
      </w:r>
      <w:r w:rsidRPr="00F47154">
        <w:t xml:space="preserve">Однако сообщается, что это требование не применяется израильской Общей службой безопасности (ОСБ) или ИАБ. </w:t>
      </w:r>
      <w:r w:rsidR="0054525E">
        <w:t xml:space="preserve"> </w:t>
      </w:r>
      <w:r w:rsidRPr="00F47154">
        <w:t>Кроме того, сообщается, что в 2008 году кнессетом были внесены поправки в этот закон, освобождающие израильскую полицию от этого требования при проведении допроса подозреваемых в правонарушениях против безопасности.</w:t>
      </w:r>
      <w:r w:rsidRPr="00AC7B5C">
        <w:t xml:space="preserve"> </w:t>
      </w:r>
      <w:r w:rsidR="0054525E">
        <w:t xml:space="preserve"> </w:t>
      </w:r>
      <w:r w:rsidRPr="00F47154">
        <w:t xml:space="preserve">Просьба представить последнюю подробную информацию об использовании видеозаписи, числе дел и о том, имелись ли судебные дела, в которых </w:t>
      </w:r>
      <w:r w:rsidRPr="00F47154">
        <w:rPr>
          <w:color w:val="000000"/>
        </w:rPr>
        <w:t>это обстоятельство признавалось в качестве основания для</w:t>
      </w:r>
      <w:r w:rsidRPr="00F47154">
        <w:t xml:space="preserve"> освобожден</w:t>
      </w:r>
      <w:r w:rsidRPr="00F47154">
        <w:rPr>
          <w:color w:val="000000"/>
        </w:rPr>
        <w:t>ия задержанного в силу недопустимого с ним обращения</w:t>
      </w:r>
      <w:r w:rsidRPr="00F47154">
        <w:t>.</w:t>
      </w:r>
      <w:r w:rsidRPr="00AC7B5C">
        <w:t xml:space="preserve"> </w:t>
      </w:r>
    </w:p>
    <w:p w:rsidR="00082BF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В связи с озабоченностью, выраженной Комитетом в своих прежних заключительных замечаниях</w:t>
      </w:r>
      <w:r w:rsidRPr="00F47154">
        <w:rPr>
          <w:rStyle w:val="FootnoteReference"/>
        </w:rPr>
        <w:footnoteReference w:id="20"/>
      </w:r>
      <w:r w:rsidRPr="00F47154">
        <w:t>, какие меры приняты государством-участником для решения вопроса о различиях в определении ребенка в Израиле и на оккупированных палестинских территориях?</w:t>
      </w:r>
      <w:r w:rsidRPr="00730EB2">
        <w:t xml:space="preserve"> </w:t>
      </w:r>
      <w:r w:rsidR="0054525E">
        <w:t xml:space="preserve"> </w:t>
      </w:r>
      <w:r w:rsidRPr="00F47154">
        <w:t>Просьба прокомментировать то утверждение, что приговоры на оккупированных территориях выносятся исходя из возраста ребенка в момент вынесения приговора, а не совершения правонарушения.</w:t>
      </w:r>
      <w:r w:rsidRPr="00AC7B5C">
        <w:t xml:space="preserve"> </w:t>
      </w:r>
    </w:p>
    <w:p w:rsidR="007F5201" w:rsidRDefault="007F5201" w:rsidP="007F520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</w:p>
    <w:p w:rsidR="007F5201" w:rsidRPr="00AC7B5C" w:rsidRDefault="007F5201" w:rsidP="007F520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Просьба указать компетентную юрисдикцию для рассмотрения дел детей, обвиняемых в соответствии с военными приказами.</w:t>
      </w:r>
      <w:r w:rsidRPr="00AC7B5C">
        <w:t xml:space="preserve"> </w:t>
      </w:r>
      <w:r w:rsidR="0054525E">
        <w:t xml:space="preserve"> </w:t>
      </w:r>
      <w:r w:rsidRPr="00F47154">
        <w:t>Получают ли судьи и судебные работники, занимающиеся делами несовершеннолетних, подготовку по вопросам международного права и стандартов, защищающих права ребенка?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 xml:space="preserve">Комитет получил сообщения </w:t>
      </w:r>
      <w:r w:rsidRPr="00F47154">
        <w:rPr>
          <w:color w:val="000000"/>
        </w:rPr>
        <w:t>случаях допросов</w:t>
      </w:r>
      <w:r w:rsidRPr="00F47154">
        <w:t xml:space="preserve"> задержанных</w:t>
      </w:r>
      <w:r>
        <w:t xml:space="preserve"> </w:t>
      </w:r>
      <w:r w:rsidRPr="00F47154">
        <w:t>палестинских дет</w:t>
      </w:r>
      <w:r w:rsidRPr="00F47154">
        <w:rPr>
          <w:color w:val="000000"/>
        </w:rPr>
        <w:t>ей</w:t>
      </w:r>
      <w:r w:rsidRPr="00F47154">
        <w:t xml:space="preserve"> в отсутствие адвоката или члена семьи.</w:t>
      </w:r>
      <w:r w:rsidRPr="00AC7B5C">
        <w:t xml:space="preserve"> </w:t>
      </w:r>
      <w:r w:rsidR="0054525E">
        <w:t xml:space="preserve"> </w:t>
      </w:r>
      <w:r w:rsidRPr="00F47154">
        <w:rPr>
          <w:color w:val="000000"/>
        </w:rPr>
        <w:t>Кроме того, в сообщениях НПО утверждается, что в 95% случаев в израильских судах, рассматривающих дела палестинских детей, осуждение основывается на признании.</w:t>
      </w:r>
      <w:r>
        <w:rPr>
          <w:color w:val="000000"/>
        </w:rPr>
        <w:t xml:space="preserve"> </w:t>
      </w:r>
      <w:r w:rsidR="0054525E">
        <w:rPr>
          <w:color w:val="000000"/>
        </w:rPr>
        <w:t xml:space="preserve"> </w:t>
      </w:r>
      <w:r w:rsidRPr="00F47154">
        <w:t xml:space="preserve">Просьба прокомментировать эти утверждения и представить подробную информацию о мерах, принятых государством-участником </w:t>
      </w:r>
      <w:r>
        <w:t>для</w:t>
      </w:r>
      <w:r w:rsidRPr="00F47154">
        <w:t xml:space="preserve"> обеспечени</w:t>
      </w:r>
      <w:r>
        <w:t>я</w:t>
      </w:r>
      <w:r w:rsidRPr="00F47154">
        <w:t xml:space="preserve"> защиты задержанных детей на оккупированных территориях, в том числе с помощью </w:t>
      </w:r>
      <w:r>
        <w:t>предоставления им</w:t>
      </w:r>
      <w:r w:rsidRPr="00F47154">
        <w:t xml:space="preserve"> основных гарантий.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rPr>
          <w:color w:val="000000"/>
        </w:rPr>
        <w:t>Согласно докладу Специального докладчика по вопросу о поощрении и защите прав человека и основных свобод в условиях борьбы с терроризмом</w:t>
      </w:r>
      <w:r>
        <w:rPr>
          <w:color w:val="000000"/>
        </w:rPr>
        <w:t>,</w:t>
      </w:r>
      <w:r w:rsidRPr="00F47154">
        <w:rPr>
          <w:color w:val="000000"/>
        </w:rPr>
        <w:t xml:space="preserve"> в 2006 году было арестовано 700 несовершеннолетних палестинцев, причем 25 из них содержалось под стражей на основании приказов об административном задержании</w:t>
      </w:r>
      <w:r>
        <w:rPr>
          <w:rStyle w:val="FootnoteReference"/>
          <w:color w:val="000000"/>
        </w:rPr>
        <w:footnoteReference w:id="21"/>
      </w:r>
      <w:r w:rsidRPr="00F47154">
        <w:rPr>
          <w:color w:val="000000"/>
        </w:rPr>
        <w:t>.</w:t>
      </w:r>
      <w:r w:rsidRPr="00AC7B5C">
        <w:t xml:space="preserve"> </w:t>
      </w:r>
      <w:r w:rsidR="00781A71">
        <w:t xml:space="preserve"> </w:t>
      </w:r>
      <w:r w:rsidRPr="008725C8">
        <w:rPr>
          <w:color w:val="000000"/>
        </w:rPr>
        <w:t>Специальный докладчик получил также сообщения о том, что тюремные власти применяли одиночное заключение для побуждения несовершеннолетних к признанию своей вины или в качестве наказания за нарушения тюремного распорядка</w:t>
      </w:r>
      <w:r>
        <w:rPr>
          <w:rStyle w:val="FootnoteReference"/>
          <w:color w:val="000000"/>
        </w:rPr>
        <w:footnoteReference w:id="22"/>
      </w:r>
      <w:r w:rsidRPr="00F47154">
        <w:t>.</w:t>
      </w:r>
      <w:r w:rsidRPr="00AC7B5C">
        <w:t xml:space="preserve"> </w:t>
      </w:r>
      <w:r w:rsidR="00781A71">
        <w:t xml:space="preserve"> </w:t>
      </w:r>
      <w:r w:rsidRPr="00F47154">
        <w:rPr>
          <w:color w:val="000000"/>
        </w:rPr>
        <w:t>Насколько, по мнению государства-участника, эти утверждения согласуются с правилом 67 Стандартных минимальных правил Организации Объединенных Наций в области отправления правосудия в отношении несовершеннолетних</w:t>
      </w:r>
      <w:r>
        <w:rPr>
          <w:color w:val="000000"/>
        </w:rPr>
        <w:t xml:space="preserve"> (Пекинские правила)</w:t>
      </w:r>
      <w:r w:rsidRPr="00F47154">
        <w:rPr>
          <w:color w:val="000000"/>
        </w:rPr>
        <w:t>, которые запрещают применение в отношении детей дисциплинарных мер, включая одиночное заключение?</w:t>
      </w:r>
      <w:r w:rsidRPr="00AC7B5C">
        <w:t xml:space="preserve"> </w:t>
      </w:r>
      <w:r w:rsidR="00781A71">
        <w:t xml:space="preserve"> </w:t>
      </w:r>
      <w:r w:rsidRPr="00F47154">
        <w:rPr>
          <w:color w:val="000000"/>
        </w:rPr>
        <w:t>Гарантирует ли государство-участник применение лишения свободы в качестве самой крайней меры?</w:t>
      </w:r>
    </w:p>
    <w:p w:rsidR="00082BF4" w:rsidRPr="009B4D71" w:rsidRDefault="00082BF4" w:rsidP="00B470CA">
      <w:pPr>
        <w:spacing w:after="120"/>
        <w:jc w:val="center"/>
        <w:rPr>
          <w:b/>
          <w:lang w:val="en-US"/>
        </w:rPr>
      </w:pPr>
      <w:r w:rsidRPr="00F47154">
        <w:rPr>
          <w:b/>
        </w:rPr>
        <w:t>Статья 12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В соответствии с докладом государства-участника</w:t>
      </w:r>
      <w:r w:rsidRPr="00F47154">
        <w:rPr>
          <w:rStyle w:val="FootnoteReference"/>
        </w:rPr>
        <w:footnoteReference w:id="23"/>
      </w:r>
      <w:r w:rsidRPr="00F47154">
        <w:t xml:space="preserve"> в Управление расследования сотрудников полиции министерства юстиции в 2004 году было подано 1 273 жалобы. </w:t>
      </w:r>
      <w:r w:rsidR="00781A71">
        <w:t xml:space="preserve"> </w:t>
      </w:r>
      <w:r w:rsidRPr="00F47154">
        <w:t xml:space="preserve">Сколько из этих жалоб связано с пытками или жестоким обращением? </w:t>
      </w:r>
      <w:r w:rsidR="00781A71">
        <w:t xml:space="preserve"> </w:t>
      </w:r>
      <w:r w:rsidRPr="00F47154">
        <w:t>В докладе также говорится</w:t>
      </w:r>
      <w:r w:rsidRPr="00F47154">
        <w:rPr>
          <w:rStyle w:val="FootnoteReference"/>
        </w:rPr>
        <w:footnoteReference w:id="24"/>
      </w:r>
      <w:r w:rsidR="00440BCF">
        <w:t>,</w:t>
      </w:r>
      <w:r w:rsidRPr="00F47154">
        <w:t xml:space="preserve"> что из этих 1 273 жалоб по 49 жалобам было возбуждено уголовное дело. </w:t>
      </w:r>
      <w:r w:rsidR="00781A71">
        <w:t xml:space="preserve"> </w:t>
      </w:r>
      <w:r w:rsidRPr="00F47154">
        <w:t>По</w:t>
      </w:r>
      <w:r w:rsidR="00781A71">
        <w:t> </w:t>
      </w:r>
      <w:r w:rsidRPr="00F47154">
        <w:t xml:space="preserve">скольким из них разбирательство завершилось осуждением обвиняемого? </w:t>
      </w:r>
      <w:r w:rsidR="00781A71">
        <w:t xml:space="preserve"> </w:t>
      </w:r>
      <w:r w:rsidRPr="00F47154">
        <w:t xml:space="preserve">Какие меры наказания были </w:t>
      </w:r>
      <w:r>
        <w:t>назначены</w:t>
      </w:r>
      <w:r w:rsidRPr="00F47154">
        <w:t xml:space="preserve"> осужденным?</w:t>
      </w:r>
      <w:r w:rsidRPr="00AC7B5C">
        <w:t xml:space="preserve"> 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В докладе говорится о некоторых положениях закона об Израильском агентстве безопасности № 5762 2002 года</w:t>
      </w:r>
      <w:r>
        <w:rPr>
          <w:rStyle w:val="FootnoteReference"/>
        </w:rPr>
        <w:footnoteReference w:id="25"/>
      </w:r>
      <w:r w:rsidRPr="00F47154">
        <w:t>.</w:t>
      </w:r>
      <w:r w:rsidR="00781A71">
        <w:t xml:space="preserve"> </w:t>
      </w:r>
      <w:r>
        <w:t xml:space="preserve"> </w:t>
      </w:r>
      <w:r w:rsidRPr="00F47154">
        <w:t>Просьба пояснить, как государство-участник обеспечивает беспристрастность при рассмотрении жалоб на ИАБ или его сотрудников, когда в соответствии со статьей 7 закона контролер Агентства назначается премьер-министром в консультации с главой ИАБ.</w:t>
      </w:r>
      <w:r w:rsidRPr="00AC7B5C">
        <w:t xml:space="preserve"> </w:t>
      </w:r>
      <w:r w:rsidR="00781A71">
        <w:t xml:space="preserve"> </w:t>
      </w:r>
      <w:r w:rsidRPr="00F47154">
        <w:t xml:space="preserve">В соответствии со статьей 18 закона "Сотрудник ИАБ… не несет уголовной или гражданской ответственности за любое действие или бездействие, совершенное им добросовестно и на разумных основаниях, в рамках и при исполнении должностных обязанностей". </w:t>
      </w:r>
      <w:r w:rsidR="00781A71">
        <w:t xml:space="preserve"> </w:t>
      </w:r>
      <w:r w:rsidRPr="00F47154">
        <w:t xml:space="preserve">Просьба представить подробную информацию о числе, виде и результатах жалоб на ИАБ или его сотрудников. </w:t>
      </w:r>
      <w:r w:rsidR="00781A71">
        <w:t xml:space="preserve"> </w:t>
      </w:r>
      <w:r w:rsidRPr="00F47154">
        <w:t xml:space="preserve">Сколько из них было уволено на основании статьи 18? </w:t>
      </w:r>
      <w:r w:rsidR="00781A71">
        <w:t xml:space="preserve"> </w:t>
      </w:r>
      <w:r w:rsidRPr="00F47154">
        <w:t>Просьба пояснить, насколько широко применяется исключение, предусмотренное в статье 18, имеется ли какой-либо независимый орган контроля или проверки ее применения и как это соотносится с обязательствами по статье 12 и другими положениями Конвенции.</w:t>
      </w:r>
      <w:r w:rsidRPr="00AC7B5C">
        <w:t xml:space="preserve"> </w:t>
      </w:r>
    </w:p>
    <w:p w:rsidR="00082BF4" w:rsidRPr="002C6AC8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  <w:rPr>
          <w:b/>
        </w:rPr>
      </w:pPr>
      <w:r w:rsidRPr="00F47154">
        <w:t>Просьба представить подробную информацию о результатах судебной комиссии, упоминаемой в пункте 50 h) заключений Комитета, и обновленную информацию для Комитета относительно причин решения, принятого Генеральным прокурором 27 января 2008 года, не предъявлять обвинения сотрудникам или офицерам полиции, обвиняемым в убийстве 13 невооруженных палестинских граждан Израиля в ходе демонстраций протеста в Израиле в октябре 2000 года.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  <w:rPr>
          <w:b/>
        </w:rPr>
      </w:pPr>
      <w:r w:rsidRPr="00F47154">
        <w:t>Просьба представить обновленные статистические данные, касающиеся жалоб на пытки, поданные на ИАБ и ИСО и Израильскую пенитенциарную службу (ИПС), результатах расследования этих жалоб и судебном преследовании и наказании, вынесенном тем, кто был признан виновным.</w:t>
      </w:r>
      <w:r w:rsidRPr="00AC7B5C">
        <w:t xml:space="preserve"> </w:t>
      </w:r>
    </w:p>
    <w:p w:rsidR="00082BF4" w:rsidRPr="009B4D71" w:rsidRDefault="00082BF4" w:rsidP="00B470CA">
      <w:pPr>
        <w:spacing w:after="240"/>
        <w:jc w:val="center"/>
        <w:rPr>
          <w:b/>
          <w:lang w:val="en-US"/>
        </w:rPr>
      </w:pPr>
      <w:r w:rsidRPr="00F47154">
        <w:rPr>
          <w:b/>
        </w:rPr>
        <w:t>Статья 14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Просьба представить обновленную информацию о состоянии принятия закона о гражданском вреде (ответственность государства) (поправка № 8) 2008 года.</w:t>
      </w:r>
      <w:r w:rsidRPr="00AC7B5C">
        <w:t xml:space="preserve"> </w:t>
      </w:r>
      <w:r w:rsidR="002C6AC8">
        <w:t xml:space="preserve"> </w:t>
      </w:r>
      <w:r w:rsidRPr="00872031">
        <w:rPr>
          <w:color w:val="000000"/>
        </w:rPr>
        <w:t>Согласно имеющейся у Комитета информации неправительственных организаций</w:t>
      </w:r>
      <w:r w:rsidRPr="00F47154">
        <w:t>, цель этого закона - лишить жителей оккупированных палестинских территорий возможности предъявления делик</w:t>
      </w:r>
      <w:r w:rsidR="00B52568">
        <w:t>а</w:t>
      </w:r>
      <w:r w:rsidRPr="00F47154">
        <w:t>тных исков израильским силам безопасности в израильских судах за любой причиненный ущерб, даже если он стал результатом действий, совершенных не в связи с "актом войны".</w:t>
      </w:r>
      <w:r w:rsidR="002C6AC8">
        <w:t xml:space="preserve"> </w:t>
      </w:r>
      <w:r w:rsidRPr="000F2D6E">
        <w:t xml:space="preserve"> </w:t>
      </w:r>
      <w:r w:rsidRPr="00F47154">
        <w:t>Просьба прокомментировать это утверждение, а также то, как этот закон мог бы быть совместим со статьей 14 Конвенции.</w:t>
      </w:r>
    </w:p>
    <w:p w:rsidR="00082BF4" w:rsidRPr="009B4D71" w:rsidRDefault="00082BF4" w:rsidP="00B470CA">
      <w:pPr>
        <w:spacing w:after="120"/>
        <w:jc w:val="center"/>
        <w:rPr>
          <w:b/>
          <w:lang w:val="en-US"/>
        </w:rPr>
      </w:pPr>
      <w:r w:rsidRPr="00F47154">
        <w:rPr>
          <w:b/>
        </w:rPr>
        <w:t>Статья 15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ind w:left="0" w:firstLine="0"/>
      </w:pPr>
      <w:r w:rsidRPr="00F47154">
        <w:t>В докладе государства-участника</w:t>
      </w:r>
      <w:r w:rsidRPr="00F47154">
        <w:rPr>
          <w:rStyle w:val="FootnoteReference"/>
        </w:rPr>
        <w:footnoteReference w:id="26"/>
      </w:r>
      <w:r w:rsidRPr="00F47154">
        <w:t xml:space="preserve"> </w:t>
      </w:r>
      <w:r w:rsidRPr="00F47154">
        <w:rPr>
          <w:color w:val="000000"/>
        </w:rPr>
        <w:t>отмечается</w:t>
      </w:r>
      <w:r w:rsidRPr="00F47154">
        <w:t xml:space="preserve"> решение, принятое израильским Верховным судом, С.А. 5121/98, рядовой Ишасаров против Главного военного прокурора и др., в котором излагается его доктрина исключения неправомерно полученных доказательств.</w:t>
      </w:r>
      <w:r w:rsidRPr="00AC7B5C">
        <w:t xml:space="preserve"> </w:t>
      </w:r>
      <w:r w:rsidR="002C6AC8">
        <w:t xml:space="preserve"> </w:t>
      </w:r>
      <w:r w:rsidRPr="00F47154">
        <w:t>Однако вопрос о том, приобщить или не приобщить незаконно полученные доказательства к делу, по-видимому, решается по усмотрению судьи по-видимому, решается по усмотрению судьи</w:t>
      </w:r>
      <w:r w:rsidRPr="00F47154">
        <w:rPr>
          <w:rStyle w:val="FootnoteReference"/>
        </w:rPr>
        <w:footnoteReference w:id="27"/>
      </w:r>
      <w:r w:rsidRPr="00F47154">
        <w:t>.</w:t>
      </w:r>
      <w:r w:rsidR="002C6AC8">
        <w:t xml:space="preserve">  </w:t>
      </w:r>
      <w:r w:rsidRPr="00F47154">
        <w:t>Кроме того, хотя в докладе поясняется, что Суд потребовал широкого толкования статьи 12 Положения о доказательствах, он прямо отмечает, что Суд не выносил решения об исключении признания обвиняемого на основании пыток и того, что "основанием для исключения доказательств в соответствии со статьей 12 теперь может служить более широкий круг обстоятельств"</w:t>
      </w:r>
      <w:r w:rsidRPr="00F47154">
        <w:rPr>
          <w:rStyle w:val="FootnoteReference"/>
        </w:rPr>
        <w:footnoteReference w:id="28"/>
      </w:r>
      <w:r w:rsidRPr="00F47154">
        <w:t xml:space="preserve">.  Исходя из этого, как государство-участник обеспечивает в соответствии со статьей 15 Конвенции то, что любое заявление, сделанное в результате пыток, не используется как свидетельство в любых разбирательствах? </w:t>
      </w:r>
      <w:r w:rsidR="002C6AC8">
        <w:t xml:space="preserve"> </w:t>
      </w:r>
      <w:r w:rsidRPr="00F47154">
        <w:t xml:space="preserve">В соответствии с сообщениями, имеющимися у Комитета, палестинских задержанных вынуждают давать письменные признания ex ante на иврите в конце процесса допроса, которые затем используются в качестве главного свидетельства против них в военных судах. </w:t>
      </w:r>
      <w:r w:rsidR="002C6AC8">
        <w:t xml:space="preserve"> </w:t>
      </w:r>
      <w:r w:rsidRPr="00F47154">
        <w:t>Какие меры существуют для предоставления задержанным услуг по переводу при допросе?</w:t>
      </w:r>
      <w:r w:rsidRPr="00AC7B5C">
        <w:t xml:space="preserve"> </w:t>
      </w:r>
    </w:p>
    <w:p w:rsidR="00082BF4" w:rsidRPr="009B4D71" w:rsidRDefault="00082BF4" w:rsidP="00B470CA">
      <w:pPr>
        <w:spacing w:after="120"/>
        <w:jc w:val="center"/>
        <w:rPr>
          <w:b/>
          <w:lang w:val="en-US"/>
        </w:rPr>
      </w:pPr>
      <w:r w:rsidRPr="00F47154">
        <w:t>С</w:t>
      </w:r>
      <w:r w:rsidRPr="0026399F">
        <w:rPr>
          <w:color w:val="000000"/>
        </w:rPr>
        <w:t>татья</w:t>
      </w:r>
      <w:r w:rsidRPr="00F47154">
        <w:t xml:space="preserve"> 16</w:t>
      </w:r>
    </w:p>
    <w:p w:rsidR="00082BF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E905F4">
        <w:t>Просьба представить информацию о полученных Комитетом утверждениях, что палестинцы, "задержанные по соображениям безопасности", содержатся в одиночных камерах следственных изоляторов площадью 3-6 кв.</w:t>
      </w:r>
      <w:r w:rsidRPr="00E905F4">
        <w:rPr>
          <w:lang w:val="en-US"/>
        </w:rPr>
        <w:t> </w:t>
      </w:r>
      <w:r w:rsidRPr="00E905F4">
        <w:t xml:space="preserve">м без окон, в которые не попадает </w:t>
      </w:r>
      <w:r>
        <w:t>дневной свет или свежий воздух</w:t>
      </w:r>
      <w:r w:rsidRPr="00E905F4">
        <w:t xml:space="preserve">.  Просьба пояснить, распространяется ли и в каких случаях Уголовно–процессуальное положение, устанавливающее определенные минимальные условия содержания задержанных, на лиц, задержанных по соображениям безопасности.  </w:t>
      </w:r>
      <w:r w:rsidRPr="00AC7B5C">
        <w:t xml:space="preserve">Просьба представить статистику и информацию о любых жалобах на такие условия, в том числе об их итогах.  </w:t>
      </w:r>
    </w:p>
    <w:p w:rsidR="00C65665" w:rsidRDefault="00C65665" w:rsidP="00C65665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</w:p>
    <w:p w:rsidR="00C65665" w:rsidRPr="00AC7B5C" w:rsidRDefault="00C65665" w:rsidP="00C65665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</w:pPr>
      <w:r>
        <w:br w:type="page"/>
      </w:r>
    </w:p>
    <w:p w:rsidR="00082BF4" w:rsidRPr="00E905F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E905F4">
        <w:t>Какие меры приняты государством–участником по осуществлению предыдущей рекомендации Комитета</w:t>
      </w:r>
      <w:r w:rsidRPr="00F47154" w:rsidDel="00E905F4">
        <w:t xml:space="preserve"> </w:t>
      </w:r>
      <w:r w:rsidRPr="009B4D71">
        <w:rPr>
          <w:rStyle w:val="FootnoteReference"/>
          <w:lang w:val="en-US"/>
        </w:rPr>
        <w:footnoteReference w:id="29"/>
      </w:r>
      <w:r w:rsidRPr="00E905F4">
        <w:t xml:space="preserve"> воздерживаться от мер по установлению блокады и сносу домов в тех случаях, когда они представляют собой нарушения статьи 16 Конвенции?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443F94">
        <w:t xml:space="preserve">В соответствии с информацией, имеющейся у Комитета, израильские военные прибегают к использованию палестинских гражданских лиц в ситуациях, которые могут </w:t>
      </w:r>
      <w:r>
        <w:t>создавать опасность для их жизни</w:t>
      </w:r>
      <w:r w:rsidRPr="00443F94">
        <w:t>, например заставляя их "</w:t>
      </w:r>
      <w:r>
        <w:t>вызвать</w:t>
      </w:r>
      <w:r w:rsidRPr="00443F94">
        <w:t xml:space="preserve"> сосед</w:t>
      </w:r>
      <w:r>
        <w:t>а</w:t>
      </w:r>
      <w:r w:rsidRPr="00443F94">
        <w:t xml:space="preserve">".  </w:t>
      </w:r>
      <w:r w:rsidRPr="00AC7B5C">
        <w:t xml:space="preserve">Просьба сообщить о том, используется ли такая практика в настоящее время и какие меры были приняты государством–участником по предотвращению или действенному расследованию такой практики. </w:t>
      </w:r>
    </w:p>
    <w:p w:rsidR="00082BF4" w:rsidRPr="00AC7B5C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443F94">
        <w:t>По информации, имеющейся у Комитета, все тюрьмы, в которых содержатся палестинцы, задержанные по соображениям безопасности,</w:t>
      </w:r>
      <w:r>
        <w:t xml:space="preserve"> </w:t>
      </w:r>
      <w:r w:rsidRPr="00443F94">
        <w:t>за исключением одной</w:t>
      </w:r>
      <w:r>
        <w:t xml:space="preserve"> такой тюрьмы,</w:t>
      </w:r>
      <w:r w:rsidRPr="00443F94">
        <w:t xml:space="preserve"> находятся внутри Израиля, вследствие чего заключенные не могут иметь свидания с родственниками, поскольку тем не предоставляется разрешения на въезд в Израиль.  </w:t>
      </w:r>
      <w:r w:rsidRPr="00AC7B5C">
        <w:t xml:space="preserve">Просьба представить подробную обновленную информацию о порядке предоставления ПС палестинским задержанным свиданий с родственниками и применяемых ограничениях, а также представить подробную статистическую информацию о таких свиданиях. </w:t>
      </w:r>
    </w:p>
    <w:p w:rsidR="00082BF4" w:rsidRPr="001A5805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1A5805">
        <w:t>Просьба представить подробную и обновленную информацию о сообщениях о том, что отказники по убеждениям</w:t>
      </w:r>
      <w:r>
        <w:t xml:space="preserve"> совести</w:t>
      </w:r>
      <w:r w:rsidRPr="001A5805">
        <w:t>, мужчины и женщины, выступающие против оккупации Израилем палестинских территорий, были заключены в тюрьму на срок до четырех месяцев.</w:t>
      </w:r>
    </w:p>
    <w:p w:rsidR="00082BF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1A5805">
        <w:t xml:space="preserve">Просьба представить информацию о законодательных и других мерах, принятых государством–участником для предотвращения насилия в семье и для квалификации таких деяний в качестве конкретного уголовного правонарушения.  </w:t>
      </w:r>
      <w:r w:rsidRPr="00AC7B5C">
        <w:t>Просьба представить информацию о числе расследований жалоб на насилие в семье и числе дел, возбужденных против правонарушителей, и вынесенных им приговорах</w:t>
      </w:r>
      <w:r>
        <w:t>.</w:t>
      </w:r>
      <w:r w:rsidRPr="00AC7B5C">
        <w:t xml:space="preserve"> </w:t>
      </w:r>
    </w:p>
    <w:p w:rsidR="00082BF4" w:rsidRPr="00F4715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  <w:rPr>
          <w:b/>
        </w:rPr>
      </w:pPr>
      <w:r>
        <w:t>Согласно</w:t>
      </w:r>
      <w:r w:rsidRPr="00AC7B5C">
        <w:t xml:space="preserve"> </w:t>
      </w:r>
      <w:r>
        <w:t>Консультативному</w:t>
      </w:r>
      <w:r w:rsidRPr="00AC7B5C">
        <w:t xml:space="preserve"> </w:t>
      </w:r>
      <w:r>
        <w:t>заключению</w:t>
      </w:r>
      <w:r w:rsidRPr="00AC7B5C">
        <w:t xml:space="preserve"> </w:t>
      </w:r>
      <w:r>
        <w:t>Международного</w:t>
      </w:r>
      <w:r w:rsidRPr="00AC7B5C">
        <w:t xml:space="preserve"> </w:t>
      </w:r>
      <w:r>
        <w:t>Суда</w:t>
      </w:r>
      <w:r w:rsidRPr="00AC7B5C">
        <w:t xml:space="preserve"> </w:t>
      </w:r>
      <w:r>
        <w:t>от</w:t>
      </w:r>
      <w:r w:rsidRPr="00AC7B5C">
        <w:t xml:space="preserve"> 9 </w:t>
      </w:r>
      <w:r>
        <w:t>июля</w:t>
      </w:r>
      <w:r w:rsidRPr="00AC7B5C">
        <w:t xml:space="preserve"> 2004</w:t>
      </w:r>
      <w:r w:rsidR="00905F08">
        <w:t> </w:t>
      </w:r>
      <w:r w:rsidRPr="00F47154">
        <w:t>года</w:t>
      </w:r>
      <w:r w:rsidRPr="00F47154">
        <w:rPr>
          <w:rStyle w:val="FootnoteReference"/>
          <w:lang w:val="en-US"/>
        </w:rPr>
        <w:footnoteReference w:id="30"/>
      </w:r>
      <w:r w:rsidRPr="00AC7B5C">
        <w:t xml:space="preserve">, </w:t>
      </w:r>
      <w:r w:rsidRPr="00F47154">
        <w:t>разделительный</w:t>
      </w:r>
      <w:r w:rsidRPr="00AC7B5C">
        <w:t xml:space="preserve"> </w:t>
      </w:r>
      <w:r w:rsidRPr="00F47154">
        <w:t>барьер</w:t>
      </w:r>
      <w:r w:rsidRPr="00AC7B5C">
        <w:t xml:space="preserve">, </w:t>
      </w:r>
      <w:r w:rsidRPr="00F47154">
        <w:t>значительная</w:t>
      </w:r>
      <w:r w:rsidRPr="00AC7B5C">
        <w:t xml:space="preserve"> </w:t>
      </w:r>
      <w:r w:rsidRPr="00F47154">
        <w:t>часть</w:t>
      </w:r>
      <w:r w:rsidRPr="00AC7B5C">
        <w:t xml:space="preserve"> </w:t>
      </w:r>
      <w:r w:rsidRPr="00F47154">
        <w:t>которого</w:t>
      </w:r>
      <w:r w:rsidRPr="00AC7B5C">
        <w:t xml:space="preserve"> </w:t>
      </w:r>
      <w:r w:rsidRPr="00F47154">
        <w:t>строится</w:t>
      </w:r>
      <w:r w:rsidRPr="00AC7B5C">
        <w:t xml:space="preserve"> </w:t>
      </w:r>
      <w:r w:rsidRPr="00F47154">
        <w:t>вне</w:t>
      </w:r>
      <w:r w:rsidRPr="00AC7B5C">
        <w:t xml:space="preserve"> "</w:t>
      </w:r>
      <w:r w:rsidRPr="00F47154">
        <w:t>Зеленой</w:t>
      </w:r>
      <w:r w:rsidRPr="00AC7B5C">
        <w:t xml:space="preserve"> </w:t>
      </w:r>
      <w:r w:rsidRPr="00F47154">
        <w:t>линии</w:t>
      </w:r>
      <w:r w:rsidRPr="00AC7B5C">
        <w:t xml:space="preserve">", </w:t>
      </w:r>
      <w:r>
        <w:t>влечет за собой</w:t>
      </w:r>
      <w:r w:rsidRPr="00AC7B5C">
        <w:t xml:space="preserve"> </w:t>
      </w:r>
      <w:r w:rsidRPr="00F47154">
        <w:t>ограничение</w:t>
      </w:r>
      <w:r w:rsidRPr="00AC7B5C">
        <w:t xml:space="preserve"> </w:t>
      </w:r>
      <w:r w:rsidRPr="00F47154">
        <w:t>свободы</w:t>
      </w:r>
      <w:r w:rsidRPr="00AC7B5C">
        <w:t xml:space="preserve"> </w:t>
      </w:r>
      <w:r w:rsidRPr="00F47154">
        <w:t>передвижения</w:t>
      </w:r>
      <w:r w:rsidRPr="00AC7B5C">
        <w:t xml:space="preserve"> </w:t>
      </w:r>
      <w:r w:rsidRPr="00F47154">
        <w:t>палестинцев</w:t>
      </w:r>
      <w:r w:rsidRPr="00AC7B5C">
        <w:t xml:space="preserve">. </w:t>
      </w:r>
      <w:r w:rsidR="00905F08">
        <w:t xml:space="preserve"> </w:t>
      </w:r>
      <w:r>
        <w:t>В</w:t>
      </w:r>
      <w:r w:rsidR="00905F08">
        <w:t> </w:t>
      </w:r>
      <w:r>
        <w:t>представленных</w:t>
      </w:r>
      <w:r w:rsidRPr="00AC7B5C">
        <w:t xml:space="preserve"> </w:t>
      </w:r>
      <w:r>
        <w:t>в</w:t>
      </w:r>
      <w:r w:rsidRPr="00AC7B5C">
        <w:t xml:space="preserve"> </w:t>
      </w:r>
      <w:r>
        <w:t>Комитет</w:t>
      </w:r>
      <w:r w:rsidRPr="00AC7B5C">
        <w:t xml:space="preserve"> </w:t>
      </w:r>
      <w:r>
        <w:t>сообщениях</w:t>
      </w:r>
      <w:r w:rsidRPr="00AC7B5C">
        <w:t xml:space="preserve"> </w:t>
      </w:r>
      <w:r>
        <w:t>также</w:t>
      </w:r>
      <w:r w:rsidRPr="00AC7B5C">
        <w:t xml:space="preserve"> </w:t>
      </w:r>
      <w:r>
        <w:t>отмечается</w:t>
      </w:r>
      <w:r w:rsidRPr="00AC7B5C">
        <w:t xml:space="preserve">, </w:t>
      </w:r>
      <w:r>
        <w:t>что</w:t>
      </w:r>
      <w:r w:rsidRPr="00AC7B5C">
        <w:t xml:space="preserve"> </w:t>
      </w:r>
      <w:r>
        <w:t>многие</w:t>
      </w:r>
      <w:r w:rsidRPr="00AC7B5C">
        <w:t xml:space="preserve"> </w:t>
      </w:r>
      <w:r>
        <w:t>фермеры</w:t>
      </w:r>
      <w:r w:rsidRPr="00AC7B5C">
        <w:t xml:space="preserve"> </w:t>
      </w:r>
      <w:r>
        <w:t>остались</w:t>
      </w:r>
      <w:r w:rsidRPr="00AC7B5C">
        <w:t xml:space="preserve"> </w:t>
      </w:r>
      <w:r>
        <w:t>без</w:t>
      </w:r>
      <w:r w:rsidRPr="00AC7B5C">
        <w:t xml:space="preserve"> </w:t>
      </w:r>
      <w:r>
        <w:t>доступа</w:t>
      </w:r>
      <w:r w:rsidRPr="00AC7B5C">
        <w:t xml:space="preserve"> </w:t>
      </w:r>
      <w:r>
        <w:t>к</w:t>
      </w:r>
      <w:r w:rsidRPr="00AC7B5C">
        <w:t xml:space="preserve"> </w:t>
      </w:r>
      <w:r>
        <w:t>своим</w:t>
      </w:r>
      <w:r w:rsidRPr="00AC7B5C">
        <w:t xml:space="preserve"> </w:t>
      </w:r>
      <w:r>
        <w:t>землям</w:t>
      </w:r>
      <w:r w:rsidRPr="00AC7B5C">
        <w:t xml:space="preserve"> </w:t>
      </w:r>
      <w:r>
        <w:t>и</w:t>
      </w:r>
      <w:r w:rsidRPr="00AC7B5C">
        <w:t xml:space="preserve"> </w:t>
      </w:r>
      <w:r>
        <w:t>лишились</w:t>
      </w:r>
      <w:r w:rsidRPr="00AC7B5C">
        <w:t xml:space="preserve"> </w:t>
      </w:r>
      <w:r>
        <w:t>средств</w:t>
      </w:r>
      <w:r w:rsidRPr="00AC7B5C">
        <w:t xml:space="preserve"> </w:t>
      </w:r>
      <w:r>
        <w:t>к</w:t>
      </w:r>
      <w:r w:rsidRPr="00AC7B5C">
        <w:t xml:space="preserve"> </w:t>
      </w:r>
      <w:r>
        <w:t>существованию</w:t>
      </w:r>
      <w:r w:rsidRPr="00AC7B5C">
        <w:t xml:space="preserve"> </w:t>
      </w:r>
      <w:r>
        <w:t>в</w:t>
      </w:r>
      <w:r w:rsidRPr="00AC7B5C">
        <w:t xml:space="preserve"> </w:t>
      </w:r>
      <w:r>
        <w:t>результате</w:t>
      </w:r>
      <w:r w:rsidRPr="00AC7B5C">
        <w:t xml:space="preserve"> </w:t>
      </w:r>
      <w:r>
        <w:t>строительства</w:t>
      </w:r>
      <w:r w:rsidRPr="00AC7B5C">
        <w:t xml:space="preserve"> </w:t>
      </w:r>
      <w:r>
        <w:t>разделительного</w:t>
      </w:r>
      <w:r w:rsidRPr="00AC7B5C">
        <w:t xml:space="preserve"> </w:t>
      </w:r>
      <w:r>
        <w:t>барьера</w:t>
      </w:r>
      <w:r w:rsidRPr="00AC7B5C">
        <w:t xml:space="preserve">. </w:t>
      </w:r>
      <w:r w:rsidR="00905F08">
        <w:t xml:space="preserve"> </w:t>
      </w:r>
      <w:r>
        <w:t>Утверждается</w:t>
      </w:r>
      <w:r w:rsidRPr="00AC7B5C">
        <w:t xml:space="preserve">, </w:t>
      </w:r>
      <w:r>
        <w:t>что</w:t>
      </w:r>
      <w:r w:rsidRPr="00AC7B5C">
        <w:t xml:space="preserve"> </w:t>
      </w:r>
      <w:r>
        <w:t>такое</w:t>
      </w:r>
      <w:r w:rsidRPr="00AC7B5C">
        <w:t xml:space="preserve"> </w:t>
      </w:r>
      <w:r>
        <w:t>обращение</w:t>
      </w:r>
      <w:r w:rsidRPr="00AC7B5C">
        <w:t xml:space="preserve"> </w:t>
      </w:r>
      <w:r>
        <w:t>с</w:t>
      </w:r>
      <w:r w:rsidRPr="00AC7B5C">
        <w:t xml:space="preserve"> </w:t>
      </w:r>
      <w:r>
        <w:t>палестинцами</w:t>
      </w:r>
      <w:r w:rsidRPr="00AC7B5C">
        <w:t xml:space="preserve"> </w:t>
      </w:r>
      <w:r>
        <w:t>нарушает</w:t>
      </w:r>
      <w:r w:rsidRPr="00AC7B5C">
        <w:t xml:space="preserve"> </w:t>
      </w:r>
      <w:r>
        <w:t>статью</w:t>
      </w:r>
      <w:r w:rsidRPr="00AC7B5C">
        <w:t xml:space="preserve"> 16 </w:t>
      </w:r>
      <w:r>
        <w:t>Конвенции</w:t>
      </w:r>
      <w:r w:rsidRPr="00AC7B5C">
        <w:t xml:space="preserve">. </w:t>
      </w:r>
      <w:r w:rsidR="00905F08">
        <w:t xml:space="preserve"> </w:t>
      </w:r>
      <w:r>
        <w:t>Отмечается</w:t>
      </w:r>
      <w:r w:rsidRPr="00AC7B5C">
        <w:t xml:space="preserve"> </w:t>
      </w:r>
      <w:r>
        <w:t>также</w:t>
      </w:r>
      <w:r w:rsidRPr="00AC7B5C">
        <w:t xml:space="preserve">, </w:t>
      </w:r>
      <w:r>
        <w:t>что</w:t>
      </w:r>
      <w:r w:rsidRPr="00AC7B5C">
        <w:t xml:space="preserve">, </w:t>
      </w:r>
      <w:r>
        <w:t>хотя</w:t>
      </w:r>
      <w:r w:rsidRPr="00AC7B5C">
        <w:t xml:space="preserve"> </w:t>
      </w:r>
      <w:r>
        <w:t>палестинцы</w:t>
      </w:r>
      <w:r w:rsidRPr="00AC7B5C">
        <w:t xml:space="preserve"> </w:t>
      </w:r>
      <w:r>
        <w:t>имеют</w:t>
      </w:r>
      <w:r w:rsidRPr="00AC7B5C">
        <w:t xml:space="preserve"> </w:t>
      </w:r>
      <w:r>
        <w:t>право</w:t>
      </w:r>
      <w:r w:rsidRPr="00AC7B5C">
        <w:t xml:space="preserve"> </w:t>
      </w:r>
      <w:r>
        <w:t>обращаться</w:t>
      </w:r>
      <w:r w:rsidRPr="00AC7B5C">
        <w:t xml:space="preserve"> </w:t>
      </w:r>
      <w:r>
        <w:t>в</w:t>
      </w:r>
      <w:r w:rsidRPr="00AC7B5C">
        <w:t xml:space="preserve"> </w:t>
      </w:r>
      <w:r>
        <w:t>Высокий</w:t>
      </w:r>
      <w:r w:rsidRPr="00AC7B5C">
        <w:t xml:space="preserve"> </w:t>
      </w:r>
      <w:r>
        <w:t>суд</w:t>
      </w:r>
      <w:r w:rsidRPr="00AC7B5C">
        <w:t xml:space="preserve"> </w:t>
      </w:r>
      <w:r>
        <w:t>с</w:t>
      </w:r>
      <w:r w:rsidRPr="00AC7B5C">
        <w:t xml:space="preserve"> </w:t>
      </w:r>
      <w:r>
        <w:t>протестами</w:t>
      </w:r>
      <w:r w:rsidRPr="00AC7B5C">
        <w:t xml:space="preserve"> </w:t>
      </w:r>
      <w:r>
        <w:t>по</w:t>
      </w:r>
      <w:r w:rsidRPr="00AC7B5C">
        <w:t xml:space="preserve"> </w:t>
      </w:r>
      <w:r>
        <w:t>поводу</w:t>
      </w:r>
      <w:r w:rsidRPr="00AC7B5C">
        <w:t xml:space="preserve"> </w:t>
      </w:r>
      <w:r>
        <w:t>маршрута</w:t>
      </w:r>
      <w:r w:rsidRPr="00AC7B5C">
        <w:t xml:space="preserve"> </w:t>
      </w:r>
      <w:r>
        <w:t>пролегания разделительного</w:t>
      </w:r>
      <w:r w:rsidRPr="00AC7B5C">
        <w:t xml:space="preserve"> </w:t>
      </w:r>
      <w:r>
        <w:t>барьера</w:t>
      </w:r>
      <w:r w:rsidRPr="00AC7B5C">
        <w:t xml:space="preserve">, </w:t>
      </w:r>
      <w:r>
        <w:t>такие</w:t>
      </w:r>
      <w:r w:rsidRPr="00AC7B5C">
        <w:t xml:space="preserve"> </w:t>
      </w:r>
      <w:r>
        <w:t>протесты</w:t>
      </w:r>
      <w:r w:rsidRPr="00AC7B5C">
        <w:t xml:space="preserve"> </w:t>
      </w:r>
      <w:r>
        <w:t>зачастую</w:t>
      </w:r>
      <w:r w:rsidRPr="00AC7B5C">
        <w:t xml:space="preserve"> </w:t>
      </w:r>
      <w:r>
        <w:t>отклонялись</w:t>
      </w:r>
      <w:r w:rsidRPr="00AC7B5C">
        <w:t xml:space="preserve">, </w:t>
      </w:r>
      <w:r>
        <w:t>а</w:t>
      </w:r>
      <w:r w:rsidRPr="00AC7B5C">
        <w:t xml:space="preserve"> </w:t>
      </w:r>
      <w:r>
        <w:t>принятые</w:t>
      </w:r>
      <w:r w:rsidRPr="00AC7B5C">
        <w:t xml:space="preserve"> </w:t>
      </w:r>
      <w:r>
        <w:t>решения</w:t>
      </w:r>
      <w:r w:rsidRPr="00AC7B5C">
        <w:t xml:space="preserve"> </w:t>
      </w:r>
      <w:r>
        <w:t>об</w:t>
      </w:r>
      <w:r w:rsidRPr="00AC7B5C">
        <w:t xml:space="preserve"> </w:t>
      </w:r>
      <w:r>
        <w:t>изменении</w:t>
      </w:r>
      <w:r w:rsidRPr="00AC7B5C">
        <w:t xml:space="preserve"> </w:t>
      </w:r>
      <w:r>
        <w:t>маршрута</w:t>
      </w:r>
      <w:r w:rsidRPr="00AC7B5C">
        <w:t xml:space="preserve"> </w:t>
      </w:r>
      <w:r>
        <w:t>не</w:t>
      </w:r>
      <w:r w:rsidRPr="00AC7B5C">
        <w:t xml:space="preserve"> </w:t>
      </w:r>
      <w:r>
        <w:t>были</w:t>
      </w:r>
      <w:r w:rsidRPr="00AC7B5C">
        <w:t xml:space="preserve"> </w:t>
      </w:r>
      <w:r>
        <w:t>исполнены</w:t>
      </w:r>
      <w:r w:rsidRPr="00AC7B5C">
        <w:t xml:space="preserve"> </w:t>
      </w:r>
      <w:r>
        <w:t>израильскими</w:t>
      </w:r>
      <w:r w:rsidRPr="00AC7B5C">
        <w:t xml:space="preserve"> </w:t>
      </w:r>
      <w:r>
        <w:t>властями</w:t>
      </w:r>
      <w:r w:rsidRPr="00AC7B5C">
        <w:t xml:space="preserve">. </w:t>
      </w:r>
      <w:r w:rsidR="00905F08">
        <w:t xml:space="preserve"> </w:t>
      </w:r>
      <w:r>
        <w:t>Просьба</w:t>
      </w:r>
      <w:r w:rsidRPr="00F47154">
        <w:t xml:space="preserve"> </w:t>
      </w:r>
      <w:r>
        <w:t>прокомментировать</w:t>
      </w:r>
      <w:r w:rsidRPr="00F47154">
        <w:t xml:space="preserve"> </w:t>
      </w:r>
      <w:r>
        <w:t>эти</w:t>
      </w:r>
      <w:r w:rsidRPr="00F47154">
        <w:t xml:space="preserve"> </w:t>
      </w:r>
      <w:r>
        <w:t>утверждения</w:t>
      </w:r>
      <w:r w:rsidRPr="00F47154">
        <w:t xml:space="preserve"> </w:t>
      </w:r>
      <w:r>
        <w:t>с</w:t>
      </w:r>
      <w:r w:rsidRPr="00F47154">
        <w:t xml:space="preserve"> </w:t>
      </w:r>
      <w:r>
        <w:t>учетом</w:t>
      </w:r>
      <w:r w:rsidRPr="00F47154">
        <w:t xml:space="preserve"> </w:t>
      </w:r>
      <w:r>
        <w:t>обязательств</w:t>
      </w:r>
      <w:r w:rsidRPr="00F47154">
        <w:t xml:space="preserve"> </w:t>
      </w:r>
      <w:r>
        <w:t>государства</w:t>
      </w:r>
      <w:r w:rsidRPr="00F47154">
        <w:t>-</w:t>
      </w:r>
      <w:r>
        <w:t>участника</w:t>
      </w:r>
      <w:r w:rsidRPr="00F47154">
        <w:t xml:space="preserve"> </w:t>
      </w:r>
      <w:r>
        <w:t>в</w:t>
      </w:r>
      <w:r w:rsidRPr="00F47154">
        <w:t xml:space="preserve"> </w:t>
      </w:r>
      <w:r>
        <w:t>соответствии</w:t>
      </w:r>
      <w:r w:rsidRPr="00F47154">
        <w:t xml:space="preserve"> </w:t>
      </w:r>
      <w:r>
        <w:t>со</w:t>
      </w:r>
      <w:r w:rsidRPr="00F47154">
        <w:t xml:space="preserve"> </w:t>
      </w:r>
      <w:r>
        <w:t>статьями</w:t>
      </w:r>
      <w:r w:rsidRPr="00F47154">
        <w:t xml:space="preserve"> 12 </w:t>
      </w:r>
      <w:r>
        <w:t>и</w:t>
      </w:r>
      <w:r w:rsidRPr="00F47154">
        <w:t xml:space="preserve"> 16 Конвенции </w:t>
      </w:r>
      <w:r>
        <w:t xml:space="preserve">и </w:t>
      </w:r>
      <w:r w:rsidRPr="00F47154">
        <w:t>другими соответствующими положениями международного права.</w:t>
      </w:r>
    </w:p>
    <w:p w:rsidR="00082BF4" w:rsidRPr="009B4D71" w:rsidRDefault="00082BF4" w:rsidP="00B470CA">
      <w:pPr>
        <w:spacing w:after="240"/>
        <w:jc w:val="center"/>
        <w:rPr>
          <w:b/>
          <w:lang w:val="en-US"/>
        </w:rPr>
      </w:pPr>
      <w:r>
        <w:rPr>
          <w:b/>
        </w:rPr>
        <w:t>Другие вопросы</w:t>
      </w:r>
    </w:p>
    <w:p w:rsidR="00082BF4" w:rsidRPr="00F4715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Не рассматривало ли государство–участник вновь возможность снятия своей оговорки к статье 20?</w:t>
      </w:r>
    </w:p>
    <w:p w:rsidR="00082BF4" w:rsidRPr="00F4715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</w:pPr>
      <w:r w:rsidRPr="00F47154">
        <w:t>Не рассматривает ли государство–участник возможность сделать соответствующие заявления по статье 22?</w:t>
      </w:r>
    </w:p>
    <w:p w:rsidR="00082BF4" w:rsidRPr="00082BF4" w:rsidRDefault="00082BF4" w:rsidP="00B470CA">
      <w:pPr>
        <w:numPr>
          <w:ilvl w:val="0"/>
          <w:numId w:val="4"/>
        </w:numPr>
        <w:tabs>
          <w:tab w:val="clear" w:pos="567"/>
          <w:tab w:val="clear" w:pos="720"/>
          <w:tab w:val="clear" w:pos="1134"/>
          <w:tab w:val="clear" w:pos="1701"/>
          <w:tab w:val="clear" w:pos="2268"/>
          <w:tab w:val="clear" w:pos="6237"/>
        </w:tabs>
        <w:spacing w:after="240"/>
        <w:ind w:left="0" w:firstLine="0"/>
        <w:rPr>
          <w:b/>
          <w:bCs/>
        </w:rPr>
      </w:pPr>
      <w:r w:rsidRPr="00082BF4">
        <w:t>Не</w:t>
      </w:r>
      <w:r w:rsidRPr="00F47154">
        <w:t xml:space="preserve"> планирует ли государство–участник ратифицировать Факультативный протокол к Конвенции?  </w:t>
      </w:r>
      <w:r w:rsidRPr="00AC7B5C">
        <w:t>Если планирует, какие меры приняты государством–участником для создания или назначения национального органа, который проводил бы периодические посещения мест лишения свободы в целях предупреждения пыток и других видов жестокого, бесчеловечного или унижающего достоинство обращения и наказания?</w:t>
      </w:r>
      <w:r w:rsidRPr="00AC7B5C" w:rsidDel="00F47154">
        <w:t xml:space="preserve"> </w:t>
      </w:r>
    </w:p>
    <w:p w:rsidR="00082BF4" w:rsidRDefault="00082BF4" w:rsidP="00B470CA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  <w:rPr>
          <w:b/>
          <w:bCs/>
          <w:lang w:val="en-US"/>
        </w:rPr>
      </w:pPr>
    </w:p>
    <w:p w:rsidR="00082BF4" w:rsidRPr="00AC7B5C" w:rsidRDefault="00082BF4" w:rsidP="00B470CA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/>
        <w:jc w:val="center"/>
        <w:rPr>
          <w:b/>
          <w:bCs/>
        </w:rPr>
      </w:pPr>
      <w:r w:rsidRPr="00AC7B5C">
        <w:rPr>
          <w:rFonts w:eastAsia="SimSun"/>
          <w:b/>
          <w:bCs/>
          <w:lang w:eastAsia="zh-CN"/>
        </w:rPr>
        <w:t>-----</w:t>
      </w:r>
    </w:p>
    <w:p w:rsidR="004D5A73" w:rsidRPr="00082BF4" w:rsidRDefault="004D5A73" w:rsidP="00B470CA">
      <w:pPr>
        <w:tabs>
          <w:tab w:val="left" w:pos="0"/>
        </w:tabs>
        <w:suppressAutoHyphens/>
      </w:pPr>
    </w:p>
    <w:sectPr w:rsidR="004D5A73" w:rsidRPr="00082BF4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9DE" w:rsidRDefault="00F469DE">
      <w:r>
        <w:separator/>
      </w:r>
    </w:p>
  </w:endnote>
  <w:endnote w:type="continuationSeparator" w:id="0">
    <w:p w:rsidR="00F469DE" w:rsidRDefault="00F46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9DE" w:rsidRDefault="00F469DE">
      <w:r>
        <w:separator/>
      </w:r>
    </w:p>
  </w:footnote>
  <w:footnote w:type="continuationSeparator" w:id="0">
    <w:p w:rsidR="00F469DE" w:rsidRDefault="00F469DE">
      <w:r>
        <w:continuationSeparator/>
      </w:r>
    </w:p>
  </w:footnote>
  <w:footnote w:id="1">
    <w:p w:rsidR="0051647F" w:rsidRPr="005F7527" w:rsidRDefault="0051647F" w:rsidP="00921733">
      <w:pPr>
        <w:pStyle w:val="FootnoteText"/>
      </w:pPr>
      <w:r>
        <w:rPr>
          <w:rStyle w:val="FootnoteReference"/>
        </w:rPr>
        <w:footnoteRef/>
      </w:r>
      <w:r w:rsidRPr="00921733">
        <w:rPr>
          <w:i/>
        </w:rPr>
        <w:tab/>
      </w:r>
      <w:r w:rsidRPr="00B5189E">
        <w:rPr>
          <w:i/>
        </w:rPr>
        <w:t>Официальные отчеты Генеральной Ассамблеи, пятьдесят седьмая сессия</w:t>
      </w:r>
      <w:r>
        <w:t>, Дополнение № 44 (А/57/44), пункты 47-53.</w:t>
      </w:r>
    </w:p>
    <w:p w:rsidR="0051647F" w:rsidRPr="005F7527" w:rsidRDefault="0051647F" w:rsidP="00921733">
      <w:pPr>
        <w:pStyle w:val="FootnoteText"/>
      </w:pPr>
    </w:p>
  </w:footnote>
  <w:footnote w:id="2">
    <w:p w:rsidR="0051647F" w:rsidRDefault="0051647F" w:rsidP="009217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921733">
        <w:tab/>
      </w:r>
      <w:r>
        <w:t>Там же, пункт 53 а).</w:t>
      </w:r>
    </w:p>
    <w:p w:rsidR="0051647F" w:rsidRPr="00921733" w:rsidRDefault="0051647F" w:rsidP="00921733">
      <w:pPr>
        <w:pStyle w:val="FootnoteText"/>
        <w:rPr>
          <w:lang w:val="en-US"/>
        </w:rPr>
      </w:pPr>
    </w:p>
  </w:footnote>
  <w:footnote w:id="3">
    <w:p w:rsidR="0051647F" w:rsidRDefault="0051647F" w:rsidP="00921733">
      <w:pPr>
        <w:pStyle w:val="FootnoteText"/>
      </w:pPr>
      <w:r>
        <w:rPr>
          <w:rStyle w:val="FootnoteReference"/>
        </w:rPr>
        <w:footnoteRef/>
      </w:r>
      <w:r>
        <w:rPr>
          <w:lang w:val="en-US"/>
        </w:rPr>
        <w:tab/>
      </w:r>
      <w:r>
        <w:t xml:space="preserve">Там же, </w:t>
      </w:r>
      <w:r w:rsidRPr="00B5189E">
        <w:t xml:space="preserve">пункт 53 </w:t>
      </w:r>
      <w:r w:rsidRPr="00386974">
        <w:rPr>
          <w:lang w:val="en-US"/>
        </w:rPr>
        <w:t>i</w:t>
      </w:r>
      <w:r w:rsidRPr="00B5189E">
        <w:t>).</w:t>
      </w:r>
    </w:p>
    <w:p w:rsidR="0051647F" w:rsidRPr="00B5189E" w:rsidRDefault="0051647F" w:rsidP="00921733">
      <w:pPr>
        <w:pStyle w:val="FootnoteText"/>
      </w:pPr>
    </w:p>
  </w:footnote>
  <w:footnote w:id="4">
    <w:p w:rsidR="0051647F" w:rsidRPr="007D4753" w:rsidRDefault="0051647F" w:rsidP="00082BF4">
      <w:pPr>
        <w:pStyle w:val="FootnoteText"/>
      </w:pPr>
      <w:r w:rsidRPr="004F7BD1">
        <w:rPr>
          <w:rStyle w:val="FootnoteReference"/>
        </w:rPr>
        <w:footnoteRef/>
      </w:r>
      <w:r w:rsidRPr="007D4753">
        <w:tab/>
      </w:r>
      <w:r w:rsidRPr="00F47154">
        <w:rPr>
          <w:lang w:val="en-US"/>
        </w:rPr>
        <w:t>CAT</w:t>
      </w:r>
      <w:r w:rsidRPr="00AC7B5C">
        <w:t>/</w:t>
      </w:r>
      <w:r w:rsidRPr="00F47154">
        <w:rPr>
          <w:lang w:val="en-US"/>
        </w:rPr>
        <w:t>C</w:t>
      </w:r>
      <w:r w:rsidRPr="00AC7B5C">
        <w:t>/</w:t>
      </w:r>
      <w:r w:rsidRPr="00F47154">
        <w:rPr>
          <w:lang w:val="en-US"/>
        </w:rPr>
        <w:t>ISR</w:t>
      </w:r>
      <w:r w:rsidRPr="00AC7B5C">
        <w:t>/4, пункт 90.</w:t>
      </w:r>
    </w:p>
    <w:p w:rsidR="0051647F" w:rsidRPr="007D4753" w:rsidRDefault="0051647F" w:rsidP="00082BF4">
      <w:pPr>
        <w:pStyle w:val="FootnoteText"/>
      </w:pPr>
    </w:p>
  </w:footnote>
  <w:footnote w:id="5">
    <w:p w:rsidR="0051647F" w:rsidRPr="007D4753" w:rsidRDefault="0051647F" w:rsidP="00082BF4">
      <w:pPr>
        <w:pStyle w:val="FootnoteText"/>
      </w:pPr>
      <w:r>
        <w:rPr>
          <w:rStyle w:val="FootnoteReference"/>
        </w:rPr>
        <w:footnoteRef/>
      </w:r>
      <w:r w:rsidRPr="007D4753">
        <w:tab/>
      </w:r>
      <w:r>
        <w:t>А/57/44</w:t>
      </w:r>
      <w:r w:rsidRPr="008010BF">
        <w:t xml:space="preserve">, пункт </w:t>
      </w:r>
      <w:r>
        <w:t>52 е)</w:t>
      </w:r>
      <w:r w:rsidRPr="008010BF">
        <w:t>.</w:t>
      </w:r>
    </w:p>
    <w:p w:rsidR="0051647F" w:rsidRPr="007D4753" w:rsidRDefault="0051647F" w:rsidP="00082BF4">
      <w:pPr>
        <w:pStyle w:val="FootnoteText"/>
      </w:pPr>
    </w:p>
  </w:footnote>
  <w:footnote w:id="6">
    <w:p w:rsidR="0051647F" w:rsidRPr="007D4753" w:rsidRDefault="0051647F" w:rsidP="00082BF4">
      <w:pPr>
        <w:pStyle w:val="FootnoteText"/>
      </w:pPr>
      <w:r>
        <w:rPr>
          <w:rStyle w:val="FootnoteReference"/>
        </w:rPr>
        <w:footnoteRef/>
      </w:r>
      <w:r w:rsidRPr="007D4753">
        <w:tab/>
      </w:r>
      <w:r w:rsidRPr="00F47154">
        <w:rPr>
          <w:lang w:val="en-US"/>
        </w:rPr>
        <w:t>CAT</w:t>
      </w:r>
      <w:r w:rsidRPr="008010BF">
        <w:t>/</w:t>
      </w:r>
      <w:r w:rsidRPr="00F47154">
        <w:rPr>
          <w:lang w:val="en-US"/>
        </w:rPr>
        <w:t>C</w:t>
      </w:r>
      <w:r w:rsidRPr="008010BF">
        <w:t>/</w:t>
      </w:r>
      <w:r w:rsidRPr="00F47154">
        <w:rPr>
          <w:lang w:val="en-US"/>
        </w:rPr>
        <w:t>ISR</w:t>
      </w:r>
      <w:r w:rsidRPr="008010BF">
        <w:t>/4, пункт 90.</w:t>
      </w:r>
    </w:p>
    <w:p w:rsidR="0051647F" w:rsidRPr="007D4753" w:rsidRDefault="0051647F" w:rsidP="00082BF4">
      <w:pPr>
        <w:pStyle w:val="FootnoteText"/>
      </w:pPr>
    </w:p>
  </w:footnote>
  <w:footnote w:id="7">
    <w:p w:rsidR="0051647F" w:rsidRPr="007D4753" w:rsidRDefault="0051647F" w:rsidP="00082BF4">
      <w:pPr>
        <w:pStyle w:val="FootnoteText"/>
        <w:rPr>
          <w:color w:val="000000"/>
        </w:rPr>
      </w:pPr>
      <w:r>
        <w:rPr>
          <w:rStyle w:val="FootnoteReference"/>
        </w:rPr>
        <w:footnoteRef/>
      </w:r>
      <w:r w:rsidRPr="007D4753">
        <w:tab/>
      </w:r>
      <w:r w:rsidRPr="00141FBA">
        <w:rPr>
          <w:color w:val="000000"/>
        </w:rPr>
        <w:t>Доклад Специального докладчика по вопросу о поощрении и защите прав человека и основных свобод в условиях борьбы с терроризмом Мартина Шейнина о миссии в Израиль, включая посещение оккупированной палестинской территории, A/HRC/6/17/Add.4, ноябрь 2007 года, пункт 2</w:t>
      </w:r>
      <w:r>
        <w:rPr>
          <w:color w:val="000000"/>
        </w:rPr>
        <w:t>5</w:t>
      </w:r>
      <w:r w:rsidRPr="00141FBA">
        <w:rPr>
          <w:color w:val="000000"/>
        </w:rPr>
        <w:t>.</w:t>
      </w:r>
    </w:p>
    <w:p w:rsidR="0051647F" w:rsidRPr="007D4753" w:rsidRDefault="0051647F" w:rsidP="00082BF4">
      <w:pPr>
        <w:pStyle w:val="FootnoteText"/>
      </w:pPr>
    </w:p>
  </w:footnote>
  <w:footnote w:id="8">
    <w:p w:rsidR="0051647F" w:rsidRDefault="0051647F" w:rsidP="00082BF4">
      <w:pPr>
        <w:pStyle w:val="FootnoteText"/>
      </w:pPr>
      <w:r>
        <w:rPr>
          <w:rStyle w:val="FootnoteReference"/>
        </w:rPr>
        <w:footnoteRef/>
      </w:r>
      <w:r>
        <w:rPr>
          <w:lang w:val="en-US"/>
        </w:rPr>
        <w:tab/>
      </w:r>
      <w:r w:rsidRPr="00C45086">
        <w:rPr>
          <w:lang w:val="en-US"/>
        </w:rPr>
        <w:t>A</w:t>
      </w:r>
      <w:r w:rsidRPr="003A048F">
        <w:rPr>
          <w:lang w:val="en-US"/>
        </w:rPr>
        <w:t xml:space="preserve">/57/44 (2002), </w:t>
      </w:r>
      <w:r w:rsidRPr="007D4753">
        <w:t>пункт</w:t>
      </w:r>
      <w:r>
        <w:rPr>
          <w:lang w:val="en-US"/>
        </w:rPr>
        <w:t xml:space="preserve"> 53 </w:t>
      </w:r>
      <w:r w:rsidRPr="00C45086">
        <w:rPr>
          <w:lang w:val="en-US"/>
        </w:rPr>
        <w:t>c</w:t>
      </w:r>
      <w:r w:rsidRPr="003A048F">
        <w:rPr>
          <w:lang w:val="en-US"/>
        </w:rPr>
        <w:t>)</w:t>
      </w:r>
      <w:r>
        <w:t>.</w:t>
      </w:r>
    </w:p>
    <w:p w:rsidR="0051647F" w:rsidRPr="00B470CA" w:rsidRDefault="0051647F" w:rsidP="00082BF4">
      <w:pPr>
        <w:pStyle w:val="FootnoteText"/>
      </w:pPr>
    </w:p>
  </w:footnote>
  <w:footnote w:id="9">
    <w:p w:rsidR="0051647F" w:rsidRDefault="0051647F" w:rsidP="00082BF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ab/>
      </w:r>
      <w:r w:rsidRPr="00C45086">
        <w:rPr>
          <w:lang w:val="en-US"/>
        </w:rPr>
        <w:t>CAT</w:t>
      </w:r>
      <w:r w:rsidRPr="003A048F">
        <w:rPr>
          <w:lang w:val="en-US"/>
        </w:rPr>
        <w:t>/</w:t>
      </w:r>
      <w:r w:rsidRPr="00C45086">
        <w:rPr>
          <w:lang w:val="en-US"/>
        </w:rPr>
        <w:t>C</w:t>
      </w:r>
      <w:r w:rsidRPr="003A048F">
        <w:rPr>
          <w:lang w:val="en-US"/>
        </w:rPr>
        <w:t>/</w:t>
      </w:r>
      <w:r w:rsidRPr="00C45086">
        <w:rPr>
          <w:lang w:val="en-US"/>
        </w:rPr>
        <w:t>ISR</w:t>
      </w:r>
      <w:r w:rsidRPr="003A048F">
        <w:rPr>
          <w:lang w:val="en-US"/>
        </w:rPr>
        <w:t xml:space="preserve">/4, </w:t>
      </w:r>
      <w:r w:rsidRPr="007D4753">
        <w:t>пункты</w:t>
      </w:r>
      <w:r w:rsidRPr="003A048F">
        <w:rPr>
          <w:lang w:val="en-US"/>
        </w:rPr>
        <w:t xml:space="preserve"> 91</w:t>
      </w:r>
      <w:r>
        <w:rPr>
          <w:lang w:val="en-US"/>
        </w:rPr>
        <w:noBreakHyphen/>
      </w:r>
      <w:r w:rsidRPr="003A048F">
        <w:rPr>
          <w:lang w:val="en-US"/>
        </w:rPr>
        <w:t>93.</w:t>
      </w:r>
    </w:p>
    <w:p w:rsidR="0051647F" w:rsidRPr="003A048F" w:rsidRDefault="0051647F" w:rsidP="00082BF4">
      <w:pPr>
        <w:pStyle w:val="FootnoteText"/>
        <w:rPr>
          <w:lang w:val="en-US"/>
        </w:rPr>
      </w:pPr>
    </w:p>
  </w:footnote>
  <w:footnote w:id="10">
    <w:p w:rsidR="0051647F" w:rsidRDefault="0051647F" w:rsidP="00082BF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ab/>
      </w:r>
      <w:r>
        <w:t>Статья</w:t>
      </w:r>
      <w:r w:rsidRPr="003A048F">
        <w:rPr>
          <w:lang w:val="en-US"/>
        </w:rPr>
        <w:t xml:space="preserve"> 78 </w:t>
      </w:r>
      <w:r>
        <w:t>Израильского</w:t>
      </w:r>
      <w:r w:rsidRPr="003A048F">
        <w:rPr>
          <w:lang w:val="en-US"/>
        </w:rPr>
        <w:t xml:space="preserve"> </w:t>
      </w:r>
      <w:r>
        <w:t>военного</w:t>
      </w:r>
      <w:r w:rsidRPr="003A048F">
        <w:rPr>
          <w:lang w:val="en-US"/>
        </w:rPr>
        <w:t xml:space="preserve"> </w:t>
      </w:r>
      <w:r>
        <w:t>приказа</w:t>
      </w:r>
      <w:r w:rsidRPr="003A048F">
        <w:rPr>
          <w:lang w:val="en-US"/>
        </w:rPr>
        <w:t xml:space="preserve"> 378.</w:t>
      </w:r>
    </w:p>
    <w:p w:rsidR="0051647F" w:rsidRPr="003A048F" w:rsidRDefault="0051647F" w:rsidP="00082BF4">
      <w:pPr>
        <w:pStyle w:val="FootnoteText"/>
        <w:rPr>
          <w:lang w:val="en-US"/>
        </w:rPr>
      </w:pPr>
    </w:p>
  </w:footnote>
  <w:footnote w:id="11">
    <w:p w:rsidR="0051647F" w:rsidRDefault="0051647F" w:rsidP="00082BF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ab/>
      </w:r>
      <w:r w:rsidRPr="00CA0C5B">
        <w:rPr>
          <w:lang w:val="en-US"/>
        </w:rPr>
        <w:t>CAT</w:t>
      </w:r>
      <w:r w:rsidRPr="003A048F">
        <w:rPr>
          <w:lang w:val="en-US"/>
        </w:rPr>
        <w:t>/</w:t>
      </w:r>
      <w:r w:rsidRPr="00CA0C5B">
        <w:rPr>
          <w:lang w:val="en-US"/>
        </w:rPr>
        <w:t>C</w:t>
      </w:r>
      <w:r w:rsidRPr="003A048F">
        <w:rPr>
          <w:lang w:val="en-US"/>
        </w:rPr>
        <w:t>/</w:t>
      </w:r>
      <w:r w:rsidRPr="00CA0C5B">
        <w:rPr>
          <w:lang w:val="en-US"/>
        </w:rPr>
        <w:t>ISR</w:t>
      </w:r>
      <w:r w:rsidRPr="003A048F">
        <w:rPr>
          <w:lang w:val="en-US"/>
        </w:rPr>
        <w:t xml:space="preserve">/4, </w:t>
      </w:r>
      <w:r w:rsidRPr="00A443EA">
        <w:t>пункты</w:t>
      </w:r>
      <w:r w:rsidRPr="003A048F">
        <w:rPr>
          <w:lang w:val="en-US"/>
        </w:rPr>
        <w:t xml:space="preserve">. </w:t>
      </w:r>
      <w:r w:rsidRPr="00CA0C5B">
        <w:rPr>
          <w:lang w:val="en-US"/>
        </w:rPr>
        <w:t>94</w:t>
      </w:r>
      <w:r>
        <w:rPr>
          <w:lang w:val="en-US"/>
        </w:rPr>
        <w:noBreakHyphen/>
      </w:r>
      <w:r w:rsidRPr="00CA0C5B">
        <w:rPr>
          <w:lang w:val="en-US"/>
        </w:rPr>
        <w:t>100.</w:t>
      </w:r>
    </w:p>
    <w:p w:rsidR="0051647F" w:rsidRPr="00AC7B5C" w:rsidRDefault="0051647F" w:rsidP="00082BF4">
      <w:pPr>
        <w:pStyle w:val="FootnoteText"/>
        <w:rPr>
          <w:lang w:val="en-US"/>
        </w:rPr>
      </w:pPr>
    </w:p>
  </w:footnote>
  <w:footnote w:id="12">
    <w:p w:rsidR="0051647F" w:rsidRDefault="0051647F" w:rsidP="00082BF4">
      <w:pPr>
        <w:pStyle w:val="FootnoteText"/>
      </w:pPr>
      <w:r>
        <w:rPr>
          <w:rStyle w:val="FootnoteReference"/>
        </w:rPr>
        <w:footnoteRef/>
      </w:r>
      <w:r w:rsidRPr="005230C6">
        <w:tab/>
      </w:r>
      <w:r>
        <w:rPr>
          <w:lang w:val="en-US"/>
        </w:rPr>
        <w:t>A</w:t>
      </w:r>
      <w:r w:rsidRPr="005230C6">
        <w:t>/</w:t>
      </w:r>
      <w:r>
        <w:rPr>
          <w:lang w:val="en-US"/>
        </w:rPr>
        <w:t>HRC</w:t>
      </w:r>
      <w:r w:rsidRPr="005230C6">
        <w:t>/6/17/</w:t>
      </w:r>
      <w:r>
        <w:rPr>
          <w:lang w:val="en-US"/>
        </w:rPr>
        <w:t>Add</w:t>
      </w:r>
      <w:r w:rsidRPr="005230C6">
        <w:t xml:space="preserve">.4, </w:t>
      </w:r>
      <w:r>
        <w:t>пункт</w:t>
      </w:r>
      <w:r w:rsidRPr="005230C6">
        <w:t xml:space="preserve"> 24.</w:t>
      </w:r>
    </w:p>
    <w:p w:rsidR="0051647F" w:rsidRPr="005230C6" w:rsidRDefault="0051647F" w:rsidP="00082BF4">
      <w:pPr>
        <w:pStyle w:val="FootnoteText"/>
      </w:pPr>
    </w:p>
  </w:footnote>
  <w:footnote w:id="13">
    <w:p w:rsidR="0051647F" w:rsidRDefault="0051647F" w:rsidP="00082BF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5230C6">
        <w:tab/>
      </w:r>
      <w:r w:rsidRPr="00795F70">
        <w:rPr>
          <w:lang w:val="en-US"/>
        </w:rPr>
        <w:t>CAT</w:t>
      </w:r>
      <w:r w:rsidRPr="005230C6">
        <w:t>/</w:t>
      </w:r>
      <w:r w:rsidRPr="00795F70">
        <w:rPr>
          <w:lang w:val="en-US"/>
        </w:rPr>
        <w:t>C</w:t>
      </w:r>
      <w:r w:rsidRPr="005230C6">
        <w:t>/</w:t>
      </w:r>
      <w:r w:rsidRPr="00795F70">
        <w:rPr>
          <w:lang w:val="en-US"/>
        </w:rPr>
        <w:t>ISR</w:t>
      </w:r>
      <w:r w:rsidRPr="005230C6">
        <w:t>/4, пункт 77.</w:t>
      </w:r>
    </w:p>
    <w:p w:rsidR="0051647F" w:rsidRPr="005230C6" w:rsidRDefault="0051647F" w:rsidP="00082BF4">
      <w:pPr>
        <w:pStyle w:val="FootnoteText"/>
        <w:rPr>
          <w:lang w:val="en-US"/>
        </w:rPr>
      </w:pPr>
    </w:p>
  </w:footnote>
  <w:footnote w:id="14">
    <w:p w:rsidR="0051647F" w:rsidRDefault="0051647F" w:rsidP="00082BF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ab/>
      </w:r>
      <w:r w:rsidRPr="00795F70">
        <w:rPr>
          <w:lang w:val="en-US"/>
        </w:rPr>
        <w:t>HCJ</w:t>
      </w:r>
      <w:r w:rsidRPr="005230C6">
        <w:t xml:space="preserve"> 11447/04.</w:t>
      </w:r>
    </w:p>
    <w:p w:rsidR="0051647F" w:rsidRPr="005230C6" w:rsidRDefault="0051647F" w:rsidP="00082BF4">
      <w:pPr>
        <w:pStyle w:val="FootnoteText"/>
        <w:rPr>
          <w:lang w:val="en-US"/>
        </w:rPr>
      </w:pPr>
    </w:p>
  </w:footnote>
  <w:footnote w:id="15">
    <w:p w:rsidR="0051647F" w:rsidRDefault="0051647F" w:rsidP="00082BF4">
      <w:pPr>
        <w:pStyle w:val="FootnoteText"/>
      </w:pPr>
      <w:r>
        <w:rPr>
          <w:rStyle w:val="FootnoteReference"/>
        </w:rPr>
        <w:footnoteRef/>
      </w:r>
      <w:r w:rsidRPr="005230C6">
        <w:tab/>
      </w:r>
      <w:r w:rsidRPr="002475E9">
        <w:t>Доклад</w:t>
      </w:r>
      <w:r w:rsidRPr="005230C6">
        <w:t xml:space="preserve"> </w:t>
      </w:r>
      <w:r w:rsidRPr="002475E9">
        <w:t>Специального</w:t>
      </w:r>
      <w:r w:rsidRPr="005230C6">
        <w:t xml:space="preserve"> </w:t>
      </w:r>
      <w:r w:rsidRPr="002475E9">
        <w:t xml:space="preserve">докладчика по вопросу о борьбе с терроризмом Мартина Шейнина о миссии в Израиль, включая посещение оккупированной палестинской территории, </w:t>
      </w:r>
      <w:r>
        <w:rPr>
          <w:lang w:val="en-GB"/>
        </w:rPr>
        <w:t>A</w:t>
      </w:r>
      <w:r w:rsidRPr="002475E9">
        <w:t>/</w:t>
      </w:r>
      <w:r>
        <w:rPr>
          <w:lang w:val="en-GB"/>
        </w:rPr>
        <w:t>HRC</w:t>
      </w:r>
      <w:r w:rsidRPr="002475E9">
        <w:t>/6/17/</w:t>
      </w:r>
      <w:r>
        <w:rPr>
          <w:lang w:val="en-GB"/>
        </w:rPr>
        <w:t>Add</w:t>
      </w:r>
      <w:r w:rsidRPr="002475E9">
        <w:t xml:space="preserve">.4, ноябрь </w:t>
      </w:r>
      <w:r w:rsidRPr="00897CE4">
        <w:t>2007 года</w:t>
      </w:r>
      <w:r>
        <w:t>,</w:t>
      </w:r>
      <w:r w:rsidRPr="002475E9">
        <w:t xml:space="preserve"> </w:t>
      </w:r>
      <w:r>
        <w:t>пункт</w:t>
      </w:r>
      <w:r w:rsidRPr="002475E9">
        <w:t xml:space="preserve"> 21.</w:t>
      </w:r>
    </w:p>
    <w:p w:rsidR="0051647F" w:rsidRPr="002475E9" w:rsidRDefault="0051647F" w:rsidP="00082BF4">
      <w:pPr>
        <w:pStyle w:val="FootnoteText"/>
      </w:pPr>
    </w:p>
  </w:footnote>
  <w:footnote w:id="16">
    <w:p w:rsidR="0051647F" w:rsidRDefault="0051647F" w:rsidP="00082BF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3D0020">
        <w:tab/>
      </w:r>
      <w:r>
        <w:t>Д</w:t>
      </w:r>
      <w:r w:rsidRPr="00F47154">
        <w:t>оклад Специального докладчика по вопросу о насилии в отношении женщин</w:t>
      </w:r>
      <w:r>
        <w:t>, его причинах и последствиях</w:t>
      </w:r>
      <w:r w:rsidRPr="008725DC">
        <w:t xml:space="preserve">, </w:t>
      </w:r>
      <w:r w:rsidRPr="00897CE4">
        <w:rPr>
          <w:color w:val="000000"/>
        </w:rPr>
        <w:t>Якин</w:t>
      </w:r>
      <w:r>
        <w:rPr>
          <w:color w:val="000000"/>
        </w:rPr>
        <w:t>а</w:t>
      </w:r>
      <w:r w:rsidRPr="00897CE4">
        <w:rPr>
          <w:color w:val="000000"/>
        </w:rPr>
        <w:t xml:space="preserve"> Эртюрк</w:t>
      </w:r>
      <w:r>
        <w:rPr>
          <w:color w:val="000000"/>
        </w:rPr>
        <w:t>а</w:t>
      </w:r>
      <w:r w:rsidRPr="008725DC">
        <w:t xml:space="preserve">, </w:t>
      </w:r>
      <w:r>
        <w:t>Добавление</w:t>
      </w:r>
      <w:r w:rsidRPr="008725DC">
        <w:t xml:space="preserve">, </w:t>
      </w:r>
      <w:r>
        <w:t>Миссия на оккупированную палестинскую территорию</w:t>
      </w:r>
      <w:r w:rsidRPr="008725DC">
        <w:t xml:space="preserve">, </w:t>
      </w:r>
      <w:r>
        <w:t>принят</w:t>
      </w:r>
      <w:r w:rsidRPr="008725DC">
        <w:t xml:space="preserve"> 2 </w:t>
      </w:r>
      <w:r>
        <w:t>февраля</w:t>
      </w:r>
      <w:r w:rsidRPr="008725DC">
        <w:t xml:space="preserve"> 2005</w:t>
      </w:r>
      <w:r>
        <w:t xml:space="preserve"> года</w:t>
      </w:r>
      <w:r w:rsidRPr="008725DC">
        <w:t xml:space="preserve"> (</w:t>
      </w:r>
      <w:r w:rsidRPr="00E41406">
        <w:rPr>
          <w:lang w:val="en-US"/>
        </w:rPr>
        <w:t>E</w:t>
      </w:r>
      <w:r w:rsidRPr="008725DC">
        <w:t>/</w:t>
      </w:r>
      <w:r w:rsidRPr="00E41406">
        <w:rPr>
          <w:lang w:val="en-US"/>
        </w:rPr>
        <w:t>CN</w:t>
      </w:r>
      <w:r w:rsidRPr="008725DC">
        <w:t>.4/72/</w:t>
      </w:r>
      <w:r w:rsidRPr="00E41406">
        <w:rPr>
          <w:lang w:val="en-US"/>
        </w:rPr>
        <w:t>Add</w:t>
      </w:r>
      <w:r w:rsidRPr="008725DC">
        <w:t>.4), пункт 35.</w:t>
      </w:r>
    </w:p>
    <w:p w:rsidR="0051647F" w:rsidRPr="003D0020" w:rsidRDefault="0051647F" w:rsidP="00082BF4">
      <w:pPr>
        <w:pStyle w:val="FootnoteText"/>
        <w:rPr>
          <w:lang w:val="en-US"/>
        </w:rPr>
      </w:pPr>
    </w:p>
  </w:footnote>
  <w:footnote w:id="17">
    <w:p w:rsidR="0051647F" w:rsidRDefault="0051647F" w:rsidP="00082BF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ab/>
      </w:r>
      <w:r>
        <w:t>Там же, пункт 39.</w:t>
      </w:r>
    </w:p>
    <w:p w:rsidR="0051647F" w:rsidRPr="003D0020" w:rsidRDefault="0051647F" w:rsidP="00082BF4">
      <w:pPr>
        <w:pStyle w:val="FootnoteText"/>
        <w:rPr>
          <w:lang w:val="en-US"/>
        </w:rPr>
      </w:pPr>
    </w:p>
  </w:footnote>
  <w:footnote w:id="18">
    <w:p w:rsidR="0051647F" w:rsidRDefault="0051647F" w:rsidP="00082BF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ab/>
      </w:r>
      <w:r>
        <w:t xml:space="preserve">Там же, </w:t>
      </w:r>
      <w:r w:rsidRPr="00F47154">
        <w:t>пункт 40</w:t>
      </w:r>
      <w:r>
        <w:t>.</w:t>
      </w:r>
    </w:p>
    <w:p w:rsidR="0051647F" w:rsidRPr="003D0020" w:rsidRDefault="0051647F" w:rsidP="00082BF4">
      <w:pPr>
        <w:pStyle w:val="FootnoteText"/>
        <w:rPr>
          <w:lang w:val="en-US"/>
        </w:rPr>
      </w:pPr>
    </w:p>
  </w:footnote>
  <w:footnote w:id="19">
    <w:p w:rsidR="0051647F" w:rsidRPr="00EE0109" w:rsidRDefault="0051647F" w:rsidP="00082BF4">
      <w:pPr>
        <w:pStyle w:val="FootnoteText"/>
      </w:pPr>
      <w:r>
        <w:rPr>
          <w:rStyle w:val="FootnoteReference"/>
        </w:rPr>
        <w:footnoteRef/>
      </w:r>
      <w:r w:rsidRPr="003D0020">
        <w:tab/>
      </w:r>
      <w:r w:rsidRPr="0076330B">
        <w:rPr>
          <w:lang w:val="en-US"/>
        </w:rPr>
        <w:t>CAT</w:t>
      </w:r>
      <w:r w:rsidRPr="0017772F">
        <w:t>/</w:t>
      </w:r>
      <w:r w:rsidRPr="0076330B">
        <w:rPr>
          <w:lang w:val="en-US"/>
        </w:rPr>
        <w:t>C</w:t>
      </w:r>
      <w:r w:rsidRPr="0017772F">
        <w:t>/</w:t>
      </w:r>
      <w:r w:rsidRPr="0076330B">
        <w:rPr>
          <w:lang w:val="en-US"/>
        </w:rPr>
        <w:t>ISR</w:t>
      </w:r>
      <w:r w:rsidRPr="0017772F">
        <w:t xml:space="preserve">/4, пункты </w:t>
      </w:r>
      <w:r w:rsidRPr="00EE0109">
        <w:t xml:space="preserve">26 </w:t>
      </w:r>
      <w:r>
        <w:t>и</w:t>
      </w:r>
      <w:r w:rsidRPr="00EE0109">
        <w:t xml:space="preserve"> 27.</w:t>
      </w:r>
    </w:p>
  </w:footnote>
  <w:footnote w:id="20">
    <w:p w:rsidR="0051647F" w:rsidRPr="00082BF4" w:rsidRDefault="0051647F" w:rsidP="00082BF4">
      <w:pPr>
        <w:pStyle w:val="FootnoteText"/>
      </w:pPr>
      <w:r>
        <w:rPr>
          <w:rStyle w:val="FootnoteReference"/>
        </w:rPr>
        <w:footnoteRef/>
      </w:r>
      <w:r>
        <w:tab/>
      </w:r>
      <w:r w:rsidRPr="00FC3C96">
        <w:rPr>
          <w:lang w:val="en-US"/>
        </w:rPr>
        <w:t>A</w:t>
      </w:r>
      <w:r w:rsidRPr="00082BF4">
        <w:t xml:space="preserve">/57/44 (2002), </w:t>
      </w:r>
      <w:r>
        <w:t>пункт</w:t>
      </w:r>
      <w:r w:rsidRPr="00082BF4">
        <w:t xml:space="preserve"> 52 </w:t>
      </w:r>
      <w:r w:rsidRPr="00FC3C96">
        <w:rPr>
          <w:lang w:val="en-US"/>
        </w:rPr>
        <w:t>d</w:t>
      </w:r>
      <w:r w:rsidRPr="00082BF4">
        <w:t>).</w:t>
      </w:r>
    </w:p>
  </w:footnote>
  <w:footnote w:id="21">
    <w:p w:rsidR="0051647F" w:rsidRDefault="0051647F" w:rsidP="00082BF4">
      <w:pPr>
        <w:pStyle w:val="FootnoteText"/>
      </w:pPr>
      <w:r>
        <w:rPr>
          <w:rStyle w:val="FootnoteReference"/>
        </w:rPr>
        <w:footnoteRef/>
      </w:r>
      <w:r>
        <w:tab/>
        <w:t>А</w:t>
      </w:r>
      <w:r w:rsidRPr="00082BF4">
        <w:t>/</w:t>
      </w:r>
      <w:r>
        <w:rPr>
          <w:lang w:val="en-US"/>
        </w:rPr>
        <w:t>HRC</w:t>
      </w:r>
      <w:r w:rsidRPr="00082BF4">
        <w:t>/6/17/</w:t>
      </w:r>
      <w:r>
        <w:rPr>
          <w:lang w:val="en-US"/>
        </w:rPr>
        <w:t>Add</w:t>
      </w:r>
      <w:r w:rsidRPr="00082BF4">
        <w:t xml:space="preserve">.4, </w:t>
      </w:r>
      <w:r>
        <w:t>пункт</w:t>
      </w:r>
      <w:r w:rsidRPr="00082BF4">
        <w:t xml:space="preserve"> 28.</w:t>
      </w:r>
    </w:p>
    <w:p w:rsidR="0051647F" w:rsidRPr="00082BF4" w:rsidRDefault="0051647F" w:rsidP="00082BF4">
      <w:pPr>
        <w:pStyle w:val="FootnoteText"/>
      </w:pPr>
    </w:p>
  </w:footnote>
  <w:footnote w:id="22">
    <w:p w:rsidR="0051647F" w:rsidRDefault="0051647F" w:rsidP="00082BF4">
      <w:pPr>
        <w:pStyle w:val="FootnoteText"/>
      </w:pPr>
      <w:r>
        <w:rPr>
          <w:rStyle w:val="FootnoteReference"/>
        </w:rPr>
        <w:footnoteRef/>
      </w:r>
      <w:r>
        <w:tab/>
        <w:t>Там же.</w:t>
      </w:r>
    </w:p>
    <w:p w:rsidR="0051647F" w:rsidRPr="00B926D8" w:rsidRDefault="0051647F" w:rsidP="00082BF4">
      <w:pPr>
        <w:pStyle w:val="FootnoteText"/>
      </w:pPr>
    </w:p>
  </w:footnote>
  <w:footnote w:id="23">
    <w:p w:rsidR="0051647F" w:rsidRDefault="0051647F" w:rsidP="00082BF4">
      <w:pPr>
        <w:pStyle w:val="FootnoteText"/>
      </w:pPr>
      <w:r>
        <w:rPr>
          <w:rStyle w:val="FootnoteReference"/>
        </w:rPr>
        <w:footnoteRef/>
      </w:r>
      <w:r>
        <w:tab/>
      </w:r>
      <w:r w:rsidRPr="00FC3C96">
        <w:rPr>
          <w:lang w:val="en-US"/>
        </w:rPr>
        <w:t>CAT</w:t>
      </w:r>
      <w:r w:rsidRPr="00695450">
        <w:t>/</w:t>
      </w:r>
      <w:r w:rsidRPr="00FC3C96">
        <w:rPr>
          <w:lang w:val="en-US"/>
        </w:rPr>
        <w:t>C</w:t>
      </w:r>
      <w:r w:rsidRPr="00695450">
        <w:t>/</w:t>
      </w:r>
      <w:r w:rsidRPr="00FC3C96">
        <w:rPr>
          <w:lang w:val="en-US"/>
        </w:rPr>
        <w:t>ISR</w:t>
      </w:r>
      <w:r w:rsidRPr="00695450">
        <w:t xml:space="preserve">/4, пункт 38, </w:t>
      </w:r>
      <w:r>
        <w:t>таблица</w:t>
      </w:r>
      <w:r w:rsidRPr="00695450">
        <w:t xml:space="preserve"> 1.</w:t>
      </w:r>
    </w:p>
    <w:p w:rsidR="0051647F" w:rsidRPr="00695450" w:rsidRDefault="0051647F" w:rsidP="00082BF4">
      <w:pPr>
        <w:pStyle w:val="FootnoteText"/>
      </w:pPr>
    </w:p>
  </w:footnote>
  <w:footnote w:id="24">
    <w:p w:rsidR="0051647F" w:rsidRPr="006E5795" w:rsidRDefault="0051647F" w:rsidP="00082BF4">
      <w:pPr>
        <w:pStyle w:val="FootnoteText"/>
      </w:pPr>
      <w:r>
        <w:rPr>
          <w:rStyle w:val="FootnoteReference"/>
        </w:rPr>
        <w:footnoteRef/>
      </w:r>
      <w:r>
        <w:tab/>
        <w:t>Там же</w:t>
      </w:r>
      <w:r w:rsidRPr="006E5795">
        <w:t>.</w:t>
      </w:r>
    </w:p>
  </w:footnote>
  <w:footnote w:id="25">
    <w:p w:rsidR="0051647F" w:rsidRPr="006E5795" w:rsidRDefault="0051647F" w:rsidP="00082BF4">
      <w:pPr>
        <w:pStyle w:val="FootnoteText"/>
      </w:pPr>
      <w:r>
        <w:rPr>
          <w:rStyle w:val="FootnoteReference"/>
        </w:rPr>
        <w:footnoteRef/>
      </w:r>
      <w:r>
        <w:tab/>
        <w:t>Там же, пункты 16-25.</w:t>
      </w:r>
    </w:p>
  </w:footnote>
  <w:footnote w:id="26">
    <w:p w:rsidR="0051647F" w:rsidRDefault="0051647F" w:rsidP="00082BF4">
      <w:pPr>
        <w:pStyle w:val="FootnoteText"/>
      </w:pPr>
      <w:r>
        <w:rPr>
          <w:rStyle w:val="FootnoteReference"/>
        </w:rPr>
        <w:footnoteRef/>
      </w:r>
      <w:r>
        <w:tab/>
        <w:t>Там же</w:t>
      </w:r>
      <w:r w:rsidRPr="00695450">
        <w:t xml:space="preserve">, </w:t>
      </w:r>
      <w:r>
        <w:t>пункт</w:t>
      </w:r>
      <w:r w:rsidRPr="00695450">
        <w:t xml:space="preserve"> 80.</w:t>
      </w:r>
    </w:p>
    <w:p w:rsidR="0051647F" w:rsidRPr="00695450" w:rsidRDefault="0051647F" w:rsidP="00082BF4">
      <w:pPr>
        <w:pStyle w:val="FootnoteText"/>
      </w:pPr>
    </w:p>
  </w:footnote>
  <w:footnote w:id="27">
    <w:p w:rsidR="0051647F" w:rsidRDefault="0051647F" w:rsidP="00082BF4">
      <w:pPr>
        <w:pStyle w:val="FootnoteText"/>
      </w:pPr>
      <w:r>
        <w:rPr>
          <w:rStyle w:val="FootnoteReference"/>
        </w:rPr>
        <w:footnoteRef/>
      </w:r>
      <w:r>
        <w:tab/>
        <w:t>Там же</w:t>
      </w:r>
      <w:r w:rsidRPr="00695450">
        <w:t xml:space="preserve">, </w:t>
      </w:r>
      <w:r>
        <w:t>пункт</w:t>
      </w:r>
      <w:r w:rsidRPr="00695450">
        <w:t xml:space="preserve"> 82.</w:t>
      </w:r>
    </w:p>
    <w:p w:rsidR="0051647F" w:rsidRPr="00695450" w:rsidRDefault="0051647F" w:rsidP="00082BF4">
      <w:pPr>
        <w:pStyle w:val="FootnoteText"/>
      </w:pPr>
    </w:p>
  </w:footnote>
  <w:footnote w:id="28">
    <w:p w:rsidR="0051647F" w:rsidRDefault="0051647F" w:rsidP="00082BF4">
      <w:pPr>
        <w:pStyle w:val="FootnoteText"/>
      </w:pPr>
      <w:r>
        <w:rPr>
          <w:rStyle w:val="FootnoteReference"/>
        </w:rPr>
        <w:footnoteRef/>
      </w:r>
      <w:r>
        <w:tab/>
        <w:t>Там же</w:t>
      </w:r>
      <w:r w:rsidRPr="00082BF4">
        <w:t xml:space="preserve">, </w:t>
      </w:r>
      <w:r>
        <w:t>пункт</w:t>
      </w:r>
      <w:r w:rsidRPr="00082BF4">
        <w:t xml:space="preserve"> 85.</w:t>
      </w:r>
    </w:p>
    <w:p w:rsidR="0051647F" w:rsidRPr="00082BF4" w:rsidRDefault="0051647F" w:rsidP="00082BF4">
      <w:pPr>
        <w:pStyle w:val="FootnoteText"/>
      </w:pPr>
    </w:p>
  </w:footnote>
  <w:footnote w:id="29">
    <w:p w:rsidR="0051647F" w:rsidRDefault="0051647F" w:rsidP="00082BF4">
      <w:pPr>
        <w:pStyle w:val="FootnoteText"/>
      </w:pPr>
      <w:r w:rsidRPr="004F7BD1">
        <w:rPr>
          <w:rStyle w:val="FootnoteReference"/>
        </w:rPr>
        <w:footnoteRef/>
      </w:r>
      <w:r>
        <w:tab/>
      </w:r>
      <w:r w:rsidRPr="00F47154">
        <w:rPr>
          <w:lang w:val="es-ES"/>
        </w:rPr>
        <w:t xml:space="preserve">CAT A/57/44 (2002), </w:t>
      </w:r>
      <w:r>
        <w:rPr>
          <w:lang w:val="es-ES"/>
        </w:rPr>
        <w:t>пункт</w:t>
      </w:r>
      <w:r w:rsidRPr="00F47154">
        <w:rPr>
          <w:lang w:val="es-ES"/>
        </w:rPr>
        <w:t xml:space="preserve"> </w:t>
      </w:r>
      <w:r w:rsidRPr="00082BF4">
        <w:t xml:space="preserve">53 </w:t>
      </w:r>
      <w:r w:rsidRPr="00F47154">
        <w:rPr>
          <w:lang w:val="en-GB"/>
        </w:rPr>
        <w:t>g</w:t>
      </w:r>
      <w:r w:rsidRPr="00082BF4">
        <w:t>)</w:t>
      </w:r>
    </w:p>
    <w:p w:rsidR="0051647F" w:rsidRPr="00082BF4" w:rsidRDefault="0051647F" w:rsidP="00082BF4">
      <w:pPr>
        <w:pStyle w:val="FootnoteText"/>
      </w:pPr>
    </w:p>
  </w:footnote>
  <w:footnote w:id="30">
    <w:p w:rsidR="0051647F" w:rsidRPr="00CF03C3" w:rsidRDefault="0051647F" w:rsidP="00DB511D">
      <w:pPr>
        <w:spacing w:line="240" w:lineRule="auto"/>
        <w:jc w:val="both"/>
        <w:rPr>
          <w:sz w:val="20"/>
          <w:u w:val="single"/>
          <w:lang w:val="en-GB"/>
        </w:rPr>
      </w:pPr>
      <w:r w:rsidRPr="00CD16DE">
        <w:rPr>
          <w:rStyle w:val="FootnoteReference"/>
          <w:sz w:val="20"/>
        </w:rPr>
        <w:footnoteRef/>
      </w:r>
      <w:r w:rsidRPr="00DB511D">
        <w:rPr>
          <w:szCs w:val="24"/>
          <w:lang w:val="en-US"/>
        </w:rPr>
        <w:tab/>
      </w:r>
      <w:r w:rsidRPr="00DB511D">
        <w:rPr>
          <w:szCs w:val="24"/>
          <w:lang w:val="en-GB"/>
        </w:rPr>
        <w:t>International</w:t>
      </w:r>
      <w:r w:rsidRPr="00DB511D">
        <w:rPr>
          <w:szCs w:val="24"/>
          <w:lang w:val="en-US"/>
        </w:rPr>
        <w:t xml:space="preserve"> </w:t>
      </w:r>
      <w:r w:rsidRPr="00DB511D">
        <w:rPr>
          <w:szCs w:val="24"/>
          <w:lang w:val="en-GB"/>
        </w:rPr>
        <w:t>Court</w:t>
      </w:r>
      <w:r w:rsidRPr="00DB511D">
        <w:rPr>
          <w:szCs w:val="24"/>
          <w:lang w:val="en-US"/>
        </w:rPr>
        <w:t xml:space="preserve"> </w:t>
      </w:r>
      <w:r w:rsidRPr="00DB511D">
        <w:rPr>
          <w:szCs w:val="24"/>
          <w:lang w:val="en-GB"/>
        </w:rPr>
        <w:t>of</w:t>
      </w:r>
      <w:r w:rsidRPr="00DB511D">
        <w:rPr>
          <w:szCs w:val="24"/>
          <w:lang w:val="en-US"/>
        </w:rPr>
        <w:t xml:space="preserve"> </w:t>
      </w:r>
      <w:r w:rsidRPr="00DB511D">
        <w:rPr>
          <w:szCs w:val="24"/>
          <w:lang w:val="en-GB"/>
        </w:rPr>
        <w:t>Justice, Legal consequences of the construction of a wall in the Occupied Palestinian Territories, Advisory opinion of 9 July 2004.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47F" w:rsidRDefault="0051647F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CAT/C/ISR/Q/4</w:t>
    </w:r>
  </w:p>
  <w:p w:rsidR="0051647F" w:rsidRDefault="0051647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B5DE4">
      <w:rPr>
        <w:rStyle w:val="PageNumber"/>
        <w:noProof/>
      </w:rPr>
      <w:t>12</w:t>
    </w:r>
    <w:r>
      <w:rPr>
        <w:rStyle w:val="PageNumber"/>
      </w:rPr>
      <w:fldChar w:fldCharType="end"/>
    </w:r>
  </w:p>
  <w:p w:rsidR="0051647F" w:rsidRDefault="0051647F">
    <w:pPr>
      <w:pStyle w:val="Header"/>
      <w:tabs>
        <w:tab w:val="left" w:pos="6237"/>
      </w:tabs>
      <w:rPr>
        <w:rStyle w:val="PageNumber"/>
        <w:lang w:val="en-US"/>
      </w:rPr>
    </w:pPr>
  </w:p>
  <w:p w:rsidR="0051647F" w:rsidRDefault="0051647F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47F" w:rsidRDefault="0051647F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CAT/C/ISR/Q/4</w:t>
    </w:r>
  </w:p>
  <w:p w:rsidR="0051647F" w:rsidRDefault="0051647F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B5DE4">
      <w:rPr>
        <w:rStyle w:val="PageNumber"/>
        <w:noProof/>
      </w:rPr>
      <w:t>13</w:t>
    </w:r>
    <w:r>
      <w:rPr>
        <w:rStyle w:val="PageNumber"/>
      </w:rPr>
      <w:fldChar w:fldCharType="end"/>
    </w:r>
  </w:p>
  <w:p w:rsidR="0051647F" w:rsidRDefault="0051647F">
    <w:pPr>
      <w:pStyle w:val="Header"/>
      <w:tabs>
        <w:tab w:val="left" w:pos="6521"/>
      </w:tabs>
      <w:rPr>
        <w:rStyle w:val="PageNumber"/>
        <w:lang w:val="en-US"/>
      </w:rPr>
    </w:pPr>
  </w:p>
  <w:p w:rsidR="0051647F" w:rsidRDefault="0051647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8A065F"/>
    <w:multiLevelType w:val="multilevel"/>
    <w:tmpl w:val="6052A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290A1BAA"/>
    <w:multiLevelType w:val="hybridMultilevel"/>
    <w:tmpl w:val="2402B342"/>
    <w:lvl w:ilvl="0" w:tplc="3DD0C0FE">
      <w:start w:val="1"/>
      <w:numFmt w:val="bullet"/>
      <w:lvlText w:val=""/>
      <w:lvlJc w:val="left"/>
      <w:pPr>
        <w:tabs>
          <w:tab w:val="num" w:pos="927"/>
        </w:tabs>
        <w:ind w:left="927" w:hanging="567"/>
      </w:pPr>
      <w:rPr>
        <w:rFonts w:ascii="Wingdings" w:hAnsi="Wingdings"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1A1341"/>
    <w:multiLevelType w:val="hybridMultilevel"/>
    <w:tmpl w:val="6052AF1E"/>
    <w:lvl w:ilvl="0" w:tplc="A5DA2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2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74FB"/>
    <w:rsid w:val="00043C8A"/>
    <w:rsid w:val="0006477F"/>
    <w:rsid w:val="00082BF4"/>
    <w:rsid w:val="000974FB"/>
    <w:rsid w:val="000F6F00"/>
    <w:rsid w:val="002022C0"/>
    <w:rsid w:val="002402BA"/>
    <w:rsid w:val="00292D80"/>
    <w:rsid w:val="002C6AC8"/>
    <w:rsid w:val="003A048F"/>
    <w:rsid w:val="003D0020"/>
    <w:rsid w:val="00440BCF"/>
    <w:rsid w:val="00441BCC"/>
    <w:rsid w:val="0046387B"/>
    <w:rsid w:val="004B5DE4"/>
    <w:rsid w:val="004C0AD2"/>
    <w:rsid w:val="004D5A73"/>
    <w:rsid w:val="0051647F"/>
    <w:rsid w:val="005230C6"/>
    <w:rsid w:val="00533621"/>
    <w:rsid w:val="0054525E"/>
    <w:rsid w:val="005613A4"/>
    <w:rsid w:val="005F7527"/>
    <w:rsid w:val="006625D3"/>
    <w:rsid w:val="00781A71"/>
    <w:rsid w:val="007D249A"/>
    <w:rsid w:val="007D4753"/>
    <w:rsid w:val="007F5201"/>
    <w:rsid w:val="008F21BD"/>
    <w:rsid w:val="00905F08"/>
    <w:rsid w:val="00921733"/>
    <w:rsid w:val="00A85E86"/>
    <w:rsid w:val="00B470CA"/>
    <w:rsid w:val="00B52568"/>
    <w:rsid w:val="00BC0B2B"/>
    <w:rsid w:val="00C2410A"/>
    <w:rsid w:val="00C65665"/>
    <w:rsid w:val="00D50799"/>
    <w:rsid w:val="00DB511D"/>
    <w:rsid w:val="00E9057D"/>
    <w:rsid w:val="00F3503F"/>
    <w:rsid w:val="00F4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3874</Words>
  <Characters>22084</Characters>
  <Application>Microsoft Office Word</Application>
  <DocSecurity>4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Носкова</dc:creator>
  <cp:keywords/>
  <dc:description/>
  <cp:lastModifiedBy>Tpsrus</cp:lastModifiedBy>
  <cp:revision>3</cp:revision>
  <cp:lastPrinted>2009-03-03T07:39:00Z</cp:lastPrinted>
  <dcterms:created xsi:type="dcterms:W3CDTF">2009-03-03T07:39:00Z</dcterms:created>
  <dcterms:modified xsi:type="dcterms:W3CDTF">2009-03-03T07:40:00Z</dcterms:modified>
</cp:coreProperties>
</file>