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3310" w:rsidRDefault="008F3310" w:rsidP="008F3310">
      <w:pPr>
        <w:spacing w:line="60" w:lineRule="exact"/>
        <w:rPr>
          <w:sz w:val="6"/>
        </w:rPr>
        <w:sectPr w:rsidR="008F3310" w:rsidSect="008F331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8F3310" w:rsidRDefault="008F3310" w:rsidP="008F3310">
      <w:pPr>
        <w:spacing w:line="60" w:lineRule="exact"/>
        <w:rPr>
          <w:sz w:val="6"/>
        </w:rPr>
      </w:pPr>
    </w:p>
    <w:p w:rsidR="00A36B36" w:rsidRPr="00C8278A" w:rsidRDefault="00A36B36" w:rsidP="00A36B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0" w:hanging="1267"/>
        <w:rPr>
          <w:rFonts w:hint="eastAsia"/>
        </w:rPr>
      </w:pPr>
      <w:r w:rsidRPr="00C8278A">
        <w:rPr>
          <w:rFonts w:hint="eastAsia"/>
        </w:rPr>
        <w:t>消除对妇女歧视委员会</w:t>
      </w:r>
    </w:p>
    <w:p w:rsidR="00A36B36" w:rsidRPr="00C8278A" w:rsidRDefault="00A36B36" w:rsidP="00A36B36">
      <w:pPr>
        <w:pStyle w:val="SingleTxt"/>
        <w:spacing w:after="60"/>
        <w:ind w:left="0"/>
        <w:rPr>
          <w:rFonts w:ascii="SimHei" w:eastAsia="SimHei" w:hint="eastAsia"/>
          <w:color w:val="FF0000"/>
        </w:rPr>
      </w:pPr>
      <w:r w:rsidRPr="00C8278A">
        <w:rPr>
          <w:rFonts w:ascii="SimHei" w:eastAsia="SimHei" w:hint="eastAsia"/>
          <w:color w:val="FF0000"/>
        </w:rPr>
        <w:t>第三十六届会议</w:t>
      </w:r>
    </w:p>
    <w:p w:rsidR="00A36B36" w:rsidRDefault="00A36B36" w:rsidP="00A36B36">
      <w:pPr>
        <w:pStyle w:val="SingleTxt"/>
        <w:spacing w:after="360"/>
        <w:ind w:left="0"/>
        <w:rPr>
          <w:rFonts w:hint="eastAsia"/>
        </w:rPr>
      </w:pPr>
      <w:r>
        <w:rPr>
          <w:rFonts w:hint="eastAsia"/>
        </w:rPr>
        <w:t>2006年8月7日至25日</w:t>
      </w:r>
    </w:p>
    <w:p w:rsidR="00A36B36" w:rsidRDefault="00A36B36" w:rsidP="00F731D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ab/>
      </w:r>
      <w:r>
        <w:rPr>
          <w:rFonts w:hint="eastAsia"/>
        </w:rPr>
        <w:tab/>
        <w:t>消除对妇女歧视委员会的结论意见：佛得角</w:t>
      </w:r>
    </w:p>
    <w:p w:rsidR="00A36B36" w:rsidRPr="00A36B36" w:rsidRDefault="00A36B36" w:rsidP="00A36B36">
      <w:pPr>
        <w:pStyle w:val="SingleTxt"/>
        <w:spacing w:after="0" w:line="120" w:lineRule="exact"/>
        <w:rPr>
          <w:rFonts w:hint="eastAsia"/>
          <w:sz w:val="10"/>
        </w:rPr>
      </w:pPr>
    </w:p>
    <w:p w:rsidR="00A36B36" w:rsidRDefault="00A36B36" w:rsidP="00A36B36">
      <w:pPr>
        <w:pStyle w:val="SingleTxt"/>
        <w:spacing w:after="120"/>
        <w:rPr>
          <w:rFonts w:hint="eastAsia"/>
        </w:rPr>
      </w:pPr>
      <w:r>
        <w:rPr>
          <w:rFonts w:hint="eastAsia"/>
        </w:rPr>
        <w:t>1.</w:t>
      </w:r>
      <w:r>
        <w:rPr>
          <w:rFonts w:hint="eastAsia"/>
        </w:rPr>
        <w:tab/>
      </w:r>
      <w:r w:rsidRPr="005F7A17">
        <w:rPr>
          <w:rFonts w:hint="eastAsia"/>
          <w:spacing w:val="4"/>
        </w:rPr>
        <w:t>委员会2006年8月18日第753次和第754次会议（见CEDAW/C/SR.753</w:t>
      </w:r>
      <w:r>
        <w:rPr>
          <w:rFonts w:hint="eastAsia"/>
        </w:rPr>
        <w:t>和754）审议了佛得角初次、第二、第三、第四、第五和第六次合并定期报告（CEDAW/C/CPV/1-6）。委员会的议题和问题清单载于CEDAW/C/CPV/Q/6，佛得角的答复载于CEDAW/C/CPV/Q/6/Add.1。</w:t>
      </w:r>
    </w:p>
    <w:p w:rsidR="00A36B36" w:rsidRDefault="00A36B36" w:rsidP="00A36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A36B36" w:rsidRPr="005F7A17" w:rsidRDefault="00A36B36" w:rsidP="00A36B36">
      <w:pPr>
        <w:pStyle w:val="SingleTxt"/>
        <w:spacing w:after="0" w:line="120" w:lineRule="exact"/>
        <w:rPr>
          <w:rFonts w:hint="eastAsia"/>
          <w:sz w:val="10"/>
        </w:rPr>
      </w:pPr>
    </w:p>
    <w:p w:rsidR="00A36B36" w:rsidRDefault="00A36B36" w:rsidP="00A36B36">
      <w:pPr>
        <w:pStyle w:val="SingleTxt"/>
        <w:rPr>
          <w:rFonts w:hint="eastAsia"/>
        </w:rPr>
      </w:pPr>
      <w:r>
        <w:rPr>
          <w:rFonts w:hint="eastAsia"/>
        </w:rPr>
        <w:t>2.</w:t>
      </w:r>
      <w:r>
        <w:rPr>
          <w:rFonts w:hint="eastAsia"/>
        </w:rPr>
        <w:tab/>
        <w:t>委员会赞扬该缔约国未加保留地批准了《消除对妇女一切形式歧视公约》。委员会感谢缔约国提交初次、第二、第三、第四、第五和第六次合并定期报告。报告虽然遵循了委员会为编写报告制定的准则，但逾期过长，而且没有提及委员会的一般性建议。委员会感谢该缔约国的口头介绍、对会前工作组提出的议题和问题清单的书面答复以及对委员会口头提出问题的进一步澄清。</w:t>
      </w:r>
    </w:p>
    <w:p w:rsidR="00A36B36" w:rsidRDefault="00A36B36" w:rsidP="00A36B36">
      <w:pPr>
        <w:pStyle w:val="SingleTxt"/>
        <w:rPr>
          <w:rFonts w:hint="eastAsia"/>
        </w:rPr>
      </w:pPr>
      <w:r>
        <w:rPr>
          <w:rFonts w:hint="eastAsia"/>
        </w:rPr>
        <w:t>3.</w:t>
      </w:r>
      <w:r>
        <w:rPr>
          <w:rFonts w:hint="eastAsia"/>
        </w:rPr>
        <w:tab/>
        <w:t>委员会赞扬缔约国派出由部长会议主席团、国家改革和国防部长率领，包括佛得角常驻联合国代表、通晓《公约》所涉广泛领域专门知识的各部门代表的高级代表团。委员会赞赏该代表团和委员会成员之间坦诚和建设性的对话。</w:t>
      </w:r>
    </w:p>
    <w:p w:rsidR="00A36B36" w:rsidRDefault="00A36B36" w:rsidP="00A36B36">
      <w:pPr>
        <w:pStyle w:val="SingleTxt"/>
        <w:rPr>
          <w:rFonts w:hint="eastAsia"/>
        </w:rPr>
      </w:pPr>
      <w:r>
        <w:rPr>
          <w:rFonts w:hint="eastAsia"/>
        </w:rPr>
        <w:t>4．</w:t>
      </w:r>
      <w:r>
        <w:rPr>
          <w:rFonts w:hint="eastAsia"/>
        </w:rPr>
        <w:tab/>
        <w:t>委员会赞赏地注意到报告是在政府部门和非政府组织参与下编写的。</w:t>
      </w:r>
    </w:p>
    <w:p w:rsidR="00A36B36" w:rsidRDefault="00A36B36" w:rsidP="00A36B36">
      <w:pPr>
        <w:pStyle w:val="SingleTxt"/>
        <w:spacing w:after="180"/>
        <w:rPr>
          <w:rFonts w:hint="eastAsia"/>
        </w:rPr>
      </w:pPr>
      <w:r>
        <w:rPr>
          <w:rFonts w:hint="eastAsia"/>
        </w:rPr>
        <w:t>5.</w:t>
      </w:r>
      <w:r>
        <w:rPr>
          <w:rFonts w:hint="eastAsia"/>
        </w:rPr>
        <w:tab/>
        <w:t>委员会满意地注意到报告提到了该缔约国为实现第四次妇女问题世界会议通过的《北京宣言和行动纲要》所作的努力。</w:t>
      </w:r>
    </w:p>
    <w:p w:rsidR="00A36B36" w:rsidRDefault="00A36B36" w:rsidP="00A36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积极方面</w:t>
      </w:r>
    </w:p>
    <w:p w:rsidR="00A36B36" w:rsidRPr="005F7A17" w:rsidRDefault="00A36B36" w:rsidP="00A36B36">
      <w:pPr>
        <w:pStyle w:val="SingleTxt"/>
        <w:spacing w:after="0" w:line="120" w:lineRule="exact"/>
        <w:rPr>
          <w:rFonts w:hint="eastAsia"/>
          <w:sz w:val="10"/>
        </w:rPr>
      </w:pPr>
    </w:p>
    <w:p w:rsidR="00A36B36" w:rsidRDefault="00A36B36" w:rsidP="00A36B36">
      <w:pPr>
        <w:pStyle w:val="SingleTxt"/>
        <w:rPr>
          <w:rFonts w:hint="eastAsia"/>
        </w:rPr>
      </w:pPr>
      <w:r>
        <w:rPr>
          <w:rFonts w:hint="eastAsia"/>
        </w:rPr>
        <w:t>6.</w:t>
      </w:r>
      <w:r>
        <w:rPr>
          <w:rFonts w:hint="eastAsia"/>
        </w:rPr>
        <w:tab/>
        <w:t>委员会赞扬该缔约国通过人权框架推动男女平等和提高妇女地位，并在制订2005-2009年《国家两性平等和公平计划》和《国家减贫方案》时考虑到国际人权文书。</w:t>
      </w:r>
    </w:p>
    <w:p w:rsidR="00A36B36" w:rsidRDefault="00A36B36" w:rsidP="00A36B36">
      <w:pPr>
        <w:pStyle w:val="SingleTxt"/>
        <w:rPr>
          <w:rFonts w:hint="eastAsia"/>
        </w:rPr>
      </w:pPr>
      <w:r>
        <w:rPr>
          <w:rFonts w:hint="eastAsia"/>
        </w:rPr>
        <w:t>7.</w:t>
      </w:r>
      <w:r>
        <w:rPr>
          <w:rFonts w:hint="eastAsia"/>
        </w:rPr>
        <w:tab/>
        <w:t>委员会喜见该缔约国宣布的充分执行《公约》各项规定和迅速批准该公约任择议定书的承诺和政治意志。</w:t>
      </w:r>
    </w:p>
    <w:p w:rsidR="00A36B36" w:rsidRDefault="00A36B36" w:rsidP="00A36B36">
      <w:pPr>
        <w:pStyle w:val="SingleTxt"/>
        <w:rPr>
          <w:rFonts w:hint="eastAsia"/>
        </w:rPr>
      </w:pPr>
      <w:r>
        <w:rPr>
          <w:rFonts w:hint="eastAsia"/>
        </w:rPr>
        <w:t>8.</w:t>
      </w:r>
      <w:r>
        <w:rPr>
          <w:rFonts w:hint="eastAsia"/>
        </w:rPr>
        <w:tab/>
        <w:t>委员会祝贺该缔约国近来为遵守《公约》所规定义务进行的立法改革。委员会尤其喜见新的《刑法典》（2004年）、新的《刑事诉讼法》（2005年）、与法律援助有关的2004年11月8日第10/2004号法令和管理仲裁中心设立事项的2005年10月10日第8/2005号法令和成立调解中心的2005年5月9日第30/2005号法令生效，以及成立法律之家促进伸张正义和诉诸法律的2005年10月10日第62/2005号法令的颁布。</w:t>
      </w:r>
    </w:p>
    <w:p w:rsidR="00A36B36" w:rsidRDefault="00A36B36" w:rsidP="00A36B36">
      <w:pPr>
        <w:pStyle w:val="SingleTxt"/>
        <w:rPr>
          <w:rFonts w:hint="eastAsia"/>
        </w:rPr>
      </w:pPr>
      <w:r>
        <w:rPr>
          <w:rFonts w:hint="eastAsia"/>
        </w:rPr>
        <w:t>9.</w:t>
      </w:r>
      <w:r>
        <w:rPr>
          <w:rFonts w:hint="eastAsia"/>
        </w:rPr>
        <w:tab/>
        <w:t>委员会赞扬该缔约国1994年设立妇女地位研究所——后改名为两性平等和公平研究所，以及2004年设立全国保护人权和公民权委员会。它还赞扬该缔约国通过《国家减贫方案》、《人权和公民权行动计划》和2005-2009年《国家两性平等和公平计划》。</w:t>
      </w:r>
    </w:p>
    <w:p w:rsidR="00A36B36" w:rsidRDefault="00A36B36" w:rsidP="00A36B36">
      <w:pPr>
        <w:pStyle w:val="SingleTxt"/>
        <w:rPr>
          <w:rFonts w:hint="eastAsia"/>
        </w:rPr>
      </w:pPr>
      <w:r>
        <w:rPr>
          <w:rFonts w:hint="eastAsia"/>
        </w:rPr>
        <w:t>10.</w:t>
      </w:r>
      <w:r>
        <w:rPr>
          <w:rFonts w:hint="eastAsia"/>
        </w:rPr>
        <w:tab/>
        <w:t>委员会赞赏该缔约国在旨在执行《公约》的努力中与非政府组织经常合作与建立伙伴关系，尤其是向处境最为不利的妇女群体提供技术性职业培训方案，促进妇女的创收活动，落实提高意识的举措及有关家庭暴力和妇女权利的宣传，以及协助规划和执行关于男女平等问题的各项方案和项目。</w:t>
      </w:r>
    </w:p>
    <w:p w:rsidR="00A36B36" w:rsidRDefault="00A36B36" w:rsidP="00A36B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主要关切领域和建议</w:t>
      </w:r>
    </w:p>
    <w:p w:rsidR="00A36B36" w:rsidRPr="005F7A17" w:rsidRDefault="00A36B36" w:rsidP="00A36B36">
      <w:pPr>
        <w:pStyle w:val="SingleTxt"/>
        <w:spacing w:after="0" w:line="120" w:lineRule="exact"/>
        <w:rPr>
          <w:rFonts w:hint="eastAsia"/>
          <w:sz w:val="10"/>
        </w:rPr>
      </w:pPr>
    </w:p>
    <w:p w:rsidR="00A36B36" w:rsidRDefault="00A36B36" w:rsidP="00A36B36">
      <w:pPr>
        <w:pStyle w:val="SingleTxt"/>
        <w:rPr>
          <w:rFonts w:hint="eastAsia"/>
        </w:rPr>
      </w:pPr>
      <w:r>
        <w:rPr>
          <w:rFonts w:hint="eastAsia"/>
        </w:rPr>
        <w:t>11.</w:t>
      </w:r>
      <w:r>
        <w:rPr>
          <w:rFonts w:hint="eastAsia"/>
        </w:rPr>
        <w:tab/>
        <w:t>虽然注意到任何个人都可以在法庭上援引国际文书，但委员会关切的是，公约的规定，包括对《公约》加以解释的委员会一般性建议在全国尚未做到家喻户晓，而且在将基于性别的歧视案件提交法院审理时未加以利用。</w:t>
      </w:r>
    </w:p>
    <w:p w:rsidR="00A36B36" w:rsidRPr="00C8278A" w:rsidRDefault="00A36B36" w:rsidP="00A36B36">
      <w:pPr>
        <w:pStyle w:val="SingleTxt"/>
        <w:rPr>
          <w:rFonts w:ascii="SimHei" w:eastAsia="SimHei" w:hint="eastAsia"/>
          <w:color w:val="FF0000"/>
        </w:rPr>
      </w:pPr>
      <w:r w:rsidRPr="00C8278A">
        <w:rPr>
          <w:rFonts w:ascii="SimHei" w:eastAsia="SimHei" w:hint="eastAsia"/>
          <w:color w:val="FF0000"/>
        </w:rPr>
        <w:t>12.</w:t>
      </w:r>
      <w:r w:rsidRPr="00C8278A">
        <w:rPr>
          <w:rFonts w:ascii="SimHei" w:eastAsia="SimHei" w:hint="eastAsia"/>
          <w:color w:val="FF0000"/>
        </w:rPr>
        <w:tab/>
      </w:r>
      <w:r>
        <w:rPr>
          <w:rFonts w:ascii="SimHei" w:eastAsia="SimHei" w:hint="eastAsia"/>
          <w:color w:val="FF0000"/>
        </w:rPr>
        <w:t>委员会呼吁该缔约国向包括政府各部、国会议员</w:t>
      </w:r>
      <w:r w:rsidRPr="00C8278A">
        <w:rPr>
          <w:rFonts w:ascii="SimHei" w:eastAsia="SimHei" w:hint="eastAsia"/>
          <w:color w:val="FF0000"/>
        </w:rPr>
        <w:t>、司法机构、政党、非政府组织、私营部门和公众在内的所有利益攸关方广泛传播《公约》和委员会的一般性建议。委员会还鼓励该缔约国制订提高意识的方案，举办关于《公约》各项规定的培训，包括采取旨在提高各级法官、律师和检察官的敏感意识的举措。</w:t>
      </w:r>
    </w:p>
    <w:p w:rsidR="00A36B36" w:rsidRDefault="00A36B36" w:rsidP="00A36B36">
      <w:pPr>
        <w:pStyle w:val="SingleTxt"/>
        <w:spacing w:line="328" w:lineRule="exact"/>
        <w:rPr>
          <w:rFonts w:hint="eastAsia"/>
        </w:rPr>
      </w:pPr>
      <w:r>
        <w:rPr>
          <w:rFonts w:hint="eastAsia"/>
        </w:rPr>
        <w:t>13.</w:t>
      </w:r>
      <w:r>
        <w:rPr>
          <w:rFonts w:hint="eastAsia"/>
        </w:rPr>
        <w:tab/>
        <w:t>委员会注意到，虽然佛得角的《宪法》提到了平等原则，但该缔约国在其计划和方案中往往使用“公平”和“平等”这两个词。委员会关切的是，使用“公平”一词可能会在实现《公约》所要求的男女实质性平等方面引起歧义。</w:t>
      </w:r>
    </w:p>
    <w:p w:rsidR="00A36B36" w:rsidRPr="00C8278A" w:rsidRDefault="00A36B36" w:rsidP="00A36B36">
      <w:pPr>
        <w:pStyle w:val="SingleTxt"/>
        <w:spacing w:line="328" w:lineRule="exact"/>
        <w:rPr>
          <w:rFonts w:ascii="SimHei" w:eastAsia="SimHei" w:hint="eastAsia"/>
          <w:color w:val="FF0000"/>
        </w:rPr>
      </w:pPr>
      <w:r w:rsidRPr="00C8278A">
        <w:rPr>
          <w:rFonts w:ascii="SimHei" w:eastAsia="SimHei" w:hint="eastAsia"/>
          <w:color w:val="FF0000"/>
        </w:rPr>
        <w:t>14.</w:t>
      </w:r>
      <w:r w:rsidRPr="00C8278A">
        <w:rPr>
          <w:rFonts w:ascii="SimHei" w:eastAsia="SimHei" w:hint="eastAsia"/>
          <w:color w:val="FF0000"/>
        </w:rPr>
        <w:tab/>
        <w:t>委员会敦促该缔约国注意“公平”和“平等”两词传达的不同信息，并有必要避免概念混淆。《公约》旨在消除对妇女的歧视，并确保男女之间法律和事实上（正式和实质性的）的平等。委员会因此建议该缔约国按照《公约》第</w:t>
      </w:r>
      <w:r w:rsidR="00B635F6">
        <w:rPr>
          <w:rFonts w:ascii="SimHei" w:eastAsia="SimHei" w:hint="eastAsia"/>
          <w:color w:val="FF0000"/>
        </w:rPr>
        <w:t>二</w:t>
      </w:r>
      <w:r w:rsidRPr="00C8278A">
        <w:rPr>
          <w:rFonts w:ascii="SimHei" w:eastAsia="SimHei" w:hint="eastAsia"/>
          <w:color w:val="FF0000"/>
        </w:rPr>
        <w:t>条的要求，在其旨在切实贯彻男女平等原则的所有努力中使用“平等”一词。</w:t>
      </w:r>
    </w:p>
    <w:p w:rsidR="00A36B36" w:rsidRDefault="00A36B36" w:rsidP="00A36B36">
      <w:pPr>
        <w:pStyle w:val="SingleTxt"/>
        <w:rPr>
          <w:rFonts w:hint="eastAsia"/>
        </w:rPr>
      </w:pPr>
      <w:r>
        <w:rPr>
          <w:rFonts w:hint="eastAsia"/>
        </w:rPr>
        <w:t>15.</w:t>
      </w:r>
      <w:r>
        <w:rPr>
          <w:rFonts w:hint="eastAsia"/>
        </w:rPr>
        <w:tab/>
        <w:t>委员会虽然喜见佛得角过去几年用于提高妇女地位的国家机构的人力和财政资源有所增加，但感到关切的是，由于国家机构各项活动的主要经费都是国际组织提供的，国家机构将来有可能受缺乏资金之苦。委员会还担心所有公共机构有限执行将性别问题纳入主流的战略，以及缺乏一个强有力的机制来协调和评价将性别问题纳入主流的战略的执行情况和所取得的成就。</w:t>
      </w:r>
    </w:p>
    <w:p w:rsidR="00A36B36" w:rsidRPr="00C8278A" w:rsidRDefault="00A36B36" w:rsidP="00A36B36">
      <w:pPr>
        <w:pStyle w:val="SingleTxt"/>
        <w:rPr>
          <w:rFonts w:ascii="SimHei" w:eastAsia="SimHei" w:hint="eastAsia"/>
          <w:color w:val="FF0000"/>
        </w:rPr>
      </w:pPr>
      <w:r w:rsidRPr="00C8278A">
        <w:rPr>
          <w:rFonts w:ascii="SimHei" w:eastAsia="SimHei" w:hint="eastAsia"/>
          <w:color w:val="FF0000"/>
        </w:rPr>
        <w:t>16.</w:t>
      </w:r>
      <w:r w:rsidRPr="00C8278A">
        <w:rPr>
          <w:rFonts w:ascii="SimHei" w:eastAsia="SimHei" w:hint="eastAsia"/>
          <w:color w:val="FF0000"/>
        </w:rPr>
        <w:tab/>
      </w:r>
      <w:r w:rsidRPr="005F7A17">
        <w:rPr>
          <w:rFonts w:ascii="SimHei" w:eastAsia="SimHei" w:hint="eastAsia"/>
          <w:color w:val="FF0000"/>
          <w:spacing w:val="2"/>
        </w:rPr>
        <w:t>委员会建议该缔约国在国家预算中及通过双边和国际合作确保提高妇女地位的国家机构持续获得人力和财政资源，从而使国家机构完全有能力继续执行男女平等和提高妇女地位的方案和项目。委员会呼吁该缔约国通过加强国家机构作为协调机制的能力在所有的政策和方案中进一步贯彻将两性平等问题纳入主流的战略。这还应该包括加强各部和其他政府机构有效贯彻将两性平等问题纳入主流战略的能力，特别是通过男女平等方面的公职人员培训和能力建设措施。</w:t>
      </w:r>
    </w:p>
    <w:p w:rsidR="00A36B36" w:rsidRDefault="00A36B36" w:rsidP="00A36B36">
      <w:pPr>
        <w:pStyle w:val="SingleTxt"/>
        <w:rPr>
          <w:rFonts w:hint="eastAsia"/>
        </w:rPr>
      </w:pPr>
      <w:r>
        <w:rPr>
          <w:rFonts w:hint="eastAsia"/>
        </w:rPr>
        <w:t>17.</w:t>
      </w:r>
      <w:r>
        <w:rPr>
          <w:rFonts w:hint="eastAsia"/>
        </w:rPr>
        <w:tab/>
        <w:t>委员会对男女在家庭和在整个社会中的角色和责任的定型观念持续存在表示关切，这种重男轻女观念根深蒂固，由来已久。</w:t>
      </w:r>
    </w:p>
    <w:p w:rsidR="00A36B36" w:rsidRPr="00C8278A" w:rsidRDefault="00A36B36" w:rsidP="00A36B36">
      <w:pPr>
        <w:pStyle w:val="SingleTxt"/>
        <w:rPr>
          <w:rFonts w:ascii="SimHei" w:eastAsia="SimHei" w:hint="eastAsia"/>
          <w:color w:val="FF0000"/>
        </w:rPr>
      </w:pPr>
      <w:r w:rsidRPr="00C8278A">
        <w:rPr>
          <w:rFonts w:ascii="SimHei" w:eastAsia="SimHei" w:hint="eastAsia"/>
          <w:color w:val="FF0000"/>
        </w:rPr>
        <w:t>18.</w:t>
      </w:r>
      <w:r w:rsidRPr="00C8278A">
        <w:rPr>
          <w:rFonts w:ascii="SimHei" w:eastAsia="SimHei" w:hint="eastAsia"/>
          <w:color w:val="FF0000"/>
        </w:rPr>
        <w:tab/>
        <w:t>委员会促请该缔约国在教育系统传播关于《公约》内容的信息，并审查教科书、开展人权教育和举办男女平等培训，以改变关于男女角色的现有定型观念和态度。它建议对妇女和男子开展提高意识的宣传，并鼓励媒体突出妇女和平等地位的正面形象，以及妇女和男子在公共领域和私人领域的责任。</w:t>
      </w:r>
    </w:p>
    <w:p w:rsidR="00A36B36" w:rsidRDefault="00A36B36" w:rsidP="00A36B36">
      <w:pPr>
        <w:pStyle w:val="SingleTxt"/>
        <w:rPr>
          <w:rFonts w:hint="eastAsia"/>
        </w:rPr>
      </w:pPr>
      <w:r>
        <w:rPr>
          <w:rFonts w:hint="eastAsia"/>
        </w:rPr>
        <w:t>19.</w:t>
      </w:r>
      <w:r>
        <w:rPr>
          <w:rFonts w:hint="eastAsia"/>
        </w:rPr>
        <w:tab/>
        <w:t>在喜见该缔约国为消除对妇女的暴力所采取的措施，包括根据2004年生效的《刑法典》将家庭暴力定为犯罪的同时，委员会关切的是，对妇女的暴力行为，包括家庭暴力在该国仍然盛行。委员会还关切报告未就性骚扰问题提供足够的信息。</w:t>
      </w:r>
    </w:p>
    <w:p w:rsidR="00A36B36" w:rsidRPr="00C8278A" w:rsidRDefault="00A36B36" w:rsidP="00A36B36">
      <w:pPr>
        <w:pStyle w:val="SingleTxt"/>
        <w:rPr>
          <w:rFonts w:ascii="SimHei" w:eastAsia="SimHei" w:hint="eastAsia"/>
          <w:color w:val="FF0000"/>
        </w:rPr>
      </w:pPr>
      <w:r w:rsidRPr="00C8278A">
        <w:rPr>
          <w:rFonts w:ascii="SimHei" w:eastAsia="SimHei" w:hint="eastAsia"/>
          <w:color w:val="FF0000"/>
        </w:rPr>
        <w:t>20.</w:t>
      </w:r>
      <w:r w:rsidRPr="00C8278A">
        <w:rPr>
          <w:rFonts w:ascii="SimHei" w:eastAsia="SimHei" w:hint="eastAsia"/>
          <w:color w:val="FF0000"/>
        </w:rPr>
        <w:tab/>
        <w:t>委员会呼吁该缔约国采取全面和一致的方针办法来应对对妇女的暴力行为问题，包括开展预防努力，采取针对司法官员的培训措施以提高其能力，从而能以对性别问题有敏感认识的方式处理对妇女的暴力行为，并采取为受害者提供支持的措施。它还请该缔约国确保迅速将犯罪者绳之以法。此外，委员会建议该缔约国密切监测其政策和方案在预防包括性骚扰在内的对妇女的所有形式的暴力，以及为这些暴力的受害者取得公道方面的影响。</w:t>
      </w:r>
    </w:p>
    <w:p w:rsidR="00A36B36" w:rsidRDefault="00A36B36" w:rsidP="00A36B36">
      <w:pPr>
        <w:pStyle w:val="SingleTxt"/>
        <w:rPr>
          <w:rFonts w:hint="eastAsia"/>
        </w:rPr>
      </w:pPr>
      <w:r>
        <w:rPr>
          <w:rFonts w:hint="eastAsia"/>
        </w:rPr>
        <w:t>21.</w:t>
      </w:r>
      <w:r>
        <w:rPr>
          <w:rFonts w:hint="eastAsia"/>
        </w:rPr>
        <w:tab/>
        <w:t>虽然委员会喜见该缔约国为打击贩运人口采取的措施，包括批准《联合国打击跨国有组织犯罪公约关于预防、禁止和惩治贩运人口特别是妇女和儿童行为的补充议定书》，以及与其他许多国家签署的民事和刑事事项方面的双边协定，但它关切的是，佛得角仍是贩运妇女和女童的过境国。委员会还关切对卖淫谋生的妇女和女童的剥削，以及关切更兴旺的旅游业可能使卖淫情况更多。</w:t>
      </w:r>
    </w:p>
    <w:p w:rsidR="00A36B36" w:rsidRPr="00C8278A" w:rsidRDefault="00A36B36" w:rsidP="00A36B36">
      <w:pPr>
        <w:pStyle w:val="SingleTxt"/>
        <w:spacing w:line="324" w:lineRule="exact"/>
        <w:rPr>
          <w:rFonts w:ascii="SimHei" w:eastAsia="SimHei"/>
          <w:color w:val="FF0000"/>
        </w:rPr>
      </w:pPr>
      <w:r w:rsidRPr="00C8278A">
        <w:rPr>
          <w:rFonts w:ascii="SimHei" w:eastAsia="SimHei" w:hint="eastAsia"/>
          <w:color w:val="FF0000"/>
        </w:rPr>
        <w:t>22.</w:t>
      </w:r>
      <w:r w:rsidRPr="00C8278A">
        <w:rPr>
          <w:rFonts w:ascii="SimHei" w:eastAsia="SimHei" w:hint="eastAsia"/>
          <w:color w:val="FF0000"/>
        </w:rPr>
        <w:tab/>
        <w:t>委员会呼吁该缔约国采取进一步措施消除贩运妇女和女童和利用卖淫营利，以及加强与贩运妇女和女童的来源国、过境国和目的地国的国际、区域和双边合作，以进一步抑制这一现象。委员会请该缔约国落实旨在改善妇女社会和经济状况从而防止卖淫的措施，密切监测更兴旺的旅游业对卖淫的影响及加强有关预防措施，并为卖淫妇女和女童摆脱淫业和重返社会提供的服务。</w:t>
      </w:r>
    </w:p>
    <w:p w:rsidR="00A36B36" w:rsidRDefault="00A36B36" w:rsidP="00A36B36">
      <w:pPr>
        <w:pStyle w:val="SingleTxt"/>
        <w:spacing w:after="120"/>
        <w:rPr>
          <w:rFonts w:hint="eastAsia"/>
        </w:rPr>
      </w:pPr>
      <w:r>
        <w:rPr>
          <w:rFonts w:hint="eastAsia"/>
        </w:rPr>
        <w:t>23.</w:t>
      </w:r>
      <w:r>
        <w:rPr>
          <w:rFonts w:hint="eastAsia"/>
        </w:rPr>
        <w:tab/>
        <w:t>委员会对妇女在若干任命机构的任职人数不断增多，包括在司法部门中妇女已占总数的46.9％表示欢迎，但对妇女在民选机构中任职人数依然少感到关切。令委员会关切的是，虽然《选举法》为促使妇女参与政治和公共生活提供了机制，但没有就此类机制的实施问题制定任何法规。</w:t>
      </w:r>
    </w:p>
    <w:p w:rsidR="00A36B36" w:rsidRDefault="00A36B36" w:rsidP="00A36B36">
      <w:pPr>
        <w:pStyle w:val="SingleTxt"/>
        <w:spacing w:after="120"/>
        <w:rPr>
          <w:rFonts w:hint="eastAsia"/>
        </w:rPr>
      </w:pPr>
      <w:r w:rsidRPr="005F7A17">
        <w:rPr>
          <w:rFonts w:ascii="SimHei" w:eastAsia="SimHei" w:hint="eastAsia"/>
          <w:color w:val="FF0000"/>
        </w:rPr>
        <w:t>24.</w:t>
      </w:r>
      <w:r w:rsidRPr="005F7A17">
        <w:rPr>
          <w:rFonts w:ascii="SimHei" w:eastAsia="SimHei" w:hint="eastAsia"/>
          <w:color w:val="FF0000"/>
        </w:rPr>
        <w:tab/>
      </w:r>
      <w:r w:rsidRPr="00D85EC0">
        <w:rPr>
          <w:rFonts w:ascii="SimHei" w:eastAsia="SimHei" w:hint="eastAsia"/>
          <w:color w:val="FF0000"/>
        </w:rPr>
        <w:t>委员会敦促该缔约国加快妇女在民选和任命机构中的任职速度并提高其任职人数，包括制定必要的法规，建立《选举法》所设想的机制，并根据《公约》第四条第1款以及委员会关于临时特别措施的建议25和关于妇女和公共生活的建议23，采取临时特别措施。委员会请该缔约国从事提高认识活动，宣传妇女参与公共生活和政治生活以及担任决策职务作为民主的必要条件的重要性。委员会还请该缔约国鼓励男人合理分担家务责任，让妇女可以有时间从事公共和政治生活</w:t>
      </w:r>
      <w:r w:rsidRPr="00B635F6">
        <w:rPr>
          <w:rFonts w:ascii="SimHei" w:eastAsia="SimHei" w:hint="eastAsia"/>
          <w:color w:val="FF0000"/>
        </w:rPr>
        <w:t>。</w:t>
      </w:r>
    </w:p>
    <w:p w:rsidR="00A36B36" w:rsidRDefault="00A36B36" w:rsidP="00A36B36">
      <w:pPr>
        <w:pStyle w:val="SingleTxt"/>
        <w:rPr>
          <w:rFonts w:hint="eastAsia"/>
        </w:rPr>
      </w:pPr>
      <w:r>
        <w:rPr>
          <w:rFonts w:hint="eastAsia"/>
        </w:rPr>
        <w:t>25.</w:t>
      </w:r>
      <w:r>
        <w:rPr>
          <w:rFonts w:hint="eastAsia"/>
        </w:rPr>
        <w:tab/>
        <w:t>委员会赞扬该缔约国努力确保妇女有机会接受各级教育，赞扬女童和男童人数在各级教育系统中所占比例相若，但仍对妇女文盲率在该国（32.8％）特别是在农村地区（44％）居高不下感到关切。还令委员会感到关切的是，女童和妇女仍选择传统上被视为“女性的领域”的学习领域，她们在技术学习领域的人数不足。还令委员会感到关切的是，大批因“怀孕少女暂时停学”措施而离开学校的怀孕少女在生产后没有复学。</w:t>
      </w:r>
    </w:p>
    <w:p w:rsidR="00A36B36" w:rsidRDefault="00A36B36" w:rsidP="00A36B36">
      <w:pPr>
        <w:pStyle w:val="SingleTxt"/>
        <w:rPr>
          <w:rFonts w:hint="eastAsia"/>
        </w:rPr>
      </w:pPr>
      <w:r w:rsidRPr="005F7A17">
        <w:rPr>
          <w:rFonts w:ascii="SimHei" w:eastAsia="SimHei" w:hint="eastAsia"/>
          <w:color w:val="FF0000"/>
        </w:rPr>
        <w:t>26.</w:t>
      </w:r>
      <w:r>
        <w:rPr>
          <w:rFonts w:hint="eastAsia"/>
        </w:rPr>
        <w:tab/>
      </w:r>
      <w:r w:rsidRPr="00D85EC0">
        <w:rPr>
          <w:rFonts w:ascii="SimHei" w:eastAsia="SimHei" w:hint="eastAsia"/>
          <w:color w:val="FF0000"/>
        </w:rPr>
        <w:t>委员会建议该缔约国通过在正式和非正式两级协同民间社会采纳和实施各项综合方案，并通过成人教育和培训，继续和加紧努力提高女童和妇女特别是农村妇女的识字水平。委员会吁请该缔约国鼓励男童和女童教育选择多样化，以便吸引更多的妇女进入科学技术领域。委员会请该缔约国继续评估“怀孕少女暂时停学”措施，以确保该措施实现其预期目标，让怀孕学生有机会在生产后复学，而非放弃学业。委员会建议该缔约国采取进一步措施支援怀孕女童，并改进其各项措施，在中学提高对预防少</w:t>
      </w:r>
      <w:r w:rsidR="00B635F6">
        <w:rPr>
          <w:rFonts w:ascii="SimHei" w:eastAsia="SimHei" w:hint="eastAsia"/>
          <w:color w:val="FF0000"/>
        </w:rPr>
        <w:t>女</w:t>
      </w:r>
      <w:r w:rsidRPr="00D85EC0">
        <w:rPr>
          <w:rFonts w:ascii="SimHei" w:eastAsia="SimHei" w:hint="eastAsia"/>
          <w:color w:val="FF0000"/>
        </w:rPr>
        <w:t>怀孕问题的认识。委员会鼓励该缔约国监测和定期评估此类政策和方案对充分执行《公约》第十条的影响</w:t>
      </w:r>
      <w:r w:rsidRPr="00B635F6">
        <w:rPr>
          <w:rFonts w:ascii="SimHei" w:eastAsia="SimHei" w:hint="eastAsia"/>
          <w:color w:val="FF0000"/>
        </w:rPr>
        <w:t>。</w:t>
      </w:r>
    </w:p>
    <w:p w:rsidR="00A36B36" w:rsidRDefault="00A36B36" w:rsidP="00A36B36">
      <w:pPr>
        <w:pStyle w:val="SingleTxt"/>
        <w:rPr>
          <w:rFonts w:hint="eastAsia"/>
        </w:rPr>
      </w:pPr>
      <w:r>
        <w:rPr>
          <w:rFonts w:hint="eastAsia"/>
        </w:rPr>
        <w:t>27.</w:t>
      </w:r>
      <w:r>
        <w:rPr>
          <w:rFonts w:hint="eastAsia"/>
        </w:rPr>
        <w:tab/>
        <w:t>委员会对采取立法措施确保男女在工作中的平等权利表示欢迎，但对招聘过程、工资差距和职业隔离方面所反映的妇女在就业中所面临事实上的歧视现象表示关切。委员会对特别在产假福利问题上适用于公共和私营部门的法律规定不尽相同，使得在私营部门工作的妇女处于不利地位问题感到关切。还令委员会感到关切的是，如果不充分保障妇女劳动权利，旅游和轻工业等新建部门的就业情况可能对妇女产生不利影响。</w:t>
      </w:r>
    </w:p>
    <w:p w:rsidR="00A36B36" w:rsidRDefault="00A36B36" w:rsidP="00A36B36">
      <w:pPr>
        <w:pStyle w:val="SingleTxt"/>
        <w:rPr>
          <w:rFonts w:hint="eastAsia"/>
        </w:rPr>
      </w:pPr>
      <w:r w:rsidRPr="005F7A17">
        <w:rPr>
          <w:rFonts w:ascii="SimHei" w:eastAsia="SimHei" w:hint="eastAsia"/>
          <w:color w:val="FF0000"/>
        </w:rPr>
        <w:t>28.</w:t>
      </w:r>
      <w:r>
        <w:rPr>
          <w:rFonts w:hint="eastAsia"/>
        </w:rPr>
        <w:tab/>
      </w:r>
      <w:r w:rsidRPr="00D85EC0">
        <w:rPr>
          <w:rFonts w:ascii="SimHei" w:eastAsia="SimHei" w:hint="eastAsia"/>
          <w:color w:val="FF0000"/>
        </w:rPr>
        <w:t>委员会敦促该缔约国根据《公约》第十一条，确保妇女和男子在劳动市场享有平等机会，并特别在提供产假福利方面统一涉及公共和私营部门的法律规定。委员会请该缔约国特别注意旅游业和轻工业部门就业情况对妇女产生的影响。委员会还请该缔约国在其下一次报告中提供详尽资料，说明已经采取的各项措施及其对妇女享有平等机会的影响</w:t>
      </w:r>
      <w:r w:rsidRPr="00B635F6">
        <w:rPr>
          <w:rFonts w:ascii="SimHei" w:eastAsia="SimHei" w:hint="eastAsia"/>
          <w:color w:val="FF0000"/>
        </w:rPr>
        <w:t>。</w:t>
      </w:r>
    </w:p>
    <w:p w:rsidR="00A36B36" w:rsidRDefault="00A36B36" w:rsidP="00A36B36">
      <w:pPr>
        <w:pStyle w:val="SingleTxt"/>
        <w:spacing w:line="330" w:lineRule="exact"/>
        <w:rPr>
          <w:rFonts w:hint="eastAsia"/>
        </w:rPr>
      </w:pPr>
      <w:r>
        <w:rPr>
          <w:rFonts w:hint="eastAsia"/>
        </w:rPr>
        <w:t>29.</w:t>
      </w:r>
      <w:r>
        <w:rPr>
          <w:rFonts w:hint="eastAsia"/>
        </w:rPr>
        <w:tab/>
        <w:t>委员会对改善妇女享用生殖保健和服务的机会方面取得的重大进展表示欢迎，但对包括不安全堕胎造成的死亡</w:t>
      </w:r>
      <w:r w:rsidR="00B635F6">
        <w:rPr>
          <w:rFonts w:hint="eastAsia"/>
        </w:rPr>
        <w:t>在内的</w:t>
      </w:r>
      <w:r>
        <w:rPr>
          <w:rFonts w:hint="eastAsia"/>
        </w:rPr>
        <w:t>孕产妇死亡率居高不下表示关切，这个问题可能表明，现行性教育方案不够充分，不够注意预防的所有方面工作，包括预防早孕和控制</w:t>
      </w:r>
      <w:r w:rsidRPr="00AE7B98">
        <w:rPr>
          <w:rFonts w:hint="eastAsia"/>
        </w:rPr>
        <w:t>性传播疾病</w:t>
      </w:r>
      <w:r>
        <w:rPr>
          <w:rFonts w:hint="eastAsia"/>
        </w:rPr>
        <w:t>及</w:t>
      </w:r>
      <w:r w:rsidRPr="00AE7B98">
        <w:rPr>
          <w:rFonts w:hint="eastAsia"/>
        </w:rPr>
        <w:t>艾滋病毒/艾滋病</w:t>
      </w:r>
      <w:r>
        <w:rPr>
          <w:rFonts w:hint="eastAsia"/>
        </w:rPr>
        <w:t>。委员会虽然注意到民间社会组织提供生殖保健服务的工作，但感到关切的是，缔约国是否定有条例来监测服务质量和道德标准的遵守情况。保健服务准备收费可能会限制妇女得到服务的机会，对最弱势群体的妇女来说尤其如此。委员会对此也表示不安。</w:t>
      </w:r>
    </w:p>
    <w:p w:rsidR="00A36B36" w:rsidRPr="00D353E7" w:rsidRDefault="00A36B36" w:rsidP="00A36B36">
      <w:pPr>
        <w:pStyle w:val="SingleTxt"/>
        <w:spacing w:line="330" w:lineRule="exact"/>
        <w:rPr>
          <w:rFonts w:ascii="SimHei" w:eastAsia="SimHei" w:hint="eastAsia"/>
          <w:color w:val="FF0000"/>
        </w:rPr>
      </w:pPr>
      <w:r w:rsidRPr="005F7A17">
        <w:rPr>
          <w:rFonts w:ascii="SimHei" w:eastAsia="SimHei" w:hint="eastAsia"/>
          <w:color w:val="FF0000"/>
        </w:rPr>
        <w:t>30.</w:t>
      </w:r>
      <w:r w:rsidRPr="005F7A17">
        <w:rPr>
          <w:rFonts w:ascii="SimHei" w:eastAsia="SimHei" w:hint="eastAsia"/>
          <w:color w:val="FF0000"/>
        </w:rPr>
        <w:tab/>
      </w:r>
      <w:r w:rsidRPr="00B635F6">
        <w:rPr>
          <w:rFonts w:ascii="SimHei" w:eastAsia="SimHei" w:hint="eastAsia"/>
          <w:color w:val="FF0000"/>
          <w:spacing w:val="2"/>
        </w:rPr>
        <w:t>委员会吁请该缔约国进一步改进提供性健康和生殖健康服务情况，特别是在农村地区改进这些服务，包括计划生育信息和服务以及产前、产后和产科服务，并订立实现千年发展目标的各项指标和基准，以降低孕产妇死亡率。委员会还建议该缔约国改进其各项措施，让人们更多地了解和能够得到各种避孕方法，让妇女和男子都可知情地选择子女数目和间隔，并使妇女不需诉诸可能造成死亡、从而造成孕产妇死亡率上升的不安全堕胎。委员会还建议广泛促进并专门针对少男少女展开性教育，同时特别注意防止早孕和控制性传播疾病和艾滋病毒/艾滋病</w:t>
      </w:r>
      <w:r w:rsidRPr="00B635F6">
        <w:rPr>
          <w:rFonts w:hint="eastAsia"/>
          <w:spacing w:val="2"/>
        </w:rPr>
        <w:t>。</w:t>
      </w:r>
      <w:r w:rsidRPr="00B635F6">
        <w:rPr>
          <w:rFonts w:ascii="SimHei" w:eastAsia="SimHei" w:hint="eastAsia"/>
          <w:color w:val="FF0000"/>
          <w:spacing w:val="2"/>
        </w:rPr>
        <w:t>委员会还建议缔约国定期监测民间社会组织提供生殖保健服务的质量和遵守道德标准的情况。委员会建议缔约国对服务收费做法的采用进行监测，以消除这种做法可能产生的负面影响，特别是对最弱势群体的妇女的影响。</w:t>
      </w:r>
    </w:p>
    <w:p w:rsidR="00A36B36" w:rsidRDefault="00A36B36" w:rsidP="00A36B36">
      <w:pPr>
        <w:pStyle w:val="SingleTxt"/>
        <w:spacing w:line="330" w:lineRule="exact"/>
        <w:rPr>
          <w:rFonts w:hint="eastAsia"/>
        </w:rPr>
      </w:pPr>
      <w:r>
        <w:rPr>
          <w:rFonts w:hint="eastAsia"/>
        </w:rPr>
        <w:t>31.</w:t>
      </w:r>
      <w:r>
        <w:rPr>
          <w:rFonts w:hint="eastAsia"/>
        </w:rPr>
        <w:tab/>
        <w:t>委员会关切地注意到，妇女是贫穷的主要受害者，特别是农村地区的女性户主、失业妇女和教育水平低的妇女尤为如此。</w:t>
      </w:r>
    </w:p>
    <w:p w:rsidR="00A36B36" w:rsidRDefault="00A36B36" w:rsidP="00A36B36">
      <w:pPr>
        <w:pStyle w:val="SingleTxt"/>
        <w:spacing w:line="330" w:lineRule="exact"/>
        <w:rPr>
          <w:rFonts w:hint="eastAsia"/>
        </w:rPr>
      </w:pPr>
      <w:r w:rsidRPr="005F7A17">
        <w:rPr>
          <w:rFonts w:ascii="SimHei" w:eastAsia="SimHei" w:hint="eastAsia"/>
          <w:color w:val="FF0000"/>
        </w:rPr>
        <w:t>32.</w:t>
      </w:r>
      <w:r w:rsidRPr="005F7A17">
        <w:rPr>
          <w:rFonts w:ascii="SimHei" w:eastAsia="SimHei" w:hint="eastAsia"/>
          <w:color w:val="FF0000"/>
        </w:rPr>
        <w:tab/>
      </w:r>
      <w:r w:rsidRPr="00D85EC0">
        <w:rPr>
          <w:rFonts w:ascii="SimHei" w:eastAsia="SimHei" w:hint="eastAsia"/>
          <w:color w:val="FF0000"/>
        </w:rPr>
        <w:t>委员会敦促该缔约国特别注意尤其农村地区穷困妇女的需要。委员会敦促缔约国确保这些妇女有机会获得教育、土地、技术和创收项目。委员会还建议缔约国收集有关农村妇女状况的数据，列入其下次报告</w:t>
      </w:r>
      <w:r w:rsidRPr="00B635F6">
        <w:rPr>
          <w:rFonts w:ascii="SimHei" w:eastAsia="SimHei" w:hint="eastAsia"/>
          <w:color w:val="FF0000"/>
        </w:rPr>
        <w:t>。</w:t>
      </w:r>
    </w:p>
    <w:p w:rsidR="00A36B36" w:rsidRDefault="00A36B36" w:rsidP="00A36B36">
      <w:pPr>
        <w:pStyle w:val="SingleTxt"/>
        <w:spacing w:line="330" w:lineRule="exact"/>
        <w:rPr>
          <w:rFonts w:hint="eastAsia"/>
        </w:rPr>
      </w:pPr>
      <w:r>
        <w:rPr>
          <w:rFonts w:hint="eastAsia"/>
        </w:rPr>
        <w:t>33.</w:t>
      </w:r>
      <w:r>
        <w:rPr>
          <w:rFonts w:hint="eastAsia"/>
        </w:rPr>
        <w:tab/>
        <w:t>委员会关切地注意到，虽然法律保证妇女在有关婚姻和家庭关系问题上享有同男人一样的权利，但妇女在这些领域仍遭受事实上的歧视，包括事实上的一夫多妻制。还令委员会感到关切的是，女孩和男孩法定婚龄虽定为18岁，但可以降至16岁。委员会虽然</w:t>
      </w:r>
      <w:r w:rsidR="00B635F6">
        <w:rPr>
          <w:rFonts w:hint="eastAsia"/>
        </w:rPr>
        <w:t>确认</w:t>
      </w:r>
      <w:r>
        <w:rPr>
          <w:rFonts w:hint="eastAsia"/>
        </w:rPr>
        <w:t>这个年纪结婚的比例很低，但仍然担心这可能鼓励早婚。</w:t>
      </w:r>
    </w:p>
    <w:p w:rsidR="00A36B36" w:rsidRDefault="00A36B36" w:rsidP="00A36B36">
      <w:pPr>
        <w:pStyle w:val="SingleTxt"/>
        <w:spacing w:line="332" w:lineRule="exact"/>
        <w:rPr>
          <w:rFonts w:hint="eastAsia"/>
        </w:rPr>
      </w:pPr>
      <w:r w:rsidRPr="005F7A17">
        <w:rPr>
          <w:rFonts w:ascii="SimHei" w:eastAsia="SimHei" w:hint="eastAsia"/>
          <w:color w:val="FF0000"/>
        </w:rPr>
        <w:t>34.</w:t>
      </w:r>
      <w:r>
        <w:rPr>
          <w:rFonts w:hint="eastAsia"/>
        </w:rPr>
        <w:tab/>
      </w:r>
      <w:r w:rsidRPr="00D85EC0">
        <w:rPr>
          <w:rFonts w:ascii="SimHei" w:eastAsia="SimHei" w:hint="eastAsia"/>
          <w:color w:val="FF0000"/>
        </w:rPr>
        <w:t>委员会请该缔约国按照委员会关于婚姻和家庭关系平等问题的第21项一般性建议的要求，采取旨在在婚姻和</w:t>
      </w:r>
      <w:r>
        <w:rPr>
          <w:rFonts w:ascii="SimHei" w:eastAsia="SimHei" w:hint="eastAsia"/>
          <w:color w:val="FF0000"/>
        </w:rPr>
        <w:t>家庭关系中实现男女平等的提高认识措施，包括旨在消除一夫多妻制和充分实施</w:t>
      </w:r>
      <w:r w:rsidRPr="00D85EC0">
        <w:rPr>
          <w:rFonts w:ascii="SimHei" w:eastAsia="SimHei" w:hint="eastAsia"/>
          <w:color w:val="FF0000"/>
        </w:rPr>
        <w:t>男女</w:t>
      </w:r>
      <w:r>
        <w:rPr>
          <w:rFonts w:ascii="SimHei" w:eastAsia="SimHei" w:hint="eastAsia"/>
          <w:color w:val="FF0000"/>
        </w:rPr>
        <w:t>最低婚龄</w:t>
      </w:r>
      <w:r w:rsidRPr="00D85EC0">
        <w:rPr>
          <w:rFonts w:ascii="SimHei" w:eastAsia="SimHei" w:hint="eastAsia"/>
          <w:color w:val="FF0000"/>
        </w:rPr>
        <w:t>为18岁</w:t>
      </w:r>
      <w:r w:rsidR="00B635F6">
        <w:rPr>
          <w:rFonts w:ascii="SimHei" w:eastAsia="SimHei" w:hint="eastAsia"/>
          <w:color w:val="FF0000"/>
        </w:rPr>
        <w:t>的规定</w:t>
      </w:r>
      <w:r w:rsidRPr="00D85EC0">
        <w:rPr>
          <w:rFonts w:ascii="SimHei" w:eastAsia="SimHei" w:hint="eastAsia"/>
          <w:color w:val="FF0000"/>
        </w:rPr>
        <w:t>的措施</w:t>
      </w:r>
      <w:r w:rsidRPr="00B635F6">
        <w:rPr>
          <w:rFonts w:ascii="SimHei" w:eastAsia="SimHei" w:hint="eastAsia"/>
          <w:color w:val="FF0000"/>
        </w:rPr>
        <w:t>。</w:t>
      </w:r>
    </w:p>
    <w:p w:rsidR="00A36B36" w:rsidRDefault="00A36B36" w:rsidP="00A36B36">
      <w:pPr>
        <w:pStyle w:val="SingleTxt"/>
        <w:spacing w:line="330" w:lineRule="exact"/>
        <w:rPr>
          <w:rFonts w:hint="eastAsia"/>
        </w:rPr>
      </w:pPr>
      <w:r>
        <w:rPr>
          <w:rFonts w:hint="eastAsia"/>
        </w:rPr>
        <w:t>35.</w:t>
      </w:r>
      <w:r>
        <w:rPr>
          <w:rFonts w:hint="eastAsia"/>
        </w:rPr>
        <w:tab/>
        <w:t>委员会对报告没有提供足够的有关公约所涉各领域妇女状况的统计数据感到关切。委员会还对缺乏资料说明采取的措施和取得的结果在公约各领域的影响感到关切。</w:t>
      </w:r>
    </w:p>
    <w:p w:rsidR="00A36B36" w:rsidRDefault="00A36B36" w:rsidP="00A36B36">
      <w:pPr>
        <w:pStyle w:val="SingleTxt"/>
        <w:spacing w:line="332" w:lineRule="exact"/>
        <w:rPr>
          <w:rFonts w:hint="eastAsia"/>
        </w:rPr>
      </w:pPr>
      <w:r w:rsidRPr="005F7A17">
        <w:rPr>
          <w:rFonts w:ascii="SimHei" w:eastAsia="SimHei" w:hint="eastAsia"/>
          <w:color w:val="FF0000"/>
        </w:rPr>
        <w:t>36.</w:t>
      </w:r>
      <w:r>
        <w:rPr>
          <w:rFonts w:hint="eastAsia"/>
        </w:rPr>
        <w:tab/>
      </w:r>
      <w:r w:rsidRPr="00D85EC0">
        <w:rPr>
          <w:rFonts w:ascii="SimHei" w:eastAsia="SimHei" w:hint="eastAsia"/>
          <w:color w:val="FF0000"/>
        </w:rPr>
        <w:t>委员会吁请该缔约国在下一次报告中列入按性别分类并按农村和城市地区分类的妇女状况统计数据和分析材料，说明采取的措施和取得的结果在切实实现妇女实质性平等方面的影响</w:t>
      </w:r>
      <w:r w:rsidRPr="00B635F6">
        <w:rPr>
          <w:rFonts w:ascii="SimHei" w:eastAsia="SimHei" w:hint="eastAsia"/>
          <w:color w:val="FF0000"/>
        </w:rPr>
        <w:t>。</w:t>
      </w:r>
    </w:p>
    <w:p w:rsidR="00A36B36" w:rsidRDefault="00A36B36" w:rsidP="00A36B36">
      <w:pPr>
        <w:pStyle w:val="SingleTxt"/>
        <w:spacing w:line="332" w:lineRule="exact"/>
        <w:rPr>
          <w:rFonts w:hint="eastAsia"/>
        </w:rPr>
      </w:pPr>
      <w:r w:rsidRPr="005F7A17">
        <w:rPr>
          <w:rFonts w:ascii="SimHei" w:eastAsia="SimHei" w:hint="eastAsia"/>
          <w:color w:val="FF0000"/>
        </w:rPr>
        <w:t>37.</w:t>
      </w:r>
      <w:r w:rsidRPr="005F7A17">
        <w:rPr>
          <w:rFonts w:ascii="SimHei" w:eastAsia="SimHei" w:hint="eastAsia"/>
          <w:color w:val="FF0000"/>
        </w:rPr>
        <w:tab/>
      </w:r>
      <w:r w:rsidRPr="00D85EC0">
        <w:rPr>
          <w:rFonts w:ascii="SimHei" w:eastAsia="SimHei" w:hint="eastAsia"/>
          <w:color w:val="FF0000"/>
        </w:rPr>
        <w:t>委员会吁请该缔约国批准《消除对妇女一切形式歧视公约任择议定书》，并尽快接受有关委员会会时问题的公约第二十条第1款修正案</w:t>
      </w:r>
      <w:r w:rsidRPr="00B635F6">
        <w:rPr>
          <w:rFonts w:ascii="SimHei" w:eastAsia="SimHei" w:hint="eastAsia"/>
          <w:color w:val="FF0000"/>
        </w:rPr>
        <w:t>。</w:t>
      </w:r>
    </w:p>
    <w:p w:rsidR="00A36B36" w:rsidRDefault="00A36B36" w:rsidP="00A36B36">
      <w:pPr>
        <w:pStyle w:val="SingleTxt"/>
        <w:spacing w:line="332" w:lineRule="exact"/>
        <w:rPr>
          <w:rFonts w:hint="eastAsia"/>
        </w:rPr>
      </w:pPr>
      <w:r w:rsidRPr="005F7A17">
        <w:rPr>
          <w:rFonts w:ascii="SimHei" w:eastAsia="SimHei" w:hint="eastAsia"/>
          <w:color w:val="FF0000"/>
        </w:rPr>
        <w:t>38.</w:t>
      </w:r>
      <w:r w:rsidRPr="005F7A17">
        <w:rPr>
          <w:rFonts w:ascii="SimHei" w:eastAsia="SimHei" w:hint="eastAsia"/>
          <w:color w:val="FF0000"/>
        </w:rPr>
        <w:tab/>
      </w:r>
      <w:r w:rsidRPr="00D85EC0">
        <w:rPr>
          <w:rFonts w:ascii="SimHei" w:eastAsia="SimHei" w:hint="eastAsia"/>
          <w:color w:val="FF0000"/>
        </w:rPr>
        <w:t>委员会敦促该缔约国在履行《公约》规定的各项义务时，充分利用加强该公约各项规定的《北京宣言和行动纲领》，并请缔约国在下次定期报告中列入有关资料</w:t>
      </w:r>
      <w:r w:rsidRPr="00B635F6">
        <w:rPr>
          <w:rFonts w:ascii="SimHei" w:eastAsia="SimHei" w:hint="eastAsia"/>
          <w:color w:val="FF0000"/>
        </w:rPr>
        <w:t>。</w:t>
      </w:r>
    </w:p>
    <w:p w:rsidR="00A36B36" w:rsidRDefault="00A36B36" w:rsidP="00A36B36">
      <w:pPr>
        <w:pStyle w:val="SingleTxt"/>
        <w:rPr>
          <w:rFonts w:hint="eastAsia"/>
        </w:rPr>
      </w:pPr>
      <w:r w:rsidRPr="005F7A17">
        <w:rPr>
          <w:rFonts w:ascii="SimHei" w:eastAsia="SimHei" w:hint="eastAsia"/>
          <w:color w:val="FF0000"/>
        </w:rPr>
        <w:t>39.</w:t>
      </w:r>
      <w:r>
        <w:rPr>
          <w:rFonts w:hint="eastAsia"/>
        </w:rPr>
        <w:tab/>
      </w:r>
      <w:r w:rsidRPr="00D85EC0">
        <w:rPr>
          <w:rFonts w:ascii="SimHei" w:eastAsia="SimHei" w:hint="eastAsia"/>
          <w:color w:val="FF0000"/>
        </w:rPr>
        <w:t>委员会还强调，全面、切实地执行《公约》对实现千年发展目标是不可或缺的。委员会要求把两性平等观点纳入旨在实现千年发展目标的各项工作中，并在这些工作</w:t>
      </w:r>
      <w:r>
        <w:rPr>
          <w:rFonts w:ascii="SimHei" w:eastAsia="SimHei" w:hint="eastAsia"/>
          <w:color w:val="FF0000"/>
        </w:rPr>
        <w:t>中明确反映公约的各项规定；</w:t>
      </w:r>
      <w:r w:rsidRPr="00D85EC0">
        <w:rPr>
          <w:rFonts w:ascii="SimHei" w:eastAsia="SimHei" w:hint="eastAsia"/>
          <w:color w:val="FF0000"/>
        </w:rPr>
        <w:t>并请缔约国在下次定期报告中列入有关资料</w:t>
      </w:r>
      <w:r w:rsidRPr="00B635F6">
        <w:rPr>
          <w:rFonts w:ascii="SimHei" w:eastAsia="SimHei" w:hint="eastAsia"/>
          <w:color w:val="FF0000"/>
        </w:rPr>
        <w:t>。</w:t>
      </w:r>
    </w:p>
    <w:p w:rsidR="00A36B36" w:rsidRDefault="00A36B36" w:rsidP="00A36B36">
      <w:pPr>
        <w:pStyle w:val="SingleTxt"/>
        <w:rPr>
          <w:rFonts w:hint="eastAsia"/>
        </w:rPr>
      </w:pPr>
      <w:r w:rsidRPr="005F7A17">
        <w:rPr>
          <w:rFonts w:ascii="SimHei" w:eastAsia="SimHei" w:hint="eastAsia"/>
          <w:color w:val="FF0000"/>
        </w:rPr>
        <w:t>40.</w:t>
      </w:r>
      <w:r w:rsidRPr="005F7A17">
        <w:rPr>
          <w:rFonts w:ascii="SimHei" w:eastAsia="SimHei" w:hint="eastAsia"/>
          <w:color w:val="FF0000"/>
        </w:rPr>
        <w:tab/>
      </w:r>
      <w:r w:rsidRPr="00454E35">
        <w:rPr>
          <w:rFonts w:ascii="SimHei" w:eastAsia="SimHei" w:hint="eastAsia"/>
          <w:color w:val="FF0000"/>
        </w:rPr>
        <w:t>委员会赞扬该缔约国批准七项主要国际人权文书。</w:t>
      </w:r>
      <w:r w:rsidRPr="00B635F6">
        <w:rPr>
          <w:rStyle w:val="FootnoteReference"/>
          <w:rFonts w:ascii="SimHei" w:eastAsia="SimHei"/>
          <w:color w:val="FF0000"/>
        </w:rPr>
        <w:footnoteReference w:id="1"/>
      </w:r>
      <w:r w:rsidRPr="00454E35">
        <w:rPr>
          <w:rFonts w:ascii="SimHei" w:eastAsia="SimHei" w:hint="eastAsia"/>
          <w:color w:val="FF0000"/>
        </w:rPr>
        <w:t xml:space="preserve"> 委员会注意到，该缔约国对七项主要国际人权文书的遵守将使妇女在生活的各方面更能享受人权和基本自由</w:t>
      </w:r>
      <w:r w:rsidRPr="00B635F6">
        <w:rPr>
          <w:rFonts w:ascii="SimHei" w:eastAsia="SimHei" w:hint="eastAsia"/>
          <w:color w:val="FF0000"/>
        </w:rPr>
        <w:t>。</w:t>
      </w:r>
    </w:p>
    <w:p w:rsidR="00A36B36" w:rsidRDefault="00A36B36" w:rsidP="00A36B36">
      <w:pPr>
        <w:pStyle w:val="SingleTxt"/>
        <w:rPr>
          <w:rFonts w:hint="eastAsia"/>
        </w:rPr>
      </w:pPr>
      <w:r w:rsidRPr="005F7A17">
        <w:rPr>
          <w:rFonts w:ascii="SimHei" w:eastAsia="SimHei" w:hint="eastAsia"/>
          <w:color w:val="FF0000"/>
        </w:rPr>
        <w:t>41.</w:t>
      </w:r>
      <w:r w:rsidRPr="005F7A17">
        <w:rPr>
          <w:rFonts w:ascii="SimHei" w:eastAsia="SimHei" w:hint="eastAsia"/>
          <w:color w:val="FF0000"/>
        </w:rPr>
        <w:tab/>
      </w:r>
      <w:r w:rsidRPr="00454E35">
        <w:rPr>
          <w:rFonts w:ascii="SimHei" w:eastAsia="SimHei" w:hint="eastAsia"/>
          <w:color w:val="FF0000"/>
        </w:rPr>
        <w:t>委员会请佛得角广泛传播本结论性意见，以便使人民包括政府官员、政界人士、议员和妇女组织及人权组织认识到为确保妇女在法律上和事实上享有平等而采取的各项步骤，以及在这方面还需采取的步骤。委员会请该缔约国特别向妇女组织和人权组织广泛宣传《公约》、其《任择议定书》、委员会的一般性建议、《北京宣言和行动纲领》以及题为“2000年妇女：二十一世纪两性平等、发展与和平”的大会第二十三届特别会议成果文件</w:t>
      </w:r>
      <w:r w:rsidRPr="00B635F6">
        <w:rPr>
          <w:rFonts w:ascii="SimHei" w:eastAsia="SimHei" w:hint="eastAsia"/>
          <w:color w:val="FF0000"/>
        </w:rPr>
        <w:t>。</w:t>
      </w:r>
    </w:p>
    <w:p w:rsidR="00EA31C3" w:rsidRDefault="00A36B36" w:rsidP="00A36B36">
      <w:pPr>
        <w:pStyle w:val="SingleTxt"/>
      </w:pPr>
      <w:r w:rsidRPr="005F7A17">
        <w:rPr>
          <w:rFonts w:ascii="SimHei" w:eastAsia="SimHei" w:hint="eastAsia"/>
          <w:color w:val="FF0000"/>
        </w:rPr>
        <w:t>42.</w:t>
      </w:r>
      <w:r w:rsidRPr="005F7A17">
        <w:rPr>
          <w:rFonts w:ascii="SimHei" w:eastAsia="SimHei" w:hint="eastAsia"/>
          <w:color w:val="FF0000"/>
        </w:rPr>
        <w:tab/>
      </w:r>
      <w:r w:rsidRPr="00454E35">
        <w:rPr>
          <w:rFonts w:ascii="SimHei" w:eastAsia="SimHei" w:hint="eastAsia"/>
          <w:color w:val="FF0000"/>
        </w:rPr>
        <w:t>委员会请该缔约国在根据《公约》第十八条提交的下一次定期报告中，回应本结论意见所表达的各项关切。委员会邀请该缔约国于2010年</w:t>
      </w:r>
      <w:r>
        <w:rPr>
          <w:rFonts w:ascii="SimHei" w:eastAsia="SimHei" w:hint="eastAsia"/>
          <w:color w:val="FF0000"/>
        </w:rPr>
        <w:t>9月</w:t>
      </w:r>
      <w:r w:rsidRPr="00454E35">
        <w:rPr>
          <w:rFonts w:ascii="SimHei" w:eastAsia="SimHei" w:hint="eastAsia"/>
          <w:color w:val="FF0000"/>
        </w:rPr>
        <w:t>以合并报告的形式提交应于2006年9月提出的第七次定期报告和应于2010年9月提出的第八次定期报告</w:t>
      </w:r>
      <w:r w:rsidRPr="00B635F6">
        <w:rPr>
          <w:rFonts w:ascii="SimHei" w:eastAsia="SimHei" w:hint="eastAsia"/>
          <w:color w:val="FF0000"/>
        </w:rPr>
        <w:t>。</w:t>
      </w:r>
    </w:p>
    <w:p w:rsidR="00A36B36" w:rsidRPr="00A36B36" w:rsidRDefault="00A36B36" w:rsidP="00A36B36">
      <w:pPr>
        <w:pStyle w:val="SingleTxt"/>
        <w:spacing w:after="0" w:line="240" w:lineRule="auto"/>
        <w:rPr>
          <w:sz w:val="20"/>
        </w:rPr>
      </w:pPr>
      <w:r>
        <w:rPr>
          <w:noProof/>
          <w:sz w:val="20"/>
        </w:rPr>
        <w:pict>
          <v:line id="_x0000_s1026" style="position:absolute;left:0;text-align:left;z-index:1;mso-position-horizontal:center" from="0,30pt" to="1in,30pt" strokeweight=".25pt"/>
        </w:pict>
      </w:r>
    </w:p>
    <w:sectPr w:rsidR="00A36B36" w:rsidRPr="00A36B36" w:rsidSect="008F3310">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06T11:01:00Z" w:initials="Start">
    <w:p w:rsidR="009D3E3F" w:rsidRDefault="009D3E3F">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NO&gt;&gt;N0648250C&lt;&lt;ODS JOB NO&gt;&gt;</w:t>
      </w:r>
    </w:p>
    <w:p w:rsidR="009D3E3F" w:rsidRDefault="009D3E3F">
      <w:pPr>
        <w:pStyle w:val="CommentText"/>
      </w:pPr>
      <w:r>
        <w:t>&lt;&lt;ODS DOC SYMBOL1&gt;&gt;CEDAW/C/CPV/CO/6&lt;&lt;ODS DOC SYMBOL1&gt;&gt;</w:t>
      </w:r>
    </w:p>
    <w:p w:rsidR="009D3E3F" w:rsidRDefault="009D3E3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BCF" w:rsidRDefault="005B1BCF">
      <w:r>
        <w:separator/>
      </w:r>
    </w:p>
  </w:endnote>
  <w:endnote w:type="continuationSeparator" w:id="0">
    <w:p w:rsidR="005B1BCF" w:rsidRDefault="005B1B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D3E3F" w:rsidTr="008F3310">
      <w:tblPrEx>
        <w:tblCellMar>
          <w:top w:w="0" w:type="dxa"/>
          <w:bottom w:w="0" w:type="dxa"/>
        </w:tblCellMar>
      </w:tblPrEx>
      <w:tc>
        <w:tcPr>
          <w:tcW w:w="5033" w:type="dxa"/>
          <w:shd w:val="clear" w:color="auto" w:fill="auto"/>
          <w:vAlign w:val="bottom"/>
        </w:tcPr>
        <w:p w:rsidR="009D3E3F" w:rsidRPr="008F3310" w:rsidRDefault="009D3E3F" w:rsidP="008F3310">
          <w:pPr>
            <w:pStyle w:val="Footer"/>
            <w:jc w:val="left"/>
          </w:pPr>
          <w:r>
            <w:fldChar w:fldCharType="begin"/>
          </w:r>
          <w:r>
            <w:instrText xml:space="preserve"> PAGE  \* MERGEFORMAT </w:instrText>
          </w:r>
          <w:r>
            <w:fldChar w:fldCharType="separate"/>
          </w:r>
          <w:r w:rsidR="00A27E0F">
            <w:t>6</w:t>
          </w:r>
          <w:r>
            <w:fldChar w:fldCharType="end"/>
          </w:r>
        </w:p>
      </w:tc>
      <w:tc>
        <w:tcPr>
          <w:tcW w:w="5033" w:type="dxa"/>
          <w:shd w:val="clear" w:color="auto" w:fill="auto"/>
          <w:vAlign w:val="bottom"/>
        </w:tcPr>
        <w:p w:rsidR="009D3E3F" w:rsidRPr="008F3310" w:rsidRDefault="009D3E3F" w:rsidP="008F3310">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06-48250</w:t>
          </w:r>
          <w:r>
            <w:rPr>
              <w:b w:val="0"/>
              <w:sz w:val="14"/>
            </w:rPr>
            <w:fldChar w:fldCharType="end"/>
          </w:r>
        </w:p>
      </w:tc>
    </w:tr>
  </w:tbl>
  <w:p w:rsidR="009D3E3F" w:rsidRPr="008F3310" w:rsidRDefault="009D3E3F" w:rsidP="008F33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D3E3F" w:rsidTr="008F3310">
      <w:tblPrEx>
        <w:tblCellMar>
          <w:top w:w="0" w:type="dxa"/>
          <w:bottom w:w="0" w:type="dxa"/>
        </w:tblCellMar>
      </w:tblPrEx>
      <w:tc>
        <w:tcPr>
          <w:tcW w:w="5033" w:type="dxa"/>
          <w:shd w:val="clear" w:color="auto" w:fill="auto"/>
          <w:vAlign w:val="bottom"/>
        </w:tcPr>
        <w:p w:rsidR="009D3E3F" w:rsidRPr="008F3310" w:rsidRDefault="009D3E3F" w:rsidP="008F3310">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06-48250</w:t>
          </w:r>
          <w:r>
            <w:rPr>
              <w:b w:val="0"/>
              <w:sz w:val="14"/>
            </w:rPr>
            <w:fldChar w:fldCharType="end"/>
          </w:r>
        </w:p>
      </w:tc>
      <w:tc>
        <w:tcPr>
          <w:tcW w:w="5033" w:type="dxa"/>
          <w:shd w:val="clear" w:color="auto" w:fill="auto"/>
          <w:vAlign w:val="bottom"/>
        </w:tcPr>
        <w:p w:rsidR="009D3E3F" w:rsidRPr="008F3310" w:rsidRDefault="009D3E3F" w:rsidP="008F3310">
          <w:pPr>
            <w:pStyle w:val="Footer"/>
            <w:jc w:val="right"/>
          </w:pPr>
          <w:r>
            <w:fldChar w:fldCharType="begin"/>
          </w:r>
          <w:r>
            <w:instrText xml:space="preserve"> PAGE  \* MERGEFORMAT </w:instrText>
          </w:r>
          <w:r>
            <w:fldChar w:fldCharType="separate"/>
          </w:r>
          <w:r w:rsidR="00A27E0F">
            <w:t>5</w:t>
          </w:r>
          <w:r>
            <w:fldChar w:fldCharType="end"/>
          </w:r>
        </w:p>
      </w:tc>
    </w:tr>
  </w:tbl>
  <w:p w:rsidR="009D3E3F" w:rsidRPr="008F3310" w:rsidRDefault="009D3E3F" w:rsidP="008F33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3E3F" w:rsidRDefault="009D3E3F" w:rsidP="008F331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06-48250 (C)</w:t>
    </w:r>
    <w:r>
      <w:rPr>
        <w:b w:val="0"/>
        <w:sz w:val="21"/>
      </w:rPr>
      <w:fldChar w:fldCharType="end"/>
    </w:r>
    <w:r>
      <w:rPr>
        <w:b w:val="0"/>
        <w:sz w:val="21"/>
      </w:rPr>
      <w:t xml:space="preserve">    0</w:t>
    </w:r>
    <w:r>
      <w:rPr>
        <w:rFonts w:hint="eastAsia"/>
        <w:b w:val="0"/>
        <w:sz w:val="21"/>
      </w:rPr>
      <w:t>5</w:t>
    </w:r>
    <w:r>
      <w:rPr>
        <w:b w:val="0"/>
        <w:sz w:val="21"/>
      </w:rPr>
      <w:t>0906    060906</w:t>
    </w:r>
  </w:p>
  <w:p w:rsidR="009D3E3F" w:rsidRPr="008F3310" w:rsidRDefault="009D3E3F" w:rsidP="008F331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*0648250*</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BCF" w:rsidRPr="00B635F6" w:rsidRDefault="005B1BCF" w:rsidP="00B635F6">
      <w:pPr>
        <w:pStyle w:val="Footer"/>
        <w:spacing w:after="80"/>
        <w:ind w:left="792"/>
        <w:rPr>
          <w:sz w:val="16"/>
        </w:rPr>
      </w:pPr>
      <w:r w:rsidRPr="00B635F6">
        <w:rPr>
          <w:sz w:val="16"/>
        </w:rPr>
        <w:t>__________________</w:t>
      </w:r>
    </w:p>
  </w:footnote>
  <w:footnote w:type="continuationSeparator" w:id="0">
    <w:p w:rsidR="005B1BCF" w:rsidRPr="00B635F6" w:rsidRDefault="005B1BCF" w:rsidP="00B635F6">
      <w:pPr>
        <w:pStyle w:val="Footer"/>
        <w:spacing w:after="80"/>
        <w:ind w:left="792"/>
        <w:rPr>
          <w:sz w:val="16"/>
        </w:rPr>
      </w:pPr>
      <w:r w:rsidRPr="00B635F6">
        <w:rPr>
          <w:sz w:val="16"/>
        </w:rPr>
        <w:t>__________________</w:t>
      </w:r>
    </w:p>
  </w:footnote>
  <w:footnote w:id="1">
    <w:p w:rsidR="009D3E3F" w:rsidRPr="003161FA" w:rsidRDefault="009D3E3F" w:rsidP="00B635F6">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3161FA">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3E3F" w:rsidTr="008F3310">
      <w:tblPrEx>
        <w:tblCellMar>
          <w:top w:w="0" w:type="dxa"/>
          <w:bottom w:w="0" w:type="dxa"/>
        </w:tblCellMar>
      </w:tblPrEx>
      <w:trPr>
        <w:trHeight w:hRule="exact" w:val="864"/>
      </w:trPr>
      <w:tc>
        <w:tcPr>
          <w:tcW w:w="4838" w:type="dxa"/>
          <w:shd w:val="clear" w:color="auto" w:fill="auto"/>
          <w:vAlign w:val="bottom"/>
        </w:tcPr>
        <w:p w:rsidR="009D3E3F" w:rsidRPr="008F3310" w:rsidRDefault="009D3E3F" w:rsidP="008F331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CEDAW/C/CPV/CO/6</w:t>
          </w:r>
          <w:r>
            <w:rPr>
              <w:b/>
              <w:sz w:val="17"/>
            </w:rPr>
            <w:fldChar w:fldCharType="end"/>
          </w:r>
        </w:p>
      </w:tc>
      <w:tc>
        <w:tcPr>
          <w:tcW w:w="5033" w:type="dxa"/>
          <w:shd w:val="clear" w:color="auto" w:fill="auto"/>
          <w:vAlign w:val="bottom"/>
        </w:tcPr>
        <w:p w:rsidR="009D3E3F" w:rsidRDefault="009D3E3F" w:rsidP="008F3310">
          <w:pPr>
            <w:pStyle w:val="Header"/>
          </w:pPr>
        </w:p>
      </w:tc>
    </w:tr>
  </w:tbl>
  <w:p w:rsidR="009D3E3F" w:rsidRPr="008F3310" w:rsidRDefault="009D3E3F" w:rsidP="008F33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D3E3F" w:rsidTr="008F3310">
      <w:tblPrEx>
        <w:tblCellMar>
          <w:top w:w="0" w:type="dxa"/>
          <w:bottom w:w="0" w:type="dxa"/>
        </w:tblCellMar>
      </w:tblPrEx>
      <w:trPr>
        <w:trHeight w:hRule="exact" w:val="864"/>
      </w:trPr>
      <w:tc>
        <w:tcPr>
          <w:tcW w:w="4838" w:type="dxa"/>
          <w:shd w:val="clear" w:color="auto" w:fill="auto"/>
          <w:vAlign w:val="bottom"/>
        </w:tcPr>
        <w:p w:rsidR="009D3E3F" w:rsidRDefault="009D3E3F" w:rsidP="008F3310">
          <w:pPr>
            <w:pStyle w:val="Header"/>
          </w:pPr>
        </w:p>
      </w:tc>
      <w:tc>
        <w:tcPr>
          <w:tcW w:w="5033" w:type="dxa"/>
          <w:shd w:val="clear" w:color="auto" w:fill="auto"/>
          <w:vAlign w:val="bottom"/>
        </w:tcPr>
        <w:p w:rsidR="009D3E3F" w:rsidRPr="008F3310" w:rsidRDefault="009D3E3F" w:rsidP="008F331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CEDAW/C/CPV/CO/6</w:t>
          </w:r>
          <w:r>
            <w:rPr>
              <w:b/>
              <w:sz w:val="17"/>
            </w:rPr>
            <w:fldChar w:fldCharType="end"/>
          </w:r>
        </w:p>
      </w:tc>
    </w:tr>
  </w:tbl>
  <w:p w:rsidR="009D3E3F" w:rsidRPr="008F3310" w:rsidRDefault="009D3E3F" w:rsidP="008F33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D3E3F" w:rsidTr="008F331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D3E3F" w:rsidRDefault="009D3E3F" w:rsidP="008F3310">
          <w:pPr>
            <w:pStyle w:val="Header"/>
            <w:spacing w:after="120"/>
          </w:pPr>
        </w:p>
      </w:tc>
      <w:tc>
        <w:tcPr>
          <w:tcW w:w="1872" w:type="dxa"/>
          <w:tcBorders>
            <w:bottom w:val="single" w:sz="4" w:space="0" w:color="auto"/>
          </w:tcBorders>
          <w:shd w:val="clear" w:color="auto" w:fill="auto"/>
          <w:vAlign w:val="bottom"/>
        </w:tcPr>
        <w:p w:rsidR="009D3E3F" w:rsidRPr="008F3310" w:rsidRDefault="009D3E3F" w:rsidP="008F331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D3E3F" w:rsidRDefault="009D3E3F" w:rsidP="008F3310">
          <w:pPr>
            <w:pStyle w:val="Header"/>
            <w:spacing w:after="120"/>
          </w:pPr>
        </w:p>
      </w:tc>
      <w:tc>
        <w:tcPr>
          <w:tcW w:w="6523" w:type="dxa"/>
          <w:gridSpan w:val="3"/>
          <w:tcBorders>
            <w:bottom w:val="single" w:sz="4" w:space="0" w:color="auto"/>
          </w:tcBorders>
          <w:shd w:val="clear" w:color="auto" w:fill="auto"/>
          <w:vAlign w:val="bottom"/>
        </w:tcPr>
        <w:p w:rsidR="009D3E3F" w:rsidRPr="008F3310" w:rsidRDefault="009D3E3F" w:rsidP="008F331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/C/CPV/CO/6</w:t>
          </w:r>
        </w:p>
      </w:tc>
    </w:tr>
    <w:tr w:rsidR="009D3E3F" w:rsidRPr="008F3310" w:rsidTr="008F331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D3E3F" w:rsidRDefault="009D3E3F" w:rsidP="008F331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D3E3F" w:rsidRPr="008F3310" w:rsidRDefault="009D3E3F" w:rsidP="008F3310">
          <w:pPr>
            <w:pStyle w:val="Header"/>
            <w:spacing w:before="109"/>
            <w:ind w:left="-72"/>
          </w:pPr>
        </w:p>
      </w:tc>
      <w:tc>
        <w:tcPr>
          <w:tcW w:w="5227" w:type="dxa"/>
          <w:gridSpan w:val="3"/>
          <w:tcBorders>
            <w:top w:val="single" w:sz="4" w:space="0" w:color="auto"/>
            <w:bottom w:val="single" w:sz="12" w:space="0" w:color="auto"/>
          </w:tcBorders>
          <w:shd w:val="clear" w:color="auto" w:fill="auto"/>
        </w:tcPr>
        <w:p w:rsidR="009D3E3F" w:rsidRPr="008F3310" w:rsidRDefault="009D3E3F" w:rsidP="008F331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D3E3F" w:rsidRPr="008F3310" w:rsidRDefault="009D3E3F" w:rsidP="008F3310">
          <w:pPr>
            <w:pStyle w:val="Header"/>
            <w:spacing w:before="109"/>
          </w:pPr>
        </w:p>
      </w:tc>
      <w:tc>
        <w:tcPr>
          <w:tcW w:w="3180" w:type="dxa"/>
          <w:gridSpan w:val="2"/>
          <w:tcBorders>
            <w:top w:val="single" w:sz="4" w:space="0" w:color="auto"/>
            <w:bottom w:val="single" w:sz="12" w:space="0" w:color="auto"/>
          </w:tcBorders>
          <w:shd w:val="clear" w:color="auto" w:fill="auto"/>
        </w:tcPr>
        <w:p w:rsidR="009D3E3F" w:rsidRDefault="009D3E3F" w:rsidP="008F3310">
          <w:pPr>
            <w:spacing w:before="240" w:line="240" w:lineRule="exact"/>
            <w:rPr>
              <w:rFonts w:ascii="Times New Roman"/>
            </w:rPr>
          </w:pPr>
          <w:r>
            <w:rPr>
              <w:rFonts w:ascii="Times New Roman"/>
            </w:rPr>
            <w:t>Distr.: General</w:t>
          </w:r>
        </w:p>
        <w:p w:rsidR="009D3E3F" w:rsidRDefault="009D3E3F" w:rsidP="008F3310">
          <w:pPr>
            <w:spacing w:line="240" w:lineRule="exact"/>
            <w:rPr>
              <w:rFonts w:ascii="Times New Roman"/>
            </w:rPr>
          </w:pPr>
          <w:r>
            <w:rPr>
              <w:rFonts w:ascii="Times New Roman"/>
            </w:rPr>
            <w:t>25 August 2006</w:t>
          </w:r>
        </w:p>
        <w:p w:rsidR="009D3E3F" w:rsidRDefault="009D3E3F" w:rsidP="008F3310">
          <w:pPr>
            <w:spacing w:line="240" w:lineRule="exact"/>
            <w:rPr>
              <w:rFonts w:ascii="Times New Roman"/>
            </w:rPr>
          </w:pPr>
          <w:r>
            <w:rPr>
              <w:rFonts w:ascii="Times New Roman"/>
            </w:rPr>
            <w:t>Chinese</w:t>
          </w:r>
        </w:p>
        <w:p w:rsidR="009D3E3F" w:rsidRPr="008F3310" w:rsidRDefault="009D3E3F" w:rsidP="008F3310">
          <w:pPr>
            <w:spacing w:line="240" w:lineRule="exact"/>
            <w:rPr>
              <w:rFonts w:ascii="Times New Roman"/>
            </w:rPr>
          </w:pPr>
          <w:r>
            <w:rPr>
              <w:rFonts w:ascii="Times New Roman"/>
            </w:rPr>
            <w:t>Original: English</w:t>
          </w:r>
        </w:p>
      </w:tc>
    </w:tr>
  </w:tbl>
  <w:p w:rsidR="009D3E3F" w:rsidRPr="008F3310" w:rsidRDefault="009D3E3F" w:rsidP="008F33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8250*"/>
    <w:docVar w:name="CreationDt" w:val="06/09/2006 10:51:28"/>
    <w:docVar w:name="DocCategory" w:val="Doc"/>
    <w:docVar w:name="DocType" w:val="Final"/>
    <w:docVar w:name="FooterJN" w:val="06-48250"/>
    <w:docVar w:name="jobn" w:val="06-48250 (C)"/>
    <w:docVar w:name="jobnDT" w:val="06-48250 (C)   060906"/>
    <w:docVar w:name="jobnDTDT" w:val="06-48250 (C)   060906   060906"/>
    <w:docVar w:name="JobNo" w:val="0648250C"/>
    <w:docVar w:name="OandT" w:val="duan"/>
    <w:docVar w:name="sss1" w:val="CEDAW/C/CPV/CO/6"/>
    <w:docVar w:name="sss2" w:val="-"/>
    <w:docVar w:name="Symbol1" w:val="CEDAW/C/CPV/CO/6"/>
    <w:docVar w:name="Symbol2" w:val="-"/>
  </w:docVars>
  <w:rsids>
    <w:rsidRoot w:val="0058774F"/>
    <w:rsid w:val="00037B39"/>
    <w:rsid w:val="00044CA4"/>
    <w:rsid w:val="000A31F9"/>
    <w:rsid w:val="000C1786"/>
    <w:rsid w:val="000F1058"/>
    <w:rsid w:val="00141322"/>
    <w:rsid w:val="0017506F"/>
    <w:rsid w:val="001E2C80"/>
    <w:rsid w:val="001E5A51"/>
    <w:rsid w:val="00252E35"/>
    <w:rsid w:val="00282D17"/>
    <w:rsid w:val="002B305F"/>
    <w:rsid w:val="00371BC6"/>
    <w:rsid w:val="00521275"/>
    <w:rsid w:val="0052216F"/>
    <w:rsid w:val="005541E4"/>
    <w:rsid w:val="0058302A"/>
    <w:rsid w:val="0058774F"/>
    <w:rsid w:val="005B1BCF"/>
    <w:rsid w:val="005F3273"/>
    <w:rsid w:val="007F2278"/>
    <w:rsid w:val="00824C19"/>
    <w:rsid w:val="00827FE4"/>
    <w:rsid w:val="008378D1"/>
    <w:rsid w:val="008F3310"/>
    <w:rsid w:val="008F5472"/>
    <w:rsid w:val="0093053C"/>
    <w:rsid w:val="0096193C"/>
    <w:rsid w:val="009A2F76"/>
    <w:rsid w:val="009D3E3F"/>
    <w:rsid w:val="00A27E0F"/>
    <w:rsid w:val="00A36B36"/>
    <w:rsid w:val="00B617F9"/>
    <w:rsid w:val="00B635F6"/>
    <w:rsid w:val="00CF7718"/>
    <w:rsid w:val="00D0454F"/>
    <w:rsid w:val="00DC2506"/>
    <w:rsid w:val="00E95594"/>
    <w:rsid w:val="00EA31C3"/>
    <w:rsid w:val="00F67F90"/>
    <w:rsid w:val="00F731D8"/>
    <w:rsid w:val="00F77B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877</Words>
  <Characters>5004</Characters>
  <Application>Microsoft Office Word</Application>
  <DocSecurity>4</DocSecurity>
  <Lines>41</Lines>
  <Paragraphs>11</Paragraphs>
  <ScaleCrop>false</ScaleCrop>
  <Company>United Nations</Company>
  <LinksUpToDate>false</LinksUpToDate>
  <CharactersWithSpaces>5870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shurui duan</dc:creator>
  <cp:keywords/>
  <dc:description/>
  <cp:lastModifiedBy>shurui duan</cp:lastModifiedBy>
  <cp:revision>5</cp:revision>
  <cp:lastPrinted>2006-09-06T10:03:00Z</cp:lastPrinted>
  <dcterms:created xsi:type="dcterms:W3CDTF">2006-09-06T10:07:00Z</dcterms:created>
  <dcterms:modified xsi:type="dcterms:W3CDTF">2006-09-06T10:07:00Z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0648250</vt:lpwstr>
  </property>
  <property fmtid="{D5CDD505-2E9C-101B-9397-08002B2CF9AE}" pid="3" name="Symbol1">
    <vt:lpwstr>CEDAW/C/CPV/CO/6</vt:lpwstr>
  </property>
  <property fmtid="{D5CDD505-2E9C-101B-9397-08002B2CF9AE}" pid="4" name="Symbol2">
    <vt:lpwstr/>
  </property>
  <property fmtid="{D5CDD505-2E9C-101B-9397-08002B2CF9AE}" pid="5" name="Translator">
    <vt:lpwstr/>
  </property>
  <property fmtid="{D5CDD505-2E9C-101B-9397-08002B2CF9AE}" pid="6" name="Operator">
    <vt:lpwstr>duan</vt:lpwstr>
  </property>
  <property fmtid="{D5CDD505-2E9C-101B-9397-08002B2CF9AE}" pid="7" name="DraftPages">
    <vt:lpwstr> </vt:lpwstr>
  </property>
  <property fmtid="{D5CDD505-2E9C-101B-9397-08002B2CF9AE}" pid="8" name="Comment">
    <vt:lpwstr/>
  </property>
</Properties>
</file>