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/C/SR.1915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17 de junio de 2010</w:t>
            </w:r>
          </w:p>
          <w:p w:rsidR="00000000" w:rsidRDefault="00000000">
            <w:r>
              <w:t>Español</w:t>
            </w:r>
          </w:p>
          <w:p w:rsidR="00000000" w:rsidRDefault="00000000">
            <w:r>
              <w:t>Original: francés</w:t>
            </w:r>
          </w:p>
        </w:tc>
      </w:tr>
    </w:tbl>
    <w:p w:rsidR="00000000" w:rsidRDefault="00000000">
      <w:pPr>
        <w:spacing w:before="120" w:after="120" w:line="240" w:lineRule="auto"/>
        <w:rPr>
          <w:b/>
        </w:rPr>
      </w:pPr>
      <w:r>
        <w:rPr>
          <w:b/>
          <w:sz w:val="24"/>
          <w:szCs w:val="24"/>
        </w:rPr>
        <w:t>Comité para la Eliminación de la Discriminación Racial</w:t>
      </w:r>
      <w:r>
        <w:rPr>
          <w:b/>
          <w:sz w:val="24"/>
          <w:szCs w:val="24"/>
        </w:rPr>
        <w:br/>
      </w:r>
      <w:r>
        <w:rPr>
          <w:b/>
        </w:rPr>
        <w:t>74º período de sesiones</w:t>
      </w:r>
    </w:p>
    <w:p w:rsidR="00000000" w:rsidRDefault="00000000">
      <w:pPr>
        <w:rPr>
          <w:lang w:val="es-ES_tradnl"/>
        </w:rPr>
      </w:pPr>
      <w:r>
        <w:rPr>
          <w:b/>
          <w:lang w:val="es-ES_tradnl"/>
        </w:rPr>
        <w:t>Acta resumida de la 1915ª sesión</w:t>
      </w:r>
      <w:r>
        <w:rPr>
          <w:b/>
          <w:lang w:val="es-ES_tradnl"/>
        </w:rPr>
        <w:br/>
      </w:r>
      <w:r>
        <w:rPr>
          <w:lang w:val="es-ES_tradnl"/>
        </w:rPr>
        <w:t xml:space="preserve">Celebrada en el Palais Wilson, Ginebra, el martes 2 de febrero de </w:t>
      </w:r>
      <w:smartTag w:uri="urn:schemas-microsoft-com:office:smarttags" w:element="metricconverter">
        <w:smartTagPr>
          <w:attr w:name="ProductID" w:val="2009, a"/>
        </w:smartTagPr>
        <w:r>
          <w:rPr>
            <w:lang w:val="es-ES_tradnl"/>
          </w:rPr>
          <w:t>2009, a</w:t>
        </w:r>
      </w:smartTag>
      <w:r>
        <w:rPr>
          <w:lang w:val="es-ES_tradnl"/>
        </w:rPr>
        <w:t xml:space="preserve"> las. 10.00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000000" w:rsidRDefault="00000000">
      <w:pPr>
        <w:pStyle w:val="HChG"/>
        <w:rPr>
          <w:b w:val="0"/>
          <w:lang w:val="es-ES_tradnl"/>
        </w:rPr>
      </w:pPr>
      <w:r>
        <w:rPr>
          <w:b w:val="0"/>
          <w:lang w:val="es-ES_tradnl"/>
        </w:rPr>
        <w:t>Sumario</w:t>
      </w:r>
    </w:p>
    <w:p w:rsidR="00000000" w:rsidRDefault="00000000">
      <w:pPr>
        <w:pStyle w:val="SingleTxtG"/>
      </w:pPr>
      <w:r>
        <w:t xml:space="preserve">Examen de los informes, observaciones e información presentados por los Estados partes de conformidad con el artículo 9 de la Convención </w:t>
      </w:r>
      <w:r>
        <w:rPr>
          <w:i/>
        </w:rPr>
        <w:t>(continuación)</w:t>
      </w:r>
    </w:p>
    <w:p w:rsidR="00000000" w:rsidRDefault="00000000">
      <w:pPr>
        <w:spacing w:after="4680" w:line="240" w:lineRule="auto"/>
        <w:ind w:left="1134"/>
        <w:rPr>
          <w:i/>
        </w:rPr>
      </w:pPr>
      <w:r>
        <w:rPr>
          <w:i/>
        </w:rPr>
        <w:tab/>
        <w:t xml:space="preserve">Informe inicial e informes periódicos segundo y tercero de Turquía </w:t>
      </w:r>
      <w:r>
        <w:t>(continuación)</w:t>
      </w:r>
    </w:p>
    <w:p w:rsidR="00000000" w:rsidRDefault="00000000">
      <w:pPr>
        <w:spacing w:line="240" w:lineRule="auto"/>
        <w:ind w:left="1134"/>
      </w:pPr>
    </w:p>
    <w:p w:rsidR="00000000" w:rsidRDefault="00000000">
      <w:pPr>
        <w:spacing w:after="120" w:line="240" w:lineRule="auto"/>
        <w:ind w:left="1134"/>
        <w:rPr>
          <w:i/>
        </w:rPr>
      </w:pPr>
      <w:r>
        <w:rPr>
          <w:sz w:val="18"/>
          <w:szCs w:val="18"/>
        </w:rPr>
        <w:br w:type="page"/>
      </w:r>
      <w:r>
        <w:rPr>
          <w:i/>
        </w:rPr>
        <w:t>Se declara abierta la sesión a las 10.10 horas.</w:t>
      </w:r>
    </w:p>
    <w:p w:rsidR="00000000" w:rsidRDefault="00000000">
      <w:pPr>
        <w:pStyle w:val="SingleTxtG"/>
        <w:jc w:val="left"/>
      </w:pPr>
      <w:r>
        <w:rPr>
          <w:b/>
        </w:rPr>
        <w:t>Examen de los informes, observaciones e información presentados por los Estados partes de conformidad con el artículo 9 de la Convención</w:t>
      </w:r>
      <w:r>
        <w:t xml:space="preserve"> (tema 5 del programa) </w:t>
      </w:r>
      <w:r>
        <w:rPr>
          <w:i/>
        </w:rPr>
        <w:t>(continuación)</w:t>
      </w:r>
    </w:p>
    <w:p w:rsidR="00000000" w:rsidRDefault="00000000">
      <w:pPr>
        <w:pStyle w:val="SingleTxtG"/>
        <w:jc w:val="left"/>
      </w:pPr>
      <w:r>
        <w:rPr>
          <w:i/>
        </w:rPr>
        <w:t>Informe inicial e informes periódicos segundo y tercero de Turquía</w:t>
      </w:r>
      <w:r>
        <w:t xml:space="preserve"> (CERD/C/TUR/3; HRI/CORE/TUR/2007; lista de cuestiones que han de abordarse y respuestas escritas a la lista de cuestiones que han de abordarse, documentos sin signatura distribuidos durante la sesión, en inglés solamente) </w:t>
      </w:r>
      <w:r>
        <w:rPr>
          <w:i/>
        </w:rPr>
        <w:t>(continuación)</w:t>
      </w:r>
    </w:p>
    <w:p w:rsidR="00000000" w:rsidRDefault="00000000">
      <w:pPr>
        <w:pStyle w:val="SingleTxtG"/>
      </w:pPr>
      <w:r>
        <w:t>1.</w:t>
      </w:r>
      <w:r>
        <w:tab/>
      </w:r>
      <w:r>
        <w:rPr>
          <w:i/>
        </w:rPr>
        <w:t xml:space="preserve">Por invitación de </w:t>
      </w:r>
      <w:smartTag w:uri="urn:schemas-microsoft-com:office:smarttags" w:element="PersonName">
        <w:smartTagPr>
          <w:attr w:name="ProductID" w:val="ޖ枨ޖ㦹瓼⸲⸵⸴ㄳgġ✡谀&#10;la Presidenta㟠ޝī✡谀慠፷煨፷Õ✡蠀㬘͜+-格ޖ瓾瓾瓾ß✡輀搰ޖ桨ޖ㦹瓼⸲⸵⸴㜳&#10;Ù✡贀洰ޖ梘ޖ騂瓹敓楲污穩摥䐴üÃ✡耀et&#10;la ConvenciónÍ✡E谀&#10;LA CONVENTION憌ù÷✡谀&#10;La Turquía Lañ✡輀敐ޖ楘ޖ㦹瓼⸲⸵⸴㈳gû✡輀晰ޖ榈ޖ궇瓼⸲⸵㤲㠮䄼üå✡ʁ踀晀ޖ榸ޖ粰瓼⸲⸵㤲㌮7ꟼøï✡c踀无ޖ槨ޖ궇瓼⸲⸵㤲ㄮ8맬ùé✡踀榠ޖ樘ޖ竼瓼⸲⸵㤲㈮1&#10;✡耀Ĩetla Eliminación✡袶谀&#10;la Pr￩sidenteon✡踀汀ޖ檨ޖ쒕瓼⸲⸵㤲㈮8뤄û✡谀&#10;&#10;la R￩publique✡蠀µ✡踀儘ᚪ欸ޖ夃瓶⸲⸵㤲㈮7똜û¿✡輀掠ޖ歨ޖ㦹瓼⸲⸵⸴㤳&#10;¹✡t谀ᜌ烚浐ޚ㽠烚&#10;£✡褀洀ޖ毈ޖ먎瓶祓瑳浥敒楧瑳祲­✡言毸ޖ瓶瓾⸱⸳㐱㌮㈮㈮6ùW✡踀乀ᚪ氨ޖ蹫瓼⸲⸵㤲㌮2凬üQ✡踀冈ᚪ汘ޖ닣瓼⸲⸵㤲㌮0攬ù[✡踀戠ޖ沈ޖ娗瓶⸲⸵㤲㌮1ûE✡言咘ᚪ沸ޖ衤瓾⸱⸳㐱㌮㈮ㄮ2ùO✡踀到ᚪ注ޖ蠁瓼⸲⸵㤲㌮6䘼üI✡茚輀洘ޖ嶍瓻桐獹捩污谄ùs✡c贀殰ޖ浈ޖ댰瓷潃汬捥楴湯証ù}✡蠀垠׃ꀸ׃ݷݷ͜͜g✡蠀≓ၓ≓㰂a✡踀䴨ᚪ淘ޖ뷼瓼⸲⸵㤲㌮5&#10;k✡蠀耐&amp;糠&amp;ะ׀찺뒿䉌⦰螚䇆ᄀ猐ׂ✡蠀NT Authority\SYSTEM✡蠀†&amp;ኀ׀Ὀׂ薏幬ย䝠ﺚ㏪똗獱ᄀ澰ׂ✡踀凸ᚪ溘ޖ蓢瓼⸲⸵㤲㌮3ᢴþ✡캜言唈ᚪ滈ޖ諙瓾⸱⸳㐱㌮㈮ㄮ2ý&#10;✡蠀㜨͜+-滼ޖ瓾瓾瓾7✡蠀Ἐׂะ׀†&amp;ོ䤁䫌䢆퓕ы迯耀㥠ޔ鷣鍚혦ࠠ좐ޘ濸͝&#10;타뉉✳쭴蠀de뉔✳蠀la뉓✳蠀de뉞✳蠀de뉝✳蠀.뉘✳蠀El놧✳蠀ha놢✳蠀sido놡✳蠀por耀놬✳蠀de놫✳蠀sus놶✳蠀en놵✳蠀las놰✳蠀,ecla놿✳ 蠀ata l놺✳s蠀dea l놹✳ 蠀lahor놄✳.蠀gran놃✳蠀que놎✳蠀la농✳蠀del놈✳蠀al⟜耀놗✳蠀de높✳蠀y놑✳蠀el놜✳蠀que놛✳蠀para뇦✳蠀suL뇥✳嬌蠀&#10;labor뇠✳蠀&#10;posee뇯✳岌蠀el뇪✳蠀de뇩✳蠀la뇴✳蠀.뇳✳蠀&#10;㌹⟜耀뇾✳蠀.s뇽✳蠀es1뇸✳蠀La뇇✳蠀de뇂✳蠀que뇁✳蠀la鴣博풦ࠠ㛠ލﻘׄ 타侹✦蠀una侤✦蠀&#10;serie侣✦蠀de.侮✦蠀de侭✦蠀para侨✦蠀el佗✦蠀,佒✦蠀&#10;desde佑✦蠀su作✦蠀73佛✦蠀º但✦蠀de佅✦蠀,佀✦蠀en住✦蠀de佊✦蠀2008佉✦蠀,佴✦蠀la佳✦蠀Alta佾✦蠀que鵶ན푦 䶐֪儐ޏ麡퐳ఠḯ皫ਖ皫ẅ皫೶皤੆皢ൠ皢ὴ皢˪皢跉皢৸皢˴皢̒皢᪩皢̈皢ˈ皢譆皡磾皡箙皡˾皢䲫皡먝皡諱皡ˠ皢皡꣝皡皡̜皢䋗皥縂皡盖皡䋡皥䋫皥䋵皥䋿皥䌉皥㔧皥㢁皥䌓皥䌝皥䌧皥䌱皥䌻皥䍅皥㡭皥䍏皥䍙皥䍣皥䍭皥䍷皥䎁皥䎋皥䎕皥㢋皥䎟皥䎩皥䎳皥䎽皥䏇皥䏑皥㝇皥䏛皥䏥皥䏯皥㜽皥䏹皥䐃皥䐍皥䐗皥䐡皥㡏皥㫻皥㡣皥㡙皥䐫皥䐵皥䐿皥䑉皥䑓皥䑝皥䑧皥䑱皥䑻皥䒅皥䒏皥㡷皥䒙皥䒣皥䒭皥䒷皥䓁皥䓋皥䓕皥䓟皥䓩皥䓳皥䓽皥䔇皥䔑皥䔛皥䔥皥䔯皥䔹皥䕃皥䕍皥䕗皥䕡皥䕫皥䕵皥䕿皥䖉皥䖓皥䖝皥䖧皥䖱皥䖻皥䗅皥䗏皥䗙皥䗣皥䗭皥䗷皥䘁皥䘋皥䘕皥䘟皥䘩皥䘳皥䘽皥࿸࿸࿸࿸࿸࿸࿸࿸ ࿸$࿸(࿸,࿸0࿸4࿸8࿸&lt;࿸@࿸D࿸H࿸L࿸P࿸T࿸X࿸\࿸`࿸d࿸h࿸l࿸࿸࿸࿸࿸࿸࿸࿸ ࿸¤࿸¨࿸¬࿸°࿸´࿸¸࿸¼࿸À࿸Ä࿸È࿸Ì࿸Ð࿸Ô࿸Ø࿸Ü࿸à࿸ä࿸è࿸ì࿸ð࿸ô࿸ø࿸ü࿸Ā࿸Ą࿸Ĉ࿸Č࿸Đ࿸Ĕ࿸Ę࿸Ĝ࿸Ġ࿸Ĥ࿸Ĩ࿸Ĭ࿸İ࿸Ĵ࿸ĸ࿸ļ࿸ŀ࿸ń࿸ň࿸Ō࿸Ő࿸Ŕ࿸Ř࿸Ŝ࿸Š࿸Ÿ࿸ż࿸ƀ࿸Ƅ࿸ƈ࿸ƌ࿸Ɛ࿸Ɣ࿸Ƙ࿸Ɯ࿸Ơ࿸Ƥ࿸ƨ࿸Ƭ࿸ư࿸ƴ࿸Ƹ࿸Ƽ࿸ǀ࿸Ǆ࿸ǈ࿸ǌ࿸ǐ࿸ǔ࿸ǘ࿸ǜ࿸Ǡ࿸Ǥ࿸Ǩ࿸Ǭ࿸ǰ࿸Ǵ࿸Ǹ࿸Ǽ࿸Ȁ࿸Ȅ࿸Ȉ࿸Ȍ࿸Ȑ࿸Ȕ࿸Ș࿸Ȝ࿸Ƞ࿸Ȥ࿸Ȩ࿸Ȭ࿸Ȱ࿸ȴ࿸ȸ࿸ȼ࿸ɀ࿸Ʉ࿸Ɉ࿸Ɍ࿸ɐ࿸ɔ࿸ɬ࿸ɰ࿸ɴ࿸ɸ࿸ɼ࿸ʀ࿸ʄ࿸ʈ࿸ʌ࿸ʐ࿸ʔ࿸ʘ࿸ʜ࿸ʠ࿸ʤ࿸ʨ࿸ʬ࿸ʰ࿸ʴ࿸ʸ࿸ʼ࿸ˀ࿸˄࿸ˈ࿸ˌ࿸ː࿸˔࿸˘࿸˜࿸ˠ࿸ˤ࿸˨࿸ˬ࿸˰࿸˴࿸˸࿸˼࿸̀࿸̄࿸̈࿸̌࿸̐࿸̔࿸̘࿸̜࿸̠࿸̤࿸̨࿸̬࿸̰࿸̴࿸̸࿸̼࿸̀࿸̈́࿸͈࿸͠࿸ͤ࿸ͨ࿸ͬ࿸Ͱ࿸ʹ࿸͸࿸ͼ࿸΀࿸΄࿸Έ࿸Ό࿸ΐ࿸Δ࿸Θ࿸Μ࿸Π࿸Τ࿸Ψ࿸ά࿸ΰ࿸δ࿸θ࿸μ࿸π࿸τ࿸ψ࿸ό࿸ϐ࿸ϔ࿸Ϙ࿸Ϝ࿸Ϡ࿸Ϥ࿸Ϩ࿸Ϭ࿸ϰ࿸ϴ࿸ϸ࿸ϼ࿸Ѐ࿸Є࿸Ј࿸Ќ࿸А࿸Д࿸И࿸М࿸Р࿸Ф࿸Ш࿸Ь࿸а࿸д࿸и࿸м࿸є࿸ј࿸ќ࿸Ѡ࿸Ѥ࿸Ѩ࿸Ѭ࿸Ѱ࿸Ѵ࿸Ѹ࿸Ѽ࿸Ҁ࿸҄࿸҈࿸Ҍ࿸Ґ࿸Ҕ࿸Ҙ࿸Ҝ࿸Ҡ࿸Ҥ࿸Ҩ࿸Ҭ࿸Ұ࿸Ҵ࿸Ҹ࿸Ҽ࿸Ӏ࿸ӄ࿸ӈ࿸ӌ࿸Ӑ࿸Ӕ࿸Ә࿸Ӝ࿸Ӡ࿸Ӥ࿸Ө࿸Ӭ࿸Ӱ࿸Ӵ࿸Ӹ࿸Ӽ࿸Ԁ࿸Ԅ࿸Ԉ࿸Ԍ࿸Ԑ࿸Ԕ࿸Ԙ࿸Ԝ࿸Ԡ࿸Ԥ࿸Ԩ࿸Ԭ࿸԰࿸Ո࿸Ռ࿸Ր࿸Ք࿸՘࿸՜࿸ՠ࿸դ࿸ը࿸լ࿸հ࿸մ࿸ո࿸ռ࿸ր࿸ք࿸ֈ࿸֌࿸֐࿸֔࿸֘࿸֜࿸֠࿸֤࿸֨࿸֬࿸ְ࿸ִ࿸ָ࿸ּ࿸׀࿸ׄ࿸׈࿸׌࿸א࿸ה࿸ט࿸ל࿸נ࿸פ࿸ר࿸׬࿸װ࿸״࿸׸࿸׼࿸؀࿸؄࿸؈࿸،࿸ؐ࿸ؔ࿸ؘ࿸؜࿸ؠ࿸ؤ࿸ؼ࿸ـ࿸ل࿸و࿸ٌ࿸ِ࿸ٔ࿸٘࿸ٜ࿸٠࿸٤࿸٨࿸٬࿸ٰ࿸ٴ࿸ٸ࿸ټ࿸ڀ࿸ڄ࿸ڈ࿸ڌ࿸ڐ࿸ڔ࿸ژ࿸ڜ࿸ڠ࿸ڤ࿸ڨ࿸ڬ࿸ڰ࿸ڴ࿸ڸ࿸ڼ࿸ۀ࿸ۄ࿸ۈ࿸ی࿸ې࿸۔࿸ۘ࿸ۜ࿸۠࿸ۤ࿸ۨ࿸۬࿸۰࿸۴࿸۸࿸ۼ࿸܀࿸܄࿸܈࿸܌࿸ܐ࿸ܔ࿸ܘ࿸ܰ࿸ܴ࿸ܸ࿸ܼ࿸݀࿸݄࿸݈࿸݌࿸ݐ࿸ݔ࿸ݘ࿸ݜ࿸ݠ࿸ݤ࿸ݨ࿸ݬ࿸ݰ࿸ݴ࿸ݸ࿸ݼ࿸ހ࿸ބ࿸ވ࿸ތ࿸ސ࿸ޔ࿸ޘ࿸ޜ࿸ޠ࿸ޤ࿸ި࿸ެ࿸ް࿸޴࿸޸࿸޼࿸߀࿸߄࿸߈࿸ߌ࿸ߐ࿸ߔ࿸ߘ࿸ߜ࿸ߠ࿸ߤ࿸ߨ࿸߬࿸߰࿸ߴ࿸߸࿸߼࿸ࠀ࿸ࠄ࿸ࠈ࿸ࠌ࿸ࠤ࿸ࠨ࿸ࠬ࿸࠰࿸࠴࿸࠸࿸࠼࿸ࡀ࿸ࡄ࿸ࡈ࿸ࡌ࿸ࡐ࿸ࡔ࿸ࡘ࿸࡜࿸ࡠ࿸ࡤ࿸ࡨ࿸࡬࿸ࡰ࿸ࡴ࿸ࡸ࿸ࡼ࿸ࢀ࿸ࢄ࿸࢈࿸ࢌ࿸࢐࿸࢔࿸࢘࿸࢜࿸ࢠ࿸ࢤ࿸ࢨ࿸ࢬ࿸ࢰ࿸ࢴ࿸ࢸ࿸ࢼ࿸ࣀ࿸ࣄ࿸ࣈ࿸࣌࿸࣐࿸ࣔ࿸ࣘ࿸ࣜ࿸࣠࿸ࣤ࿸ࣨ࿸࣬࿸ࣰ࿸ࣴ࿸ࣸ࿸ࣼ࿸ऀ࿸घ࿸ज࿸ठ࿸त࿸न࿸ब࿸र࿸ऴ࿸स࿸़࿸ी࿸ॄ࿸ै࿸ौ࿸ॐ࿸॔࿸क़࿸ड़࿸ॠ࿸।࿸२࿸६࿸॰࿸ॴ࿸ॸ࿸ॼ࿸ঀ࿸঄࿸ঈ࿸ঌ࿸ঐ࿸ঔ࿸ঘ࿸জ࿸ঠ࿸ত࿸ন࿸ব࿸র࿸঴࿸স࿸়࿸ী࿸ৄ࿸ৈ࿸ৌ࿸৐࿸৔࿸৘࿸ড়࿸ৠ࿸৤࿸২࿸৬࿸ৰ࿸৴࿸਌࿸ਐ࿸ਔ࿸ਘ࿸ਜ࿸ਠ࿸ਤ࿸ਨ࿸ਬ࿸ਰ࿸਴࿸ਸ࿸਼࿸ੀ࿸੄࿸ੈ࿸ੌ࿸੐࿸੔࿸੘࿸ੜ࿸੠࿸੤࿸੨࿸੬࿸ੰ࿸ੴ࿸੸࿸੼࿸઀࿸઄࿸ઈ࿸ઌ࿸ઐ࿸ઔ࿸ઘ࿸જ࿸ઠ࿸ત࿸ન࿸બ࿸ર࿸઴࿸સ࿸઼࿸ી࿸ૄ࿸ૈ࿸ૌ࿸ૐ࿸૔࿸૘࿸૜࿸ૠ࿸૤࿸૨࿸଀࿸଄࿸ଈ࿸ଌ࿸ଐ࿸ଔ࿸ଘ࿸ଜ࿸ଠ࿸ତ࿸ନ࿸ବ࿸ର࿸଴࿸ସ࿸଼࿸ୀ࿸ୄ࿸ୈ࿸ୌ࿸୐࿸୔࿸୘࿸ଡ଼࿸ୠ࿸୤࿸୨࿸୬࿸୰࿸୴࿸୸࿸୼࿸஀࿸஄࿸ஈ࿸஌࿸ஐ࿸ஔ࿸஘࿸ஜ࿸஠࿸த࿸ந࿸஬࿸ர࿸ழ࿸ஸ࿸஼࿸ீ࿸௄࿸ை࿸ௌ࿸ௐ࿸௔࿸௘࿸௜࿸௴࿸௸࿸௼࿸ఀ࿸ఄ࿸ఈ࿸ఌ࿸ఐ࿸ఔ࿸ఘ࿸జ࿸ఠ࿸త࿸న࿸బ࿸ర࿸ఴ࿸స࿸఼࿸ీ࿸ౄ࿸ై࿸ౌ࿸౐࿸౔࿸ౘ࿸౜࿸ౠ࿸౤࿸౨࿸౬࿸౰࿸౴࿸౸࿸౼࿸ಀ࿸಄࿸ಈ࿸ಌ࿸ಐ࿸ಔ࿸ಘ࿸ಜ࿸ಠ࿸ತ࿸ನ࿸ಬ࿸ರ࿸಴࿸ಸ࿸಼࿸ೀ࿸ೄ࿸ೈ࿸ೌ࿸೐࿸೨࿸೬࿸೰࿸೴࿸೸࿸೼࿸ഀ࿸ഄ࿸ഈ࿸ഌ࿸ഐ࿸ഔ࿸ഘ࿸ജ࿸ഠ࿸ത࿸ന࿸ബ࿸ര࿸ഴ࿸സ࿸഼࿸ീ࿸ൄ࿸ൈ࿸ൌ࿸൐࿸ൔ࿸൘࿸൜࿸ൠ࿸൤࿸൨࿸൬࿸൰࿸൴࿸൸࿸ർ࿸඀࿸඄࿸ඈ࿸ඌ࿸ඐ࿸ඔ࿸඘࿸ග࿸ච࿸ඤ࿸ඨ࿸ඬ࿸ධ࿸ප࿸ම࿸඼࿸ව࿸හ࿸ො࿸෠࿸෤࿸෨࿸෬࿸෰࿸෴࿸෸࿸෼࿸฀࿸ค࿸จ࿸ฌ࿸ฐ࿸ด࿸ธ࿸ผ࿸ภ࿸ฤ࿸ศ࿸ฬ࿸ะ࿸ิ࿸ุ࿸฼࿸เ࿸ไ࿸่࿸์࿸๐࿸๔࿸๘࿸๜࿸๠࿸๤࿸๨࿸๬࿸๰࿸๴࿸๸࿸๼࿸຀࿸ຄ࿸ຈ࿸ຌ࿸ຐ࿸ດ࿸ຘ࿸ຜ࿸ຠ࿸຤࿸ຨ࿸ຬ࿸ະ࿸ິ࿸ຸ࿸໐࿸໔࿸໘࿸ໜ࿸໠࿸໤࿸໨࿸໬࿸໰࿸໴࿸໸࿸໼࿸ༀ࿸༄࿸༈࿸༌࿸༐࿸༔࿸༘࿸༜࿸༠࿸༤࿸༨࿸༬࿸༰࿸༴࿸༸࿸༼࿸ཀ࿸ང࿸཈࿸ཌ࿸ཐ࿸པ࿸མ࿸ཛྷ࿸འ࿸ཤ࿸ཨ࿸ཬ࿸཰࿸ུ࿸ླྀ࿸ོ࿸ྀ࿸྄࿸ྈ࿸ྌ࿸ྐ࿸ྔ࿸྘࿸ྜ࿸ྠ࿸ྤ࿸ྨ࿸ྫྷ࿸࿄࿸࿈࿸࿌࿸࿐࿸࿔࿸࿘࿸࿜࿸࿠࿸࿤࿸࿨࿸࿬࿸࿰࿸࿴࿸࿸࿸࿼࿸က࿸င࿸ဈ࿸ဌ࿸တ࿸န࿸ဘ࿸လ࿸ဠ࿸ဤ࿸ဨ࿸ာ࿸ူ࿸ဴ࿸း࿸ြ࿸၀࿸၄࿸၈࿸၌࿸ၐ࿸ၔ࿸ၘ࿸ၜ࿸ၠ࿸ၤ࿸ၨ࿸ၬ࿸ၰ࿸ၴ࿸ၸ࿸ၼ࿸ႀ࿸ႄ࿸ႈ࿸ႌ࿸႐࿸႔࿸႘࿸ႜ࿸Ⴀ࿸Ⴘ࿸Ⴜ࿸Ⴠ࿸Ⴤ࿸჈࿸჌࿸ა࿸ე࿸ი࿸ნ࿸რ࿸ფ࿸შ࿸წ࿸ჰ࿸ჴ࿸ჸ࿸ჼ࿸ᄀ࿸ᄄ࿸ᄈ࿸ᄌ࿸ᄐ࿸ᄔ࿸ᄘ࿸ᄜ࿸ᄠ࿸ᄤ࿸ᄨ࿸ᄬ࿸ᄰ࿸ᄴ࿸ᄸ࿸ᄼ࿸ᅀ࿸ᅄ࿸ᅈ࿸ᅌ࿸ᅐ࿸ᅔ࿸ᅘ࿸ᅜ࿸ᅠ࿸ᅤ࿸ᅨ࿸ᅬ࿸ᅰ࿸ᅴ࿸ᅸ࿸ᅼ࿸ᆀ࿸ᆄ࿸ᆈ࿸ᆌ࿸ᆐ࿸ᆔ࿸ᆬ࿸ᆰ࿸ᆴ࿸ᆸ࿸ᆼ࿸ᇀ࿸ᇄ࿸ᇈ࿸ᇌ࿸ᇐ࿸ᇔ࿸ᇘ࿸ᇜ࿸ᇠ࿸ᇤ࿸ᇨ࿸ᇬ࿸ᇰ࿸ᇴ࿸ᇸ࿸ᇼ࿸ሀ࿸ሄ࿸ለ࿸ሌ࿸ሐ࿸ሔ࿸መ࿸ሜ࿸ሠ࿸ሤ࿸ረ࿸ሬ࿸ሰ࿸ሴ࿸ሸ࿸ሼ࿸ቀ࿸ቄ࿸ቈ࿸ቌ࿸ቐ࿸ቔ࿸ቘ࿸ቜ࿸በ࿸ቤ࿸ቨ࿸ቬ࿸ተ࿸ቴ࿸ቸ࿸ቼ࿸ኀ࿸ኄ࿸ኈ࿸አ࿸ኤ࿸ከ࿸ኬ࿸ኰ࿸ኴ࿸ኸ࿸ኼ࿸ዀ࿸ዄ࿸ወ࿸ዌ࿸ዐ࿸ዔ࿸ዘ࿸ዜ࿸ዠ࿸ዤ࿸የ࿸ዬ࿸ደ࿸ዴ࿸ዸ࿸ዼ࿸ጀ࿸ጄ࿸ገ࿸ጌ࿸ጐ࿸ጔ࿸ጘ࿸ጜ࿸ጠ࿸ጤ࿸ጨ࿸ጬ࿸ጰ࿸ጴ࿸ጸ࿸ጼ࿸ፀ࿸ፄ࿸ፈ࿸ፌ࿸ፐ࿸ፔ࿸ፘ࿸፜࿸፠࿸፤࿸፨࿸፬࿸፰࿸፴࿸፸࿸፼࿸᎔࿸᎘࿸᎜࿸Ꭰ࿸Ꭴ࿸Ꭸ࿸Ꭼ࿸Ꮀ࿸Ꮄ࿸Ꮈ࿸Ꮌ࿸Ꮐ࿸Ꮔ࿸Ꮘ࿸Ꮜ࿸Ꮠ࿸Ꮤ࿸Ꮨ࿸Ꮬ࿸Ꮰ࿸Ꮴ࿸Ꮸ࿸Ꮼ࿸Ᏸ࿸Ᏼ࿸ᏸ࿸ᏼ࿸᐀࿸ᐄ࿸ᐈ࿸ᐌ࿸ᐐ࿸ᐔ࿸ᐘ࿸ᐜ࿸ᐠ࿸ᐤ࿸ᐨ࿸ᐬ࿸ᐰ࿸ᐴ࿸ᐸ࿸ᐼ࿸ᑀ࿸ᑄ࿸ᑈ࿸ᑌ࿸ᑐ࿸ᑔ࿸ᑘ࿸ᑜ࿸ᑠ࿸ᑤ࿸ᑨ࿸ᑬ࿸ᑰ࿸ᒈ࿸ᒌ࿸ᒐ࿸ᒔ࿸ᒘ࿸ᒜ࿸ᒠ࿸ᒤ࿸ᒨ࿸ᒬ࿸ᒰ࿸ᒴ࿸ᒸ࿸ᒼ࿸ᓀ࿸ᓄ࿸ᓈ࿸ᓌ࿸ᓐ࿸ᓔ࿸ᓘ࿸ᓜ࿸ᓠ࿸ᓤ࿸ᓨ࿸ᓬ࿸ᓰ࿸ᓴ࿸ᓸ࿸ᓼ࿸ᔀ࿸ᔄ࿸ᔈ࿸ᔌ࿸ᔐ࿸ᔔ࿸ᔘ࿸ᔜ࿸ᔠ࿸ᔤ࿸ᔨ࿸ᔬ࿸ᔰ࿸ᔴ࿸ᔸ࿸ᔼ࿸ᕀ࿸ᕄ࿸ᕈ࿸ᕌ࿸ᕐ࿸ᕔ࿸ᕘ࿸ᕜ࿸ᕠ࿸ᕤ࿸ᕼ࿸ᖀ࿸ᖄ࿸ᖈ࿸ᖌ࿸ᖐ࿸ᖔ࿸ᖘ࿸ᖜ࿸ᖠ࿸ᖤ࿸ᖨ࿸ᖬ࿸ᖰ࿸ᖴ࿸ᖸ࿸ᖼ࿸ᗀ࿸ᗄ࿸ᗈ࿸ᗌ࿸ᗐ࿸ᗔ࿸ᗘ࿸ᗜ࿸ᗠ࿸ᗤ࿸ᗨ࿸ᗬ࿸ᗰ࿸ᗴ࿸ᗸ࿸ᗼ࿸ᘀ࿸ᘄ࿸ᘈ࿸ᘌ࿸ᘐ࿸ᘔ࿸ᘘ࿸ᘜ࿸ᘠ࿸ᘤ࿸ᘨ࿸ᘬ࿸ᘰ࿸ᘴ࿸ᘸ࿸ᘼ࿸ᙀ࿸ᙄ࿸ᙈ࿸ᙌ࿸ᙐ࿸ᙔ࿸ᙘ࿸ᙰ࿸ᙴ࿸ᙸ࿸ᙼ࿸ ࿸ᚄ࿸ᚈ࿸ᚌ࿸ᚐ࿸ᚔ࿸ᚘ࿸᚜࿸ᚠ࿸ᚤ࿸ᚨ࿸ᚬ࿸ᚰ࿸ᚴ࿸ᚸ࿸ᚼ࿸ᛀ࿸ᛄ࿸ᛈ࿸ᛌ࿸ᛐ࿸ᛔ࿸ᛘ࿸ᛜ࿸ᛠ࿸ᛤ࿸ᛨ࿸᛬࿸ᛰ࿸ᛴ࿸ᛸ࿸᛼࿸ᜀ࿸ᜄ࿸ᜈ࿸ᜌ࿸ᜐ࿸᜔࿸᜘࿸᜜࿸ᜠ࿸ᜤ࿸ᜨ࿸ᜬ࿸ᜰ࿸᜴࿸᜸࿸᜼࿸ᝀ࿸ᝄ࿸ᝈ࿸ᝌ࿸ᝤ࿸ᝨ࿸ᝬ࿸ᝰ࿸᝴࿸᝸࿸᝼࿸ក࿸ង࿸ឈ࿸ឌ࿸ថ࿸ប࿸ម࿸វ࿸ហ࿸ឤ࿸ឨ࿸ឬ࿸ឰ࿸឴࿸ី࿸ូ࿸ៀ࿸ោ࿸ៈ࿸៌࿸័࿸។࿸៘࿸ៜ࿸០࿸៤࿸៨࿸៬࿸៰࿸៴࿸៸࿸៼࿸᠀࿸᠄࿸᠈࿸᠌࿸᠐࿸᠔࿸᠘࿸᠜࿸ᠠ࿸ᠤ࿸ᠨ࿸ᠬ࿸ᠰ࿸ᠴ࿸ᠸ࿸ᠼ࿸ᡀ࿸ᡘ࿸ᡜ࿸ᡠ࿸ᡤ࿸ᡨ࿸ᡬ࿸ᡰ࿸ᡴ࿸ᡸ࿸᡼࿸ᢀ࿸ᢄ࿸ᢈ࿸ᢌ࿸ᢐ࿸ᢔ࿸ᢘ࿸ᢜ࿸ᢠ࿸ᢤ࿸ᢨ࿸᢬࿸ᢰ࿸ᢴ࿸ᢸ࿸ᢼ࿸ᣀ࿸ᣄ࿸ᣈ࿸ᣌ࿸ᣐ࿸ᣔ࿸ᣘ࿸ᣜ࿸ᣠ࿸ᣤ࿸ᣨ࿸ᣬ࿸ᣰ࿸ᣴ࿸᣸࿸᣼࿸ᤀ࿸ᤄ࿸ᤈ࿸ᤌ࿸ᤐ࿸ᤔ࿸ᤘ࿸ᤜ࿸ᤠ࿸ᤤ࿸ᤨ࿸᤬࿸ᤰ࿸ᤴ࿸᥌࿸ᥐ࿸ᥔ࿸ᥘ࿸ᥜ࿸ᥠ࿸ᥤ࿸ᥨ࿸ᥬ࿸ᥰ࿸ᥴ࿸᥸࿸᥼࿸ᦀ࿸ᦄ࿸ᦈ࿸ᦌ࿸ᦐ࿸ᦔ࿸ᦘ࿸ᦜ࿸ᦠ࿸ᦤ࿸ᦨ࿸᦬࿸ᦰ࿸ᦴ࿸ᦸ࿸ᦼ࿸ᧀ࿸ᧄ࿸ᧈ࿸᧌࿸᧐࿸᧔࿸᧘࿸᧜࿸᧠࿸᧤࿸᧨࿸᧬࿸᧰࿸᧴࿸᧸࿸᧼࿸ᨀ࿸ᨄ࿸ᨈ࿸ᨌ࿸ᨐ࿸ᨔ࿸ᨘ࿸᨜࿸ᨠ࿸ᨤ࿸ᨨ࿸ᩀ࿸ᩄ࿸ᩈ࿸ᩌ࿸ᩐ࿸ᩔ࿸ᩘ࿸ᩜ࿸᩠࿸ᩤ࿸ᩨ࿸ᩬ࿸ᩰ࿸ᩴ࿸᩸࿸᩼࿸᪀࿸᪄࿸᪈࿸᪌࿸᪐࿸᪔࿸᪘࿸᪜࿸᪠࿸᪤࿸᪨࿸᪬࿸᪰࿸᪴࿸᪸࿸᪼࿸ᫀ࿸᫄࿸᫈࿸ᫌ࿸᫐࿸᫔࿸᫘࿸᫜࿸᫠࿸᫤࿸᫨࿸᫬࿸᫰࿸᫴࿸᫸࿸᫼࿸ᬀ࿸ᬄ࿸ᬈ࿸ᬌ࿸ᬐ࿸ᬔ࿸ᬘ࿸ᬜ࿸᬴࿸ᬸ࿸ᬼ࿸ᭀ࿸᭄࿸ᭈ࿸ᭌ࿸᭐࿸᭔࿸᭘࿸᭜࿸᭠࿸᭤࿸᭨࿸᭬࿸᭰࿸᭴࿸᭸࿸᭼࿸ᮀ࿸ᮄ࿸ᮈ࿸ᮌ࿸ᮐ࿸ᮔ࿸ᮘ࿸ᮜ࿸ᮠ࿸ᮤ࿸ᮨ࿸ᮬ࿸᮰࿸᮴࿸᮸࿸ᮼ࿸ᯀ࿸ᯄ࿸ᯈ࿸ᯌ࿸ᯐ࿸ᯔ࿸ᯘ࿸ᯜ࿸ᯠ࿸ᯤ࿸ᯨ࿸ᯬ࿸ᯰ࿸᯴࿸᯸࿸᯼࿸ᰀ࿸ᰄ࿸ᰈ࿸ᰌ࿸ᰐ࿸ᰨ࿸ᰬ࿸ᰰ࿸ᰴ࿸᰸࿸᰼࿸᱀࿸᱄࿸᱈࿸᱌࿸᱐࿸᱔࿸᱘࿸ᱜ࿸ᱠ࿸ᱤ࿸ᱨ࿸ᱬ࿸ᱰ࿸ᱴ࿸ᱸ࿸ᱼ࿸ᲀ࿸ᲄ࿸ᲈ࿸᲌࿸Ა࿸Ე࿸Ი࿸Ნ࿸Რ࿸Ფ࿸Შ࿸Წ࿸Ჰ࿸Ჴ࿸Ჸ࿸᲼࿸᳀࿸᳄࿸᳈࿸᳌࿸᳐࿸᳔࿸᳘࿸᳜࿸᳠࿸᳤࿸᳨࿸ᳬ࿸ᳰ࿸᳴࿸᳸࿸᳼࿸ᴀ࿸ᴄ࿸ᴜ࿸ᴠ࿸ᴤ࿸ᴨ࿸ᴬ࿸ᴰ࿸ᴴ࿸ᴸ࿸ᴼ࿸ᵀ࿸ᵄ࿸ᵈ࿸ᵌ࿸ᵐ࿸ᵔ࿸ᵘ࿸ᵜ࿸ᵠ࿸ᵤ࿸ᵨ࿸ᵬ࿸ᵰ࿸ᵴ࿸ᵸ࿸ᵼ࿸ᶀ࿸ᶄ࿸ᶈ࿸ᶌ࿸ᶐ࿸ᶔ࿸ᶘ࿸ᶜ࿸ᶠ࿸ᶤ࿸ᶨ࿸ᶬ࿸ᶰ࿸ᶴ࿸ᶸ࿸ᶼ࿸᷀࿸᷄࿸᷈࿸᷌࿸᷐࿸ᷔ࿸ᷘ࿸ᷜ࿸ᷠ࿸ᷤ࿸ᷨ࿸ᷬ࿸ᷰ࿸ᷴ࿸᷸࿸Ḑ࿸Ḕ࿸Ḙ࿸Ḝ࿸Ḡ࿸Ḥ࿸Ḩ࿸Ḭ࿸Ḱ࿸Ḵ࿸Ḹ࿸Ḽ࿸Ṁ࿸Ṅ࿸Ṉ࿸Ṍ࿸Ṑ࿸Ṕ࿸Ṙ࿸Ṝ࿸Ṡ࿸Ṥ࿸Ṩ࿸Ṭ࿸Ṱ࿸Ṵ࿸Ṹ࿸Ṽ࿸饣᝚ퟤࠠ쀠,濸͝&#10;타ꖐ₇蠀偆噄ø넀ސЀĀ翿&#10;ÿ䙨އÿ翿ꖰ₇耀b9◀᷄◨᷄☐᷄☸᷄♠᷄⚈᷄⛘᷄❐᷄➠᷄⟰᷄⡨᷄⢸᷄⤈᷄⦀᷄⧸᷄⩰᷄⫀᷄⬸᷄⮈᷄⯘᷄ⱐ᷄Ⲡ᷄⳰᷄ⵀ᷄ⶐ᷄ⷠ᷄⸰᷄⺨᷄⻸᷄⽈᷄⿀᷄〸᷄よ᷄㄀᷄ㅐ᷄㇈᷄㉀᷄㊐᷄㋠᷄㌰᷄㎀᷄㏐᷄㑈᷄㓀᷄㔐᷄㖈᷄㘀᷄㙐᷄㚠᷄㜘᷄㝨᷄㞸᷄㠈᷄㢀᷄㣐᷄㤠᷄㥰᷄杻᷃ꗐ₇.耀&quot;:◀᷄◨᷄☐᷄☸᷄♠᷄⚈᷄⛘᷄❐᷄➠᷄⟰᷄⡨᷄⢸᷄⤈᷄⦀᷄⧸᷄⩰᷄⫀᷄⬸᷄⮈᷄⯘᷄ⱐ᷄Ⲡ᷄⳰᷄ⵀ᷄ⶐ᷄ⷠ᷄⸰᷄⺨᷄⻸᷄⽈᷄⿀᷄〸᷄よ᷄㄀᷄ㅐ᷄㇈᷄㉀᷄㊐᷄㋠᷄㌰᷄㎀᷄㏐᷄㑈᷄㓀᷄㔐᷄㖈᷄㘀᷄㙐᷄㚠᷄㜘᷄㝨᷄㞸᷄㠈᷄㢀᷄㣐᷄㤠᷄㥰᷄㧀᷄ꗰ₇耀₇N耀Æ痷袠痷Ϩ鮨ֱ跼痷覈痷趨痷뮤痵믈痵踜痷믜痵뮴痵䑐㠹ٸ痵۞痵ꐐ₇耀¢ӘӘB⑍骓₇馛耀÷痷袠痷Ϩ娐ׄ跼痷覈痷趨痷뮤痵믈痵踜痷믜痵뮴痵䑐㠹ꐰ₇耀Â痵䐞痵.ӘӘꑐ₇耀â₇耀痷袠痷Ϩ鵀ֱ跼痷覈痷趨痷뮤痵믈痵踜痷믜痵뮴痵䑐㠹ٸ痵۞痵ꑰ₇耀Ăཔཔ₇耀Ĩ痷袠痷Ϩ尐ׄ跼痷覈痷趨痷뮤痵믈痵踜痷믜痵뮴痵䑐㠹꒐₇耀Ģ䎸痵䐞痵.པ꒰₇耀łosta₇d耀ř trabajoHꂞ흘䳑꠴ꞵ耿d₇耀ŪEstadoꓐ₇ 耀Ţovincia del trabajoI硿䑯Ⴤ䇋쒦͍啃霕dʡ₇耀ƊCalle del trabajoꓰ₇耀Ƃ₇耀ƗJ䘏삿䕓䌐逼낏dʡFax del trabajoꌐ₇耀Ƣ₇耀ƻK釯⸧䋊㺓饼뺟଱dʡPágina principal₇e耀Ǆtrabajoꌰ₇耀ǂLठ嘱⒑䤙캙暴닽dʡTeléfono del trabajo₇耀Ǭꍐ₇M耀Ǣ樕ਞ䳗₇즰耀ǱʡNúmero de devolución de llamadaN퇃뽓䧠使枅艚訝䋅dꍰ₇耀ȂTeléfono del automóvil₇耀ȝ₇耀ȞO淪远뤩䄫邺稹琥﹥dʡHijoꎐ₇耀ȢP霄푲軱䏯⒐팫ᢁ핿dʡTe₇f耀Ɏ₇ 耀ɋincipal de ꎰ₇ 耀ɂpresaQ薉恀䜽熱꡿➜dʡDepartamentoꏐ₇耀ɢ₇耀ɸ猆ﲟﾏ䵉뚟︿₇d耀ɿʡDirección de correo electrónicoꏰ₇耀ʂS羣턫䞅亊ᩩdʡCorreo electrónico 2₇耀ʥ₇耀ʰꈐ₇耀ʢ偣㢖䉨醄犷爱⧏dʡCorreo electrónico 3U㞴摍䮭馰籾阄쩪dꈰ₇ʡ耀˂₇耀˒ista de correos electrónicos₇耀ˡV蓘頝䒳ᖖ姇멭dʡNoꉐ₇r耀ˢpara mostrar de correo electrónico₇耀˿W伤챯悃䯔咇䵧롺dʡArchivo como₇耀ꉰ₇耀̂X䪧鲧䃶￹dʡNombre₇耀̬ꊐ₇耀̢Y硄ᒗ歉䪭ᒧ冤怄dʡ₇耀̓Nombre completoꊰ₇耀͂Z遑捞傥䮢큎읖陲d₇耀͙Sexoꋐ₇耀͢₇[耀ʹ㲌퓰䳹嚷嵎䐤쵻dʡNombre propio₇耀Ά\옼᝭⚈争䎁䞣ྀFꋰ₇耀΂Aficiones₇耀Υ]┿巂帑䫟ﺜඑỐ瀾dʡꄐ₇r耀΢ción partic₇a耀γ^荔飹慺䚸悅᭛뽤褟dʡCiudad del domicilꄰ₇耀ς₇耀_옼᝭⚈争₇ྀ耀ʡPaís o región del domicilioꅐ₇耀`媡ࢦ䏝㶣纎薭dʡApartado de correos del domicilioa掙箟ਿ䬒붉쥑꼘dʡCódigo postal del domicilio博퀦ࠠ唸׃鴀ޏ타㒈╨谀菱怬톔怤廊怬炘͜ᳬ怞늀׀㒁╨谀菱怬톔怤廊怬炘͜ᳬ怞닐׀㒖╨谀菱怬톔怤廊怬炘͜ᳬ怞댠׀㒯╨谀菱怬톔怤廊怬炘͜ᳬ怞데׀㒤╨谀菱怬톔怤廊怬炘͜ᳬ怞돨׀㒽╨谀菱怬톔怤廊怬炘͜ᳬ怞됸׀㒲╨谀菱怬톔怤廊怬炘͜ᳬ怞뒰׀㓋╨谀菱怬톔怤廊怬炘͜ᳬ怞딀׀㓀╨谀菱怬톔怤廊怬炘͜ᳬ怞땸׀㓙╨谀菱怬톔怤廊怬炘͜ᳬ怞뗈׀㓮╨谀菱怬톔怤廊怬炘͜ᳬ怞똘׀㓧╨谀菱怬톔怤廊怬炘͜ᳬ怞뙨׀㓼╨谀菱怬톔怤廊怬炘͜ᳬ怞뚸׀㓵╨谀菱怬톔怤廊怬炘͜ᳬ怞뜰׀㔊╨谀菱怬톔怤廊怬炘͜ᳬ怞램׀㔃╨谀菱怬톔怤廊怬炘͜ᳬ怞럸׀㔘╨谀菱怬톔怤廊怬炘͜ᳬ怞롰׀㔑╨谀菱怬톔怤廊怬炘͜ᳬ怞루׀㔦╨谀菱怬톔怤廊怬炘͜ᳬ怞뤸׀㔿╨谀菱怬톔怤廊怬炘͜ᳬ怞릈׀㔴╨谀菱怬톔怤廊怬炘͜ᳬ怞먀׀㕍╨谀菱怬톔怤廊怬炘͜ᳬ怞멐׀㕂╨谀菱怬톔怤廊怬炘͜ᳬ怞몠׀㕛╨谀菱怬톔怤廊怬炘͜ᳬ怞묘׀㕐╨谀菱怬톔怤廊怬炘͜ᳬ怞뭨׀㕩╨谀菱怬톔怤廊怬炘͜ᳬ怞뮸׀㕾╨谀菱怬톔怤廊怬炘͜ᳬ怞배׀㕷╨谀菱怬톔怤廊怬炘͜ᳬ怞벀׀㖌╨谀菱怬톔怤廊怬炘͜ᳬ怞본׀㖅╨谀菱怬톔怤廊怬炘͜ᳬ怞뵈׀㖚╨谀菱怬톔怤廊怬炘͜ᳬ怞뷀׀㖓╨谀菱怬톔怤廊怬炘͜ᳬ怞븐׀㖨╨谀菱怬톔怤廊怬炘͜ᳬ怞빠׀㖡╨谀菱怬톔怤廊怬炘͜ᳬ怞뺰׀㖶╨谀菱怬톔怤廊怬炘͜ᳬ怞뼨׀㗏╨谀菱怬톔怤廊怬炘͜ᳬ怞뽸׀㗄╨谀菱怬톔怤廊怬炘͜ᳬ怞뿈׀㗝╨谀菱怬톔怤廊怬炘͜ᳬ怞쀘׀㗒╨谀菱怬톔怤廊怬炘͜ᳬ怞쁨׀㗫╨谀菱怬톔怤廊怬炘͜ᳬ怞삸׀㗠╨谀菱怬톔怤廊怬炘͜ᳬ怞섈׀㗹╨谀菱怬톔怤廊怬炘͜ᳬ怞솀׀㨎╨谀菱怬톔怤廊怬炘͜ᳬ怞쇐׀㨇╨谀菱怬톔怤廊怬炘͜ᳬ怞술׀㨜╨谀菱怬톔怤廊怬炘͜ᳬ怞슘׀㨕╨谀菱怬톔怤廊怬炘͜ᳬ怞싨׀㨪╨谀菱怬톔怤廊怬炘͜ᳬ怞쌸׀㨣╨谀菱怬톔怤廊怬炘͜ᳬ怞쎰׀㨸╨谀菱怬톔怤廊怬炘͜ᳬ怞쐀׀㨱╨谀菱怬톔怤廊怬炘͜ᳬ怞쑸׀㩆╨谀菱怬톔怤廊怬炘͜ᳬ怞쓈׀㩟╨谀菱怬톔怤廊怬炘͜ᳬ怞씘׀㩔╨谀菱怬톔怤廊怬炘͜ᳬ怞얐׀㩭╨谀菱怬톔怤廊怬炘͜ᳬ怞엠׀㩢╨谀菱怬톔怤廊怬炘͜ᳬ怞옰׀㩻╨谀菱怬톔怤廊怬炘͜ᳬ怞욀׀㩰╨谀菱怬톔怤廊怬炘͜ᳬ怞웸׀㪉╨谀菱怬톔怤廊怬炘͜ᳬ怞읰׀㪞╨谀菱怬톔怤廊怬炘͜ᳬ怞쟀׀㪗╨谀菱怬톔怤廊怬炘͜ᳬ怞점׀㪬╨谀菱怬톔怤廊怬炘͜ᳬ怞좈׀㪥╨谀菱怬톔怤廊怬炘͜ᳬ怞죘׀㪺╨谀菱怬톔怤廊怬炘͜ᳬ怞쥐׀㪳╨谀菱怬톔怤廊怬炘͜ᳬ怞즠׀㫈╨谀菱怬톔怤廊怬炘͜ᳬ怞쨘׀㫁╨谀菱怬톔怤廊怬炘͜ᳬ怞쩨׀㫖╨谀菱怬톔怤廊怬炘͜ᳬ怞쪸׀㫯╨谀菱怬톔怤廊怬炘͜ᳬ怞쬈׀㫤╨谀菱怬톔怤廊怬炘͜ᳬ怞쭘׀㫽╨谀菱怬톔怤廊怬炘͜ᳬ怞쮨׀㫲╨谀菱怬톔怤廊怬炘͜ᳬ怞쯸׀㬋╨谀菱怬톔怤廊怬炘͜ᳬ怞챰׀㬀╨谀菱怬톔怤廊怬炘͜ᳬ怞쳀׀㬙╨谀菱怬톔怤廊怬炘͜ᳬ怞촐׀㬮╨谀菱怬톔怤廊怬炘͜ᳬ怞쵠׀㬧╨谀菱怬톔怤廊怬炘͜ᳬ怞췘׀㬼╨谀菱怬톔怤廊怬炘͜ᳬ怞츨׀㬵╨谀菱怬톔怤廊怬炘͜ᳬ怞칸׀㭊╨谀菱怬톔怤廊怬炘͜ᳬ怞컰׀㭃╨谀菱怬톔怤廊怬炘͜ᳬ怞콀׀㭘╨谀菱怬톔怤廊怬炘͜ᳬ怞쾐׀㭑╨谀菱怬톔怤廊怬炘͜ᳬ怞쿠׀㭦╨谀菱怬톔怤廊怬炘͜ᳬ怞큘׀㭿╨谀菱怬톔怤廊怬炘͜ᳬ怞탐׀㭴╨谀菱怬톔怤廊怬炘͜ᳬ怞턠׀㮍╨谀菱怬톔怤廊怬炘͜ᳬ怞텰׀㮂╨谀菱怬톔怤廊怬炘͜ᳬ怞퇀׀㮛╨谀菱怬톔怤廊怬炘͜ᳬ怞툸׀㮐╨谀菱怬톔怤廊怬炘͜ᳬ怞튈׀㮩╨谀菱怬톔怤廊怬炘͜ᳬ怞틘׀㮾╨谀菱怬톔怤廊怬炘͜ᳬ怞패׀㮷╨谀菱怬톔怤廊怬炘͜ᳬ怞퍸׀㯌╨谀菱怬톔怤廊怬炘͜ᳬ怞폈׀㯅╨谀菱怬톔怤廊怬炘͜ᳬ怞푀׀㯚╨谀菱怬톔怤廊怬炘͜ᳬ怞풐׀㯓╨谀菱怬톔怤廊怬炘͜ᳬ怞퓠׀㯨╨谀菱怬톔怤廊怬炘͜ᳬ怞픰׀㯡╨谀菱怬톔怤廊怬炘͜ᳬ怞햀׀㯶╨谀菱怬톔怤廊怬炘͜ᳬ怞헸׀㠏╨谀菱怬톔怤廊怬炘͜ᳬ怞홰׀㠄╨谀菱怬톔怤廊怬炘͜ᳬ怞훀׀㠝╨谀菱怬톔怤廊怬炘͜ᳬ怞휐׀㠒╨谀菱怬톔怤廊怬炘͜ᳬ怞히׀㠫╨谀菱怬톔怤廊怬炘͜ᳬ怞ퟘ׀㠠╨谀菱怬톔怤廊怬炘͜ᳬ怞׀㠹╨谀菱怬톔怤廊怬炘͜ᳬ怞׀㡎╨谀菱怬톔怤廊怬炘͜ᳬ怞׀㡇╨谀菱怬톔怤廊怬炘͜ᳬ怞׀㡜╨谀菱怬톔怤廊怬炘͜ᳬ怞׀㡕╨谀菱怬톔怤廊怬炘͜ᳬ怞׀㡪╨谀菱怬톔怤廊怬炘͜ᳬ怞׀㡣╨谀菱怬톔怤廊怬炘͜ᳬ怞׀㡸╨谀菱怬톔怤廊怬炘͜ᳬ怞׀㡱╨谀菱怬톔怤廊怬炘͜ᳬ怞׀㢆╨谀菱怬톔怤廊怬炘͜ᳬ怞׀㢟╨谀菱怬톔怤廊怬炘͜ᳬ怞׀㢔╨谀菱怬톔怤廊怬炘͜ᳬ怞׀㢭╨谀菱怬톔怤廊怬炘͜ᳬ怞׀㢢╨谀菱怬톔怤廊怬炘͜ᳬ怞׀㢻╨谀菱怬톔怤廊怬炘͜ᳬ怞׀㢰╨谀菱怬톔怤廊怬炘͜ᳬ怞׀㣉╨谀菱怬톔怤廊怬炘͜ᳬ怞׀㣞╨谀菱怬톔怤廊怬炘͜ᳬ怞׀㣗╨谀菱怬톔怤廊怬炘͜ᳬ怞׀㣬╨谀菱怬톔怤廊怬炘͜ᳬ怞׀㣥╨谀菱怬톔怤廊怬炘͜ᳬ怞׀㣺╨谀菱怬톔怤廊怬炘͜ᳬ怞׀㣳╨谀菱怬톔怤廊怬炘͜ᳬ怞׀㤈╨谀菱怬톔怤廊怬炘͜ᳬ怞׀㤁╨谀菱怬톔怤廊怬炘͜ᳬ怞׀㤖╨谀菱怬톔怤廊怬炘͜ᳬ怞׀㤯╨谀菱怬톔怤廊怬炘͜ᳬ怞׀㤤╨谀菱怬톔怤廊怬炘͜ᳬ怞׀㤽╨谀菱怬톔怤廊怬炘͜ᳬ怞׀㤲╨谀菱怬톔怤廊怬炘͜ᳬ怞׀㥋╨谀菱怬톔怤廊怬炘͜ᳬ怞׀㥀╨谀菱怬톔怤廊怬炘͜ᳬ怞׀㥙╨谀菱怬톔怤廊怬炘͜ᳬ怞׀㥮╨谀菱怬톔怤廊怬炘͜ᳬ怞׀㥧╨谀菱怬톔怤廊怬炘͜ᳬ怞׀㥼╨谀菱怬톔怤廊怬炘͜ᳬ怞׀㥵╨谀菱怬톔怤廊怬炘͜ᳬ怞׀㦊╨谀菱怬톔怤廊怬炘͜ᳬ怞׀㦃╨谀菱怬톔怤廊怬炘͜ᳬ怞׀㦘╨谀菱怬톔怤廊怬炘͜ᳬ怞׀㦑╨谀菱怬톔怤廊怬炘͜ᳬ怞׀㦦╨谀菱怬톔怤廊怬炘͜ᳬ怞׀㦿╨谀菱怬톔怤廊怬炘͜ᳬ怞׀㦴╨谀菱怬톔怤廊怬炘͜ᳬ怞׀㧍╨谀菱怬톔怤廊怬炘͜ᳬ怞׀㧂╨谀菱怬톔怤廊怬炘͜ᳬ怞׀㧛╨谀菱怬톔怤廊怬炘͜ᳬ怞׀㧐╨谀菱怬톔怤廊怬炘͜ᳬ怞׀㧩╨谀菱怬톔怤廊怬炘͜ᳬ怞׀㧾╨谀菱怬톔怤廊怬炘͜ᳬ怞׀㧷╨谀菱怬톔怤廊怬炘͜ᳬ怞׀㸌╨谀菱怬톔怤廊怬炘͜ᳬ怞׀㸅╨谀菱怬톔怤廊怬炘͜ᳬ怞׀㸚╨谀菱怬톔怤廊怬炘͜ᳬ怞׀㸓╨谀菱怬톔怤廊怬炘͜ᳬ怞׀㸨╨谀菱怬톔怤廊怬炘͜ᳬ怞׀㸡╨谀菱怬톔怤廊怬炘͜ᳬ怞׀㸶╨谀菱怬톔怤廊怬炘͜ᳬ怞׀㹏╨谀菱怬톔怤廊怬炘͜ᳬ怞׀㹄╨谀菱怬톔怤廊怬炘͜ᳬ怞׀㹝╨谀菱怬톔怤廊怬炘͜ᳬ怞׀㹒╨谀菱怬톔怤廊怬炘͜ᳬ怞׀㹫╨谀菱怬톔怤廊怬炘͜ᳬ怞׀㹠╨谀菱怬톔怤廊怬炘͜ᳬ怞׀㹹╨谀菱怬톔怤廊怬炘͜ᳬ怞׀㺎╨谀菱怬톔怤廊怬炘͜ᳬ怞׀㺇╨谀菱怬톔怤廊怬炘͜ᳬ怞׀㺜╨谀菱怬톔怤廊怬炘͜ᳬ怞׀㺕╨谀菱怬톔怤廊怬炘͜ᳬ怞׀㺪╨谀菱怬톔怤廊怬炘͜ᳬ怞׀㺣╨谀菱怬톔怤廊怬炘͜ᳬ怞׀㺸╨谀菱怬톔怤廊怬炘͜ᳬ怞׀㺱╨谀菱怬톔怤廊怬炘͜ᳬ怞׀㻆╨谀菱怬톔怤廊怬炘͜ᳬ怞׀㻟╨谀菱怬톔怤廊怬炘͜ᳬ怞׀㻔╨谀菱怬톔怤廊怬炘͜ᳬ怞鴘ޏ㻭╨谀菱怬톔怤廊怬炘͜ᳬ怞鶐ޏ㻢╨谀菱怬톔怤廊怬炘͜ᳬ怞鷠ޏ㻻╨谀菱怬톔怤廊怬炘͜ᳬ怞鸰ޏ㻰╨谀菱怬톔怤廊怬炘͜ᳬ怞麨ޏ㼉╨谀菱怬톔怤廊怬炘͜ᳬ怞黸ޏ㼞╨谀菱怬톔怤廊怬炘͜ᳬ怞齈ޏ㼗╨谀菱怬톔怤廊怬炘͜ᳬ怞鿀ޏ㼬╨谀菱怬톔怤廊怬炘͜ᳬ怞ꀸޏ㼥╨谀菱怬톔怤廊怬炘͜ᳬ怞ꂈޏ㼺╨谀菱怬톔怤廊怬炘͜ᳬ怞ꃘޏ㼳╨谀菱怬톔怤廊怬炘͜ᳬ怞ꅐޏ㽈╨谀菱怬톔怤廊怬炘͜ᳬ怞ꆠޏ㽁╨谀菱怬톔怤廊怬炘͜ᳬ怞ꈘޏ㽖╨谀菱怬톔怤廊怬炘͜ᳬ怞ꉨޏ㽯╨谀菱怬톔怤廊怬炘͜ᳬ怞ꊸޏ㽤╨谀菱怬톔怤廊怬炘͜ᳬ怞ꌰޏ㽽╨谀菱怬톔怤廊怬炘͜ᳬ怞ꎨޏ㽲╨谀菱怬톔怤廊怬炘͜ᳬ怞ꏸޏ㾋╨谀菱怬톔怤廊怬炘͜ᳬ怞ꑈޏ㾀╨谀菱怬톔怤廊怬炘͜ᳬ怞꓀ޏ㾙╨谀菱怬톔怤廊怬炘͜ᳬ怞ꔐޏ㾮╨谀菱怬톔怤廊怬炘͜ᳬ怞ꕠޏ㾧╨谀菱怬톔怤廊怬炘͜ᳬ怞ꗘޏ㾼╨谀菱怬톔怤廊怬炘͜ᳬ怞Ꙑޏ㾵╨谀菱怬톔怤廊怬炘͜ᳬ怞ꚠޏ㿊╨谀菱怬톔怤廊怬炘͜ᳬ怞꛰ޏ㿃╨谀菱怬톔怤廊怬炘͜ᳬ怞Ꝩޏ㿘╨谀菱怬톔怤廊怬炘͜ᳬ怞꟠ޏ㿑╨谀菱怬톔怤廊怬炘͜ᳬ怞ꡘޏ㿦╨谀菱怬톔怤廊怬炘͜ᳬ怞ꢨޏ㿿╨谀菱怬톔怤廊怬炘͜ᳬ怞ꤠޏ㿴╨谀菱怬톔怤廊怬炘͜ᳬ怞ꥰޏ㰍╨谀菱怬톔怤廊怬炘͜ᳬ怞ꧨޏ㰂╨谀菱怬톔怤廊怬炘͜ᳬ怞꨸ޏ㰛╨谀菱怬톔怤廊怬炘͜ᳬ怞ꪰޏ㰐╨谀菱怬톔怤廊怬炘͜ᳬ怞꬀ޏ㰩╨谀菱怬톔怤廊怬炘͜ᳬ怞ꭸޏ㰾╨谀菱怬톔怤廊怬炘͜ᳬ怞ꯈޏ㰷╨谀菱怬톔怤廊怬炘͜ᳬ怞걀ޏ㱌╨谀菱怬톔怤廊怬炘͜ᳬ怞겐ޏ㱅╨谀菱怬톔怤廊怬炘͜ᳬ怞고ޏ㱚╨谀菱怬톔怤廊怬炘͜ᳬ怞굘ޏ㱓╨谀菱怬톔怤廊怬炘͜ᳬ怞궨ޏ㱨╨谀菱怬톔怤廊怬炘͜ᳬ怞긠ޏ㱡╨谀菱怬톔怤廊怬炘͜ᳬ怞깰ޏ㱶╨谀菱怬톔怤廊怬炘͜ᳬ怞껀ޏ㲏╨谀菱怬톔怤廊怬炘͜ᳬ怞꼐ޏ㲄╨谀菱怬톔怤廊怬炘͜ᳬ怞꽠ޏ㲝╨谀菱怬톔怤廊怬炘͜ᳬ怞꾰ޏ㲒╨谀菱怬톔怤廊怬炘͜ᳬ怞뀨ޏ㲫╨谀菱怬톔怤廊怬炘͜ᳬ怞끸ޏ㲠╨谀菱怬톔怤廊怬炘͜ᳬ怞냰ޏ㲹╨谀菱怬톔怤廊怬炘͜ᳬ怞녀ޏ㳎╨谀菱怬톔怤廊怬炘͜ᳬ怞놐ޏ㳇╨谀菱怬톔怤廊怬炘͜ᳬ怞눈ޏ㳜╨谀菱怬톔怤廊怬炘͜ᳬ怞뉘ޏ㳕╨谀菱怬톔怤廊怬炘͜ᳬ怞닐ޏ㳪╨谀菱怬톔怤廊怬炘͜ᳬ怞댠ޏ㳣╨谀菱怬톔怤廊怬炘͜ᳬ怞됐ޏ㳸╨谀菱怬톔怤廊怬炘͜ᳬ怞둠ޏ㳱╨谀菱怬톔怤廊怬炘͜ᳬ怞뒰ޏ㴆╨谀菱怬톔怤廊怬炘͜ᳬ怞딀ޏ㴟╨谀菱怬톔怤廊怬炘͜ᳬ怞땐ޏ㴔╨谀菱怬톔怤廊怬炘͜ᳬ怞뗈ޏ㴭╨谀菱怬톔怤廊怬炘͜ᳬ怞똘ޏ㴢╨谀菱怬톔怤廊怬炘͜ᳬ怞뚐ޏ㴻╨谀菱怬톔怤廊怬炘͜ᳬ怞뛠ޏ㴰╨谀菱怬톔怤廊怬炘͜ᳬ怞뜰ޏ㵉╨谀菱怬톔怤廊怬炘͜ᳬ怞램ޏ㵞╨谀菱怬톔怤廊怬炘͜ᳬ怞렠ޏ㵗╨谀菱怬톔怤廊怬炘͜ᳬ怞롰ޏ㵬╨谀菱怬톔怤廊怬炘͜ᳬ怞룀ޏ㵥╨谀菱怬톔怤廊怬炘͜ᳬ怞뤸ޏ㵺╨谀菱怬톔怤廊怬炘͜ᳬ怞린ޏ㵳╨谀菱怬톔怤廊怬炘͜ᳬ怞먀ޏ㶈╨谀菱怬톔怤廊怬炘͜ᳬ怞멸ޏ㶁╨谀菱怬톔怤廊怬炘͜ᳬ怞뫰ޏ㶖╨谀菱怬톔怤廊怬炘͜ᳬ怞뭀ޏ㶯╨谀菱怬톔怤廊怬炘͜ᳬ怞뮐ޏ㶤╨谀菱怬톔怤廊怬炘͜ᳬ怞믠ޏ㶽╨谀菱怬톔怤廊怬炘͜ᳬ怞배ޏ㶲╨谀菱怬톔怤廊怬炘͜ᳬ怞벨ޏ㷋╨谀菱怬톔怤廊怬炘͜ᳬ怞본ޏ㷀╨谀菱怬톔怤廊怬炘͜ᳬ怞뵈ޏ㷙╨谀菱怬톔怤廊怬炘͜ᳬ怞뷀ޏ㷮╨谀菱怬톔怤廊怬炘͜ᳬ怞븸ޏ㷧╨谀菱怬톔怤廊怬炘͜ᳬ怞뺈ޏ㷼╨谀菱怬톔怤廊怬炘͜ᳬ怞뼀ޏ㷵╨谀菱怬톔怤廊怬炘͜ᳬ怞뽐ޏȊ╨谀菱怬톔怤廊怬炘͜ᳬ怞뿈ޏȃ╨谀菱怬톔怤廊怬炘͜ᳬ怞쀘ޏȘ╨谀菱怬톔怤廊怬炘͜ᳬ怞삐ޏȑ╨谀菱怬톔怤廊怬炘͜ᳬ怞섈ޏȦ╨谀菱怬톔怤廊怬炘͜ᳬ怞션ޏȿ╨谀菱怬톔怤廊怬炘͜ᳬ怞쇐ޏȴ╨谀菱怬톔怤廊怬炘͜ᳬ怞쉈ޏɍ╨谀菱怬톔怤廊怬炘͜ᳬ怞싀ޏɂ╨谀菱怬톔怤廊怬炘͜ᳬ怞쌐ޏɛ╨谀菱怬톔怤廊怬炘͜ᳬ怞쎈ޏɐ╨谀菱怬톔怤廊怬炘͜ᳬ怞쏘ޏɩ╨谀菱怬톔怤廊怬炘͜ᳬ怞쐨ޏɾ╨谀菱怬톔怤廊怬炘͜ᳬ怞쒠ޏɷ╨谀菱怬톔怤廊怬炘͜ᳬ怞쓰ޏʌ╨谀菱怬톔怤廊怬炘͜ᳬ怞앀ޏʅ╨谀菱怬톔怤廊怬炘͜ᳬ怞얐ޏʚ╨谀菱怬톔怤廊怬炘͜ᳬ怞예ޏʓ╨谀菱怬톔怤廊怬炘͜ᳬ怞욀ޏʨ╨谀菱怬톔怤廊怬炘͜ᳬ怞원ޏʡ╨谀菱怬톔怤廊怬炘͜ᳬ怞유ޏʶ╨谀菱怬톔怤廊怬炘͜ᳬ怞읰ޏˏ╨谀菱怬톔怤廊怬炘͜ᳬ怞쟀ޏ˄╨谀菱怬톔怤廊怬炘͜ᳬ怞점ޏ˝╨谀菱怬톔怤廊怬炘͜ᳬ怞좈ޏ˒╨谀菱怬톔怤廊怬炘͜ᳬ怞죘ޏ˫╨谀菱怬톔怤廊怬炘͜ᳬ怞줨ޏˠ╨谀菱怬톔怤廊怬炘͜ᳬ怞쥸ޏ˹╨谀菱怬톔怤廊怬炘͜ᳬ怞질ޏ̎╨谀菱怬톔怤廊怬炘͜ᳬ怞쨘ޏ̇╨谀菱怬톔怤廊怬炘͜ᳬ怞쪐ޏ̜╨谀菱怬톔怤廊怬炘͜ᳬ怞쫠ޏ̕╨谀菱怬톔怤廊怬炘͜ᳬ怞쬰ޏ̪╨谀菱怬톔怤廊怬炘͜ᳬ怞쮀ޏ̣╨谀菱怬톔怤廊怬炘͜ᳬ怞쯐ޏ̸╨谀菱怬톔怤廊怬炘͜ᳬ怞찠ޏ̱╨谀菱怬톔怤廊怬炘͜ᳬ怞처ޏ͆╨谀菱怬톔怤廊怬炘͜ᳬ怞쳨ޏ͟╨谀菱怬톔怤廊怬炘͜ᳬ怞쵠ޏ͔╨谀菱怬톔怤廊怬炘͜ᳬ怞춰ޏͭ╨谀菱怬톔怤廊怬炘͜ᳬ怞츨ޏ͢╨谀菱怬톔怤廊怬炘͜ᳬ怞칸ޏͻ╨谀菱怬톔怤廊怬炘͜ᳬ怞컈ޏͰ╨谀菱怬톔怤廊怬炘͜ᳬ怞콀ޏΉ╨谀菱怬톔怤廊怬炘͜ᳬ怞쾐ޏΞ╨谀菱怬톔怤廊怬炘͜ᳬ怞쿠ޏΗ╨谀菱怬톔怤廊怬炘͜ᳬ怞퀰ޏά╨谀菱怬톔怤廊怬炘͜ᳬ怞킨ޏΥ╨谀菱怬톔怤廊怬炘͜ᳬ怞탸ޏκ╨谀菱怬톔怤廊怬炘͜ᳬ怞텈ޏγ╨谀菱怬톔怤廊怬炘͜ᳬ怞톘ޏψ╨谀菱怬톔怤廊怬炘͜ᳬ怞퇨ޏρ╨谀菱怬톔怤廊怬炘͜ᳬ怞툸ޏϖ╨谀菱怬톔怤廊怬炘͜ᳬ怞튈ޏϯ╨谀菱怬톔怤廊怬炘͜ᳬ怞팀ޏϤ╨谀菱怬톔怤廊怬炘͜ᳬ怞퍐ޏϽ╨谀菱怬톔怤廊怬炘͜ᳬ怞펠ޏϲ╨谀菱怬톔怤廊怬炘͜ᳬ怞퐘ޏ╨谀菱怬톔怤廊怬炘͜ᳬ怞풐ޏ╨谀菱怬톔怤廊怬炘͜ᳬ怞퓠ޏ╨谀菱怬톔怤廊怬炘͜ᳬ怞하ޏ.╨谀菱怬톔怤廊怬炘͜ᳬ怞햨ޏ'╨谀菱怬톔怤廊怬炘͜ᳬ怞혠ޏ&lt;╨谀菱怬톔怤廊怬炘͜ᳬ怞홰ޏ5╨谀菱怬톔怤廊怬炘͜ᳬ怞훨ޏJ╨谀菱怬톔怤廊怬炘͜ᳬ怞휸ޏC╨谀菱怬톔怤廊怬炘͜ᳬ怞히ޏX╨谀菱怬톔怤廊怬炘͜ᳬ怞ퟘޏQ╨谀菱怬톔怤廊怬炘͜ᳬ怞ޏf╨谀菱怬톔怤廊怬炘͜ᳬ怞ޏ╨谀菱怬톔怤廊怬炘͜ᳬ怞ޏt╨谀菱怬톔怤廊怬炘͜ᳬ怞ޏ╨谀菱怬톔怤廊怬炘͜ᳬ怞ޏ╨谀菱怬톔怤廊怬炘͜ᳬ怞ޏ╨谀菱怬톔怤廊怬炘͜ᳬ怞ޏ╨谀菱怬톔怤廊怬炘͜ᳬ怞ޏ©╨谀菱怬톔怤廊怬炘͜ᳬ怞ޏ¾╨谀菱怬톔怤廊怬炘͜ᳬ怞ޏ·╨谀菱怬톔怤廊怬炘͜ᳬ怞ޏÌ╨谀菱怬톔怤廊怬炘͜ᳬ怞ޏÅ╨谀菱怬톔怤廊怬炘͜ᳬ怞ޏÚ╨谀菱怬톔怤廊怬炘͜ᳬ怞ޏÓ╨谀菱怬톔怤廊怬炘͜ᳬ怞ޏè╨谀菱怬톔怤廊怬炘͜ᳬ怞ޏá╨谀菱怬톔怤廊怬炘͜ᳬ怞ޏö╨谀菱怬톔怤廊怬炘͜ᳬ怞ޏď╨谀菱怬톔怤廊怬炘͜ᳬ怞ޏĄ╨谀菱怬톔怤廊怬炘͜ᳬ怞ޏĝ╨谀菱怬톔怤廊怬炘͜ᳬ怞ޏĒ╨谀菱怬톔怤廊怬炘͜ᳬ怞ޏī╨谀菱怬톔怤廊怬炘͜ᳬ怞ޏĠ╨谀菱怬톔怤廊怬炘͜ᳬ怞ޏĹ╨谀菱怬톔怤廊怬炘͜ᳬ怞ޏŎ╨谀菱怬톔怤廊怬炘͜ᳬ怞ޏŇ╨谀菱怬톔怤廊怬炘͜ᳬ怞ޏŜ╨谀菱怬톔怤廊怬炘͜ᳬ怞ޏŕ╨谀菱怬톔怤廊怬炘͜ᳬ怞ޏŪ╨谀菱怬톔怤廊怬炘͜ᳬ怞ޏţ╨谀菱怬톔怤廊怬炘͜ᳬ怞ޏŸ╨谀菱怬톔怤廊怬炘͜ᳬ怞ޏű╨谀菱怬톔怤廊怬炘͜ᳬ怞ޏƆ╨谀菱怬톔怤廊怬炘͜ᳬ怞ޏƟ╨谀菱怬톔怤廊怬炘͜ᳬ怞ޏƔ╨谀菱怬톔怤廊怬炘͜ᳬ怞ޏƭ╨谀菱怬톔怤廊怬炘͜ᳬ怞ޏƢ╨谀菱怬톔怤廊怬炘͜ᳬ怞ޏƻ╨谀菱怬톔怤廊怬炘͜ᳬ怞ޏư╨谀菱怬톔怤廊怬炘͜ᳬ怞ޏǉ╨谀菱怬톔怤廊怬炘͜ᳬ怞ޏǞ╨谀菱怬톔怤廊怬炘͜ᳬ怞ޏǗ╨谀菱怬톔怤廊怬炘͜ᳬ怞ޏǬ╨谀菱怬톔怤廊怬炘͜ᳬ怞ޏǥ╨谀菱怬톔怤廊怬炘͜ᳬ怞ޏǺ╨谀菱怬톔怤廊怬炘͜ᳬ怞ޏǳ╨谀菱怬톔怤廊怬炘͜ᳬ怞ޏ؈╨谀菱怬톔怤廊怬炘͜ᳬ怞ޏ؁╨谀菱怬톔怤廊怬炘͜ᳬ怞ޏؖ╨谀菱怬톔怤廊怬炘͜ᳬ怞ޏد╨谀菱怬톔怤廊怬炘͜ᳬ怞ޏؤ╨谀菱怬톔怤廊怬炘͜ᳬ怞ޏؽ╨谀菱怬톔怤廊怬炘͜ᳬ怞ޏز╨谀菱怬톔怤廊怬炘͜ᳬ怞ޏً╨谀菱怬톔怤廊怬炘͜ᳬ怞ޏـ╨谀菱怬톔怤廊怬炘͜ᳬ怞ޏٙ╨谀菱怬톔怤廊怬炘͜ᳬ怞ޏٮ╨谀菱怬톔怤廊怬炘͜ᳬ怞ޏ٧╨谀菱怬톔怤廊怬炘͜ᳬ怞ޏټ╨谀菱怬톔怤廊怬炘͜ᳬ怞ޏٵ╨谀菱怬톔怤廊怬炘͜ᳬ怞ޏڊ╨谀菱怬톔怤廊怬炘͜ᳬ怞ޏڃ╨谀菱怬톔怤廊怬炘͜ᳬ怞ޏژ╨谀菱怬톔怤廊怬炘͜ᳬ怞ޏڑ╨谀菱怬톔怤廊怬炘͜ᳬ怞ޏڦ╨谀菱怬톔怤廊怬炘͜ᳬ怞ޏڿ╨谀菱怬톔怤廊怬炘͜ᳬ怞ޏڴ╨谀菱怬톔怤廊怬炘͜ᳬ怞ޏۍ╨谀菱怬톔怤廊怬炘͜ᳬ怞ޏۂ╨谀菱怬톔怤廊怬炘͜ᳬ怞ޏۛ╨谀菱怬톔怤廊怬炘͜ᳬ怞ޏې╨谀菱怬톔怤廊怬炘͜ᳬ怞ޏ۩╨谀菱怬톔怤廊怬炘͜ᳬ怞ޏ۾╨谀菱怬톔怤廊怬炘͜ᳬ怞ޏ۷╨谀菱怬톔怤廊怬炘͜ᳬ怞ޏ܌╨谀菱怬톔怤廊怬炘͜ᳬ怞ޏ܅╨谀菱怬톔怤廊怬炘͜ᳬ怞ޏܚ╨谀菱怬톔怤廊怬炘͜ᳬ怞ޏܓ╨谀菱怬톔怤廊怬炘͜ᳬ怞ޏܨ╨谀菱怬톔怤廊怬炘͜ᳬ怞ޏܡ╨谀菱怬톔怤廊怬炘͜ᳬ怞ޏܶ╨蠀recomendacionesn Racial.ݏ╨谀菱怬톔怤廊怬炘͜ᳬ怞ޏ݄╨谀菱怬톔怤廊怬炘͜ᳬ怞ޏݝ╨谀菱怬톔怤廊怬炘͜ᳬ怞ޏݒ╨谀菱怬톔怤廊怬炘͜ᳬ怞ޏݫ╨谀菱怬톔怤廊怬炘͜ᳬ怞ޏݠ╨谀菱怬톔怤廊怬炘͜ᳬ怞ޏݹ╨谀菱怬톔怤廊怬炘͜ᳬ怞ޏގ╨谀菱怬톔怤廊怬炘͜ᳬ怞ޏއ╨谀菱怬톔怤廊怬炘͜ᳬ怞殺ޏޜ╨谀菱怬톔怤廊怬炘͜ᳬ怞燎ޏޕ╨谀菱怬톔怤廊怬炘͜ᳬ怞塚ޏު╨谀菱怬톔怤廊怬炘͜ᳬ怞愈ޏޣ╨谀菱怬톔怤廊怬炘͜ᳬ怞ﬀޏ޸╨谀菱怬톔怤廊怬炘͜ᳬ怞ﭸޏޱ╨谀菱怬톔怤廊怬炘͜ᳬ怞ﯰޏ߆╨谀菱怬톔怤廊怬炘͜ᳬ怞ﱀޏߟ╨谀菱怬톔怤廊怬炘͜ᳬ怞ﲸޏߔ╨谀菱怬톔怤廊怬炘͜ᳬ怞ﴈޏ߭╨谀菱怬톔怤廊怬炘͜ᳬ怞ﶀޏߢ╨谀菱怬톔怤廊怬炘͜ᳬ怞ﷸޏ߻╨谀菱怬톔怤廊怬炘͜ᳬ怞﹈ޏ߰╨谀菱怬톔怤廊怬炘͜ᳬ怞ﺘޏЉ╨谀菱怬톔怤廊怬炘͜ᳬ怞０ޏО╨谀菱怬톔怤廊怬炘͜ᳬ怞ﾈޏЗ╨谀菱怬톔怤廊怬炘͜ᳬ怞￘ޏЬ╨谀菱怬톔怤廊怬炘͜ᳬ怞PސХ╨谀菱怬톔怤廊怬炘͜ᳬ怞 ސк╨谀菱怬톔怤廊怬炘͜ᳬ怞Ęސг╨谀菱怬톔怤廊怬炘͜ᳬ怞Ũސш╨谀菱怬톔怤廊怬炘͜ᳬ怞Ƹސс╨谀菱怬톔怤廊怬炘͜ᳬ怞Ȱސі╨谀菱怬톔怤廊怬炘͜ᳬ怞ʀސѯ╨谀菱怬톔怤廊怬炘͜ᳬ怞˸ސѤ╨谀菱怬톔怤廊怬炘͜ᳬ怞Ͱސѽ╨谀菱怬톔怤廊怬炘͜ᳬ怞πސѲ╨谀菱怬톔怤廊怬炘͜ᳬ怞Аސҋ╨谀菱怬톔怤廊怬炘͜ᳬ怞҈ސҀ╨谀菱怬톔怤廊怬炘͜ᳬ怞Әސҙ╨谀菱怬톔怤廊怬炘͜ᳬ怞ԨސҮ╨谀菱怬톔怤廊怬炘͜ᳬ怞֠ސҧ╨谀菱怬톔怤廊怬炘͜ᳬ怞װސҼ╨谀菱怬톔怤廊怬炘͜ᳬ怞ـސҵ╨谀菱怬톔怤廊怬炘͜ᳬ怞ڸސӊ╨谀菱怬톔怤廊怬炘͜ᳬ怞ܰސӃ╨谀菱怬톔怤廊怬炘͜ᳬ怞ހސӘ╨谀菱怬톔怤廊怬炘͜ᳬ怞ߐސӑ╨谀菱怬톔怤廊怬炘͜ᳬ怞ࡈސӦ╨谀菱怬톔怤廊怬炘͜ᳬ怞ࣀސӿ╨谀菱怬톔怤廊怬炘͜ᳬ怞ऐސӴ╨谀菱怬톔怤廊怬炘͜ᳬ怞ॠސԍ╨谀菱怬톔怤廊怬炘͜ᳬ怞৘ސԂ╨谀菱怬톔怤廊怬炘͜ᳬ怞ਨސԛ╨谀菱怬톔怤廊怬炘͜ᳬ怞੸ސԐ╨谀菱怬톔怤廊怬炘͜ᳬ怞૰ސԩ╨谀菱怬톔怤廊怬炘͜ᳬ怞୨ސԾ╨谀菱怬톔怤廊怬炘͜ᳬ怞ஸސԷ╨谀菱怬톔怤廊怬炘͜ᳬ怞ఈސՌ╨谀菱"/>
        </w:smartTagPr>
        <w:r>
          <w:rPr>
            <w:i/>
          </w:rPr>
          <w:t>la Presidenta</w:t>
        </w:r>
      </w:smartTag>
      <w:r>
        <w:rPr>
          <w:i/>
        </w:rPr>
        <w:t>, la delegación de Turquía vuelve a tomar asiento a la mesa del Comité.</w:t>
      </w:r>
    </w:p>
    <w:p w:rsidR="00000000" w:rsidRDefault="00000000">
      <w:pPr>
        <w:pStyle w:val="SingleTxtG"/>
      </w:pPr>
      <w:r>
        <w:t>2</w:t>
      </w:r>
      <w:r>
        <w:tab/>
      </w:r>
      <w:r>
        <w:rPr>
          <w:b/>
        </w:rPr>
        <w:t>El Sr. Kemal</w:t>
      </w:r>
      <w:r>
        <w:t xml:space="preserve"> comprende perfectamente el afecto de Turquía por el principio de la indivisibilidad de su territorio y se felicita de que Turquía, Estado laico, sea a la vez un puente entre Asia y Europa y entre el islam y el Occidente.</w:t>
      </w:r>
    </w:p>
    <w:p w:rsidR="00000000" w:rsidRDefault="00000000">
      <w:pPr>
        <w:pStyle w:val="SingleTxtG"/>
      </w:pPr>
      <w:r>
        <w:t>3.</w:t>
      </w:r>
      <w:r>
        <w:tab/>
        <w:t>En relación con la cuestión de la identidad cultural, el Sr. Kemal pregunta a la delegación turca si las autoridades podrían prever la asignación de más recursos a la promoción de la identidad cultural y lingüística de las minorías, según se las define en el Tratado de Lausana.</w:t>
      </w:r>
    </w:p>
    <w:p w:rsidR="00000000" w:rsidRDefault="00000000">
      <w:pPr>
        <w:pStyle w:val="SingleTxtG"/>
      </w:pPr>
      <w:r>
        <w:t>4.</w:t>
      </w:r>
      <w:r>
        <w:tab/>
      </w:r>
      <w:r>
        <w:rPr>
          <w:b/>
        </w:rPr>
        <w:t>El Sr. Göğǘş</w:t>
      </w:r>
      <w:r>
        <w:t xml:space="preserve"> (Turquía) dice estar sorprendido de que en la sesión anterior, casi todas las observaciones de los miembros del Comité tuvieron que ver con la noción de minorías nacionales y en particular que se haya sugerido a su país que modifique la definición de minorías enunciada en el Tratado de Lausana, que algunos expertos estiman "anticuada". Recuerda que en Turquía, los derechos de las minorías se rigen por el Tratado de paz firmado en 1923 en Lausana, en cuya virtud, los ciudadanos turcos pertenecientes a una minoría no musulmana competen a la definición de "minorías". Los artículos </w:t>
      </w:r>
      <w:smartTag w:uri="urn:schemas-microsoft-com:office:smarttags" w:element="metricconverter">
        <w:smartTagPr>
          <w:attr w:name="ProductID" w:val="37 a"/>
        </w:smartTagPr>
        <w:r>
          <w:t>37 a</w:t>
        </w:r>
      </w:smartTag>
      <w:r>
        <w:t xml:space="preserve"> 45 del Tratado de Lausana, que constituyen la base de la legislación turca y que tratan sobre los derechos y obligaciones de las personas pertenecientes a una minoría no musulmana, son considerados como textos fundamentales del derecho interno. El Sr. Göğüş señala a la atención del Comité el hecho de que, de conformidad con la filosofía del Estado según la cual todos los ciudadanos son iguales sin discriminación, los ciudadanos turcos pertenecientes a una minoría no musulmana gozan exactamente de los mismos derechos y libertades que el resto de la población y los ejercen en las mismas condiciones.</w:t>
      </w:r>
    </w:p>
    <w:p w:rsidR="00000000" w:rsidRDefault="00000000">
      <w:pPr>
        <w:pStyle w:val="SingleTxtG"/>
      </w:pPr>
      <w:r>
        <w:t>5.</w:t>
      </w:r>
      <w:r>
        <w:tab/>
        <w:t>El Sr. Göğǘş reafirma que el hecho de reivindicar la pertenencia a una minoría nacional no condiciona la existencia de una minoría nacional y no impone a los Estados la obligación de reconocer a un grupo de personas en tanto que minoría nacional. Recuerda que no existe definición alguna internacionalmente aceptada de la noción de minoría nacional y subraya que su país no se adhiere al enfoque de la autodefinición con que se pretende reconocer como minoría nacional a un grupo sobre la base de sus sentimientos o de las percepciones meramente subjetivas de sus miembros. Turquía reitera que cada Estado tiene el derecho soberano de decidir qué grupos de ciudadanos constituyen a su juicio minorías.</w:t>
      </w:r>
    </w:p>
    <w:p w:rsidR="00000000" w:rsidRDefault="00000000">
      <w:pPr>
        <w:pStyle w:val="SingleTxtG"/>
      </w:pPr>
      <w:r>
        <w:t>6.</w:t>
      </w:r>
      <w:r>
        <w:tab/>
        <w:t xml:space="preserve">El Sr. Göğüş recuerda que Turquía no es el único Estado que no ha firmado </w:t>
      </w:r>
      <w:smartTag w:uri="urn:schemas-microsoft-com:office:smarttags" w:element="PersonName">
        <w:smartTagPr>
          <w:attr w:name="ProductID" w:val="la Convenci￳n.  As￭"/>
        </w:smartTagPr>
        <w:smartTag w:uri="urn:schemas-microsoft-com:office:smarttags" w:element="PersonName">
          <w:smartTagPr>
            <w:attr w:name="ProductID" w:val="LA CONVENCIￓN"/>
          </w:smartTagPr>
          <w:r>
            <w:t>la Convención</w:t>
          </w:r>
        </w:smartTag>
        <w:r>
          <w:t xml:space="preserve"> Marco</w:t>
        </w:r>
      </w:smartTag>
      <w:r>
        <w:t xml:space="preserve"> del Consejo de Europa para la protección de las minorías nacionales y señala que tres Estados europeos no la han firmado en tanto que otros cuatro que sí la firmaron no la han ratificado todavía. Además, varios de los Estados europeos signatarios han esgrimido que el reconocimiento de las minorías nacionales incumbe exclusivamente al derecho de los Estados soberanos. El Sr. Göğüş señala que no obstante este hecho, Turquía respeta los derechos humanos de todas las personas y que, indistintamente de su origen étnico, todos los ciudadanos turcos tienen derecho a participar en pie de igual en la vida económica, social, cultural y política del país.</w:t>
      </w:r>
    </w:p>
    <w:p w:rsidR="00000000" w:rsidRDefault="00000000">
      <w:pPr>
        <w:pStyle w:val="SingleTxtG"/>
      </w:pPr>
      <w:r>
        <w:t>7.</w:t>
      </w:r>
      <w:r>
        <w:tab/>
        <w:t xml:space="preserve">En relación con las observaciones relativas a la ausencia de una definición de discriminación en la legislación turca, el Sr. Göğüş recuerda que Turquía ratificó en 2002 </w:t>
      </w:r>
      <w:smartTag w:uri="urn:schemas-microsoft-com:office:smarttags" w:element="PersonName">
        <w:smartTagPr>
          <w:attr w:name="ProductID" w:val="彠廊彨⊰Cᳬ彚䡐ം㍟囧谀菱彨톔彠廊彨⊰Cᳬ彚ｐ௬㍔囧谀菱彨톔彠廊彨⊰Cᳬ彚ఈ஍㍍囧谀菱彨톔彠廊彨⊰Cᳬ彚௠஍㍂囧谀菱彨톔彠廊彨⊰Cᳬ彚䐘ം㍻囧谀菱彨톔彠廊彨⊰Cᳬ彚䑨ം㍰囧谀菱彨톔彠廊彨⊰Cᳬ彚䒸ം㍩囧谀菱彨톔彠廊彨⊰Cᳬ彚䔈ം㌞囧谀菱彨톔彠廊彨⊰Cᳬ彚䕘ം㌗囧谀菱彨톔彠廊彨⊰Cᳬ彚䖨ം㌌囧谀菱彨톔彠廊彨⊰Cᳬ彚䗸ം㌅囧谀菱彨톔彠廊彨⊰Cᳬ彚䙈ം㌺囧谀菱彨톔彠廊彨⊰Cᳬ彚䚘ം㌳囧谀菱彨톔彠廊彨⊰Cᳬ彚䛨ം㌨囧谀菱彨톔彠廊彨⊰Cᳬ彚䜸ം㌡囧谀菱彨톔彠廊彨⊰Cᳬ彚䣰ംೖ囧谀菱彨톔彠廊彨⊰Cᳬ彚䥀ം೏囧谀菱彨톔彠廊彨⊰Cᳬ彚䦐ംೄ囧谀菱彨톔彠廊彨⊰Cᳬ彚䧠ം೽囧谀菱彨톔彠廊彨⊰Cᳬ彚䩘ംೲ囧谀菱彨톔彠廊彨⊰Cᳬ彚䪨ം೫囧谀菱彨톔彠廊彨⊰Cᳬ彚䫸ംೠ囧谀菱彨톔彠廊彨⊰Cᳬ彚䭈ംಙ囧谀菱彨톔彠廊彨⊰Cᳬ彚䯀ംಎ囧谀菱彨톔彠廊彨⊰Cᳬ彚䰐ംಇ囧谀菱彨톔彠廊彨⊰Cᳬ彚䱠ം಼囧谀菱彨톔彠廊彨⊰Cᳬ彚䲰ംವ囧谀菱彨톔彠廊彨⊰Cᳬ彚䴀ംಪ囧谀菱彨톔彠廊彨⊰Cᳬ彚䵸ംಣ囧谀菱彨톔彠廊彨⊰Cᳬ彚䷰ംౘ囧谀菱彨톔彠廊彨⊰Cᳬ彚乀ം౑囧谀菱彨톔彠廊彨⊰Cᳬ彚亐ംె囧谀菱彨톔彠廊彨⊰Cᳬ彚仠ം౿囧谀菱彨톔彠廊彨⊰Cᳬ彚估ം౴囧谀菱彨톔彠廊彨⊰Cᳬ彚侨ം౭囧谀菱彨톔彠廊彨⊰Cᳬ彚俸ംౢ囧谀菱彨톔彠廊彨⊰Cᳬ彚偈ംఛ囧谀菱彨톔彠廊彨⊰Cᳬ彚僀ംఐ囧谀菱彨톔彠廊彨⊰Cᳬ彚儐ംఉ囧谀菱彨톔彠廊彨⊰Cᳬ彚冈ംా囧谀菱彨톔彠廊彨⊰Cᳬ彚刀ംష囧谀菱彨톔彠廊彨⊰Cᳬ彚剐ംబ囧谀菱彨톔彠廊彨⊰Cᳬ彚加ംథ囧谀菱彨톔彠廊彨⊰Cᳬ彚勰ംේ囧谀菱彨톔彠廊彨⊰Cᳬ彚區ംී囧谀菱彨톔彠廊彨⊰Cᳬ彚厸ം෈囧谀菱彨톔彠廊彨⊰Cᳬ彚合ംශ囧谀菱彨톔彠廊彨⊰Cᳬ彚咀ം෶囧谀菱彨톔彠廊彨⊰Cᳬ彚哸ം෯囧谀菱彨톔彠廊彨⊰Cᳬ彚啈ം෤囧谀菱彨톔彠廊彨⊰Cᳬ彚喘ംඝ囧谀菱彨톔彠廊彨⊰Cᳬ彚嘐ംඒ囧谀菱彨톔彠廊彨⊰Cᳬ彚噠ംඋ囧谀菱彨톔彠廊彨⊰Cᳬ彚嚰ം඀囧谀菱彨톔彠廊彨⊰Cᳬ彚在ംඹ囧谀菱彨톔彠廊彨⊰Cᳬ彚坸ംථ囧谀菱彨톔彠廊彨⊰Cᳬ彚埈ംට囧谀菱彨톔彠廊彨⊰Cᳬ彚堘ം൜囧谀菱彨톔彠廊彨⊰Cᳬ彚墐ംൕ囧谀菱彨톔彠廊彨⊰Cᳬ彚壠ംൊ囧谀菱彨톔彠廊彨⊰Cᳬ彚夰ംൃ囧谀菱彨톔彠廊彨⊰Cᳬ彚妀ം൸囧谀菱彨톔彠廊彨⊰Cᳬ彚姐ം൱囧谀菱彨톔彠廊彨⊰Cᳬ彚婈ം൦囧谀菱彨톔彠廊彨⊰Cᳬ彚媘ംട囧谀菱彨톔彠廊彨⊰Cᳬ彚嬐ംഔ囧谀菱彨톔彠廊彨⊰Cᳬ彚孠ം഍囧谀菱彨톔彠廊彨⊰Cᳬ彚寘ംം囧谀菱彨톔彠廊彨⊰Cᳬ彚屐ം഻囧谀菱彨톔彠廊彨⊰Cᳬ彚岠ംര囧谀菱彨톔彠廊彨⊰Cᳬ彚峰ംഩ囧谀菱彨톔彠廊彨⊰Cᳬ彚嵨ംໞ囧谀菱彨톔彠廊彨⊰Cᳬ彚嶸ം໗囧谀菱彨톔彠廊彨⊰Cᳬ彚帰ം໌囧谀菱彨톔彠廊彨⊰Cᳬ彚庀ം໅囧谀菱彨톔彠廊彨⊰Cᳬ彚廐ം໺囧谀菱彨톔彠廊彨⊰Cᳬ彚彈ം໳囧谀菱彨톔彠廊彨⊰Cᳬ彚忀ം໨囧谀菱彨톔彠廊彨⊰Cᳬ彚怸ം໡囧谀菱彨톔彠廊彨⊰Cᳬ彚悈ംຖ囧谀菱彨톔彠廊彨⊰Cᳬ彚愀ംຏ囧谀菱彨톔彠廊彨⊰Cᳬ彚慐ംຄ囧谀菱彨톔彠廊彨⊰Cᳬ彚憠ംຽ囧谀菱彨톔彠廊彨⊰Cᳬ彚战ംາ囧谀菱彨톔彠廊彨⊰Cᳬ彚扨ംຫ囧谀菱彨톔彠廊彨⊰Cᳬ彚抸ംຠ囧谀菱彨톔彠廊彨⊰Cᳬ彚挰ം๙囧谀菱彨톔彠廊彨⊰Cᳬ彚掀ം๎囧谀菱彨톔彠廊彨⊰Cᳬ彚提ം็囧谀菱彨톔彠廊彨⊰Cᳬ彚摈ം๼囧谀菱彨톔彠廊彨⊰Cᳬ彚撘ം๵囧谀菱彨톔彠廊彨⊰Cᳬ彚擨ം๪囧谀菱彨톔彠廊彨⊰Cᳬ彚敠ം๣囧谀菱彨톔彠廊彨⊰Cᳬ彚新ംธ囧谀菱彨톔彠廊彨⊰Cᳬ彚昀ംฑ囧谀菱彨톔彠廊彨⊰Cᳬ彚晐ംฆ囧谀菱彨톔彠廊彨⊰Cᳬ彚暠ം฿囧谀菱彨톔彠廊彨⊰Cᳬ彚朘ംิ囧谀菱彨톔彠廊彨⊰Cᳬ彚杨ംอ囧谀菱彨톔彠廊彨⊰Cᳬ彚枸ംย囧谀菱彨톔彠廊彨⊰Cᳬ彚栰ം࿛囧谀菱彨톔彠廊彨⊰Cᳬ彚梀ം࿐囧谀菱彨톔彠廊彨⊰Cᳬ彚棐ം࿉囧谀菱彨톔彠廊彨⊰Cᳬ彚椠ം࿾囧谀菱彨톔彠廊彨⊰Cᳬ彚榘ം࿷囧谀菱彨톔彠廊彨⊰Cᳬ彚槨ം࿬囧谀菱彨톔彠廊彨⊰Cᳬ彚樸ം࿥囧谀菱彨톔彠廊彨⊰Cᳬ彚檈ംྚ囧谀菱彨톔彠廊彨⊰Cᳬ彚欀ംྒྷ囧谀菱彨톔彠廊彨⊰Cᳬ彚歐ംྈ囧谀菱彨톔彠廊彨⊰Cᳬ彚殠ംཱྀ囧谀菱彨톔彠廊彨⊰Cᳬ彚氘ംྶ囧谀菱彨톔彠廊彨⊰Cᳬ彚沐ംྯ囧谀菱彨톔彠廊彨⊰Cᳬ彚泠ംྤ囧谀菱彨톔彠廊彨⊰Cᳬ彚洰ംཝ囧谀菱彨톔彠廊彨⊰Cᳬ彚涀ംདྷ囧谀菱彨톔彠廊彨⊰Cᳬ彚淸ംཋ囧谀菱彨톔彠廊彨⊰Cᳬ彚湈ംཀ囧谀菱彨톔彠廊彨⊰Cᳬ彚滀ംཹ囧谀菱彨톔彠廊彨⊰Cᳬ彚漸ം཮囧谀菱彨톔彠廊彨⊰Cᳬ彚澈ംཧ囧谀菱彨톔彠廊彨⊰Cᳬ彚濘ം༜囧谀菱彨톔彠廊彨⊰Cᳬ彚灐ം༕囧谀菱彨톔彠廊彨⊰Cᳬ彚炠ം༊囧谀菱彨톔彠廊彨⊰Cᳬ彚烰ം༃囧谀菱彨톔彠廊彨⊰Cᳬ彚煨ം༸囧谀菱彨톔彠廊彨⊰Cᳬ彚熸ം༱囧谀菱彨톔彠廊彨⊰Cᳬ彚爈ം༦囧谀菱彨톔彠廊彨⊰Cᳬ彚牘ംࣟ囧谀菱彨톔彠廊彨⊰Cᳬ彚狐ംࣔ囧谀菱彨톔彠廊彨⊰Cᳬ彚猠ം࣍囧谀菱彨톔彠廊彨⊰Cᳬ彚獰ംࣂ囧谀菱彨톔彠廊彨⊰Cᳬ彚珀ംࣻ囧谀菱彨톔彠廊彨⊰Cᳬ彚琐ംࣰ囧谀菱彨톔彠廊彨⊰Cᳬ彚璈ംࣩ囧谀菱彨톔彠廊彨⊰Cᳬ彚瓘ം࢞囧谀菱彨톔彠廊彨⊰Cᳬ彚畐ംࢗ囧谀菱彨톔彠廊彨⊰Cᳬ彚疠ംࢌ囧谀菱彨톔彠廊彨⊰Cᳬ彚瘘ംࢅ囧谀菱彨톔彠廊彨⊰Cᳬ彚癨ംࢺ囧谀菱彨톔彠廊彨⊰Cᳬ彚皸ംࢳ囧谀菱彨톔彠廊彨⊰Cᳬ彚眈ംࢨ囧谀菱彨톔彠廊彨⊰Cᳬ彚睘ംࢡ囧谀菱彨톔彠廊彨⊰Cᳬ彚矐ംࡖ囧谀菱彨톔彠廊彨⊰Cᳬ彚砠ംࡏ囧谀菱彨톔彠廊彨⊰Cᳬ彚硰ംࡄ囧谀菱彨톔彠廊彨⊰Cᳬ彚磀ംࡽ囧谀菱彨톔彠廊彨⊰Cᳬ彚礸ംࡲ囧谀菱彨톔彠廊彨⊰Cᳬ彚禈ം࡫囧谀菱彨톔彠廊彨⊰Cᳬ彚秘ംࡠ囧谀菱彨톔彠廊彨⊰Cᳬ彚穐ം࠙囧谀菱彨톔彠廊彨⊰Cᳬ彚窠ംࠎ囧谀菱彨톔彠廊彨⊰Cᳬ彚笘ംࠇ囧谀菱彨톔彠廊彨⊰Cᳬ彚筨ം࠼囧谀菱彨톔彠廊彨⊰Cᳬ彚箸ം࠵囧谀菱彨톔彠廊彨⊰Cᳬ彚簈ംࠪ囧谀菱彨톔彠廊彨⊰Cᳬ彚粀ംࠣ囧谀菱彨톔彠廊彨⊰Cᳬ彚糐ം৘囧谀菱彨톔彠廊彨⊰Cᳬ彚絈ം৑囧谀菱彨톔彠廊彨⊰Cᳬ彚綘ം৆囧谀菱彨톔彠廊彨⊰Cᳬ彚編ം৿囧谀菱彨톔彠廊彨⊰Cᳬ彚繠ം৴囧谀菱彨톔彠廊彨⊰Cᳬ彚纰ം৭囧谀菱彨톔彠廊彨⊰Cᳬ彚缨ംৢ囧谀菱彨톔彠廊彨⊰Cᳬ彚羠ംছ囧谀菱彨톔彠廊彨⊰Cᳬ彚翰ംঐ囧谀菱彨톔彠廊彨⊰Cᳬ彚聨ംউ囧谀菱彨톔彠廊彨⊰Cᳬ彚胠ംা囧谀菱彨톔彠廊彨⊰Cᳬ彚脰ംষ囧谀菱彨톔彠廊彨⊰Cᳬ彚膀ംব囧谀菱彨톔彠廊彨⊰Cᳬ彚臐ംথ囧谀菱彨톔彠廊彨⊰Cᳬ彚舠ംग़囧谀菱彨톔彠廊彨⊰Cᳬ彚艰ം॓囧谀菱彨톔彠廊彨⊰Cᳬ彚苨ംै囧谀菱彨톔彠廊彨⊰Cᳬ彚茸ംु囧谀菱彨톔彠廊彨⊰Cᳬ彚莈ംॶ囧谀菱彨톔彠廊彨⊰Cᳬ彚萀ം९囧谀菱彨톔彠廊彨⊰Cᳬ彚葐ം।囧谀菱彨톔彠廊彨⊰Cᳬ彚蓈ംझ囧谀菱彨톔彠廊彨⊰Cᳬ彚蔘ംऒ囧谀菱彨톔彠廊彨⊰Cᳬ彚蕨ംऋ囧谀菱彨톔彠廊彨⊰Cᳬ彚薸ംऀ囧谀菱彨톔彠廊彨⊰Cᳬ彚蘈ംह囧谀菱彨톔彠廊彨⊰Cᳬ彚虘ംम囧谀菱彨톔彠廊彨⊰Cᳬ彚蚨ംध囧谀菱彨톔彠廊彨⊰Cᳬ彚蜠ം૜囧谀菱彨톔彠廊彨⊰Cᳬ彚蝰ം૕囧谀菱彨톔彠廊彨⊰Cᳬ彚蟀ം૊囧谀菱彨톔彠廊彨⊰Cᳬ彚蠸ംૃ囧谀菱彨톔彠廊彨⊰Cᳬ彚袈ം૸囧谀菱彨톔彠廊彨⊰Cᳬ彚褀ം૱囧谀菱彨톔彠廊彨⊰Cᳬ彚襐ം૦囧谀菱彨톔彠廊彨⊰Cᳬ彚覠ംટ囧谀菱彨톔彠廊彨⊰Cᳬ彚觰ംઔ囧谀菱彨톔彠廊彨⊰Cᳬ彚詀ംઍ囧谀菱彨톔彠廊彨⊰Cᳬ彚誐ംં囧谀菱彨톔彠廊彨⊰Cᳬ彚謈ം઻囧谀菱彨톔彠廊彨⊰Cᳬ彚識ംર囧谀菱彨톔彠廊彨⊰Cᳬ彚诐ം઩囧谀菱彨톔彠廊彨⊰Cᳬ彚谠ംਫ਼囧谀菱彨톔彠廊彨⊰Cᳬ彚豰ം੗囧谀菱彨톔彠廊彨⊰Cᳬ彚賀ംੌ囧谀菱彨톔彠廊彨⊰Cᳬ彚贐ം੅囧谀菱彨톔彠廊彨⊰Cᳬ彚趈ം੺囧谀菱彨톔彠廊彨⊰Cᳬ彚踀ംੳ囧谀菱彨톔彠廊彨⊰Cᳬ彚蹐ം੨囧谀菱彨톔彠廊彨⊰Cᳬ彚躠ം੡囧谀菱彨톔彠廊彨⊰Cᳬ彚軰ംਖ囧谀菱彨톔彠廊彨⊰Cᳬ彚轨ംਏ囧谀菱彨톔彠廊彨⊰Cᳬ彚辸ം਄囧谀菱彨톔彠廊彨⊰Cᳬ彚逰ം਽囧谀菱彨톔彠廊彨⊰Cᳬ彚邀ംਲ囧谀菱彨톔彠廊彨⊰Cᳬ彚郸ംਫ囧谀菱彨톔彠廊彨⊰Cᳬ彚酈ംਠ囧谀菱彨톔彠廊彨⊰Cᳬ彚醘ം௙囧谀菱彨톔彠廊彨⊰Cᳬ彚鈐ം௎囧谀菱彨톔彠廊彨⊰Cᳬ彚銈ംே囧谀菱彨톔彠廊彨⊰Cᳬ彚鋘ം௼囧谀菱彨톔彠廊彨⊰Cᳬ彚鍐ം௵囧谀菱彨톔彠廊彨⊰Cᳬ彚鎠ം௪囧谀菱彨톔彠廊彨⊰Cᳬ彚鏰ം௣囧谀菱彨톔彠廊彨⊰Cᳬ彚鑀ം஘囧谀菱彨톔彠廊彨⊰Cᳬ彚钐ം஑囧谀菱彨톔彠廊彨⊰Cᳬ彚铠ംஆ囧谀菱彨톔彠廊彨⊰Cᳬ彚镘ംி囧谀菱彨톔彠廊彨⊰Cᳬ彚閨ംழ囧谀菱彨톔彠廊彨⊰Cᳬ彚闸ം஭囧谀菱彨톔彠廊彨⊰Cᳬ彚陰ം஢囧谀菱彨톔彠廊彨⊰Cᳬ彚雀ം୛囧谀菱彨톔彠廊彨⊰Cᳬ彚霐ം୐囧谀菱彨톔彠廊彨⊰Cᳬ彚鞈ം୉囧谀菱彨톔彠廊彨⊰Cᳬ彚頀ം୾囧谀菱彨톔彠廊彨⊰Cᳬ彚顐ം୷囧谀菱彨톔彠廊彨⊰Cᳬ彚䅨ঃ୬囧谀菱彨톔彠廊彨⊰Cᳬ彚䅀ঃ୥囧谀菱彨톔彠廊彨⊰Cᳬ彚뎨சଚ囧谀菱彨톔彠廊彨⊰Cᳬ彚䄘ঃଓ囧谀菱彨톔彠廊彨⊰Cᳬ彚ಀ஍ଈ囧谀菱彨톔彠廊彨⊰Cᳬ彚騈ംଁ囧谀菱彨톔彠廊彨⊰Cᳬ彚驘ംଶ囧谀菱彨톔彠廊彨⊰Cᳬ彚骨ംଯ囧谀菱彨톔彠廊彨⊰Cᳬ彚鬠ംତ囧谀菱彨톔彠廊彨⊰Cᳬ彚魰ംӝ囧谀菱彨톔彠廊彨⊰Cᳬ彚鯀ംӒ囧谀菱彨톔彠廊彨⊰Cᳬ彚鰐ംӋ囧谀菱彨톔彠廊彨⊰Cᳬ彚鲈ംӀ囧谀菱彨톔彠廊彨⊰Cᳬ彚鳘ംӹ囧谀菱彨톔彠廊彨⊰Cᳬ彚鴨ംӮ囧谀菱彨톔彠廊彨⊰Cᳬ彚鵸ംӧ囧谀菱彨톔彠廊彨⊰Cᳬ彚鷈ംҜ囧谀菱彨톔彠廊彨⊰Cᳬ彚鹀ംҕ囧谀菱彨톔彠廊彨⊰Cᳬ彚麸ംҊ囧谀菱彨톔彠廊彨⊰Cᳬ彚鼈ം҃囧谀菱彨톔彠廊彨⊰Cᳬ彚齘ംҸ囧谀菱彨톔彠廊彨⊰Cᳬ彚龨ംұ囧谀菱彨톔彠廊彨⊰Cᳬ彚鿸ംҦ囧谀菱彨톔彠廊彨⊰Cᳬ彚ꁰംџ囧谀菱彨톔彠廊彨⊰Cᳬ彚ꃀംє囧谀菱彨톔彠廊彨⊰Cᳬ彚ꄐംэ囧谀菱彨톔彠廊彨⊰Cᳬ彚ꆈംт囧谀菱彨톔彠廊彨⊰Cᳬ彚ꇘംѻ囧谀菱彨톔彠廊彨⊰Cᳬ彚ꉐംѰ囧谀菱彨톔彠廊彨⊰Cᳬ彚ꋈംѩ囧谀菱彨톔彠廊彨⊰Cᳬ彚ꌘംО囧谀菱彨톔彠廊彨⊰Cᳬ彚ꍨംЗ囧谀菱彨톔彠廊彨⊰Cᳬ彚ꎸംЌ囧谀菱彨톔彠廊彨⊰Cᳬ彚ꐈംЅ囧谀菱彨톔彠廊彨⊰Cᳬ彚ꒀംк囧谀菱彨톔彠廊彨⊰Cᳬ彚ꓐംг囧谀菱彨톔彠廊彨⊰Cᳬ彚ꕈംШ囧谀菱彨톔彠廊彨⊰Cᳬ彚ꗀംС囧谀菱彨톔彠廊彨⊰Cᳬ彚ꘐംז囧谀菱彨톔彠廊彨⊰Cᳬ彚Ꙡം׏囧谀菱彨톔彠廊彨⊰Cᳬ彚ꛘംׄ囧谀菱彨톔彠廊彨⊰Cᳬ彚Ꜩം׽囧谀菱彨톔彠廊彨⊰Cᳬ彚ꝸംײ囧谀菱彨톔彠廊彨⊰Cᳬ彚꟰ം׫囧谀菱彨톔彠廊彨⊰Cᳬ彚ꡀംנ囧谀菱彨톔彠廊彨⊰Cᳬ彚ꢐം֙囧谀菱彨톔彠廊彨⊰Cᳬ彚꣠ം֎囧谀菱彨톔彠廊彨⊰Cᳬ彚꥘ംև囧谀菱彨톔彠廊彨⊰Cᳬ彚ꦨംּ囧谀菱彨톔彠廊彨⊰Cᳬ彚꧸ംֵ囧谀菱彨톔彠廊彨⊰Cᳬ彚ꩈം֪囧谀菱彨톔彠廊彨⊰Cᳬ彚ꪘം֣囧谀菱彨톔彠廊彨⊰Cᳬ彚꬐ം՘囧谀菱彨톔彠廊彨⊰Cᳬ彚ꭠംՑ囧谀菱彨톔彠廊彨⊰Cᳬ彚ꯘംՆ囧谀菱彨톔彠廊彨⊰Cᳬ彚갨ംտ囧谀菱彨톔彠廊彨⊰Cᳬ彚겠ംմ囧谀菱彨톔彠廊彨⊰Cᳬ彚괘ംխ囧谀菱彨톔彠廊彨⊰Cᳬ彚굨ംբ囧谀菱彨톔彠廊彨⊰Cᳬ彚궸ംԛ囧谀菱彨톔彠廊彨⊰Cᳬ彚기ംԐ囧谀菱彨톔彠廊彨⊰Cᳬ彚꺀ംԉ囧谀菱彨톔彠廊彨⊰Cᳬ彚껸ംԾ囧谀菱彨톔彠廊彨⊰Cᳬ彚꽈ംԷ囧谀菱彨톔彠廊彨⊰Cᳬ彚꾘ംԬ囧谀菱彨톔彠廊彨⊰Cᳬ彚뀐ംԥ囧谀菱彨톔彠廊彨⊰Cᳬ彚낈ംۚ囧谀菱彨톔彠廊彨⊰Cᳬ彚넀ംۓ囧谀菱彨톔彠廊彨⊰Cᳬ彚蠸೷ۈ囧谀菱彨톔彠廊彨⊰Cᳬ彚䰐೺ہ囧谀菱彨톔彠廊彨⊰Cᳬ彚⎸೼۶囧谀菱彨톔彠廊彨⊰Cᳬ彚飐೼ۯ囧谀菱彨톔彠廊彨⊰Cᳬ彚놈ഄۤ囧谀菱彨톔彠廊彨⊰Cᳬ彚뇘ഄڝ囧谀菱彨톔彠廊彨⊰Cᳬ彚눨ഄڒ囧谀菱彨톔彠廊彨⊰Cᳬ彚늠ഄڋ囧谀菱彨톔彠廊彨⊰Cᳬ彚닰ഄڀ囧谀菱彨톔彠廊彨⊰Cᳬ彚덀ഄڹ囧谀菱彨톔彠廊彨⊰Cᳬ彚뎸ഄڮ囧谀菱彨톔彠廊彨⊰Cᳬ彚됈ഄڧ囧谀菱彨톔彠廊彨⊰Cᳬ彚둘ഄٜ囧谀菱彨톔彠廊彨⊰Cᳬ彚듐ഄٕ囧谀菱彨톔彠廊彨⊰Cᳬ彚딠ഄي囧谀菱彨톔彠廊彨⊰Cᳬ彚땰ഄك囧谀菱彨톔彠廊彨⊰Cᳬ彚뗀ഄٸ囧谀菱彨톔彠廊彨⊰Cᳬ彚또ഄٱ囧谀菱彨톔彠廊彨⊰Cᳬ彚뚈ഄ٦囧谀菱彨톔彠廊彨⊰Cᳬ彚뛘ഄ؟囧谀菱彨톔彠廊彨⊰Cᳬ彚뜨ഄؔ囧谀菱彨톔彠廊彨⊰Cᳬ彚랠ഄ؍囧谀菱彨톔彠廊彨⊰Cᳬ彚런ഄ؂囧谀菱彨톔彠廊彨⊰Cᳬ彚례ഄػ囧谀菱彨톔彠廊彨⊰Cᳬ彚뢐ഄذ囧谀菱彨톔彠廊彨⊰Cᳬ彚뤈ഄة囧谀菱彨톔彠廊彨⊰Cᳬ彚류ഄߞ囧谀菱彨톔彠廊彨⊰Cᳬ彚릨ഄߗ囧谀菱彨톔彠廊彨⊰Cᳬ彚맸ഄߌ囧谀菱彨톔彠廊彨⊰Cᳬ彚며ഄ߅囧谀菱彨톔彠廊彨⊰Cᳬ彚뫀ഄߺ囧谀菱彨톔彠廊彨⊰Cᳬ彚묐ഄ߳囧谀菱彨톔彠廊彨⊰Cᳬ彚뮈ഄߨ囧谀菱彨톔彠廊彨⊰Cᳬ彚밀ഄߡ囧谀菱彨톔彠廊彨⊰Cᳬ彚뱐ഄޖ囧谀菱彨톔彠廊彨⊰Cᳬ彚베ഄޏ囧谀菱彨톔彠廊彨⊰Cᳬ彚볰ഄބ囧谀菱彨톔彠廊彨⊰Cᳬ彚뵨ഄ޽囧谀菱彨톔彠廊彨⊰Cᳬ彚붸ഄ޲囧谀菱彨톔彠廊彨⊰Cᳬ彚븰ഄޫ囧谀菱彨톔彠廊彨⊰Cᳬ彚뺨ഄޠ囧谀菱彨톔彠廊彨⊰Cᳬ彚뻸ഄݙ囧谀菱彨톔彠廊彨⊰Cᳬ彚뽈ഄݎ囧谀菱彨톔彠廊彨⊰Cᳬ彚뿀ഄ݇囧谀菱彨톔彠廊彨⊰Cᳬ彚쀐ഄݼ囧谀菱彨톔彠廊彨⊰Cᳬ彚쁠ഄݵ囧谀菱彨톔彠廊彨⊰Cᳬ彚샘ഄݪ囧谀菱彨톔彠廊彨⊰Cᳬ彚섨ഄݣ囧谀菱彨톔彠廊彨⊰Cᳬ彚셸ഄܘ囧谀菱彨톔彠廊彨⊰Cᳬ彚쇈ഄܑ囧谀菱彨톔彠廊彨⊰Cᳬ彚쉀ഄ܆囧谀菱彨톔彠廊彨⊰Cᳬ彚슐ഄܿ囧谀菱彨톔彠廊彨⊰Cᳬ彚신ഄܴ囧谀菱彨톔彠廊彨⊰Cᳬ彚쌰ഄܭ囧谀菱彨톔彠廊彨⊰Cᳬ彚쎀ഄܢ囧谀菱彨톔彠廊彨⊰Cᳬ彚쏸ഄÛ囧谀菱彨톔彠廊彨⊰Cᳬ彚쑈ഄÐ囧谀菱彨톔彠廊彨⊰Cᳬ彚쓀ഄÉ囧谀菱彨톔彠廊彨⊰Cᳬ彚씐ഄþ囧谀菱彨톔彠廊彨⊰Cᳬ彚얈ഄ÷囧谀菱彨톔彠廊彨⊰Cᳬ彚엘ഄì囧谀菱彨톔彠廊彨⊰Cᳬ彚온ഄå囧谀菱彨톔彠廊彨⊰Cᳬ彚외ഄ囧谀菱彨톔彠廊彨⊰Cᳬ彚웈ഄ囧谀菱彨톔彠廊彨⊰Cᳬ彚은ഄ囧谀菱彨톔彠廊彨⊰Cᳬ彚자ഄ囧谀菱彨톔彠廊彨⊰Cᳬ彚쟠ഄ¶囧谀菱彨톔彠廊彨⊰Cᳬ彚젰ഄ¯囧谀菱彨톔彠廊彨⊰Cᳬ彚좨ഄ¤囧谀菱彨톔彠廊彨⊰Cᳬ彚죸ഄ]囧谀菱彨톔彠廊彨⊰Cᳬ彚쥈ഄR囧谀菱彨톔彠廊彨⊰Cᳬ彚지ഄK囧谀菱彨톔彠廊彨⊰Cᳬ彚쨐ഄ@囧谀菱彨톔彠廊彨⊰Cᳬ彚쪈ഄy囧谀菱彨톔彠廊彨⊰Cᳬ彚쫘ഄn囧谀菱彨톔彠廊彨⊰Cᳬ彚쬨ഄg囧谀菱彨톔彠廊彨⊰Cᳬ彚쭸ഄ囧谀菱彨톔彠廊彨⊰Cᳬ彚쯰ഄ囧谀菱彨톔彠廊彨⊰Cᳬ彚챀ഄ&#10;囧谀菱彨톔彠廊彨⊰Cᳬ彚첸ഄ囧谀菱彨톔彠廊彨⊰Cᳬ彚초ഄ8囧谀菱彨톔彠廊彨⊰Cᳬ彚쵘ഄ1囧谀菱彨톔彠廊彨⊰Cᳬ彚췐ഄ&amp;囧谀菱彨톔彠廊彨⊰Cᳬ彚츠ഄǟ囧谀菱彨톔彠廊彨⊰Cᳬ彚캘ഄǔ囧谀菱彨톔彠廊彨⊰Cᳬ彚켐ഄǍ囧谀菱彨톔彠廊彨⊰Cᳬ彚콠ഄǂ囧谀菱彨톔彠廊彨⊰Cᳬ彚쿘ഄǻ囧谀菱彨톔彠廊彨⊰Cᳬ彚큐ഄǰ囧谀菱彨톔彠廊彨⊰Cᳬ彚킠ഄǩ囧谀菱彨톔彠廊彨⊰Cᳬ彚탰ഄƞ囧谀菱彨톔彠廊彨⊰Cᳬ彚텀ഄƗ囧谀菱彨톔彠廊彨⊰Cᳬ彚톐ഄƌ囧谀菱彨톔彠廊彨⊰Cᳬ彚퇠ഄƅ囧谀菱彨톔彠廊彨⊰Cᳬ彚퉘ഄƺ囧谀菱彨톔彠廊彨⊰Cᳬ彚튨ഄƳ囧谀菱彨톔彠廊彨⊰Cᳬ彚틸ഄƨ囧谀菱彨톔彠廊彨⊰Cᳬ彚퍰ഄơ囧谀菱彨톔彠廊彨⊰Cᳬ彚폀ഄŖ囧谀菱彨톔彠廊彨⊰Cᳬ彚퐸ഄŏ囧谀菱彨톔彠廊彨⊰Cᳬ彚품ഄń囧谀菱彨톔彠廊彨⊰Cᳬ彚퓘ഄŽ囧谀菱彨톔彠廊彨⊰Cᳬ彚픨ഄŲ囧谀菱彨톔彠廊彨⊰Cᳬ彚핸ഄū囧谀菱彨톔彠廊彨⊰Cᳬ彚허ഄŠ囧谀菱彨톔彠廊彨⊰Cᳬ彚혘ഄę囧谀菱彨톔彠廊彨⊰Cᳬ彚횐ഄĎ囧谀菱彨톔彠廊彨⊰Cᳬ彚훠ഄć囧谀菱彨톔彠廊彨⊰Cᳬ彚휰ഄļ囧谀菱彨톔彠廊彨⊰Cᳬ彚힨ഄĵ囧谀菱彨톔彠廊彨⊰Cᳬ彚ퟸഄĪ囧谀菱彨톔彠廊彨⊰Cᳬ彚ഄģ囧谀菱彨톔彠廊彨⊰Cᳬ彚ഄ˘囧谀菱彨톔彠廊彨⊰Cᳬ彚ഄˑ囧谀菱彨톔彠廊彨⊰Cᳬ彚ഄˆ囧谀菱彨톔彠廊彨⊰Cᳬ彚ഄ˿囧谀菱彨톔彠廊彨⊰Cᳬ彚ഄ˴囧谀菱彨톔彠廊彨⊰Cᳬ彚ഄ˭囧谀菱彨톔彠廊彨⊰Cᳬ彚ഄˢ囧谀菱彨톔彠廊彨⊰Cᳬ彚ഄʛ囧谀菱彨톔彠廊彨⊰Cᳬ彚ഄʐ囧谀菱彨톔彠廊彨⊰Cᳬ彚ഄʉ囧谀菱彨톔彠廊彨⊰Cᳬ彚ഄʾ囧谀菱彨톔彠廊彨⊰Cᳬ彚ഄʷ囧谀菱彨톔彠廊彨⊰Cᳬ彚ഄʬ囧谀菱彨톔彠廊彨⊰Cᳬ彚ഄʥ囧谀菱彨톔彠廊彨⊰Cᳬ彚ഄɚ囧谀菱彨톔彠廊彨⊰Cᳬ彚ഄɓ囧谀菱彨톔彠廊彨⊰Cᳬ彚ഄɈ囧谀菱彨톔彠廊彨⊰Cᳬ彚ഄɁ囧谀菱彨톔彠廊彨⊰Cᳬ彚ഄɶ囧谀菱彨톔彠廊彨⊰Cᳬ彚ഄɯ囧谀菱彨톔彠廊彨⊰Cᳬ彚ഄɤ囧谀菱彨톔彠廊彨⊰Cᳬ彚ഄȝ囧谀菱彨톔彠廊彨⊰Cᳬ彚ഄȒ囧谀菱彨톔彠廊彨⊰Cᳬ彚ഄȋ囧谀菱彨톔彠廊彨⊰Cᳬ彚ഄȀ囧谀菱彨톔彠廊彨⊰Cᳬ彚ഄȹ囧谀菱彨톔彠廊彨⊰Cᳬ彚ഄȮ囧谀菱彨톔彠廊彨⊰Cᳬ彚ഄȧ囧谀菱彨톔彠廊彨⊰Cᳬ彚ഄϜ囧谀菱彨톔彠廊彨⊰Cᳬ彚ഄϕ囧谀菱彨톔彠廊彨⊰Cᳬ彚ഄϊ囧谀菱彨톔彠廊彨⊰Cᳬ彚ഄσ囧谀菱彨톔彠廊彨⊰Cᳬ彚ഄϸ囧谀菱彨톔彠廊彨⊰Cᳬ彚ഄϱ囧谀菱彨톔彠廊彨⊰Cᳬ彚ഄϦ囧谀菱彨톔彠廊彨⊰Cᳬ彚ഄΟ囧谀菱彨톔彠廊彨⊰Cᳬ彚ഄΔ囧谀菱彨톔彠廊彨⊰Cᳬ彚ഄ΍囧谀菱彨톔彠廊彨⊰Cᳬ彚ഄ΂囧谀菱彨톔彠廊彨⊰Cᳬ彚ഄλ囧谀菱彨톔彠廊彨⊰Cᳬ彚ഄΰ囧谀菱彨톔彠廊彨⊰Cᳬ彚ഄΩ囧谀菱彨톔彠廊彨⊰Cᳬ彚ஐ஍͞囧谀菱彨톔彠廊彨⊰Cᳬ彚ഄ͗囧谀菱彨톔彠廊彨⊰Cᳬ彚ഄ͌囧谀菱彨톔彠廊彨⊰Cᳬ彚ഄͅ囧谀菱彨톔彠廊彨⊰Cᳬ彚ഄͺ囧谀菱彨톔彠廊彨⊰Cᳬ彚ഄͳ囧谀菱彨톔彠廊彨⊰Cᳬ彚ഄͨ囧谀菱彨톔彠廊彨⊰Cᳬ彚ഄ͡囧谀菱彨톔彠廊彨⊰Cᳬ彚ഄ̖囧谀菱彨톔彠廊彨⊰Cᳬ彚ഄ̏囧谀菱彨톔彠廊彨⊰Cᳬ彚ഄ̄囧谀菱彨톔彠廊彨⊰Cᳬ彚ഄ̽囧谀菱彨톔彠廊彨⊰Cᳬ彚䃰ঃ̲囧谀菱彨톔彠廊彨⊰Cᳬ彚䆐ঃ̫囧谀菱彨톔彠廊彨⊰Cᳬ彚놀ݽ̠囧谀菱彨톔彠廊彨⊰Cᳬ彚ഄ᳙囧谀菱彨톔彠廊彨⊰Cᳬ彚ಖ᳎囧谀菱彨톔彠廊彨⊰Cᳬ彚ഄ᳇囧谀菱彨톔彠廊彨⊰Cᳬ彚ഄ᳼囧谀菱彨톔彠廊彨⊰Cᳬ彚ഄᳵ囧谀菱彨톔彠廊彨⊰Cᳬ彚ഄᳪ囧谀菱彨톔彠廊彨⊰Cᳬ彚ഄ᳣囧谀菱彨톔彠廊彨⊰Cᳬ彚ഄᲘ囧谀菱彨톔彠廊彨⊰Cᳬ彚ഄᲑ囧耀睳䳔睳析ݿ䡤睳⪸睳⪸睳ᲆ囧谀菱彨톔彠廊彨⊰Cᳬ彚뉰ݽᲿ囧耀ᨼ睳杄睳蒘睳蒄睳葴睳⪸睳䃘फ़Ჴ囧耀㶚睳䳔睳称ݿ䡤睳⪸睳⪸睳Ჭ囧谀菱彨톔彠廊彨⊰Cᳬ彚놨ݽᲢ囧谀菱彨톔彠廊彨⊰Cᳬ彚ഄᱛ囧谀菱彨톔彠廊彨⊰Cᳬ彚ഄ᱐囧谀菱彨톔彠廊彨⊰Cᳬ彚ഄ᱉囧谀菱彨톔彠廊彨⊰Cᳬ彚ഄ᱾囧谀菱彨톔彠廊彨⊰Cᳬ彚ഄᱷ囧谀菱彨톔彠廊彨⊰Cᳬ彚ഄᱬ囧谀菱彨톔彠廊彨⊰Cᳬ彚ഄᱥ囧谀菱彨톔彠廊彨⊰Cᳬ彚ഄᰚ囧谀菱彨톔彠廊彨⊰Cᳬ彚ഄᰓ囧谀菱彨톔彠廊彨⊰Cᳬ彚ഄᰈ囧谀菱彨톔彠廊彨⊰Cᳬ彚ഄᰁ囧谀菱彨톔彠廊彨⊰Cᳬ彚ഄᰶ囧谀菱彨톔彠廊彨⊰Cᳬ彚ഄᰯ囧谀菱彨톔彠廊彨⊰Cᳬ彚ഄᰤ囧谀菱彨톔彠廊彨⊰Cᳬ彚ഄᷝ囧谀菱彨톔彠廊彨⊰Cᳬ彚ഄ᷒囧谀菱彨톔彠廊彨⊰Cᳬ彚ഄ᷋囧谀菱彨톔彠廊彨⊰Cᳬ彚ഄ᷀囧谀菱彨톔彠廊彨⊰Cᳬ彚ഄ᷹囧谀菱彨톔彠廊彨⊰Cᳬ彚ഄᷮ囧谀菱彨톔彠廊彨⊰Cᳬ彚ഄᷧ囧谀菱彨톔彠廊彨⊰Cᳬ彚ഄᶜ囧谀菱彨톔彠廊彨⊰Cᳬ彚ഄᶕ囧谀菱彨톔彠廊彨⊰Cᳬ彚ഄᶊ囧谀菱彨톔彠廊彨⊰Cᳬ彚鹿ഄᶃ囧谀菱彨톔彠廊彨⊰Cᳬ彚隸ഄᶸ囧谀菱彨톔彠廊彨⊰Cᳬ彚行ഄᶱ囧谀菱彨톔彠廊彨⊰Cᳬ彚縉ഄᶦ囧谀菱彨톔彠廊彨⊰Cᳬ彚𢡄ഄᵟ囧谀菱彨톔彠廊彨⊰Cᳬ彚ﬠഄᵔ囧谀菱彨톔彠廊彨⊰Cᳬ彚ﭰഄᵍ囧谀菱彨톔彠廊彨⊰Cᳬ彚ﯨഄᵂ囧谀菱彨톔彠廊彨⊰Cᳬ彚ﰸഄᵻ囧谀菱彨톔彠廊彨⊰Cᳬ彚ﲰഄᵰ囧谀菱彨톔彠廊彨⊰Cᳬ彚ﴀഄᵩ囧谀菱彨톔彠廊彨⊰Cᳬ彚ﵸഄᴞ囧谀菱彨톔彠廊彨⊰Cᳬ彚﷈ഄᴗ囧谀菱彨톔彠廊彨⊰Cᳬ彚︘ഄᴌ囧谀菱彨톔彠廊彨⊰Cᳬ彚﹨ഄᴅ囧谀菱彨톔彠廊彨⊰Cᳬ彚ﺸഄᴺ囧谀菱彨톔彠廊彨⊰Cᳬ彚Ｐഄᴳ囧谀菱彨톔彠廊彨⊰Cᳬ彚ﾀഄᴨ囧谀菱彨톔彠廊彨⊰Cᳬ彚￐ഄᴡ囧谀菱彨톔彠廊彨⊰Cᳬ彚 അỖ囧谀菱彨톔彠廊彨⊰Cᳬ彚അỏ囧谀菱彨톔彠廊彨⊰Cᳬ彚ĐഅỄ囧谀菱彨톔彠廊彨⊰Cᳬ彚Šഅỽ囧谀菱彨톔彠廊彨⊰Cᳬ彚ǘഅỲ囧谀菱彨톔彠廊彨⊰Cᳬ彚Ȩഅừ囧谀菱彨톔彠廊彨⊰Cᳬ彚ɸഅỠ囧谀菱彨톔彠廊彨⊰Cᳬ彚˰അẙ囧谀菱彨톔彠廊彨⊰Cᳬ彚ͨഅẎ囧谀菱彨톔彠廊彨⊰Cᳬ彚Ϡഅẇ囧谀菱彨톔彠廊彨⊰Cᳬ彚аഅẼ囧谀菱彨톔彠廊彨⊰Cᳬ彚Ҩഅẵ囧谀菱彨톔彠廊彨⊰Cᳬ彚ӸഅẪ囧谀菱彨톔彠廊彨⊰Cᳬ彚Ոഅả囧谀菱彨톔彠廊彨⊰Cᳬ彚׀അṘ囧谀菱彨톔彠廊彨⊰Cᳬ彚ؐഅṑ囧谀菱彨톔彠廊彨⊰Cᳬ彚ڈഅṆ囧谀菱彨톔彠廊彨⊰Cᳬ彚܀അṿ囧谀菱彨톔彠廊彨⊰Cᳬ彚ݐഅṴ囧谀菱彨톔彠廊彨⊰Cᳬ彚߈അṭ囧谀菱彨톔彠廊彨⊰Cᳬ彚࠘അṢ囧谀菱彨톔彠廊彨⊰Cᳬ彚ࡨഅḛ囧谀菱彨톔彠廊彨⊰Cᳬ彚ࢸഅḐ囧谀菱彨톔彠廊彨⊰Cᳬ彚ईഅḉ囧谀菱彨톔彠廊彨⊰Cᳬ彚क़അḾ囧谀菱彨톔彠廊彨⊰Cᳬ彚৐അḷ囧谀菱彨톔彠廊彨⊰Cᳬ彚ਠഅḬ囧谀菱彨톔彠廊彨⊰Cᳬ彚ઘഅḥ囧谀菱彨톔彠廊彨⊰Cᳬ彚૨അῚ囧谀菱彨톔彠廊彨⊰Cᳬ彚ସഅΐ囧谀菱彨톔彠廊彨⊰Cᳬ彚ஈഅῈ囧谀菱彨톔彠廊彨⊰Cᳬ彚ఀഅ῁囧谀菱彨톔彠廊彨⊰Cᳬ彚౸അῶ囧谀菱彨톔彠廊彨⊰Cᳬ彚ೈഅ`囧谀菱彨톔彠廊彨⊰Cᳬ彚ീഅῤ囧谀菱彨톔彠廊彨⊰Cᳬ彚මഅᾝ囧谀菱彨톔彠廊彨⊰Cᳬ彚จഅᾒ囧谀菱彨톔彠廊彨⊰Cᳬ彚๘അᾋ囧谀菱彨톔彠廊彨⊰Cᳬ彚ຨഅᾀ囧谀菱彨톔彠廊彨⊰Cᳬ彚໸അᾹ囧谀菱彨톔彠廊彨⊰Cᳬ彚཈അᾮ囧谀菱彨톔彠廊彨⊰Cᳬ彚྘അᾧ囧谀菱彨톔彠廊彨⊰Cᳬ彚࿨അ὜囧谀菱彨톔彠廊彨⊰Cᳬ彚းഅὕ囧谀菱彨톔彠廊彨⊰Cᳬ彚ႰഅὊ囧谀菱彨톔彠廊彨⊰Cᳬ彚ᄀഅὃ囧谀菱彨톔彠廊彨⊰Cᳬ彚ᅐഅὸ囧谀菱彨톔彠廊彨⊰Cᳬ彚ᆠഅά囧谀菱彨톔彠廊彨⊰Cᳬ彚መഅὦ囧谀菱彨톔彠廊彨⊰Cᳬ彚ነഅ἟囧谀菱彨톔彠廊彨⊰Cᳬ彚ገഅἔ囧谀菱彨톔彠廊彨⊰Cᳬ彚ፘഅἍ囧谀菱彨톔彠廊彨⊰Cᳬ彚Ꭸഅἂ囧谀菱彨톔彠廊彨⊰"/>
        </w:smartTagPr>
        <w:smartTag w:uri="urn:schemas-microsoft-com:office:smarttags" w:element="PersonName">
          <w:smartTagPr>
            <w:attr w:name="ProductID" w:val="LA CONVENCIￓN"/>
          </w:smartTagPr>
          <w:r>
            <w:t>la Convención</w:t>
          </w:r>
        </w:smartTag>
        <w:r>
          <w:t xml:space="preserve">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que entró en vigor el mismo año. Habida cuenta de que en el artículo 90 de </w:t>
      </w:r>
      <w:smartTag w:uri="urn:schemas-microsoft-com:office:smarttags" w:element="PersonName">
        <w:smartTagPr>
          <w:attr w:name="ProductID" w:val="la Constituci￳n"/>
        </w:smartTagPr>
        <w:r>
          <w:t>la Constitución</w:t>
        </w:r>
      </w:smartTag>
      <w:r>
        <w:t xml:space="preserve"> turca se estipula que los tratados internacionales debidamente ratificados tienen fuerza de ley en Turquía, se infiere que </w:t>
      </w:r>
      <w:smartTag w:uri="urn:schemas-microsoft-com:office:smarttags" w:element="PersonName">
        <w:smartTagPr>
          <w:attr w:name="ProductID" w:val="la Direcci￳n"/>
        </w:smartTagPr>
        <w:r>
          <w:t>la Convención</w:t>
        </w:r>
      </w:smartTag>
      <w:r>
        <w:t xml:space="preserve"> forma parte del derecho interno. Por lo tanto, Turquía cuenta con una definición de discriminación, conforme a lo enunciado en el artículo 1 de </w:t>
      </w:r>
      <w:smartTag w:uri="urn:schemas-microsoft-com:office:smarttags" w:element="PersonName">
        <w:smartTagPr>
          <w:attr w:name="ProductID" w:val="la Direcci￳n"/>
        </w:smartTagPr>
        <w:r>
          <w:t>la Convención</w:t>
        </w:r>
      </w:smartTag>
      <w:r>
        <w:t>, que es vinculante para todos los poderes del Estado.</w:t>
      </w:r>
    </w:p>
    <w:p w:rsidR="00000000" w:rsidRDefault="00000000">
      <w:pPr>
        <w:pStyle w:val="SingleTxtG"/>
      </w:pPr>
      <w:r>
        <w:t>8.</w:t>
      </w:r>
      <w:r>
        <w:tab/>
        <w:t xml:space="preserve">Por lo que toca a la supuesta ausencia de una ley específica que prohíba la discriminación racial en Turquía, el Sr. Göğüş indica que varias leyes y reglamentos la prohíben explícitamente. Así pues, en el artículo 10 de </w:t>
      </w:r>
      <w:smartTag w:uri="urn:schemas-microsoft-com:office:smarttags" w:element="PersonName">
        <w:smartTagPr>
          <w:attr w:name="ProductID" w:val="la Constituci￳n"/>
        </w:smartTagPr>
        <w:r>
          <w:t>la Constitución</w:t>
        </w:r>
      </w:smartTag>
      <w:r>
        <w:t xml:space="preserve"> se dispone que todos los individuos son iguales ante la ley, independientemente de su idioma, raza, color, </w:t>
      </w:r>
      <w:r>
        <w:rPr>
          <w:bCs/>
        </w:rPr>
        <w:t>sexo</w:t>
      </w:r>
      <w:r>
        <w:t>, opinión política o filosófica, religión o secta, o cualquier otra consideración análoga. Por otra parte, en el nuevo Código Penal turco que entró en vigor el 1º de junio de 2005, se tipifica la discriminación como infracción penal y se reprimen los actos de discriminación fundados en la raza, el idioma, la religión, la nacionalidad, el color de la piel, el sexo, las opiniones políticas y de otra índole, las convicciones filosóficas, el origen nacional o social, el nacimiento, y la situación económica o social. Además, en el artículo 122 del Código Penal se dispone que toda persona que practique una forma de discriminación fundada en el idioma, la raza, el color, el sexo, la discapacidad, las opiniones políticas, las convicciones filosóficas, la religión, la pertenencia a una secta u otras condiciones análogas y que, en particular, impida la ejecución de un servicio o impida que otra persona goce de un servicio, o que emplee o se niegue a emplear a una persona por estos motivos, o que impida que una persona ejerza una actividad económica regular, será sancionada con una pena de prisión de seis meses a un año de duración o la imposición de una multa judicial.</w:t>
      </w:r>
    </w:p>
    <w:p w:rsidR="00000000" w:rsidRDefault="00000000">
      <w:pPr>
        <w:pStyle w:val="SingleTxtG"/>
      </w:pPr>
      <w:r>
        <w:t>9.</w:t>
      </w:r>
      <w:r>
        <w:tab/>
        <w:t>El Sr. Göğüş señala que los tribunales invocan con cada vez mayor frecuencia en sus fallos los múltiples instrumentos internacionales relativos a los derechos humanos firmados hace un decenio por Turquía.</w:t>
      </w:r>
    </w:p>
    <w:p w:rsidR="00000000" w:rsidRDefault="00000000">
      <w:pPr>
        <w:pStyle w:val="SingleTxtG"/>
      </w:pPr>
      <w:r>
        <w:t>10.</w:t>
      </w:r>
      <w:r>
        <w:tab/>
        <w:t xml:space="preserve">Con respecto al significado del término "turco" en el artículo 66 de </w:t>
      </w:r>
      <w:smartTag w:uri="urn:schemas-microsoft-com:office:smarttags" w:element="PersonName">
        <w:smartTagPr>
          <w:attr w:name="ProductID" w:val="la Constituci￳n"/>
        </w:smartTagPr>
        <w:r>
          <w:t>la Constitución</w:t>
        </w:r>
      </w:smartTag>
      <w:r>
        <w:t xml:space="preserve">, en que se define como turco a toda persona que es "una obligación para el Estado turco a través del vínculo de la ciudadanía". El Sr. Göğüş explica que </w:t>
      </w:r>
      <w:smartTag w:uri="urn:schemas-microsoft-com:office:smarttags" w:element="PersonName">
        <w:smartTagPr>
          <w:attr w:name="ProductID" w:val="la Constituci￳n"/>
        </w:smartTagPr>
        <w:r>
          <w:t>la Constitución</w:t>
        </w:r>
      </w:smartTag>
      <w:r>
        <w:t xml:space="preserve"> no añade al término "turco" ninguna connotación racial o étnica y que el término se refiere a la identidad nacional de todos los ciudadanos turcos indistintamente de su origen. La idea expresada en el artículo 66 de </w:t>
      </w:r>
      <w:smartTag w:uri="urn:schemas-microsoft-com:office:smarttags" w:element="PersonName">
        <w:smartTagPr>
          <w:attr w:name="ProductID" w:val="la Constituci￳n"/>
        </w:smartTagPr>
        <w:r>
          <w:t>la Constitución</w:t>
        </w:r>
      </w:smartTag>
      <w:r>
        <w:t xml:space="preserve"> ilustra los grandes principios de </w:t>
      </w:r>
      <w:smartTag w:uri="urn:schemas-microsoft-com:office:smarttags" w:element="PersonName">
        <w:smartTagPr>
          <w:attr w:name="ProductID" w:val="la Rep￺blica"/>
        </w:smartTagPr>
        <w:r>
          <w:t>la República</w:t>
        </w:r>
      </w:smartTag>
      <w:r>
        <w:t xml:space="preserve"> turca, que no establece entre sus ciudadanos ninguna distinción fundada en particular en el origen étnico, la religión y la raza. El representante de Turquía explica que no se atribuye jurídicamente importancia alguna al origen racial o étnico de un ciudadano, puesto que la identidad nacional y la conciencia nacional turcas se definieron en el momento del establecimiento de </w:t>
      </w:r>
      <w:smartTag w:uri="urn:schemas-microsoft-com:office:smarttags" w:element="PersonName">
        <w:smartTagPr>
          <w:attr w:name="ProductID" w:val="la Rep￺blica"/>
        </w:smartTagPr>
        <w:r>
          <w:t>la República</w:t>
        </w:r>
      </w:smartTag>
      <w:r>
        <w:t>, según criterios territoriales y no en función de los vínculos de sangre.</w:t>
      </w:r>
    </w:p>
    <w:p w:rsidR="00000000" w:rsidRDefault="00000000">
      <w:pPr>
        <w:pStyle w:val="SingleTxtG"/>
      </w:pPr>
      <w:r>
        <w:t>11.</w:t>
      </w:r>
      <w:r>
        <w:tab/>
        <w:t>El Sr. Göğüş explica además que en mayo de 2008 se sometió al Parlamento un proyecto de enmienda del artículo 201 del Código Penal, para reemplazar la noción de "carácter turco" por la de "nación turca", fórmula que, según el Gobierno, remite más que la anterior a la noción de unidad nacional. El artículo así enmendado debe entrar en vigor en mayo de 2009.</w:t>
      </w:r>
    </w:p>
    <w:p w:rsidR="00000000" w:rsidRDefault="00000000">
      <w:pPr>
        <w:pStyle w:val="SingleTxtG"/>
      </w:pPr>
      <w:r>
        <w:t>12.</w:t>
      </w:r>
      <w:r>
        <w:tab/>
        <w:t>En relación con la falta de estadísticas sobre la composición étnica de la población turca, el Sr. Göğüş dice que el artículo articulo 135 del Código Penal prohíbe la recolección de datos personales y su utilización, salvo para fines de seguros, de la banca y de los servicios de la salud, o para trabajos de investigación científica. De hecho, la disponibilidad de datos sobre la composición étnica de la sociedad puede resultar útil cuando se trata de definir medidas especiales a favor de grupos desfavorecidos, pero el Gobierno de Turquía es de la opinión de que en una sociedad multicultural como la sociedad turca, hay que hacer más hincapié en los denominadores comunes, que en los aspectos particulares. Además, como la filiación étnica es un tema sensible, la reunión de información a este respecto podría interpretarse como un atentado contra la vida privada. Con todo, existen estadísticas sobre el origen nacional o la nacionalidad de las personas residentes en Turquía.</w:t>
      </w:r>
    </w:p>
    <w:p w:rsidR="00000000" w:rsidRDefault="00000000">
      <w:pPr>
        <w:pStyle w:val="SingleTxtG"/>
      </w:pPr>
      <w:r>
        <w:t>13.</w:t>
      </w:r>
      <w:r>
        <w:tab/>
        <w:t xml:space="preserve">Habida cuenta de los desequilibrios socioeconómicos entre las distintas regiones, el Gobierno de Turquía ha adoptado estrategias orientadas hacia el desarrollo regional a fin de garantizar los derechos económicos y sociales de las poblaciones que viven en las zonas menos desarrolladas, de los cuales uno de los principales es el proyecto de desarrollo de Anatolia sudoriental, denominado "proyecto GAP" (Güneydogu Anadolu Projesi). El objetivo de este proyecto es, entre otras cosas, aprovechar el potencial hidroeléctrico y favorecer el desarrollo económico y social de esta región, mejorar el nivel de vida de la población, favorecer el crecimiento económico e incrementar las posibilidades de empleo. En este proyecto multisectorial se prevé la construcción de 22 represas y de 19 centrales hidroeléctricas y la irrigación de 1,7 millones de hectáreas de tierras así como el desarrollo de las infraestructuras, del transporte, de la industria, de los servicios de salud, de la educación y del turismo. El costo total del proyecto se estima en 32.000 millones de dólares de los Estados Unidos de América. Actualmente, se ha asignado el 56,4% de esta suma a la ejecución del proyecto, que puede desglosarse en un 83% para proyectos vinculados con la producción de energía y un 24,5% para proyectos agrícolas. </w:t>
      </w:r>
    </w:p>
    <w:p w:rsidR="00000000" w:rsidRDefault="00000000">
      <w:pPr>
        <w:pStyle w:val="SingleTxtG"/>
      </w:pPr>
      <w:r>
        <w:t>14.</w:t>
      </w:r>
      <w:r>
        <w:tab/>
        <w:t>En mayo de 2008 el Primer Ministro, Sr. Erdogan, anunció el inicio de un nuevo y ambicioso plan de acción de desarrollo de Anatolia sudoriental para el período 2008-2012, destinado a nivelar las diferencias en materia de desarrollo entre esta región y las demás regiones del país. Después de iniciarse el plan, al que se han asignado 50 millones de euros, se han logrado progresos considerables. Sin embargo, conviene recordar que el obstáculo principal para el desarrollo socioeconómico de la región es el terrorismo.</w:t>
      </w:r>
    </w:p>
    <w:p w:rsidR="00000000" w:rsidRDefault="00000000">
      <w:pPr>
        <w:pStyle w:val="SingleTxtG"/>
      </w:pPr>
      <w:r>
        <w:t>15.</w:t>
      </w:r>
      <w:r>
        <w:tab/>
        <w:t xml:space="preserve">En cuanto a la creación de un órgano independiente de seguimiento de las observaciones finales del Comité, el Sr. Göğüş indica que el Gobierno ha adoptado medidas con miras a crear, de conformidad con los Principios de París, una institución nacional de defensa de los derechos humanos que se encargará de promover y proteger los derechos humanos y garantizar el seguimiento de las observaciones finales de los órganos convencionales. El Gobierno de Turquía tiene previsto nombrar a un mediador, pero sólo podrá hacerlo cuando el Tribunal Constitucional se haya pronunciado sobre la cuestión de la separación de poderes entre el ejecutivo y el legislativo. El Gobierno prevé además crear una comisión para la igualdad, que dependerá del Mediador o bien de la institución nacional de defensa de los derechos humanos. Por último, la delegación turca señala que Turquía no ha recibido de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t>la Comisión</w:t>
          </w:r>
        </w:smartTag>
        <w:r>
          <w:t xml:space="preserve"> Europea</w:t>
        </w:r>
      </w:smartTag>
      <w:r>
        <w:t xml:space="preserve"> contra el Racismo y </w:t>
      </w:r>
      <w:smartTag w:uri="urn:schemas-microsoft-com:office:smarttags" w:element="PersonName">
        <w:smartTagPr>
          <w:attr w:name="ProductID" w:val="la Intolerancia"/>
        </w:smartTagPr>
        <w:r>
          <w:t>la Intolerancia</w:t>
        </w:r>
      </w:smartTag>
      <w:r>
        <w:t xml:space="preserve"> ninguna recomendación en el sentido de que el país modifique su enfoque con respecto a las minorías étnicas.</w:t>
      </w:r>
    </w:p>
    <w:p w:rsidR="00000000" w:rsidRDefault="00000000">
      <w:pPr>
        <w:pStyle w:val="SingleTxtG"/>
      </w:pPr>
      <w:r>
        <w:t>16.</w:t>
      </w:r>
      <w:r>
        <w:tab/>
        <w:t xml:space="preserve">En cuanto a la minoría ortodoxa griega y la cuestión de las escuelas confesionales, el Sr. Göğüş confirma que el seminario ortodoxo griego de la isla de Heybeliada permanece cerrado desde </w:t>
      </w:r>
      <w:smartTag w:uri="urn:schemas-microsoft-com:office:smarttags" w:element="metricconverter">
        <w:smartTagPr>
          <w:attr w:name="ProductID" w:val="1971, a"/>
        </w:smartTagPr>
        <w:r>
          <w:t>1971, a</w:t>
        </w:r>
      </w:smartTag>
      <w:r>
        <w:t xml:space="preserve"> raíz de una decisión judicial fundada en una interpretación de las disposiciones de </w:t>
      </w:r>
      <w:smartTag w:uri="urn:schemas-microsoft-com:office:smarttags" w:element="PersonName">
        <w:smartTagPr>
          <w:attr w:name="ProductID" w:val="la Constituci￳n"/>
        </w:smartTagPr>
        <w:r>
          <w:t>la Constitución</w:t>
        </w:r>
      </w:smartTag>
      <w:r>
        <w:t xml:space="preserve"> y de la legislación relativa a la enseñanza privada. En virtud de la legislación turca, sólo se concede autorización a las escuelas confesionales que se sometan al control del Estado, restricción que vale no solamente para la comunidad ortodoxa griega, sino también para todas las demás minorías religiosas establecidas en Turquía. Las dos propuestas presentadas respectivamente en 1971 y en 1999 para superar los obstáculos jurídicos a la reapertura del seminario de Heybeliada fueron rechazadas por el Patriarcado y una propuesta en el sentido de la reapertura de ese establecimiento en el seno de una de las universidades públicas de Estambul no ha suscitado reacción alguna entre los interesados. Sin embargo, el Ministerio de Educación Nacional sigue buscando una solución que permita que este establecimiento reabra sus puertas.</w:t>
      </w:r>
    </w:p>
    <w:p w:rsidR="00000000" w:rsidRDefault="00000000">
      <w:pPr>
        <w:pStyle w:val="SingleTxtG"/>
      </w:pPr>
      <w:r>
        <w:t>17.</w:t>
      </w:r>
      <w:r>
        <w:tab/>
        <w:t xml:space="preserve">De conformidad con el tratado de paz de Lausana de 1993, el Patriarcado está autorizado a permanecer en Turquía a condición de que se limite a actividades estrictamente religiosas destinadas exclusivamente a la minoría ortodoxa griega de Estambul. Así, el Patriarcado ha debido abandonar todos los privilegios políticos y administrativos que le habían sido concedidos por las autoridades del Imperio Otomano, medida indispensable por cuanto </w:t>
      </w:r>
      <w:smartTag w:uri="urn:schemas-microsoft-com:office:smarttags" w:element="PersonName">
        <w:smartTagPr>
          <w:attr w:name="ProductID" w:val="la Rep￺blica"/>
        </w:smartTagPr>
        <w:r>
          <w:t>la República</w:t>
        </w:r>
      </w:smartTag>
      <w:r>
        <w:t xml:space="preserve"> turca había pasado a ser un Estado laico. La laicidad de </w:t>
      </w:r>
      <w:smartTag w:uri="urn:schemas-microsoft-com:office:smarttags" w:element="PersonName">
        <w:smartTagPr>
          <w:attr w:name="ProductID" w:val="la Rep￺blica"/>
        </w:smartTagPr>
        <w:r>
          <w:t>la República</w:t>
        </w:r>
      </w:smartTag>
      <w:r>
        <w:t xml:space="preserve"> turca es la razón por la cual no puede dotarse de personalidad jurídica a las comunidades religiosas, lo que se aplica asimismo a las comunidades musulmanas. En consecuencia, las comunidades no musulmanas que deseen tener personalidad jurídica la obtienen mediante la creación de fundaciones. A raíz de las modificaciones efectuadas en 2002 en la legislación pertinente, diversas fundaciones creadas por la comunidad ortodoxa griega han iniciado actividades a raíz de las cuales se han inscrito a su nombre 190 bienes inmuebles. En virtud de una enmienda adoptada en 2003, al haberse abolido las restricciones que limitaban el derecho de las fundaciones no musulmanas, éstas pueden ahora adquirir bienes inmuebles. La afirmación según la cual el número de bienes inmuebles pertenecientes a las comunidades musulmanas está en disminución es errónea: en los últimos seis meses, 128 nuevos bienes inmuebles han sido registrados a nombre de una fundación religiosa no musulmana.</w:t>
      </w:r>
    </w:p>
    <w:p w:rsidR="00000000" w:rsidRDefault="00000000">
      <w:pPr>
        <w:pStyle w:val="SingleTxtG"/>
      </w:pPr>
      <w:r>
        <w:t>18.</w:t>
      </w:r>
      <w:r>
        <w:tab/>
        <w:t xml:space="preserve">Con respecto al caso </w:t>
      </w:r>
      <w:r>
        <w:rPr>
          <w:i/>
        </w:rPr>
        <w:t>Fener Rum Patrikliği</w:t>
      </w:r>
      <w:r>
        <w:t xml:space="preserve"> (Patriarcado ecuménico) </w:t>
      </w:r>
      <w:r>
        <w:rPr>
          <w:i/>
        </w:rPr>
        <w:t>c. Turquía</w:t>
      </w:r>
      <w:r>
        <w:t xml:space="preserve">, en el cual el Tribunal Europeo de Derechos Humanos determinó que hubo una violación por parte de Turquía del artículo 1 (Protección de la propiedad) del Protocolo adicional a </w:t>
      </w:r>
      <w:smartTag w:uri="urn:schemas-microsoft-com:office:smarttags" w:element="PersonName">
        <w:smartTagPr>
          <w:attr w:name="ProductID" w:val="la Convenci￳n Europea"/>
        </w:smartTagPr>
        <w:smartTag w:uri="urn:schemas-microsoft-com:office:smarttags" w:element="PersonName">
          <w:smartTagPr>
            <w:attr w:name="ProductID" w:val="la Direcci￳n"/>
          </w:smartTagPr>
          <w:r>
            <w:t>la Convención</w:t>
          </w:r>
        </w:smartTag>
        <w:r>
          <w:t xml:space="preserve"> Europea</w:t>
        </w:r>
      </w:smartTag>
      <w:r>
        <w:t xml:space="preserve"> de Derechos Humanos, el Sr. Göğüş indica que las autoridades turcas elaboran actualmente la respuesta que el Tribunal ha solicitado que Turquía le presente antes de abril de 2009. </w:t>
      </w:r>
    </w:p>
    <w:p w:rsidR="00000000" w:rsidRDefault="00000000">
      <w:pPr>
        <w:pStyle w:val="SingleTxtG"/>
      </w:pPr>
      <w:r>
        <w:t>19.</w:t>
      </w:r>
      <w:r>
        <w:tab/>
        <w:t>En relación con la situación de los romaníes en Turquía, el Sr. Göğüş indica que existen 931 fondos de solidaridad social en el país, lo que permite que las administraciones locales de las provincias donde viven los ciudadanos turcos de ascendencia romaní asignen a esas personas diversas formas de ayuda mediante subsidios familiares, subsidios de estudios y de vivienda y becas de estudios, entre otras cosas. El Ministerio de Cultura y Turismo organiza diversas manifestaciones culturales a fin de promover y preservar la música y el folclore de los romaníes de Turquía.</w:t>
      </w:r>
    </w:p>
    <w:p w:rsidR="00000000" w:rsidRDefault="00000000">
      <w:pPr>
        <w:pStyle w:val="SingleTxtG"/>
      </w:pPr>
      <w:r>
        <w:t>20.</w:t>
      </w:r>
      <w:r>
        <w:tab/>
        <w:t>En relación con los derechos de los ciudadanos turcos de origen curdo y las afirmaciones según las cuales los hombres políticos curdos serían objeto de persecuciones, el Sr. Göğüş dice que los turcos de origen curdo respetuosos de las leyes no son perseguidos y que en Turquía ningún grupo o individuo es objeto de persecuciones únicamente por motivo de su origen étnico. Además señala que el Tribunal Europeo de Derechos Humanos no ha observado en ninguna de sus decisiones que los curdos fueran víctimas de discriminación en Turquía. En cuanto a la inscripción de niños cuyo nombre incluye letras que no existen en el alfabeto turco, el Sr. Göğüş indica que se ha presentado una instancia a este respecto ante el Tribunal Europeo de Derechos Humanos y que las autoridades turcas esperan la decisión de esta jurisdicción para adoptar las medidas pertinentes.</w:t>
      </w:r>
    </w:p>
    <w:p w:rsidR="00000000" w:rsidRDefault="00000000">
      <w:pPr>
        <w:pStyle w:val="SingleTxtG"/>
      </w:pPr>
      <w:r>
        <w:t>21.</w:t>
      </w:r>
      <w:r>
        <w:tab/>
        <w:t>Tomando nota de que algunos miembros del Comité ha evocado casos de violencia racista, el Sr. Göğüş indica a propósito del asesinato del Sr. Hrant Dink, periodista turco de origen armenio, que los presuntos autores de este delito fueron detenidos en un plazo de 36 horas, que de inmediato se inició una investigación y que el proceso sigue su curso. Aunque el hecho de que un acto de violencia sea motivado por sentimientos racistas no se considere como una circunstancia agravante en la legislación turca, este incidente fue calificado por los tribunales como homicidio voluntario con premeditación, es decir, una infracción sancionable con una pena de prisión perpetua, conforme al artículo 82 del Código Penal. Los casos de esta índole son examinados con diligencia por las autoridades competentes, que no escatiman esfuerzo alguno para que los responsables respondan ante la justicia. En una circular publicada en junio de 2007, el Ministerio del Interior ordenó a todas las autoridades interesadas que fuesen sumamente vigilantes a fin de impedir que se repitan incidentes de esta índole.</w:t>
      </w:r>
    </w:p>
    <w:p w:rsidR="00000000" w:rsidRDefault="00000000">
      <w:pPr>
        <w:pStyle w:val="SingleTxtG"/>
      </w:pPr>
      <w:r>
        <w:t>22.</w:t>
      </w:r>
      <w:r>
        <w:tab/>
        <w:t xml:space="preserve">En 2005, en el marco del proceso de adhesión de Turquía a </w:t>
      </w:r>
      <w:smartTag w:uri="urn:schemas-microsoft-com:office:smarttags" w:element="PersonName">
        <w:smartTagPr>
          <w:attr w:name="ProductID" w:val="erpretaciónopea셧ꇴ硫ః∥ᄘH∴ᄘŐ띤ѓ뢴ѓ룐ѓ룬ѓᅀ,,"/>
        </w:smartTagPr>
        <w:smartTag w:uri="urn:schemas-microsoft-com:office:smarttags" w:element="PersonName">
          <w:smartTagPr>
            <w:attr w:name="ProductID" w:val="la Uni￳n"/>
          </w:smartTagPr>
          <w:r>
            <w:t>la Unión</w:t>
          </w:r>
        </w:smartTag>
        <w:r>
          <w:t xml:space="preserve"> Europea</w:t>
        </w:r>
      </w:smartTag>
      <w:r>
        <w:t xml:space="preserve">, el Gobierno anunció su intención de levantar la reserva geográfica de Turquía a </w:t>
      </w:r>
      <w:smartTag w:uri="urn:schemas-microsoft-com:office:smarttags" w:element="PersonName">
        <w:smartTagPr>
          <w:attr w:name="ProductID" w:val="la Direcci￳n"/>
        </w:smartTagPr>
        <w:r>
          <w:t>la Convención</w:t>
        </w:r>
      </w:smartTag>
      <w:r>
        <w:t xml:space="preserve"> de 1951 sobre el Estatuto de los Refugiados. El delegado dijo que el retiro de esta reserva se efectuará probablemente al ingresar Turquía en </w:t>
      </w:r>
      <w:smartTag w:uri="urn:schemas-microsoft-com:office:smarttags" w:element="PersonName">
        <w:smartTagPr>
          <w:attr w:name="ProductID" w:val="la Uni￳n Europa"/>
        </w:smartTagPr>
        <w:smartTag w:uri="urn:schemas-microsoft-com:office:smarttags" w:element="PersonName">
          <w:smartTagPr>
            <w:attr w:name="ProductID" w:val="la Uni￳n"/>
          </w:smartTagPr>
          <w:r>
            <w:t>la Unión</w:t>
          </w:r>
        </w:smartTag>
        <w:r>
          <w:t xml:space="preserve"> Europa</w:t>
        </w:r>
      </w:smartTag>
      <w:r>
        <w:t>, en 2012.</w:t>
      </w:r>
    </w:p>
    <w:p w:rsidR="00000000" w:rsidRDefault="00000000">
      <w:pPr>
        <w:pStyle w:val="SingleTxtG"/>
      </w:pPr>
      <w:r>
        <w:t>23.</w:t>
      </w:r>
      <w:r>
        <w:tab/>
        <w:t>La eliminación de la violencia contra la mujer figura entre las prioridades del Gobierno de Turquía en materia de derechos humanos y la prevención de la lucha contra la violencia contra la mujer es parte integrante del plan nacional de desarrollo para 2007</w:t>
      </w:r>
      <w:r>
        <w:noBreakHyphen/>
        <w:t>2013. Con la adopción del nuevo Código Penal, que entró en vigor en 2005, se introdujeron en el derecho interno disposiciones que reprimen los homicidios cometidos contra mujeres debido a las costumbres. Así, en virtud del artículo 82 de dicho Código, el hecho de que un homicidio sea cometido en nombre de las costumbres constituye una circunstancia agravante y este tipo de infracción es sancionable con una pena de prisión perpetua.</w:t>
      </w:r>
    </w:p>
    <w:p w:rsidR="00000000" w:rsidRDefault="00000000">
      <w:pPr>
        <w:pStyle w:val="SingleTxtG"/>
      </w:pPr>
      <w:r>
        <w:t>24.</w:t>
      </w:r>
      <w:r>
        <w:tab/>
        <w:t xml:space="preserve">En julio de 2005, una comisión parlamentaria de investigación publicó un informe completo sobre las causas profundas de las violencias infligidas a las mujeres y a los niños en Turquía. El Gobierno aprobó este documento sin reservas y dio cumplimiento a las recomendaciones que contenía, publicando, en julio de 2006, una circular en que se preveía un plan de acción para la prevención y la eliminación de la violencia contra la mujer, incluidos los homicidios cometidos en nombre de las costumbres y del honor. La coordinación a nivel nacional de la aplicación de esta circular fue confiada a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t>la Dirección</w:t>
          </w:r>
        </w:smartTag>
        <w:r>
          <w:t xml:space="preserve"> General</w:t>
        </w:r>
      </w:smartTag>
      <w:r>
        <w:t xml:space="preserve"> que se ocupa de la condición de la mujer y se está llevando a cabo un conjunto de medidas concertadas. En 2004, se inició una campaña de sensibilización respecto de la violencia contra la mujer en el marco de un programa a largo plazo elaborado por el Ministerio de Estado encargado de la mujer y de la familia, en colaboración con el Fondo de las Naciones Unidas para Actividades en Materia de Población (FNUAP).</w:t>
      </w:r>
    </w:p>
    <w:p w:rsidR="00000000" w:rsidRDefault="00000000">
      <w:pPr>
        <w:pStyle w:val="SingleTxtG"/>
      </w:pPr>
      <w:r>
        <w:t>25.</w:t>
      </w:r>
      <w:r>
        <w:tab/>
      </w:r>
      <w:smartTag w:uri="urn:schemas-microsoft-com:office:smarttags" w:element="PersonName">
        <w:smartTagPr>
          <w:attr w:name="ProductID" w:val="la Direcci￳n"/>
        </w:smartTagPr>
        <w:r>
          <w:t>La Dirección</w:t>
        </w:r>
      </w:smartTag>
      <w:r>
        <w:t xml:space="preserve"> general encargada de la condición de la mujer ha creado un comité de vigilancia de la violencia contra la mujer integrado en particular por representantes de organizaciones no gubernamentales y de todos los servicios públicos interesados. La tarea de este comité consiste en verificar si se aplica efectivamente la circular mencionada. En 2008, el Ministerio de </w:t>
      </w:r>
      <w:smartTag w:uri="urn:schemas-microsoft-com:office:smarttags" w:element="PersonName">
        <w:smartTagPr>
          <w:attr w:name="ProductID" w:val="la Mujer"/>
        </w:smartTagPr>
        <w:r>
          <w:t>la Mujer</w:t>
        </w:r>
      </w:smartTag>
      <w:r>
        <w:t xml:space="preserve"> y de </w:t>
      </w:r>
      <w:smartTag w:uri="urn:schemas-microsoft-com:office:smarttags" w:element="PersonName">
        <w:smartTagPr>
          <w:attr w:name="ProductID" w:val="la Familia"/>
        </w:smartTagPr>
        <w:r>
          <w:t>la Familia</w:t>
        </w:r>
      </w:smartTag>
      <w:r>
        <w:t xml:space="preserve"> presentó al Parlamento, que lo examina, un proyecto de ley sobre la creación de una comisión para la igualdad de oportunidades. </w:t>
      </w:r>
    </w:p>
    <w:p w:rsidR="00000000" w:rsidRDefault="00000000">
      <w:pPr>
        <w:pStyle w:val="SingleTxtG"/>
      </w:pPr>
      <w:r>
        <w:t>26.</w:t>
      </w:r>
      <w:r>
        <w:tab/>
        <w:t>Por otra parte, en la circular mencionada, el Gobierno alentó a las autoridades locales a intensificar sus esfuerzos para aplicar a la brevedad posible la ley en que se prevé la creación, en todas las ciudades con 50.000 habitantes o más, hogares de acogida para las mujeres y los niños víctimas de violencia familiar. En enero de 2009 había 49 hogares de este tipo.</w:t>
      </w:r>
    </w:p>
    <w:p w:rsidR="00000000" w:rsidRDefault="00000000">
      <w:pPr>
        <w:pStyle w:val="SingleTxtG"/>
      </w:pPr>
      <w:r>
        <w:t>27.</w:t>
      </w:r>
      <w:r>
        <w:tab/>
        <w:t xml:space="preserve">Turquía ha ratificado </w:t>
      </w:r>
      <w:smartTag w:uri="urn:schemas-microsoft-com:office:smarttags" w:element="PersonName">
        <w:smartTagPr>
          <w:attr w:name="ProductID" w:val="la Direcci￳n"/>
        </w:smartTagPr>
        <w:r>
          <w:t>la Convención</w:t>
        </w:r>
      </w:smartTag>
      <w:r>
        <w:t xml:space="preserve"> sobre la eliminación de todas las formas de discriminación contra la mujer y su Protocolo facultativo, y ha acogido ya en dos ocasiones, en mayo de 2006 y en </w:t>
      </w:r>
      <w:smartTag w:uri="urn:schemas-microsoft-com:office:smarttags" w:element="metricconverter">
        <w:smartTagPr>
          <w:attr w:name="ProductID" w:val="2008, a"/>
        </w:smartTagPr>
        <w:r>
          <w:t>2008, a</w:t>
        </w:r>
      </w:smartTag>
      <w:r>
        <w:t xml:space="preserve"> la Sra. Yakin Ertürk, Relatora Especial sobre la violencia contra la mujer, sus causas y consecuencias. Algunas de las recomendaciones formuladas por </w:t>
      </w:r>
      <w:smartTag w:uri="urn:schemas-microsoft-com:office:smarttags" w:element="PersonName">
        <w:smartTagPr>
          <w:attr w:name="ProductID" w:val="la Relatora Especial"/>
        </w:smartTagPr>
        <w:smartTag w:uri="urn:schemas-microsoft-com:office:smarttags" w:element="PersonName">
          <w:smartTagPr>
            <w:attr w:name="ProductID" w:val="la Relatora"/>
          </w:smartTagPr>
          <w:r>
            <w:t>la Relatora</w:t>
          </w:r>
        </w:smartTag>
        <w:r>
          <w:t xml:space="preserve"> Especial</w:t>
        </w:r>
      </w:smartTag>
      <w:r>
        <w:t xml:space="preserve"> en su informe ya han sido aplicadas.</w:t>
      </w:r>
    </w:p>
    <w:p w:rsidR="00000000" w:rsidRDefault="00000000">
      <w:pPr>
        <w:pStyle w:val="SingleTxtG"/>
      </w:pPr>
      <w:r>
        <w:t>28.</w:t>
      </w:r>
      <w:r>
        <w:tab/>
        <w:t>La delegación de Turquía rechaza la comparación hecha por ciertos miembros del Comité entre la situación en la zona septentrional de Chipre y la situación en los territorios ocupados por Israel. La presencia de una fuerza militar turca en el norte de la isla es perfectamente legítima porque se justifica por la necesidad de garantizar la seguridad de la población y de mantener la paz. La delegación turca estima que el Comité no tiene mandato para ocuparse de cuestiones de carácter político y que otros órganos de las Naciones Unidas están mejor calificados que él para ocuparse de la situación en Chipre.</w:t>
      </w:r>
    </w:p>
    <w:p w:rsidR="00000000" w:rsidRDefault="00000000">
      <w:pPr>
        <w:pStyle w:val="SingleTxtG"/>
      </w:pPr>
      <w:r>
        <w:t>29.</w:t>
      </w:r>
      <w:r>
        <w:tab/>
        <w:t xml:space="preserve">Por último, el Sr. Göğüş dice que una cadena pública de televisión, </w:t>
      </w:r>
      <w:smartTag w:uri="urn:schemas-microsoft-com:office:smarttags" w:element="PersonName">
        <w:smartTagPr>
          <w:attr w:name="ProductID" w:val="la TRT-6"/>
        </w:smartTagPr>
        <w:r>
          <w:t>la TRT-</w:t>
        </w:r>
        <w:smartTag w:uri="urn:schemas-microsoft-com:office:smarttags" w:element="metricconverter">
          <w:smartTagPr>
            <w:attr w:name="ProductID" w:val="6, ha"/>
          </w:smartTagPr>
          <w:r>
            <w:t>6</w:t>
          </w:r>
        </w:smartTag>
      </w:smartTag>
      <w:r>
        <w:t>, ha</w:t>
      </w:r>
      <w:r>
        <w:t xml:space="preserve"> comenzado a difundir emisiones en kurmandji y en zaza las 24 horas del día y que, en un futuro próximo, podría difundir asimismo emisiones en sorani y en persa.</w:t>
      </w:r>
    </w:p>
    <w:p w:rsidR="00000000" w:rsidRDefault="00000000">
      <w:pPr>
        <w:pStyle w:val="SingleTxtG"/>
      </w:pPr>
      <w:r>
        <w:t>30.</w:t>
      </w:r>
      <w:r>
        <w:tab/>
      </w:r>
      <w:r>
        <w:rPr>
          <w:b/>
        </w:rPr>
        <w:t>El Sr. Lindgren Alves</w:t>
      </w:r>
      <w:r>
        <w:t xml:space="preserve"> solicita pormenores sobre el delito de denigración y dice que desearía saber si el hecho de criticar enérgicamente a Turquía es susceptible de diligencias judiciales, recordando que la libertad de expresión es un principio sacrosanto, salvo que lo expresado represente un peligro para la seguridad nacional. A continuación pregunta a la delegación si es cierto que están prohibidos los nombres propios escritos en un alfabeto distinto del alfabeto turco, lo que impediría a los miembros de ciertas etnias dar a sus hijos nombres propios de su comunidad.</w:t>
      </w:r>
    </w:p>
    <w:p w:rsidR="00000000" w:rsidRDefault="00000000">
      <w:pPr>
        <w:pStyle w:val="SingleTxtG"/>
      </w:pPr>
      <w:r>
        <w:t>31.</w:t>
      </w:r>
      <w:r>
        <w:tab/>
        <w:t>El Sr. Lindgren Alves dice que el reconocimiento de la condición de minoría a los grupos étnicos no es el único medio para protegerlos contra las persecuciones, y que de manera general, es condenable todo uso excesivo de la fuerza contra un grupo, sea cual fuere éste.</w:t>
      </w:r>
    </w:p>
    <w:p w:rsidR="00000000" w:rsidRDefault="00000000">
      <w:pPr>
        <w:pStyle w:val="SingleTxtG"/>
      </w:pPr>
      <w:r>
        <w:t>32.</w:t>
      </w:r>
      <w:r>
        <w:tab/>
      </w:r>
      <w:r>
        <w:rPr>
          <w:b/>
        </w:rPr>
        <w:t>El Sr.</w:t>
      </w:r>
      <w:r>
        <w:t xml:space="preserve"> </w:t>
      </w:r>
      <w:r>
        <w:rPr>
          <w:b/>
        </w:rPr>
        <w:t>Diaconu</w:t>
      </w:r>
      <w:r>
        <w:t xml:space="preserve"> opina también que el Estado parte está obligado a reconocer oficialmente la condición de minoría nacional de los diferentes grupos étnicos del país, pero estima que ésta debe fundarse en ciertos criterios objetivos, tales como el idioma, la cultura, las tradiciones o incluso la religión, para distinguir entre los distintos grupos, con miras a otorgarles determinados derechos. Sea como fuere, considera que el reconocimiento del estatuto de minoría étnica a ciertos grupos no pone de ningún modo en peligro la soberanía del Estado.</w:t>
      </w:r>
    </w:p>
    <w:p w:rsidR="00000000" w:rsidRDefault="00000000">
      <w:pPr>
        <w:pStyle w:val="SingleTxtG"/>
      </w:pPr>
      <w:r>
        <w:t>33.</w:t>
      </w:r>
      <w:r>
        <w:tab/>
        <w:t xml:space="preserve">Habida cuenta de que </w:t>
      </w:r>
      <w:smartTag w:uri="urn:schemas-microsoft-com:office:smarttags" w:element="PersonName">
        <w:smartTagPr>
          <w:attr w:name="ProductID" w:val="彠廊彨⊰Cᳬ彚癨ആalǏ囙谀菱彨톔彠廊彨⊰Cᳬ彚탈ೲǄ囙谀菱彨톔彠廊彨⊰Cᳬ彚턘ೲƽ囙谀菱彨톔彠廊彨⊰Cᳬ彚텨ೲƲ囙谀菱彨톔彠廊彨⊰Cᳬ彚톸ೲƫ囙谀菱彨톔彠廊彨⊰Cᳬ彚툈ೲƠ囙谀菱彨톔彠廊彨⊰Cᳬ彚퉘ೲƙ囙谀菱彨톔彠廊彨⊰Cᳬ彚튨ೲƎ囙谀菱彨톔彠廊彨⊰Cᳬ彚熰೵Ƈ囙谀菱彨톔彠廊彨⊰Cᳬ彚爀೵ż囙谀菱彨톔彠廊彨⊰Cᳬ彚牸೵ŵ囙谀菱彨톔彠廊彨⊰Cᳬ彚狰೵Ū囙谀菱彨톔彠廊彨⊰Cᳬ彚獀೵ţ囙谀菱彨톔彠廊彨⊰Cᳬ彚玐೵Ř囙谀菱彨톔彠廊彨⊰Cᳬ彚珠೵ő囙谀菱彨톔彠廊彨⊰Cᳬ彚瑘೵ņ囙谀菱彨톔彠廊彨⊰Cᳬ彚璨೵Ŀ囙谀菱彨톔彠廊彨⊰Cᳬ彚甠೵Ĵ囙谀菱彨톔彠廊彨⊰Cᳬ彚異೵ĭ囙谀菱彨톔彠廊彨⊰Cᳬ彚痀೵Ģ囙谀菱彨톔彠廊彨⊰Cᳬ彚瘸೵ě囙谀菱彨톔彠廊彨⊰Cᳬ彚皈೵Đ囙谀菱彨톔彠廊彨⊰Cᳬ彚眀೵ĉ囙谀菱彨톔彠廊彨⊰Cᳬ彚睐೵þ囙谀菱彨톔彠廊彨⊰Cᳬ彚瞠೵÷囙谀菱彨톔彠廊彨⊰Cᳬ彚矰೵ì囙谀菱彨톔彠廊彨⊰Cᳬ彚础೵å囙谀菱彨톔彠廊彨⊰Cᳬ彚碐೵Ú囙谀菱彨톔彠廊彨⊰Cᳬ彚礈೵Ó囙谀菱彨톔彠廊彨⊰Cᳬ彚祘೵È囙谀菱彨톔彠廊彨⊰Cᳬ彚秐೵Á囙谀菱彨톔彠廊彨⊰Cᳬ彚稠೵¶囙谀菱彨톔彠廊彨⊰Cᳬ彚穰೵¯囙谀菱彨톔彠廊彨⊰Cᳬ彚竨೵¤囙谀菱彨톔彠廊彨⊰Cᳬ彚笸೵囙谀菱彨톔彠廊彨⊰Cᳬ彚箰೵囙谀菱彨톔彠廊彨⊰Cᳬ彚簀೵囙谀菱彨톔彠廊彨⊰Cᳬ彚籐೵囙谀菱彨톔彠廊彨⊰Cᳬ彚粠೵y囙谀菱彨톔彠廊彨⊰Cᳬ彚糰೵n囙谀菱彨톔彠廊彨⊰Cᳬ彚絀೵g囙谀菱彨톔彠廊彨⊰Cᳬ彚綐೵\囙谀菱彨톔彠廊彨⊰Cᳬ彚締೵U囙谀菱彨톔彠廊彨⊰Cᳬ彚繘೵J囙谀菱彨톔彠廊彨⊰Cᳬ彚纨೵C囙谀菱彨톔彠廊彨⊰Cᳬ彚绸೵8囙谀菱彨톔彠廊彨⊰Cᳬ彚罈೵1囙谀菱彨톔彠廊彨⊰Cᳬ彚翀೵&amp;囙谀菱彨톔彠廊彨⊰Cᳬ彚耐೵囙谀菱彨톔彠廊彨⊰Cᳬ彚肈೵囙谀菱彨톔彠廊彨⊰Cᳬ彚胘೵&#10;囙谀菱彨톔彠廊彨⊰Cᳬ彚脨೵囙谀菱彨톔彠廊彨⊰Cᳬ彚腸೵ϻ囙谀菱彨톔彠廊彨⊰Cᳬ彚臰೵ϰ囙谀菱彨톔彠廊彨⊰Cᳬ彚艀೵ϩ囙谀菱彨톔彠廊彨⊰Cᳬ彚芸೵Ϟ囙谀菱彨톔彠廊彨⊰Cᳬ彚茈೵ϗ囙谀菱彨톔彠廊彨⊰Cᳬ彚荘೵ό囙谀菱彨톔彠廊彨⊰Cᳬ彚莨೵υ囙谀菱彨톔彠廊彨⊰Cᳬ彚菸೵κ囙谀菱彨톔彠廊彨⊰Cᳬ彚葰೵γ囙谀菱彨톔彠廊彨⊰Cᳬ彚蓀೵Ψ囙谀菱彨톔彠廊彨⊰Cᳬ彚蔸೵Ρ囙谀菱彨톔彠廊彨⊰Cᳬ彚薈೵Ζ囙谀菱彨톔彠廊彨⊰Cᳬ彚藘೵Ώ囙谀菱彨톔彠廊彨⊰Cᳬ彚蘨೵΄囙谀菱彨톔彠廊彨⊰Cᳬ彚虸೵ͽ囙谀菱彨톔彠廊彨⊰Cᳬ彚蛈೵Ͳ囙谀菱彨톔彠廊彨⊰Cᳬ彚蜘೵ͫ囙谀菱彨톔彠廊彨⊰Cᳬ彚蝨೵͠囙谀菱彨톔彠廊彨⊰Cᳬ彚蟠೵͙囙谀菱彨톔彠廊彨⊰Cᳬ彚衘೵͎囙谀菱彨톔彠廊彨⊰Cᳬ彚袨೵͇囙谀菱彨톔彠廊彨⊰Cᳬ彚褠೵̼囙谀菱彨톔彠廊彨⊰Cᳬ彚覘೵̵囙谀菱彨톔彠廊彨⊰Cᳬ彚觨೵̪囙谀菱彨톔彠廊彨⊰Cᳬ彚詠೵̣囙谀菱彨톔彠廊彨⊰Cᳬ彚誰೵̘囙谀菱彨톔彠廊彨⊰Cᳬ彚謀೵̑囙谀菱彨톔彠廊彨⊰Cᳬ彚譐೵̆囙谀菱彨톔彠廊彨⊰Cᳬ彚讠೵˿囙谀菱彨톔彠廊彨⊰Cᳬ彚诰೵˴囙谀菱彨톔彠廊彨⊰Cᳬ彚豀೵˭囙谀菱彨톔彠廊彨⊰Cᳬ彚貐೵ˢ囙谀菱彨톔彠廊彨⊰Cᳬ彚賠೵˛囙谀菱彨톔彠廊彨⊰Cᳬ彚贰೵ː囙谀菱彨톔彠廊彨⊰Cᳬ彚趨೵ˉ囙谀菱彨톔彠廊彨⊰Cᳬ彚跸೵ʾ囙谀菱彨톔彠廊彨⊰Cᳬ彚蹈೵ʷ囙谀菱彨톔彠廊彨⊰Cᳬ彚躘೵ʬ囙谀菱彨톔彠廊彨⊰Cᳬ彚軨೵ʥ囙谀菱彨톔彠廊彨⊰Cᳬ彚輸೵ʚ囙谀菱彨톔彠廊彨⊰Cᳬ彚辈೵ʓ囙谀菱彨톔彠廊彨⊰Cᳬ彚还೵ʈ囙谀菱彨톔彠廊彨⊰Cᳬ彚逨೵ʁ囙谀菱彨톔彠廊彨⊰Cᳬ彚選೵ɶ囙谀菱彨톔彠廊彨⊰Cᳬ彚郈೵ɯ囙谀菱彨톔彠廊彨⊰Cᳬ彚鄘೵ɤ囙谀菱彨톔彠廊彨⊰Cᳬ彚酨೵ɝ囙谀菱彨톔彠廊彨⊰Cᳬ彚醸೵ɒ囙谀菱彨톔彠廊彨⊰Cᳬ彚鈈೵ɋ囙谀菱彨톔彠廊彨⊰Cᳬ彚鉘೵ɀ囙谀菱彨톔彠廊彨⊰Cᳬ彚銨೵ȹ囙谀菱彨톔彠廊彨⊰Cᳬ彚錠೵Ȯ囙谀菱彨톔彠廊彨⊰Cᳬ彚鍰೵ȧ囙谀菱彨톔彠廊彨⊰Cᳬ彚鏀೵Ȝ囙谀菱彨톔彠廊彨⊰Cᳬ彚鐐೵ȕ囙谀菱彨톔彠廊彨⊰Cᳬ彚针೵Ȋ囙谀菱彨톔彠廊彨⊰Cᳬ彚铘೵ȃ囙谀菱彨톔彠廊彨⊰Cᳬ彚锨೵᷸囙谀菱彨톔彠廊彨⊰Cᳬ彚镸೵ᷱ囙谀菱彨톔彠廊彨⊰Cᳬ彚闰೵ᷦ囙谀菱彨톔彠廊彨⊰Cᳬ彚陀೵ᷟ囙谀菱彨톔彠廊彨⊰Cᳬ彚隐೵ᷔ囙谀菱彨톔彠廊彨⊰Cᳬ彚雠೵᷍囙谀菱彨톔彠廊彨⊰Cᳬ彚霰೵᷂囙谀菱彨톔彠廊彨⊰Cᳬ彚鞨೵ᶻ囙谀菱彨톔彠廊彨⊰Cᳬ彚韸೵ᶰ囙谀菱彨톔彠廊彨⊰Cᳬ彚顈೵ᶩ囙谀菱彨톔彠廊彨⊰Cᳬ彚题೵ᶞ囙谀菱彨톔彠廊彨⊰Cᳬ彚飨೵ᶗ囙谀菱彨톔彠廊彨⊰Cᳬ彚餸೵ᶌ囙谀菱彨톔彠廊彨⊰Cᳬ彚馰೵ᶅ囙谀菱彨톔彠廊彨⊰Cᳬ彚騀೵ᵺ囙谀菱彨톔彠廊彨⊰Cᳬ彚驐೵ᵳ囙谀菱彨톔彠廊彨⊰Cᳬ彚髈೵ᵨ囙谀菱彨톔彠廊彨⊰Cᳬ彚鬘೵ᵡ囙谀菱彨톔彠廊彨⊰Cᳬ彚魨೵ᵖ囙谀菱彨톔彠廊彨⊰Cᳬ彚鯠೵ᵏ囙谀菱彨톔彠廊彨⊰Cᳬ彚鰰೵ᵄ囙谀菱彨톔彠廊彨⊰Cᳬ彚鲀೵ᴽ囙谀菱彨톔彠廊彨⊰Cᳬ彚鳐೵ᴲ囙谀菱彨톔彠廊彨⊰Cᳬ彚鴠೵ᴫ囙谀菱彨톔彠廊彨⊰Cᳬ彚鵰೵ᴠ囙谀菱彨톔彠廊彨⊰Cᳬ彚鷀೵ᴙ囙谀菱彨톔彠廊彨⊰Cᳬ彚鸐೵ᴎ囙谀菱彨톔彠廊彨⊰Cᳬ彚鹠೵ᴇ囙谀菱彨톔彠廊彨⊰Cᳬ彚麰೵᳼囙谀菱彨톔彠廊彨⊰Cᳬ彚鼀೵ᳵ囙谀菱彨톔彠廊彨⊰Cᳬ彚齐೵ᳪ囙谀菱彨톔彠廊彨⊰Cᳬ彚鿈೵᳣囙谀菱彨톔彠廊彨⊰Cᳬ彚ꁀ೵᳘囙谀菱彨톔彠廊彨⊰Cᳬ彚ꂐ೵᳑囙谀菱彨톔彠廊彨⊰Cᳬ彚ꃠ೵᳆囙谀菱彨톔彠廊彨⊰Cᳬ彚ꄰ೵Ჿ囙谀菱彨톔彠廊彨⊰Cᳬ彚ꆨ೵Ჴ囙谀菱彨톔彠廊彨⊰Cᳬ彚ꇸ೵Ჭ囙谀菱彨톔彠廊彨⊰Cᳬ彚ꉈ೵Ტ囙谀菱彨톔彠廊彨⊰Cᳬ彚ꋀ೵Მ囙谀菱彨톔彠廊彨⊰Cᳬ彚ꌸ೵Ა囙谀菱彨톔彠廊彨⊰Cᳬ彚ꎈ೵Ᲊ囙谀菱彨톔彠廊彨⊰Cᳬ彚ꏘ೵᱾囙谀菱彨톔彠廊彨⊰Cᳬ彚ꑐ೵ᱷ囙谀菱彨톔彠廊彨⊰Cᳬ彚꓈೵ᱬ囙谀菱彨톔彠廊彨⊰Cᳬ彚ꔘ೵ᱥ囙谀菱彨톔彠廊彨⊰Cᳬ彚ꖐ೵ᱚ囙谀菱彨톔彠廊彨⊰Cᳬ彚ꗠ೵᱓囙谀菱彨톔彠廊彨⊰Cᳬ彚꘰೵᱈囙谀菱彨톔彠廊彨⊰Cᳬ彚ꚨ೵᱁囙谀菱彨톔彠廊彨⊰Cᳬ彚꛸೵ᰶ囙谀菱彨톔彠廊彨⊰Cᳬ彚Ꝉ೵ᰯ囙谀菱彨톔彠廊彨⊰Cᳬ彚Ꞙ೵ᰤ囙谀菱彨톔彠廊彨⊰Cᳬ彚ꠐ೵ᰝ囙谀菱彨톔彠廊彨⊰Cᳬ彚ꢈ೵ᰒ囙谀菱彨톔彠廊彨⊰Cᳬ彚꣘೵ᰋ囙谀菱彨톔彠廊彨⊰Cᳬ彚ꥐ೵ᰀ囙谀菱彨톔彠廊彨⊰Cᳬ彚ꦠ೵Ό囙谀菱彨톔彠廊彨⊰Cᳬ彚ꨘ೵΅囙谀菱彨톔彠廊彨⊰Cᳬ彚ꩨ೵ῧ囙谀菱彨톔彠廊彨⊰Cᳬ彚ꪸ೵῜囙谀菱彨톔彠廊彨⊰Cᳬ彚꬈೵῕囙谀菱彨톔彠廊彨⊰Cᳬ彚ꮀ೵Ὴ囙谀菱彨톔彠廊彨⊰Cᳬ彚ꯐ೵ῃ囙谀菱彨톔彠廊彨⊰Cᳬ彚갠೵Ᾰ囙谀菱彨톔彠廊彨⊰Cᳬ彚겘೵ᾱ囙谀菱彨톔彠廊彨⊰Cᳬ彚골೵ᾦ囙谀菱彨톔彠廊彨⊰Cᳬ彚괸೵ᾟ囙谀菱彨톔彠廊彨⊰Cᳬ彚궰೵ᾔ囙谀菱彨톔彠廊彨⊰Cᳬ彚글೵ᾍ囙谀菱彨톔彠廊彨⊰Cᳬ彚깐೵ᾂ囙谀菱彨톔彠廊彨⊰Cᳬ彚껈೵ύ囙谀菱彨톔彠廊彨⊰Cᳬ彚꼘೵ὰ囙谀菱彨톔彠廊彨⊰Cᳬ彚꾐೵Ὡ囙谀菱彨톔彠廊彨⊰Cᳬ彚꿠೵὞囙谀菱彨톔彠廊彨⊰Cᳬ彚뀰೵ὗ囙谀菱彨톔彠廊彨⊰Cᳬ彚낀೵Ὄ囙谀菱彨톔彠廊彨⊰Cᳬ彚냐೵ὅ囙谀菱彨톔彠廊彨⊰Cᳬ彚녈೵Ἲ囙谀菱彨톔彠廊彨⊰Cᳬ彚놘೵ἳ囙谀菱彨톔彠廊彨⊰Cᳬ彚뇨೵Ἠ囙谀菱彨톔彠廊彨⊰Cᳬ彚뉠೵ἡ囙谀菱彨톔彠廊彨⊰Cᳬ彚늰೵἖囙谀菱彨톔彠廊彨⊰Cᳬ彚대೵Ἇ囙谀菱彨톔彠廊彨⊰Cᳬ彚덐೵ἄ囙谀菱彨톔彠廊彨⊰Cᳬ彚뎠೵ỽ囙谀菱彨톔彠廊彨⊰Cᳬ彚돰೵Ỳ囙谀菱彨톔彠廊彨⊰Cᳬ彚둀೵ừ囙谀菱彨톔彠廊彨⊰Cᳬ彚뒐೵Ỡ囙谀菱彨톔彠廊彨⊰Cᳬ彚든೵ộ囙谀菱彨톔彠廊彨⊰Cᳬ彚따೵Ỏ囙谀菱彨톔彠廊彨⊰Cᳬ彚떀೵ệ囙谀菱彨톔彠廊彨⊰Cᳬ彚뗐೵Ẽ囙谀菱彨톔彠廊彨⊰Cᳬ彚뙈೵ẵ囙谀菱彨톔彠廊彨⊰Cᳬ彚뚘೵Ẫ囙谀菱彨톔彠廊彨⊰Cᳬ彚뛨೵ả囙谀菱彨톔彠廊彨⊰Cᳬ彚띠೵ẘ囙谀菱彨톔彠廊彨⊰Cᳬ彚럘೵ẑ囙谀菱彨톔彠廊彨⊰Cᳬ彚련೵Ẇ囙谀菱彨톔彠廊彨⊰Cᳬ彚롸೵ṿ囙谀菱彨톔彠廊彨⊰Cᳬ彚룰೵Ṵ囙谀菱彨톔彠廊彨⊰Cᳬ彚륨೵ṭ囙谀菱彨톔彠廊彨⊰Cᳬ彚릸೵Ṣ囙谀菱彨톔彠廊彨⊰Cᳬ彚먈೵ṛ囙谀菱彨톔彠廊彨⊰Cᳬ彚몀೵Ṑ囙谀菱彨톔彠廊彨⊰Cᳬ彚뫐೵ṉ囙谀菱彨톔彠廊彨⊰Cᳬ彚묠೵Ḿ囙谀菱彨톔彠廊彨⊰Cᳬ彚뮘೵ḷ囙谀菱彨톔彠廊彨⊰Cᳬ彚믨೵Ḭ囙谀菱彨톔彠廊彨⊰Cᳬ彚밸೵ḥ囙谀菱彨톔彠廊彨⊰Cᳬ彚번೵Ḛ囙谀菱彨톔彠廊彨⊰Cᳬ彚볘೵ḓ囙谀菱彨톔彠廊彨⊰Cᳬ彚봨೵Ḉ囙谀菱彨톔彠廊彨⊰Cᳬ彚붠೵ḁ囙谀菱彨톔彠廊彨⊰Cᳬ彚븘೵᧶囙谀菱彨톔彠廊彨⊰Cᳬ彚빨೵᧯囙谀菱彨톔彠廊彨⊰Cᳬ彚뺸೵᧤囙谀菱彨톔彠廊彨⊰Cᳬ彚뼈೵᧝囙谀菱彨톔彠廊彨⊰Cᳬ彚뽘೵᧒囙谀菱彨톔彠廊彨⊰Cᳬ彚뿐೵᧋囙谀菱彨톔彠廊彨⊰Cᳬ彚쀠೵ᧀ囙谀菱彨톔彠廊彨⊰Cᳬ彚삘೵ᦹ囙谀菱彨톔彠廊彨⊰Cᳬ彚샨೵᦮囙谀菱彨톔彠廊彨⊰Cᳬ彚셠೵ᦧ囙谀菱彨톔彠廊彨⊰Cᳬ彚솰೵ᦜ囙谀菱彨톔彠廊彨⊰Cᳬ彚숀೵ᦕ囙谀菱彨톔彠廊彨⊰Cᳬ彚쉸೵ᦊ囙谀菱彨톔彠廊彨⊰Cᳬ彚싈೵ᦃ囙谀菱彨톔彠廊彨⊰Cᳬ彚썀೵᥸囙谀菱彨톔彠廊彨⊰Cᳬ彚쎐೵ᥱ囙谀菱彨톔彠廊彨⊰Cᳬ彚쏠೵ᥦ囙谀菱彨톔彠廊彨⊰Cᳬ彚쑘೵ᥟ囙谀菱彨톔彠廊彨⊰Cᳬ彚쒨೵ᥔ囙谀菱彨톔彠廊彨⊰Cᳬ彚쓸೵᥍囙谀菱彨톔彠廊彨⊰Cᳬ彚안೵᥂囙谀菱彨톔彠廊彨⊰Cᳬ彚엀೵᤻囙谀菱彨톔彠廊彨⊰Cᳬ彚옐೵ᤰ囙谀菱彨톔彠廊彨⊰Cᳬ彚왠೵ᤩ囙谀菱彨톔彠廊彨⊰Cᳬ彚우೵ᤞ囙谀菱彨톔彠廊彨⊰Cᳬ彚율೵ᤗ囙谀菱彨톔彠廊彨⊰Cᳬ彚인೵ᤌ囙谀菱彨톔彠廊彨⊰Cᳬ彚쟈೵ᤅ囙谀菱彨톔彠廊彨⊰Cᳬ彚졀೵᣺囙谀菱彨톔彠廊彨⊰Cᳬ彚좐೵ᣳ囙谀菱彨톔彠廊彨⊰Cᳬ彚줈೵ᣨ囙谀菱彨톔彠廊彨⊰Cᳬ彚쥘೵ᣡ囙谀菱彨톔彠廊彨⊰Cᳬ彚즨೵ᣖ囙谀菱彨톔彠廊彨⊰Cᳬ彚쨠೵ᣏ囙谀菱彨톔彠廊彨⊰Cᳬ彚쩰೵ᣄ囙谀菱彨톔彠廊彨⊰Cᳬ彚쫀೵ᢽ囙谀菱彨톔彠廊彨⊰Cᳬ彚쬸೵ᢲ囙谀菱彨톔彠廊彨⊰Cᳬ彚쮈೵᢫囙谀菱彨톔彠廊彨⊰Cᳬ彚쯘೵ᢠ囙谀菱彨톔彠廊彨⊰Cᳬ彚차೵ᢙ囙谀菱彨톔彠廊彨⊰Cᳬ彚철೵ᢎ囙谀菱彨톔彠廊彨⊰Cᳬ彚쳰೵ᢇ囙谀菱彨톔彠廊彨⊰Cᳬ彚쵀೵᡼囙谀菱彨톔彠廊彨⊰Cᳬ彚춸೵ᡵ囙谀菱彨톔彠廊彨⊰Cᳬ彚츰೵ᡪ囙谀菱彨톔彠廊彨⊰Cᳬ彚캀೵ᡣ囙谀菱彨톔彠廊彨⊰Cᳬ彚컸೵ᡘ囙谀菱彨톔彠廊彨⊰Cᳬ彚콰೵ᡑ囙谀菱彨톔彠廊彨⊰Cᳬ彚쿨೵ᡆ囙谀菱彨톔彠廊彨⊰Cᳬ彚퀸೵ᠿ囙谀菱彨톔彠廊彨⊰Cᳬ彚킈೵ᠴ囙谀菱彨톔彠廊彨⊰Cᳬ彚턀೵ᠭ囙谀菱彨톔彠廊彨⊰Cᳬ彚텐೵ᠢ囙谀菱彨톔彠廊彨⊰Cᳬ彚토೵᠛囙谀菱彨톔彠廊彨⊰Cᳬ彚퇰೵᠐囙谀菱彨톔彠廊彨⊰Cᳬ彚퉀೵᠉囙谀菱彨톔彠廊彨⊰Cᳬ彚트೵᯾囙谀菱彨톔彠廊彨⊰Cᳬ彚팈೵᯷囙谀菱彨톔彠廊彨⊰Cᳬ彚퍘೵ᯬ囙谀菱彨톔彠廊彨⊰Cᳬ彚펨೵ᯥ囙谀菱彨톔彠廊彨⊰Cᳬ彚폸೵ᯚ囙谀菱彨톔彠廊彨⊰Cᳬ彚푈೵ᯓ囙谀菱彨톔彠廊彨⊰Cᳬ彚풘೵ᯈ囙谀菱彨톔彠廊彨⊰Cᳬ彚퓨೵ᯁ囙谀菱彨톔彠廊彨⊰Cᳬ彚할೵᮶囙谀菱彨톔彠廊彨⊰Cᳬ彚햰೵ᮯ囙谀菱彨톔彠廊彨⊰Cᳬ彚혀೵ᮤ囙谀菱彨톔彠廊彨⊰Cᳬ彚홐೵ᮝ囙谀菱彨톔彠廊彨⊰Cᳬ彚횠೵ᮒ囙谀菱彨톔彠廊彨⊰Cᳬ彚휘೵ᮋ囙谀菱彨톔彠廊彨⊰Cᳬ彚흨೵ᮀ囙谀菱彨톔彠廊彨⊰Cᳬ彚೵᭹囙谀菱彨톔彠廊彨⊰Cᳬ彚೵᭮囙谀菱彨톔彠廊彨⊰Cᳬ彚೵᭧囙谀菱彨톔彠廊彨⊰Cᳬ彚೵᭜囙谀菱彨톔彠廊彨⊰Cᳬ彚೵᭕囙谀菱彨톔彠廊彨⊰Cᳬ彚೵ᭊ囙谀菱彨톔彠廊彨⊰Cᳬ彚೵ᭃ囙谀菱彨톔彠廊彨⊰Cᳬ彚೵ᬸ囙谀菱彨톔彠廊彨⊰Cᳬ彚೵ᬱ囙谀菱彨톔彠廊彨⊰Cᳬ彚೵ᬦ囙谀菱彨톔彠廊彨⊰Cᳬ彚೵ᬟ囙谀菱彨톔彠廊彨⊰Cᳬ彚೵ᬔ囙谀菱彨톔彠廊彨⊰Cᳬ彚೵ᬍ囙谀菱彨톔彠廊彨⊰Cᳬ彚೵ᬂ囙谀菱彨톔彠廊彨⊰Cᳬ彚೵᫻囙谀菱彨톔彠廊彨⊰Cᳬ彚೵᫰囙谀菱彨톔彠廊彨⊰Cᳬ彚೵᫩囙谀菱彨톔彠廊彨⊰Cᳬ彚೵᫞囙谀菱彨톔彠廊彨⊰Cᳬ彚೵᫗囙谀菱彨톔彠廊彨⊰Cᳬ彚೵ᫌ囙谀菱彨톔彠廊彨⊰Cᳬ彚೵᫅囙谀菱彨톔彠廊彨⊰Cᳬ彚೵᪺囙谀菱彨톔彠廊彨⊰Cᳬ彚೵᪳囙谀菱彨톔彠廊彨⊰Cᳬ彚೵᪨囙谀菱彨톔彠廊彨⊰Cᳬ彚೵᪡囙谀菱彨톔彠廊彨⊰Cᳬ彚೵᪖囙谀菱彨톔彠廊彨⊰Cᳬ彚೵᪏囙谀菱彨톔彠廊彨⊰Cᳬ彚೵᪄囙谀菱彨톔彠廊彨⊰Cᳬ彚೵᩽囙谀菱彨톔彠廊彨⊰Cᳬ彚೵ᩲ囙谀菱彨톔彠廊彨⊰Cᳬ彚೵ᩫ囙谀菱彨톔彠廊彨⊰Cᳬ彚೵᩠囙谀菱彨톔彠廊彨⊰Cᳬ彚೵ᩙ囙谀菱彨톔彠廊彨⊰Cᳬ彚೵ᩎ囙谀菱彨톔彠廊彨⊰Cᳬ彚೵ᩇ囙谀菱彨톔彠廊彨⊰Cᳬ彚೵ᨼ囙谀菱彨톔彠廊彨⊰Cᳬ彚೵ᨵ囙谀菱彨톔彠廊彨⊰Cᳬ彚೵ᨪ囙谀菱彨톔彠廊彨⊰Cᳬ彚೵ᨣ囙谀菱彨톔彠廊彨⊰Cᳬ彚೵ᨘ囙谀菱彨톔彠廊彨⊰Cᳬ彚೵ᨑ囙谀菱彨톔彠廊彨⊰Cᳬ彚೵ᨆ囙谀菱彨톔彠廊彨⊰Cᳬ彚೵ᗿ囙谀菱彨톔彠廊彨⊰Cᳬ彚೵ᗴ囙谀菱彨톔彠廊彨⊰Cᳬ彚೵ᗭ囙谀菱彨톔彠廊彨⊰Cᳬ彚೵ᗢ囙谀菱彨톔彠廊彨⊰Cᳬ彚೵ᗛ囙谀菱彨톔彠廊彨⊰Cᳬ彚೵ᗐ囙谀菱彨톔彠廊彨⊰Cᳬ彚೵ᗉ囙谀菱彨톔彠廊彨⊰Cᳬ彚೵ᖾ囙谀菱彨톔彠廊彨⊰Cᳬ彚೵ᖷ囙谀菱彨톔彠廊彨⊰Cᳬ彚೵ᖬ囙谀菱彨톔彠廊彨⊰Cᳬ彚೵ᖥ囙谀菱彨톔彠廊彨⊰Cᳬ彚೵ᖚ囙谀菱彨톔彠廊彨⊰Cᳬ彚೵ᖓ囙谀菱彨톔彠廊彨⊰Cᳬ彚೵ᖈ囙谀菱彨톔彠廊彨⊰Cᳬ彚೵ᖁ囙谀菱彨톔彠廊彨⊰Cᳬ彚೵ᕶ囙谀菱彨톔彠廊彨⊰Cᳬ彚೵ᕯ囙谀菱彨톔彠廊彨⊰Cᳬ彚೵ᕤ囙谀菱彨톔彠廊彨⊰Cᳬ彚೵ᕝ囙谀菱彨톔彠廊彨⊰Cᳬ彚೵ᕒ囙谀菱彨톔彠廊彨⊰Cᳬ彚೵ᕋ囙谀菱彨톔彠廊彨⊰Cᳬ彚೵ᕀ囙谀菱彨톔彠廊彨⊰Cᳬ彚೵ᔹ囙谀菱彨톔彠廊彨⊰Cᳬ彚೵ᔮ囙谀菱彨톔彠廊彨⊰Cᳬ彚೵ᔧ囙谀菱彨톔彠廊彨⊰Cᳬ彚೵ᔜ囙谀菱彨톔彠廊彨⊰Cᳬ彚೵ᔕ囙谀菱彨톔彠廊彨⊰Cᳬ彚೵ᔊ囙谀菱彨톔彠廊彨⊰Cᳬ彚೵ᔃ囙谀菱彨톔彠廊彨⊰Cᳬ彚೵ᓸ囙谀菱彨톔彠廊彨⊰Cᳬ彚೵ᓱ囙谀菱彨톔彠廊彨⊰Cᳬ彚೵ᓦ囙谀菱彨톔彠廊彨⊰Cᳬ彚೵ᓟ囙谀菱彨톔彠廊彨⊰Cᳬ彚೵ᓔ囙谀菱彨톔彠廊彨⊰Cᳬ彚೵ᓍ囙谀菱彨톔彠廊彨⊰Cᳬ彚೵ᓂ囙谀菱彨톔彠廊彨⊰Cᳬ彚೵ᒻ囙谀菱彨톔彠廊彨⊰Cᳬ彚೵ᒰ囙谀菱彨톔彠廊彨⊰Cᳬ彚೵ᒩ囙谀菱彨톔彠廊彨⊰Cᳬ彚೵ᒞ囙谀菱彨톔彠廊彨⊰Cᳬ彚೵ᒗ囙谀菱彨톔彠廊彨⊰Cᳬ彚೵ᒌ囙谀菱彨톔彠廊彨⊰Cᳬ彚೵ᒅ囙谀菱彨톔彠廊彨⊰Cᳬ彚೵ᑺ囙谀菱彨톔彠廊彨⊰Cᳬ彚೵ᑳ囙谀菱彨톔彠廊彨⊰Cᳬ彚೵ᑨ囙谀菱彨톔彠廊彨⊰Cᳬ彚೵ᑡ囙谀菱彨톔彠廊彨⊰Cᳬ彚೵ᑖ囙谀菱彨톔彠廊彨⊰Cᳬ彚೵ᑏ囙谀菱彨톔彠廊彨⊰Cᳬ彚廊೵ᑄ囙谀菱彨톔彠廊彨⊰Cᳬ彚兩೵ᐽ囙谀菱彨톔彠廊彨⊰Cᳬ彚杻೵ᐲ囙谀菱彨톔彠廊彨⊰Cᳬ彚懲೵ᐫ囙谀菱彨톔彠廊彨⊰Cᳬ彚視೵ᐠ囙谀菱彨톔彠廊彨⊰Cᳬ彚אּ೵ᐙ囙谀菱彨톔彠廊彨⊰Cᳬ彚ﮀ೵ᐎ囙谀菱彨톔彠廊彨⊰Cᳬ彚ﯸ೵ᐇ囙谀菱彨톔彠廊彨⊰Cᳬ彚ﱈ೵៼囙谀菱彨톔彠廊彨⊰Cᳬ彚ﲘ೵៵囙谀菱彨톔彠廊彨⊰Cᳬ彚ﳨ೵៪囙谀菱彨톔彠廊彨⊰Cᳬ彚ﵠ೵៣囙谀菱彨톔彠廊彨⊰Cᳬ彚ﶰ೵៘囙谀菱彨톔彠廊彨⊰Cᳬ彚︨೵៑囙谀菱彨톔彠廊彨⊰Cᳬ彚ﹸ೵ំ囙谀菱彨톔彠廊彨⊰Cᳬ彚ﻈ೵ឿ囙谀菱彨톔彠廊彨⊰Cᳬ彚｀೵឴囙谀菱彨톔彠廊彨⊰Cᳬ彚ﾸ೵ឭ囙谀菱彨톔彠廊彨⊰Cᳬ彚೶អ囙谀菱彨톔彠廊彨⊰Cᳬ彚X೶ល囙谀菱彨톔彠廊彨⊰Cᳬ彚¨೶ថ囙谀菱彨톔彠廊彨⊰Cᳬ彚Ġ೶ញ囙谀菱彨톔彠廊彨⊰Cᳬ彚Ƙ೶᝾囙谀菱彨톔彠廊彨⊰Cᳬ彚Ǩ೶᝷囙谀菱彨톔彠廊彨⊰Cᳬ彚ȸ೶ᝬ囙谀菱彨톔彠廊彨⊰Cᳬ彚ʈ೶ᝥ囙谀菱彨톔彠廊彨⊰Cᳬ彚̀೶᝚囙谀菱彨톔彠廊彨⊰Cᳬ彚͐೶ᝓ囙谀菱彨톔彠廊彨⊰Cᳬ彚Π೶ᝈ囙谀菱彨톔彠廊彨⊰Cᳬ彚ϰ೶ᝁ囙谀菱彨톔彠廊彨⊰Cᳬ彚Ѩ೶᜶囙谀菱彨톔彠廊彨⊰Cᳬ彚Ҹ೶ᜯ囙谀菱彨톔彠廊彨⊰Cᳬ彚Ԉ೶ᜤ囙谀菱彨톔彠廊彨⊰Cᳬ彚ր೶᜝囙谀菱彨톔彠廊彨⊰Cᳬ彚א೶ᜒ囙谀菱彨톔彠廊彨⊰Cᳬ彚ؠ೶ᜋ囙谀菱彨톔彠廊彨⊰Cᳬ彚ٰ೶ᜀ囙谀菱彨톔彠廊彨⊰Cᳬ彚ۨ೶᛹囙谀菱彨톔彠廊彨⊰Cᳬ彚ݠ೶ᛮ囙谀菱彨톔彠廊彨⊰Cᳬ彚ް೶ᛧ囙谀菱彨톔彠廊彨⊰Cᳬ彚ࠨ೶ᛜ囙谀菱彨톔彠廊彨⊰Cᳬ彚ࢠ೶ᛕ囙谀菱彨톔彠廊彨⊰Cᳬ彚ࣰ೶ᛊ囙谀菱彨톔彠廊彨⊰Cᳬ彚ी೶ᛃ囙谀菱彨톔彠廊彨⊰Cᳬ彚স೶ᚸ囙谀菱彨톔彠廊彨⊰Cᳬ彚ਈ೶ᚱ囙谀菱彨톔彠廊彨⊰Cᳬ彚੘೶ᚦ囙谀菱彨톔彠廊彨⊰Cᳬ彚ન೶᚟囙谀菱彨톔彠廊彨⊰Cᳬ彚૸೶ᚔ囙谀菱彨톔彠廊彨⊰Cᳬ彚୰೶ᚍ囙谀菱彨톔彠廊彨⊰Cᳬ彚ீ೶ᚂ囙谀菱彨톔彠廊彨⊰Cᳬ彚ఐ೶ᙻ囙谀菱彨톔彠廊彨⊰Cᳬ彚ಈ೶ᙰ囙谀菱彨톔彠廊彨⊰Cᳬ彚ഀ೶ᙩ囙谀菱彨톔彠廊彨⊰Cᳬ彚൸೶ᙞ囙谀菱彨톔彠廊彨⊰Cᳬ彚෰೶ᙗ囙谀菱彨톔彠廊彨⊰Cᳬ彚เ೶ᙌ囙谀菱彨톔彠廊彨⊰Cᳬ彚ຸ೶ᙅ囙谀菱彨톔彠廊彨⊰Cᳬ彚༈೶ᘺ囙谀菱彨톔彠廊彨⊰Cᳬ彚མ೶ᘳ囙谀菱彨톔彠廊彨⊰Cᳬ彚࿐೶ᘨ囙谀菱彨톔彠廊彨⊰Cᳬ彚၈೶ᘡ囙谀菱彨톔彠廊彨⊰Cᳬ彚႘೶ᘖ囙谀菱彨톔彠廊彨⊰Cᳬ彚შ೶ᘏ囙谀菱彨톔彠廊彨⊰Cᳬ彚ᅠ೶ᘄ囙谀菱彨톔彠廊彨⊰Cᳬ彚ᆰ೶ᇽ囙谀菱彨톔彠廊彨⊰Cᳬ彚ሀ೶ᇲ囙谀菱彨톔彠廊彨⊰Cᳬ彚ቐ೶ᇫ囙谀菱彨톔彠廊彨⊰Cᳬ彚አ೶ᇠ囙谀菱彨톔彠廊彨⊰Cᳬ彚ደ೶ᇙ囙谀菱彨톔彠廊彨⊰Cᳬ彚፨೶ᇎ囙谀菱彨톔彠廊彨⊰Cᳬ彚Ꮈ೶ᇇ囙谀菱彨톔彠廊彨⊰Cᳬ彚ᐰ೶ᆼ囙谀菱彨톔彠廊彨⊰Cᳬ彚ᒨ೶ᆵ囙谀菱彨톔彠廊彨⊰Cᳬ彚ᓸ೶ᆪ囙谀菱彨톔彠廊彨⊰Cᳬ彚ᕈ೶ᆣ囙谀菱彨톔彠廊彨⊰Cᳬ彚ᖘ೶ᆘ囙谀菱彨톔彠廊彨⊰Cᳬ彚ᘐ೶ᆑ囙谀菱彨톔彠廊彨⊰Cᳬ彚ᚈ೶ᆆ囙谀菱彨톔彠廊彨⊰Cᳬ彚ᜀ೶ᅿ囙谀菱彨톔彠廊彨⊰Cᳬ彚᝸೶ᅴ囙谀菱彨톔彠廊彨⊰Cᳬ彚ៈ೶ᅭ囙谀菱彨톔彠廊彨⊰Cᳬ彚ᡀ೶ᅢ囙谀菱彨톔彠廊彨⊰Cᳬ彚ᢸ೶ᅛ囙谀菱彨톔彠廊彨⊰Cᳬ彚ᤈ೶ᅐ囙谀菱彨톔彠廊彨⊰Cᳬ彚ᦀ೶ᅉ囙谀菱彨톔彠廊彨⊰Cᳬ彚᧐೶ᄾ囙谀菱彨톔彠廊彨⊰Cᳬ彚ᨠ೶ᄷ囙谀菱彨톔彠廊彨⊰Cᳬ彚᪘೶ᄬ囙谀菱彨톔彠廊彨⊰Cᳬ彚᫨೶ᄥ囙谀菱彨톔彠廊彨⊰Cᳬ彚᭠೶ᄚ囙谀菱彨톔彠廊彨⊰Cᳬ彚ᯘ೶ᄓ囙谀菱彨톔彠廊彨⊰Cᳬ彚ᰨ೶ᄈ囙谀菱彨톔彠廊彨⊰Cᳬ彚ᱸ೶ᄁ囙谀菱彨톔彠廊彨⊰Cᳬ彚᳈೶ჶ囙谀菱彨톔彠廊彨⊰Cᳬ彚ᵀ೶ჯ囙谀菱彨톔彠廊彨⊰Cᳬ彚ᶸ೶ფ囙谀菱彨톔彠廊彨⊰Cᳬ彚Ḉ೶ო囙谀菱彨톔彠廊彨⊰Cᳬ彚Ṙ೶გ囙谀菱彨톔彠廊彨⊰Cᳬ彚Ố೶჋囙谀菱彨톔彠廊彨⊰Cᳬ彚Ὀ೶Ⴠ囙谀菱彨톔彠廊彨⊰Cᳬ彚῀೶Ⴙ囙谀菱彨톔彠廊彨⊰Cᳬ彚‐೶Ⴎ囙谀菱彨톔彠廊彨⊰Cᳬ彚₈೶Ⴇ囙谀菱彨톔彠廊彨⊰Cᳬ彚⃘೶ႜ囙谀菱彨톔彠廊彨⊰Cᳬ彚ℨ೶႕囙谀菱彨톔彠廊彨⊰Cᳬ彚↠೶ႊ囙谀菱彨톔彠廊彨⊰Cᳬ彚⇰೶ႃ囙谀菱彨톔彠廊彨⊰Cᳬ彚≀೶ၸ囙谀菱彨톔彠廊彨⊰Cᳬ彚⊐೶ၱ囙谀菱彨톔彠廊彨⊰Cᳬ彚⋠೶ၦ囙谀菱彨톔彠廊彨⊰Cᳬ彚⍘೶ၟ囙谀菱彨톔彠廊彨⊰Cᳬ彚⎨೶ၔ囙谀菱彨톔彠廊彨⊰Cᳬ彚⏸೶၍囙谀菱彨톔彠廊彨⊰Cᳬ彚⑰೶၂囙谀菱彨톔彠廊彨⊰Cᳬ彚ⓨ೶ျ囙谀菱彨톔彠廊彨⊰Cᳬ彚┸೶ူ囙谀菱彨톔彠廊彨⊰Cᳬ彚█೶ဩ囙谀菱彨톔彠廊彨⊰Cᳬ彚◘೶သ囙谀菱彨톔彠廊彨⊰Cᳬ彚♐೶ဗ囙谀菱彨톔彠廊彨⊰Cᳬ彚⚠೶ဌ囙谀菱彨톔彠廊彨⊰Cᳬ彚⛰೶စ囙谀菱彨톔彠廊彨⊰Cᳬ彚❨೶ᏺ囙谀菱彨톔彠廊彨⊰Cᳬ彚➸೶Ᏻ囙谀菱彨톔彠廊彨⊰Cᳬ彚⠰೶Ꮸ囙谀菱彨톔彠廊彨⊰Cᳬ彚⢀೶Ꮱ囙谀菱彨톔彠廊彨⊰Cᳬ彚᷸೷Ꮦ囙谀菱彨톔彠廊彨⊰Cᳬ彚⥈೶Ꮟ囙谀菱彨톔彠廊彨⊰Cᳬ彚⦘೶Ꮔ囙谀菱彨톔彠廊彨⊰Cᳬ彚⧨೶Ꮍ囙谀菱彨톔彠廊彨⊰Cᳬ彚⨸೶Ꮂ囙谀菱彨톔彠廊彨⊰Cᳬ彚⪈೶Ꭻ囙谀菱彨톔彠廊彨⊰Cᳬ彚⫘೶Ꭰ囙谀菱彨톔彠廊彨⊰Cᳬ彚⬨೶᎙囙谀菱彨톔彠廊彨⊰Cᳬ彚⮠೶ᎎ囙谀菱彨톔彠廊彨⊰Cᳬ彚Ⱈ೶ᎇ囙谀菱彨톔彠廊彨⊰Cᳬ彚ⱨ೶፼囙谀菱彨톔彠廊彨⊰Cᳬ彚Ⲹ೶፵囙谀菱彨톔彠廊彨⊰Cᳬ彚ⴈ೶፪囙谀菱彨톔彠廊彨⊰Cᳬ彚ⵘ೶፣囙谀菱彨톔彠廊彨⊰Cᳬ彚ⶨ೶ፘ囙谀菱彨톔彠廊彨⊰Cᳬ彚ⷸ೶ፑ囙谀菱彨톔彠廊彨⊰Cᳬ彚⹰೶ፆ囙谀菱彨톔彠廊彨⊰Cᳬ彚⻀೶ጿ囙谀菱彨톔彠廊彨⊰Cᳬ彚⼸೶ጴ囙谀菱彨톔彠廊彨⊰Cᳬ彚⾈೶ጭ囙谀菱彨톔彠廊彨⊰Cᳬ彚　೶ጢ囙谀菱彨톔彠廊彨⊰Cᳬ彚ぐ೶ጛ囙谀菱彨톔彠廊彨⊰Cᳬ彚ト೶ጐ囙谀菱彨톔彠廊彨⊰Cᳬ彚ㄘ೶ጉ囙谀菱彨톔彠廊彨⊰Cᳬ彚㆐೶ዾ囙谀菱彨톔彠廊彨⊰Cᳬ彚㇠೶ዷ囙谀菱彨톔彠廊彨⊰Cᳬ彚㈰೶ዬ囙谀菱彨톔彠廊彨⊰Cᳬ彚㊀೶ዥ囙谀菱彨톔彠廊彨⊰Cᳬ彚㋸೶ዚ囙谀菱彨톔彠廊彨⊰Cᳬ彚㍈೶ዓ囙谀菱彨톔彠廊彨⊰Cᳬ彚㎘೶ወ囙谀菱彨톔彠廊彨⊰Cᳬ彚㏨೶዁囙谀菱彨톔彠廊彨⊰Cᳬ彚㑠೶኶囙谀菱彨톔彠廊彨⊰Cᳬ彚㒰೶ኯ囙谀菱彨톔彠廊彨⊰Cᳬ彚㔨೶ኤ囙谀菱彨톔彠廊彨⊰Cᳬ彚㕸೶ኝ囙谀菱彨톔彠廊彨⊰Cᳬ彚㗈೶ኒ囙谀菱彨톔彠廊彨⊰Cᳬ彚㙀೶ኋ囙谀菱彨톔彠廊彨⊰Cᳬ彚㚐೶ኀ囙谀菱彨톔彠廊彨⊰Cᳬ彚㛠೶ቹ囙谀菱彨톔彠廊彨⊰Cᳬ彚㜰೶ቮ囙谀菱彨톔彠廊彨⊰Cᳬ彚㞀೶ቧ囙谀菱彨톔彠廊彨⊰Cᳬ彚㟐೶ቜ囙谀菱彨톔彠廊彨⊰Cᳬ彚㠠೶ቕ囙谀菱彨톔彠廊彨⊰Cᳬ彚㢘೶ቊ囙谀菱彨톔彠廊彨⊰Cᳬ彚㣨೶ቃ囙谀菱彨톔彠廊彨⊰Cᳬ彚㤸೶ሸ囙谀菱彨톔彠廊彨⊰Cᳬ彚㦈೶ሱ囙谀菱彨톔彠廊彨⊰Cᳬ彚㨀೶ሦ囙谀菱彨톔彠廊彨⊰Cᳬ彚㩐೶ሟ囙谀菱彨톔彠廊彨⊰Cᳬ彚㪠೶ሔ囙谀菱彨톔彠廊彨⊰Cᳬ彚㫰೶ል囙谀菱彨톔彠廊彨⊰Cᳬ彚㭀೶ሂ囙谀菱彨톔彠廊彨⊰Cᳬ彚㮸೶囙谀菱彨톔彠廊彨⊰Cᳬ彚㰈೶囙谀菱彨톔彠廊彨⊰Cᳬ彚㲀೶囙谀菱彨톔彠廊彨⊰Cᳬ彚㳐೶囙谀菱彨톔彠廊彨⊰Cᳬ彚㴠೶囙谀菱彨톔彠廊彨⊰Cᳬ彚㵰೶囙谀菱彨톔彠廊彨⊰Cᳬ彚㷨೶囙谀菱彨톔彠廊彨⊰Cᳬ彚㸸೶囙谀菱彨톔彠廊彨⊰Cᳬ彚㺈೶囙谀菱彨톔彠廊彨⊰Cᳬ彚㼀೶囙谀菱彨톔彠廊彨⊰Cᳬ彚㽐೶囙谀菱彨톔彠廊彨⊰Cᳬ彚㿈೶囙谀菱彨톔彠廊彨⊰Cᳬ彚䁀೶囙谀菱彨톔彠廊彨⊰Cᳬ彚䂐೶囙谀菱彨톔彠廊彨⊰Cᳬ彚䃠೶囙谀菱彨톔彠廊彨⊰Cᳬ彚䅘೶囙谀菱彨톔彠廊彨⊰"/>
        </w:smartTagPr>
        <w:r>
          <w:t>la Convención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es parte integrante del derecho interno, el Estado parte debería reunir obligatoriamente, oficialmente o no, datos estadísticos sobre los diversos grupos étnicos del país para determinar si éstos son víctimas de discriminación sobre la base de los motivos enunciados en la Convención. Así, el Estado parte podría formular políticas destinadas a mejorar la situación política y social del país, como lo ha hecho ya, por demás, en la región de Anatolia.</w:t>
      </w:r>
    </w:p>
    <w:p w:rsidR="00000000" w:rsidRDefault="00000000">
      <w:pPr>
        <w:pStyle w:val="SingleTxtG"/>
      </w:pPr>
      <w:r>
        <w:t>34.</w:t>
      </w:r>
      <w:r>
        <w:tab/>
        <w:t xml:space="preserve">El Sr. Diaconu subraya que la diversidad de los grupos étnicos enriquece al país y debería preservarse. En consecuencia, el Estado parte debería velar por que se respeten en su territorio los principios consagrados en el artículo 5 de </w:t>
      </w:r>
      <w:smartTag w:uri="urn:schemas-microsoft-com:office:smarttags" w:element="PersonName">
        <w:smartTagPr>
          <w:attr w:name="ProductID" w:val="la Constituci￳n"/>
        </w:smartTagPr>
        <w:r>
          <w:t>la Convención</w:t>
        </w:r>
      </w:smartTag>
      <w:r>
        <w:t xml:space="preserve"> relativos en particular a la educación y a la formación profesional, así como al derecho de todos de participar, en condiciones de igualdad, en las actividades culturales. Para ello, deberá velar por que la enseñanza se imparta en el idioma materno de los diferentes grupos étnicos.</w:t>
      </w:r>
    </w:p>
    <w:p w:rsidR="00000000" w:rsidRDefault="00000000">
      <w:pPr>
        <w:pStyle w:val="SingleTxtG"/>
      </w:pPr>
      <w:r>
        <w:t>35.</w:t>
      </w:r>
      <w:r>
        <w:tab/>
      </w:r>
      <w:r>
        <w:rPr>
          <w:b/>
        </w:rPr>
        <w:t>El Sr. de Gouttes</w:t>
      </w:r>
      <w:r>
        <w:t xml:space="preserve"> cree entender que en virtud del artículo 216 del Código Penal, para que la incitación al odio racial pueda calificarse de infracción, debe estar dirigida contra un grupo de personas y al mismo tiempo "constituir un peligro evidente e inminente para el orden público". Desearía saber si los particulares están protegidos a título individual por esta disposición del Código Penal, en especial cuando los casos o los actos de que son víctimas no ponen en peligro el orden público.</w:t>
      </w:r>
    </w:p>
    <w:p w:rsidR="00000000" w:rsidRDefault="00000000">
      <w:pPr>
        <w:pStyle w:val="SingleTxtG"/>
      </w:pPr>
      <w:r>
        <w:t>36.</w:t>
      </w:r>
      <w:r>
        <w:tab/>
        <w:t>Refiriéndose al párrafo 86 del informe que se examina, el Sr. de Gouttes desearía asimismo saber si en la práctica se han iniciado ya diligencias judiciales contra personas que hayan reunido ilícitamente datos personales relativos al origen racial o étnico.</w:t>
      </w:r>
    </w:p>
    <w:p w:rsidR="00000000" w:rsidRDefault="00000000">
      <w:pPr>
        <w:pStyle w:val="SingleTxtG"/>
      </w:pPr>
      <w:r>
        <w:t>37.</w:t>
      </w:r>
      <w:r>
        <w:tab/>
        <w:t xml:space="preserve">El experto solicita a la delegación que indique si el Estado parte prevé introducir en su legislación penal una disposición en que se prevea que la motivación racial de un crimen o de un delito constituye una circunstancia agravante general, y si ha previsto invertir la carga de la prueba en materia civil, en particular en los casos de racismo y de discriminación racial. Además, sería conveniente que la delegación indicara si en materia penal el Estado parte admite la práctica del </w:t>
      </w:r>
      <w:r>
        <w:rPr>
          <w:i/>
        </w:rPr>
        <w:t>testing</w:t>
      </w:r>
      <w:r>
        <w:t>, que consiste en verificar objetivamente si los responsables de los restaurantes, discotecas y otros establecimientos practican la discriminación en relación con la admisión de los clientes.</w:t>
      </w:r>
    </w:p>
    <w:p w:rsidR="00000000" w:rsidRDefault="00000000">
      <w:pPr>
        <w:pStyle w:val="SingleTxtG"/>
      </w:pPr>
      <w:r>
        <w:t>38.</w:t>
      </w:r>
      <w:r>
        <w:tab/>
      </w:r>
      <w:r>
        <w:rPr>
          <w:b/>
        </w:rPr>
        <w:t>El Sr.</w:t>
      </w:r>
      <w:r>
        <w:t xml:space="preserve"> </w:t>
      </w:r>
      <w:r>
        <w:rPr>
          <w:b/>
        </w:rPr>
        <w:t>Sicilianos</w:t>
      </w:r>
      <w:r>
        <w:t xml:space="preserve"> cita un informe de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t>la Comisión</w:t>
          </w:r>
        </w:smartTag>
        <w:r>
          <w:t xml:space="preserve"> Europea</w:t>
        </w:r>
      </w:smartTag>
      <w:r>
        <w:t xml:space="preserve"> contra el Racismo y </w:t>
      </w:r>
      <w:smartTag w:uri="urn:schemas-microsoft-com:office:smarttags" w:element="PersonName">
        <w:smartTagPr>
          <w:attr w:name="ProductID" w:val="la Intolerancia"/>
        </w:smartTagPr>
        <w:r>
          <w:t>la Intolerancia</w:t>
        </w:r>
      </w:smartTag>
      <w:r>
        <w:t xml:space="preserve"> en que se exhorta a las autoridades turcas a entablar un diálogo constructivo con los representantes de los grupos minoritarios, considerados todavía como una amenaza y no como una ventaja en el seno del Estado parte. Según el Sr. Sicilianos, ello es prueba de que esta instancia del Consejo de Europa ha invitado al Estado parte a cambiar de actitud con respecto a las autoridades.</w:t>
      </w:r>
    </w:p>
    <w:p w:rsidR="00000000" w:rsidRDefault="00000000">
      <w:pPr>
        <w:pStyle w:val="SingleTxtG"/>
      </w:pPr>
      <w:r>
        <w:t>39.</w:t>
      </w:r>
      <w:r>
        <w:tab/>
        <w:t xml:space="preserve">El Sr. Sicilianos afirma a continuación que el Tribunal Europeo de Derechos Humanos ha pronunciado muchos fallos en casos relativos a los curdos, en relación con desapariciones forzadas así como violaciones de los artículos de </w:t>
      </w:r>
      <w:smartTag w:uri="urn:schemas-microsoft-com:office:smarttags" w:element="PersonName">
        <w:smartTagPr>
          <w:attr w:name="ProductID" w:val="la Convenci￳n Europea"/>
        </w:smartTagPr>
        <w:smartTag w:uri="urn:schemas-microsoft-com:office:smarttags" w:element="PersonName">
          <w:smartTagPr>
            <w:attr w:name="ProductID" w:val="la Convenci￳n"/>
          </w:smartTagPr>
          <w:r>
            <w:t>la Convención</w:t>
          </w:r>
        </w:smartTag>
        <w:r>
          <w:t xml:space="preserve"> Europea</w:t>
        </w:r>
      </w:smartTag>
      <w:r>
        <w:t xml:space="preserve"> de Derechos Humanos relativos al derecho a la vida, a la prohibición de la tortura o al derecho a la propiedad. La única razón por la cual el Estado parte no ha sido condenado explícitamente en aplicación del artículo 14 de esta Convención es que dicho artículo no es una disposición autónoma y debe ser leído en conjunción con una disposición sustancial de este instrumento. En consecuencia, no se puede llegar a la conclusión de que en el Estado parte no ha ocurrido ningún caso de discriminación fundada en la raza o el origen étnico, y que las minorías griega y curda están protegidas contra este fenómeno.</w:t>
      </w:r>
    </w:p>
    <w:p w:rsidR="00000000" w:rsidRDefault="00000000">
      <w:pPr>
        <w:pStyle w:val="SingleTxtG"/>
      </w:pPr>
      <w:r>
        <w:t>40.</w:t>
      </w:r>
      <w:r>
        <w:tab/>
        <w:t xml:space="preserve">En cuanto a la disminución drástica del número de personas pertenecientes a la minoría griega, las cifras hablan por sí solas: de 130.000 miembros en la época de la firma del Tratado de Lausana en 1923, la cifra se ha reducido actualmente a unas 3.000 personas. Estas estadísticas corroboran la información que figura en el informe de </w:t>
      </w:r>
      <w:smartTag w:uri="urn:schemas-microsoft-com:office:smarttags" w:element="PersonName">
        <w:smartTagPr>
          <w:attr w:name="ProductID" w:val="la Comisi￳n Europea"/>
        </w:smartTagPr>
        <w:r>
          <w:t>la Comisión Europea</w:t>
        </w:r>
      </w:smartTag>
      <w:r>
        <w:t xml:space="preserve"> contra el Racismo y </w:t>
      </w:r>
      <w:smartTag w:uri="urn:schemas-microsoft-com:office:smarttags" w:element="PersonName">
        <w:smartTagPr>
          <w:attr w:name="ProductID" w:val="la Intolerancia"/>
        </w:smartTagPr>
        <w:r>
          <w:t>la Intolerancia</w:t>
        </w:r>
      </w:smartTag>
      <w:r>
        <w:t>, que pide al Estado parte que adopte medidas urgentes para que la comunidad griega pueda sobrevivir en Turquía.</w:t>
      </w:r>
    </w:p>
    <w:p w:rsidR="00000000" w:rsidRDefault="00000000">
      <w:pPr>
        <w:pStyle w:val="SingleTxtG"/>
      </w:pPr>
      <w:r>
        <w:t>41.</w:t>
      </w:r>
      <w:r>
        <w:tab/>
        <w:t xml:space="preserve">El Sr. Sicilianos destaca que el Tribunal Europeo de Derechos Humanos señaló en su sentencia de 10 de mayo de 2001 en relación con el caso </w:t>
      </w:r>
      <w:r>
        <w:rPr>
          <w:i/>
          <w:iCs/>
        </w:rPr>
        <w:t xml:space="preserve">Chipre </w:t>
      </w:r>
      <w:r>
        <w:rPr>
          <w:i/>
        </w:rPr>
        <w:t xml:space="preserve">c. </w:t>
      </w:r>
      <w:r>
        <w:rPr>
          <w:i/>
          <w:iCs/>
        </w:rPr>
        <w:t>Turquía</w:t>
      </w:r>
      <w:r>
        <w:rPr>
          <w:iCs/>
        </w:rPr>
        <w:t xml:space="preserve"> que</w:t>
      </w:r>
      <w:r>
        <w:t xml:space="preserve"> </w:t>
      </w:r>
      <w:smartTag w:uri="urn:schemas-microsoft-com:office:smarttags" w:element="PersonName">
        <w:smartTagPr>
          <w:attr w:name="ProductID" w:val="la Convenci￳n Europea"/>
        </w:smartTagPr>
        <w:r>
          <w:t>la Convención Europea</w:t>
        </w:r>
      </w:smartTag>
      <w:r>
        <w:t xml:space="preserve"> de Derechos Humanos se aplicaba fuera del territorio nacional, y en particular en la parte norte de la isla de Chipre, y que las violaciones de esta Convención eran imputables a Turquía.</w:t>
      </w:r>
    </w:p>
    <w:p w:rsidR="00000000" w:rsidRDefault="00000000">
      <w:pPr>
        <w:pStyle w:val="SingleTxtG"/>
      </w:pPr>
      <w:r>
        <w:t>42.</w:t>
      </w:r>
      <w:r>
        <w:tab/>
      </w:r>
      <w:r>
        <w:rPr>
          <w:b/>
        </w:rPr>
        <w:t>El Sr.</w:t>
      </w:r>
      <w:r>
        <w:t xml:space="preserve"> </w:t>
      </w:r>
      <w:r>
        <w:rPr>
          <w:b/>
        </w:rPr>
        <w:t>Prosper</w:t>
      </w:r>
      <w:r>
        <w:t xml:space="preserve"> dice que el Comité está llamado a garantizar que los Estados partes velen por la creación en sus respectivos países de condiciones propicias para el establecimiento de la igualdad de oportunidades, a saber, ofreciendo a los diferentes grupos étnicos los mismos medios para alcanzar el progreso social.</w:t>
      </w:r>
    </w:p>
    <w:p w:rsidR="00000000" w:rsidRDefault="00000000">
      <w:pPr>
        <w:pStyle w:val="SingleTxtG"/>
      </w:pPr>
      <w:r>
        <w:t>43.</w:t>
      </w:r>
      <w:r>
        <w:tab/>
        <w:t>El Sr. Prosper no estima necesario que el Estado parte reconozca a los grupos étnicos la condición de minoría nacional, pero estima que debería reunir datos estadísticos sobre estos grupos a fin de elaborar un cuadro más preciso de la composición étnica de la población. La importancia numérica de cada uno de los grupos étnicos permitirá en adelante que las autoridades competentes evalúen la situación de cada una de ellas en materia de discriminación y, en su caso, adopten las medidas correctivas pertinentes. El Sr. Prosper subraya que la reunión de estos datos no exige obligatoriamente un censo oficial de la población: convendría igualmente un procedimiento voluntario.</w:t>
      </w:r>
    </w:p>
    <w:p w:rsidR="00000000" w:rsidRDefault="00000000">
      <w:pPr>
        <w:pStyle w:val="SingleTxtG"/>
        <w:rPr>
          <w:i/>
        </w:rPr>
      </w:pPr>
      <w:r>
        <w:rPr>
          <w:i/>
        </w:rPr>
        <w:t>Se suspende la sesión a las 11.55 horas y se reanuda a las 12.15 horas.</w:t>
      </w:r>
    </w:p>
    <w:p w:rsidR="00000000" w:rsidRDefault="00000000">
      <w:pPr>
        <w:pStyle w:val="SingleTxtG"/>
      </w:pPr>
      <w:r>
        <w:t>44.</w:t>
      </w:r>
      <w:r>
        <w:tab/>
      </w:r>
      <w:r>
        <w:rPr>
          <w:b/>
        </w:rPr>
        <w:t>El Sr. Göğǘş</w:t>
      </w:r>
      <w:r>
        <w:t xml:space="preserve"> (Turquía) informa a los miembros del Comité de que el segundo foro de </w:t>
      </w:r>
      <w:smartTag w:uri="urn:schemas-microsoft-com:office:smarttags" w:element="PersonName">
        <w:smartTagPr>
          <w:attr w:name="ProductID" w:val="la Alianza"/>
        </w:smartTagPr>
        <w:r>
          <w:t>la Alianza</w:t>
        </w:r>
      </w:smartTag>
      <w:r>
        <w:t xml:space="preserve"> de Civilizaciones se celebrará en Estambul los días 6 y 7 de abril de 2009. Asegura a los miembros del Comité que el principio de la igualdad de oportunidades es debidamente aplicado y respetado en Turquía, como lo demuestra el hecho de que ciudadanos turcos de orígenes diversos, incluido el curdo, ocupan cargos de responsabilidad en la administración pública y en el ejército, así como curules en el Parlamento.</w:t>
      </w:r>
    </w:p>
    <w:p w:rsidR="00000000" w:rsidRDefault="00000000">
      <w:pPr>
        <w:pStyle w:val="SingleTxtG"/>
      </w:pPr>
      <w:r>
        <w:t>45.</w:t>
      </w:r>
      <w:r>
        <w:tab/>
        <w:t>Respondiendo a una intervención, el Sr. Göğüş señala que el Tribunal Europeo de Derechos Humanos jamás ha afirmado en sus fallos que miembros de minorías hayan sido víctimas de discriminaciones fundadas en el origen racial o étnico en Turquía. Por otra parte, dice que los intercambios de población entre Turquía y Chipre se han efectuado siempre a título voluntario. Ninguna minoría se ha visto obligada a abandonar el territorio turco para instalarse por ejemplo, en la parte griega de Chipre. Recuerda que el Tribunal Europeo de Derechos Humanos jamás ha hablado de ocupación para describir las operaciones militares de Turquía en el norte de la isla de Chipre.</w:t>
      </w:r>
    </w:p>
    <w:p w:rsidR="00000000" w:rsidRDefault="00000000">
      <w:pPr>
        <w:pStyle w:val="SingleTxtG"/>
      </w:pPr>
      <w:r>
        <w:t>46.</w:t>
      </w:r>
      <w:r>
        <w:tab/>
        <w:t>En relación con otra cuestión, el Sr. Göğüş confirma que nadie ha sido condenado por haber reunido datos relativos al origen racial o étnico con fines científicos o universitarios. Añade que existen diferentes mecanismos competentes para atender las quejas de particulares que estiman haber sido víctimas de discriminación a escala local. Como ya lo ha explicado su delegación, hay más de una decena de comunidades que hablan idiomas y dialectos distintos del turco y que no se puede obligar a Turquía a impartir la enseñanza en el idioma materno de cada comunidad. En cambio, las minorías pueden expresarse libremente en el idioma de su elección y organizar cursos para la enseñanza de su idioma.</w:t>
      </w:r>
    </w:p>
    <w:p w:rsidR="00000000" w:rsidRDefault="00000000">
      <w:pPr>
        <w:pStyle w:val="SingleTxtG"/>
      </w:pPr>
      <w:r>
        <w:t>47.</w:t>
      </w:r>
      <w:r>
        <w:tab/>
        <w:t>El Sr. Göğüş toma nota de la sugerencia hecha por un experto de tipificar la motivación racial de un delito como circunstancia agravante y la transmitirá al Ministerio de Justicia. Comparte la opinión del experto del Comité según la cual las fuerzas de seguridad no deben recurrir al uso excesivo de la fuerza contra las manifestaciones pacíficas, incluidas las organizadas por grupos minoritarios. Para luchar contra las derivas de esta índole, el Gobierno ha decidido inscribir un número en todos los cascos de los agentes de las fuerzas del orden público. Así pues, estos agentes podrán ser debidamente identificados y denunciados en caso de incurrir en exacciones y violaciones de los derechos humanos.</w:t>
      </w:r>
    </w:p>
    <w:p w:rsidR="00000000" w:rsidRDefault="00000000">
      <w:pPr>
        <w:pStyle w:val="SingleTxtG"/>
      </w:pPr>
      <w:r>
        <w:t>48.</w:t>
      </w:r>
      <w:r>
        <w:tab/>
        <w:t>Por último, el Sr. Göğüş afirma que los padres pueden dar a sus hijos el nombre de su elección con toda libertad, a condición de que dicho nombre pueda escribirse en el alfabeto turco. No se aplica ninguna otra restricción al respecto.</w:t>
      </w:r>
    </w:p>
    <w:p w:rsidR="00000000" w:rsidRDefault="00000000">
      <w:pPr>
        <w:pStyle w:val="SingleTxtG"/>
      </w:pPr>
      <w:r>
        <w:t>49.</w:t>
      </w:r>
      <w:r>
        <w:tab/>
      </w:r>
      <w:r>
        <w:rPr>
          <w:b/>
        </w:rPr>
        <w:t>El Sr.</w:t>
      </w:r>
      <w:r>
        <w:t xml:space="preserve"> </w:t>
      </w:r>
      <w:r>
        <w:rPr>
          <w:b/>
        </w:rPr>
        <w:t>Thornberry</w:t>
      </w:r>
      <w:r>
        <w:t xml:space="preserve"> (Relator para Turquía) se felicita de las numerosas enmiendas aportadas a la legislación por las autoridades turcas, en particular con miras a la adhesión de Turquía a </w:t>
      </w:r>
      <w:smartTag w:uri="urn:schemas-microsoft-com:office:smarttags" w:element="PersonName">
        <w:smartTagPr>
          <w:attr w:name="ProductID" w:val="la Uni￳n"/>
        </w:smartTagPr>
        <w:r>
          <w:t>la Unión</w:t>
        </w:r>
      </w:smartTag>
      <w:r>
        <w:t xml:space="preserve"> Europea. La delegación ha proporcionado información valiosa sobre su arsenal legislativo. En cuanto a la discriminación </w:t>
      </w:r>
      <w:r>
        <w:rPr>
          <w:i/>
        </w:rPr>
        <w:t>de facto</w:t>
      </w:r>
      <w:r>
        <w:t>, el Comité desearía que el Estado Parte proporcionase al Comité, en su próximo informe periódico, aclaraciones sobre la condición jurídica de las minorías nacionales así como sobre las restricciones a la libertad de expresión. El Relator toma nota con satisfacción de que el ejercicio de los derechos fundamentales plantea cada vez menos problemas en el país pero deplora que no se haya adoptado una legislación antidiscriminatoria. Turquía es uno de los países de evolución más rápida en el continente europeo. Más allá de la promoción de la igualdad de oportunidades y de la igualdad de trato entre los ciudadanos, el Estado parte debe seguir progresando todavía en materia de la promoción de la diversidad.</w:t>
      </w:r>
    </w:p>
    <w:p w:rsidR="00000000" w:rsidRDefault="00000000">
      <w:pPr>
        <w:pStyle w:val="SingleTxtG"/>
      </w:pPr>
      <w:r>
        <w:t>50.</w:t>
      </w:r>
      <w:r>
        <w:tab/>
      </w:r>
      <w:r>
        <w:rPr>
          <w:b/>
        </w:rPr>
        <w:t>La</w:t>
      </w:r>
      <w:r>
        <w:t xml:space="preserve"> </w:t>
      </w:r>
      <w:r>
        <w:rPr>
          <w:b/>
        </w:rPr>
        <w:t>Presidenta</w:t>
      </w:r>
      <w:r>
        <w:t xml:space="preserve"> agradece efusivamente a la delegación turca el diálogo de calidad que ha entablado con el Comité. Turquía es un país que ha decidido abrir las fronteras de Europa a nuevos horizontes, en particular al mundo musulmán. Esta decisión política tendrá de hecho efectos considerables sobre la promoción de los derechos humanos en el mundo entero.</w:t>
      </w:r>
    </w:p>
    <w:p w:rsidR="00000000" w:rsidRDefault="00000000">
      <w:pPr>
        <w:pStyle w:val="SingleTxtG"/>
      </w:pPr>
      <w:r>
        <w:t>51.</w:t>
      </w:r>
      <w:r>
        <w:tab/>
      </w:r>
      <w:r>
        <w:rPr>
          <w:b/>
        </w:rPr>
        <w:t>El Sr. Göğǘş</w:t>
      </w:r>
      <w:r>
        <w:t xml:space="preserve"> (Turquía) dice que su país está firmemente decidido a cumplir con todas las obligaciones que le incumben en virtud de los instrumentos internacionales de derechos humanos. Recuerda que Turquía no tolera ninguna práctica discriminatoria y que no escatima esfuerzo alguno para promover el Estado de derecho y la igualdad de trato entre todos los ciudadanos, sin distinción alguna. La delegación turca ha tomado debidamente nota de las observaciones y sugerencias constructivas de los miembros del Comité y las transmitirá a las autoridades competentes a su regreso a la capital.</w:t>
      </w:r>
    </w:p>
    <w:p w:rsidR="00000000" w:rsidRDefault="00000000">
      <w:pPr>
        <w:pStyle w:val="SingleTxtG"/>
        <w:rPr>
          <w:i/>
        </w:rPr>
      </w:pPr>
      <w:r>
        <w:rPr>
          <w:i/>
        </w:rPr>
        <w:t>Se levanta la sesión a las 12.50 horas.</w:t>
      </w:r>
    </w:p>
    <w:p w:rsidR="00000000" w:rsidRDefault="00000000">
      <w:pPr>
        <w:pStyle w:val="SingleTxtG"/>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GE.09-40798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GE.09-40798</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p>
  <w:p w:rsidR="00000000" w:rsidRDefault="00000000">
    <w:pPr>
      <w:pBdr>
        <w:top w:val="single" w:sz="4" w:space="1" w:color="auto"/>
      </w:pBdr>
      <w:spacing w:after="120" w:line="240" w:lineRule="auto"/>
      <w:rPr>
        <w:sz w:val="18"/>
        <w:szCs w:val="18"/>
      </w:rPr>
    </w:pPr>
    <w:r>
      <w:rPr>
        <w:sz w:val="18"/>
        <w:szCs w:val="18"/>
      </w:rPr>
      <w:tab/>
    </w:r>
    <w:r>
      <w:rPr>
        <w:sz w:val="18"/>
        <w:szCs w:val="18"/>
      </w:rPr>
      <w:tab/>
      <w:t>La presente acta está sujeta a correcciones.</w:t>
    </w:r>
  </w:p>
  <w:p w:rsidR="00000000" w:rsidRDefault="00000000">
    <w:pPr>
      <w:spacing w:after="120" w:line="240" w:lineRule="auto"/>
      <w:ind w:left="1134"/>
      <w:rPr>
        <w:sz w:val="18"/>
        <w:szCs w:val="18"/>
      </w:rPr>
    </w:pPr>
    <w:r>
      <w:rPr>
        <w:sz w:val="18"/>
        <w:szCs w:val="18"/>
      </w:rPr>
      <w:t xml:space="preserve">Las correcciones deberán redactarse en uno de los idiomas de trabajo. Deberán presentarse en forma de memorando, incorporarse en un ejemplar del acta y enviarse, </w:t>
    </w:r>
    <w:r>
      <w:rPr>
        <w:i/>
        <w:sz w:val="18"/>
        <w:szCs w:val="18"/>
      </w:rPr>
      <w:t>dentro del plazo de una semana a partir de la fecha del presente documento</w:t>
    </w:r>
    <w:r>
      <w:rPr>
        <w:sz w:val="18"/>
        <w:szCs w:val="18"/>
      </w:rPr>
      <w:t>, a la Dependencia de Edición, oficina E.4108, Palacio de las Naciones, Ginebra.</w:t>
    </w:r>
  </w:p>
  <w:p w:rsidR="00000000" w:rsidRDefault="00000000">
    <w:pPr>
      <w:spacing w:after="600" w:line="240" w:lineRule="auto"/>
      <w:ind w:left="1134"/>
      <w:rPr>
        <w:sz w:val="18"/>
        <w:szCs w:val="18"/>
      </w:rPr>
    </w:pPr>
    <w:r>
      <w:rPr>
        <w:sz w:val="18"/>
        <w:szCs w:val="18"/>
      </w:rPr>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GE.09-40798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110610    170610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5258</Words>
  <Characters>28923</Characters>
  <Application>Microsoft Office Word</Application>
  <DocSecurity>4</DocSecurity>
  <Lines>241</Lines>
  <Paragraphs>68</Paragraphs>
  <ScaleCrop>false</ScaleCrop>
  <HeadingPairs>
    <vt:vector size="2" baseType="variant">
      <vt:variant>
        <vt:lpstr>Título</vt:lpstr>
      </vt:variant>
      <vt:variant>
        <vt:i4>1</vt:i4>
      </vt:variant>
    </vt:vector>
  </HeadingPairs>
  <TitlesOfParts>
    <vt:vector size="1" baseType="lpstr">
      <vt:lpstr>CERD/C/SR.1915   -   09-40798</vt:lpstr>
    </vt:vector>
  </TitlesOfParts>
  <Company/>
  <LinksUpToDate>false</LinksUpToDate>
  <CharactersWithSpaces>34113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CERD/C/SR.1915   -   09-40798</dc:title>
  <dc:subject/>
  <dc:creator>Tina de la Rocha</dc:creator>
  <cp:keywords/>
  <dc:description/>
  <cp:lastModifiedBy>Admieng</cp:lastModifiedBy>
  <cp:revision>2</cp:revision>
  <cp:lastPrinted>2008-01-16T09:37:00Z</cp:lastPrinted>
  <dcterms:created xsi:type="dcterms:W3CDTF">2010-06-17T14:50:00Z</dcterms:created>
  <dcterms:modified xsi:type="dcterms:W3CDTF">2010-06-17T14:50:00Z</dcterms:modified>
</cp:coreProperties>
</file>