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5pt;margin-top:714.2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40338</w:t>
                  </w:r>
                  <w:r>
                    <w:rPr>
                      <w:lang w:val="en-US"/>
                    </w:rPr>
                    <w:fldChar w:fldCharType="end"/>
                  </w:r>
                  <w:r>
                    <w:rPr>
                      <w:lang w:val="en-US"/>
                    </w:rPr>
                    <w:t xml:space="preserve">   (R)    </w:t>
                  </w:r>
                  <w:r>
                    <w:t>230506</w:t>
                  </w:r>
                  <w:r>
                    <w:rPr>
                      <w:lang w:val="en-US"/>
                    </w:rPr>
                    <w:t xml:space="preserve">    230506</w:t>
                  </w:r>
                </w:p>
              </w:txbxContent>
            </v:textbox>
            <w10:wrap type="topAndBottom" anchorx="page"/>
            <w10:anchorlock/>
          </v:shape>
        </w:pict>
      </w:r>
    </w:p>
    <w:tbl>
      <w:tblPr>
        <w:tblW w:w="0" w:type="auto"/>
        <w:tblLayout w:type="fixed"/>
        <w:tblCellMar>
          <w:left w:w="28" w:type="dxa"/>
          <w:right w:w="28" w:type="dxa"/>
        </w:tblCellMar>
        <w:tblLook w:val="0000" w:firstRow="0" w:lastRow="0" w:firstColumn="0" w:lastColumn="0" w:noHBand="0" w:noVBand="0"/>
      </w:tblPr>
      <w:tblGrid>
        <w:gridCol w:w="4707"/>
        <w:gridCol w:w="4703"/>
      </w:tblGrid>
      <w:tr w:rsidR="00000000">
        <w:tblPrEx>
          <w:tblCellMar>
            <w:top w:w="0" w:type="dxa"/>
            <w:bottom w:w="0" w:type="dxa"/>
          </w:tblCellMar>
        </w:tblPrEx>
        <w:trPr>
          <w:cantSplit/>
        </w:trPr>
        <w:tc>
          <w:tcPr>
            <w:tcW w:w="4707"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703"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34"/>
        <w:gridCol w:w="4572"/>
        <w:gridCol w:w="3304"/>
      </w:tblGrid>
      <w:tr w:rsidR="00000000">
        <w:tblPrEx>
          <w:tblCellMar>
            <w:top w:w="0" w:type="dxa"/>
            <w:bottom w:w="0" w:type="dxa"/>
          </w:tblCellMar>
        </w:tblPrEx>
        <w:trPr>
          <w:cantSplit/>
        </w:trPr>
        <w:tc>
          <w:tcPr>
            <w:tcW w:w="1534"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Start w:id="3" w:name="_MON_1209387125"/>
          <w:bookmarkEnd w:id="0"/>
          <w:bookmarkEnd w:id="1"/>
          <w:bookmarkEnd w:id="2"/>
          <w:bookmarkEnd w:id="3"/>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25052" r:id="rId8"/>
              </w:object>
            </w:r>
          </w:p>
        </w:tc>
        <w:tc>
          <w:tcPr>
            <w:tcW w:w="4572"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304"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4" w:name="ПолеСоСписком1"/>
            <w:r>
              <w:rPr>
                <w:lang w:val="en-US"/>
              </w:rPr>
              <w:instrText xml:space="preserve"> FORMDROPDOWN </w:instrText>
            </w:r>
            <w:r>
              <w:rPr>
                <w:lang w:val="en-US"/>
              </w:rPr>
            </w:r>
            <w:r>
              <w:rPr>
                <w:lang w:val="en-US"/>
              </w:rPr>
              <w:fldChar w:fldCharType="end"/>
            </w:r>
            <w:bookmarkEnd w:id="4"/>
          </w:p>
          <w:p w:rsidR="00000000" w:rsidRDefault="00000000">
            <w:pPr>
              <w:spacing w:line="216" w:lineRule="auto"/>
              <w:rPr>
                <w:lang w:val="en-US"/>
              </w:rPr>
            </w:pPr>
          </w:p>
          <w:p w:rsidR="00000000" w:rsidRDefault="00000000">
            <w:pPr>
              <w:spacing w:line="216" w:lineRule="auto"/>
              <w:rPr>
                <w:lang w:val="fr-FR"/>
              </w:rPr>
            </w:pPr>
            <w:r>
              <w:rPr>
                <w:lang w:val="en-US"/>
              </w:rPr>
              <w:fldChar w:fldCharType="begin"/>
            </w:r>
            <w:r>
              <w:rPr>
                <w:lang w:val="fr-FR"/>
              </w:rPr>
              <w:instrText xml:space="preserve"> FILLIN  "</w:instrText>
            </w:r>
            <w:r>
              <w:rPr>
                <w:lang w:val="en-US"/>
              </w:rPr>
              <w:instrText>Введите</w:instrText>
            </w:r>
            <w:r>
              <w:rPr>
                <w:lang w:val="fr-FR"/>
              </w:rPr>
              <w:instrText xml:space="preserve"> </w:instrText>
            </w:r>
            <w:r>
              <w:rPr>
                <w:lang w:val="en-US"/>
              </w:rPr>
              <w:instrText>символ</w:instrText>
            </w:r>
            <w:r>
              <w:rPr>
                <w:lang w:val="fr-FR"/>
              </w:rPr>
              <w:instrText xml:space="preserve"> </w:instrText>
            </w:r>
            <w:r>
              <w:rPr>
                <w:lang w:val="en-US"/>
              </w:rPr>
              <w:instrText>документа</w:instrText>
            </w:r>
            <w:r>
              <w:rPr>
                <w:lang w:val="fr-FR"/>
              </w:rPr>
              <w:instrText xml:space="preserve">" \* MERGEFORMAT </w:instrText>
            </w:r>
            <w:r>
              <w:rPr>
                <w:lang w:val="en-US"/>
              </w:rPr>
              <w:fldChar w:fldCharType="separate"/>
            </w:r>
            <w:r>
              <w:rPr>
                <w:lang w:val="fr-FR"/>
              </w:rPr>
              <w:t>E/C.12/FIN/5</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8 February 2006</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5" w:name="ПолеСоСписком2"/>
            <w:r>
              <w:rPr>
                <w:lang w:val="en-US"/>
              </w:rPr>
              <w:instrText xml:space="preserve"> FORMDROPDOWN </w:instrText>
            </w:r>
            <w:r>
              <w:rPr>
                <w:lang w:val="en-US"/>
              </w:rPr>
            </w:r>
            <w:r>
              <w:rPr>
                <w:lang w:val="en-US"/>
              </w:rPr>
              <w:fldChar w:fldCharType="end"/>
            </w:r>
            <w:bookmarkEnd w:id="5"/>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r>
        <w:t>Основная сессия 2006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Пятые периодические доклады, представленные государствами-участниками в соответствии со статьями 16 и 17 Пакта</w:t>
      </w:r>
    </w:p>
    <w:p w:rsidR="00000000" w:rsidRDefault="00000000">
      <w:pPr>
        <w:jc w:val="center"/>
        <w:rPr>
          <w:b/>
          <w:bCs/>
        </w:rPr>
      </w:pPr>
    </w:p>
    <w:p w:rsidR="00000000" w:rsidRDefault="00000000">
      <w:pPr>
        <w:jc w:val="center"/>
        <w:rPr>
          <w:bCs/>
        </w:rPr>
      </w:pPr>
      <w:r>
        <w:rPr>
          <w:b/>
          <w:bCs/>
        </w:rPr>
        <w:t>ФИНЛЯНДИЯ</w:t>
      </w:r>
      <w:r>
        <w:rPr>
          <w:rStyle w:val="FootnoteReference"/>
        </w:rPr>
        <w:footnoteReference w:customMarkFollows="1" w:id="1"/>
        <w:t>*</w:t>
      </w:r>
      <w:r>
        <w:t xml:space="preserve"> </w:t>
      </w:r>
      <w:r>
        <w:rPr>
          <w:rStyle w:val="FootnoteReference"/>
        </w:rPr>
        <w:footnoteReference w:customMarkFollows="1" w:id="2"/>
        <w:t>**</w:t>
      </w:r>
      <w:r>
        <w:t xml:space="preserve"> </w:t>
      </w:r>
      <w:r>
        <w:rPr>
          <w:rStyle w:val="FootnoteReference"/>
        </w:rPr>
        <w:footnoteReference w:customMarkFollows="1" w:id="3"/>
        <w:t>***</w:t>
      </w:r>
    </w:p>
    <w:p w:rsidR="00000000" w:rsidRDefault="00000000">
      <w:pPr>
        <w:jc w:val="center"/>
        <w:rPr>
          <w:bCs/>
        </w:rPr>
      </w:pPr>
    </w:p>
    <w:p w:rsidR="00000000" w:rsidRDefault="00000000">
      <w:pPr>
        <w:jc w:val="right"/>
        <w:rPr>
          <w:bCs/>
        </w:rPr>
      </w:pPr>
      <w:r>
        <w:rPr>
          <w:bCs/>
        </w:rPr>
        <w:t>[10 октября 2005 года]</w:t>
      </w:r>
    </w:p>
    <w:p w:rsidR="00000000" w:rsidRDefault="00000000">
      <w:pPr>
        <w:tabs>
          <w:tab w:val="clear" w:pos="6237"/>
          <w:tab w:val="center" w:pos="8759"/>
        </w:tabs>
        <w:jc w:val="center"/>
        <w:rPr>
          <w:b/>
        </w:rPr>
      </w:pPr>
      <w:r>
        <w:rPr>
          <w:bCs/>
        </w:rPr>
        <w:br w:type="page"/>
      </w:r>
      <w:r>
        <w:rPr>
          <w:b/>
        </w:rPr>
        <w:t>СОДЕРЖАНИЕ</w:t>
      </w:r>
    </w:p>
    <w:p w:rsidR="00000000" w:rsidRDefault="00000000">
      <w:pPr>
        <w:tabs>
          <w:tab w:val="clear" w:pos="6237"/>
          <w:tab w:val="center" w:pos="8759"/>
        </w:tabs>
        <w:jc w:val="center"/>
        <w:rPr>
          <w:bCs/>
        </w:rPr>
      </w:pPr>
    </w:p>
    <w:p w:rsidR="00000000" w:rsidRDefault="00000000">
      <w:pPr>
        <w:tabs>
          <w:tab w:val="clear" w:pos="6237"/>
          <w:tab w:val="center" w:pos="8039"/>
          <w:tab w:val="center" w:pos="9122"/>
        </w:tabs>
        <w:rPr>
          <w:bCs/>
          <w:i/>
          <w:iCs/>
        </w:rPr>
      </w:pPr>
      <w:r>
        <w:rPr>
          <w:bCs/>
        </w:rPr>
        <w:tab/>
      </w:r>
      <w:r>
        <w:rPr>
          <w:bCs/>
        </w:rPr>
        <w:tab/>
      </w:r>
      <w:r>
        <w:rPr>
          <w:bCs/>
        </w:rPr>
        <w:tab/>
      </w:r>
      <w:r>
        <w:rPr>
          <w:bCs/>
        </w:rPr>
        <w:tab/>
      </w:r>
      <w:r>
        <w:rPr>
          <w:bCs/>
        </w:rPr>
        <w:tab/>
      </w:r>
      <w:r>
        <w:rPr>
          <w:bCs/>
          <w:i/>
          <w:iCs/>
        </w:rPr>
        <w:t>Пункты</w:t>
      </w:r>
      <w:r>
        <w:rPr>
          <w:bCs/>
          <w:i/>
          <w:iCs/>
        </w:rPr>
        <w:tab/>
        <w:t>Стр.</w:t>
      </w:r>
    </w:p>
    <w:p w:rsidR="00000000" w:rsidRDefault="00000000">
      <w:pPr>
        <w:tabs>
          <w:tab w:val="clear" w:pos="6237"/>
          <w:tab w:val="right" w:leader="dot" w:pos="7172"/>
          <w:tab w:val="center" w:pos="8039"/>
          <w:tab w:val="center" w:pos="9122"/>
        </w:tabs>
        <w:rPr>
          <w:bCs/>
        </w:rPr>
      </w:pPr>
    </w:p>
    <w:p w:rsidR="00000000" w:rsidRDefault="00000000">
      <w:pPr>
        <w:tabs>
          <w:tab w:val="clear" w:pos="1134"/>
          <w:tab w:val="clear" w:pos="1701"/>
          <w:tab w:val="clear" w:pos="2268"/>
          <w:tab w:val="clear" w:pos="6237"/>
          <w:tab w:val="right" w:leader="dot" w:pos="7172"/>
          <w:tab w:val="center" w:pos="8039"/>
          <w:tab w:val="center" w:pos="9122"/>
        </w:tabs>
        <w:rPr>
          <w:bCs/>
        </w:rPr>
      </w:pPr>
      <w:r>
        <w:rPr>
          <w:bCs/>
        </w:rPr>
        <w:t>Введение</w:t>
      </w:r>
      <w:r>
        <w:rPr>
          <w:bCs/>
        </w:rPr>
        <w:tab/>
      </w:r>
      <w:r>
        <w:rPr>
          <w:bCs/>
        </w:rPr>
        <w:tab/>
        <w:t>1 - 10</w:t>
      </w:r>
      <w:r>
        <w:rPr>
          <w:bCs/>
        </w:rPr>
        <w:tab/>
        <w:t>10</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D.</w:t>
      </w:r>
      <w:r>
        <w:rPr>
          <w:bCs/>
        </w:rPr>
        <w:tab/>
        <w:t xml:space="preserve">Основные проблемы, вызывающие </w:t>
      </w:r>
      <w:r>
        <w:rPr>
          <w:bCs/>
          <w:lang w:val="en-US"/>
        </w:rPr>
        <w:t>o</w:t>
      </w:r>
      <w:r>
        <w:rPr>
          <w:bCs/>
        </w:rPr>
        <w:t>забоченность</w:t>
      </w:r>
      <w:r>
        <w:rPr>
          <w:bCs/>
        </w:rPr>
        <w:tab/>
      </w:r>
      <w:r>
        <w:rPr>
          <w:bCs/>
        </w:rPr>
        <w:tab/>
        <w:t>11 - 50</w:t>
      </w:r>
      <w:r>
        <w:rPr>
          <w:bCs/>
        </w:rPr>
        <w:tab/>
        <w:t>12</w:t>
      </w:r>
    </w:p>
    <w:p w:rsidR="00000000" w:rsidRDefault="00000000">
      <w:pPr>
        <w:tabs>
          <w:tab w:val="clear" w:pos="6237"/>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D 12.</w:t>
      </w:r>
      <w:r>
        <w:rPr>
          <w:bCs/>
        </w:rPr>
        <w:tab/>
        <w:t>Прецедентная практика</w:t>
      </w:r>
      <w:r>
        <w:rPr>
          <w:bCs/>
        </w:rPr>
        <w:tab/>
      </w:r>
      <w:r>
        <w:rPr>
          <w:bCs/>
        </w:rPr>
        <w:tab/>
        <w:t>11 - 14</w:t>
      </w:r>
      <w:r>
        <w:rPr>
          <w:bCs/>
        </w:rPr>
        <w:tab/>
        <w:t>12</w:t>
      </w:r>
    </w:p>
    <w:p w:rsidR="00000000" w:rsidRDefault="00000000">
      <w:pPr>
        <w:tabs>
          <w:tab w:val="clear" w:pos="6237"/>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D 14.</w:t>
      </w:r>
      <w:r>
        <w:rPr>
          <w:bCs/>
        </w:rPr>
        <w:tab/>
        <w:t>Расистские взгляды</w:t>
      </w:r>
      <w:r>
        <w:rPr>
          <w:bCs/>
        </w:rPr>
        <w:tab/>
      </w:r>
      <w:r>
        <w:rPr>
          <w:bCs/>
        </w:rPr>
        <w:tab/>
        <w:t>15 - 31</w:t>
      </w:r>
      <w:r>
        <w:rPr>
          <w:bCs/>
        </w:rPr>
        <w:tab/>
        <w:t>13</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D 15.</w:t>
      </w:r>
      <w:r>
        <w:rPr>
          <w:bCs/>
        </w:rPr>
        <w:tab/>
        <w:t>Реализация трудовых прав так называемыми "резервными"</w:t>
      </w:r>
    </w:p>
    <w:p w:rsidR="00000000" w:rsidRDefault="00000000">
      <w:pPr>
        <w:tabs>
          <w:tab w:val="clear" w:pos="1134"/>
          <w:tab w:val="clear" w:pos="6237"/>
          <w:tab w:val="left" w:pos="1418"/>
          <w:tab w:val="right" w:leader="dot" w:pos="7172"/>
          <w:tab w:val="center" w:pos="8039"/>
          <w:tab w:val="center" w:pos="9122"/>
        </w:tabs>
        <w:rPr>
          <w:bCs/>
        </w:rPr>
      </w:pPr>
      <w:r>
        <w:rPr>
          <w:bCs/>
        </w:rPr>
        <w:tab/>
      </w:r>
      <w:r>
        <w:rPr>
          <w:bCs/>
        </w:rPr>
        <w:tab/>
        <w:t>рабочими</w:t>
      </w:r>
      <w:r>
        <w:rPr>
          <w:bCs/>
        </w:rPr>
        <w:tab/>
      </w:r>
      <w:r>
        <w:rPr>
          <w:bCs/>
        </w:rPr>
        <w:tab/>
        <w:t>32 - 34</w:t>
      </w:r>
      <w:r>
        <w:rPr>
          <w:bCs/>
        </w:rPr>
        <w:tab/>
        <w:t>16</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D 16.</w:t>
      </w:r>
      <w:r>
        <w:rPr>
          <w:bCs/>
        </w:rPr>
        <w:tab/>
        <w:t>Минимальная заработная плата</w:t>
      </w:r>
      <w:r>
        <w:rPr>
          <w:bCs/>
        </w:rPr>
        <w:tab/>
      </w:r>
      <w:r>
        <w:rPr>
          <w:bCs/>
        </w:rPr>
        <w:tab/>
        <w:t>35 - 37</w:t>
      </w:r>
      <w:r>
        <w:rPr>
          <w:bCs/>
        </w:rPr>
        <w:tab/>
        <w:t>17</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D 17.</w:t>
      </w:r>
      <w:r>
        <w:rPr>
          <w:bCs/>
        </w:rPr>
        <w:tab/>
        <w:t>Насилие в отношении женщин</w:t>
      </w:r>
      <w:r>
        <w:rPr>
          <w:bCs/>
        </w:rPr>
        <w:tab/>
      </w:r>
      <w:r>
        <w:rPr>
          <w:bCs/>
        </w:rPr>
        <w:tab/>
        <w:t>38</w:t>
      </w:r>
      <w:r>
        <w:rPr>
          <w:bCs/>
        </w:rPr>
        <w:tab/>
        <w:t>18</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D 18.</w:t>
      </w:r>
      <w:r>
        <w:rPr>
          <w:bCs/>
        </w:rPr>
        <w:tab/>
        <w:t>Бездомные в Хельсинкской агломерации</w:t>
      </w:r>
      <w:r>
        <w:rPr>
          <w:bCs/>
        </w:rPr>
        <w:tab/>
      </w:r>
      <w:r>
        <w:rPr>
          <w:bCs/>
        </w:rPr>
        <w:tab/>
        <w:t>39 - 46</w:t>
      </w:r>
      <w:r>
        <w:rPr>
          <w:bCs/>
        </w:rPr>
        <w:tab/>
        <w:t>18</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D 19.</w:t>
      </w:r>
      <w:r>
        <w:rPr>
          <w:bCs/>
        </w:rPr>
        <w:tab/>
        <w:t>Государственная система здравоохранения</w:t>
      </w:r>
      <w:r>
        <w:rPr>
          <w:bCs/>
        </w:rPr>
        <w:tab/>
      </w:r>
      <w:r>
        <w:rPr>
          <w:bCs/>
        </w:rPr>
        <w:tab/>
        <w:t>47 - 49</w:t>
      </w:r>
      <w:r>
        <w:rPr>
          <w:bCs/>
        </w:rPr>
        <w:tab/>
        <w:t>21</w:t>
      </w:r>
    </w:p>
    <w:p w:rsidR="00000000" w:rsidRDefault="00000000">
      <w:pPr>
        <w:tabs>
          <w:tab w:val="clear" w:pos="6237"/>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D 20.</w:t>
      </w:r>
      <w:r>
        <w:rPr>
          <w:bCs/>
        </w:rPr>
        <w:tab/>
        <w:t>Неравенство в зависимости от места жительства</w:t>
      </w:r>
      <w:r>
        <w:rPr>
          <w:bCs/>
        </w:rPr>
        <w:tab/>
      </w:r>
      <w:r>
        <w:rPr>
          <w:bCs/>
        </w:rPr>
        <w:tab/>
        <w:t>50</w:t>
      </w:r>
      <w:r>
        <w:rPr>
          <w:bCs/>
        </w:rPr>
        <w:tab/>
        <w:t>22</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Е.</w:t>
      </w:r>
      <w:r>
        <w:rPr>
          <w:bCs/>
        </w:rPr>
        <w:tab/>
        <w:t>Предложения и рекомендации</w:t>
      </w:r>
      <w:r>
        <w:rPr>
          <w:bCs/>
        </w:rPr>
        <w:tab/>
      </w:r>
      <w:r>
        <w:rPr>
          <w:bCs/>
        </w:rPr>
        <w:tab/>
        <w:t>51 - 159</w:t>
      </w:r>
      <w:r>
        <w:rPr>
          <w:bCs/>
        </w:rPr>
        <w:tab/>
        <w:t>22</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E 21.</w:t>
      </w:r>
      <w:r>
        <w:rPr>
          <w:bCs/>
        </w:rPr>
        <w:tab/>
        <w:t>Национальный план действий</w:t>
      </w:r>
      <w:r>
        <w:rPr>
          <w:bCs/>
        </w:rPr>
        <w:tab/>
      </w:r>
      <w:r>
        <w:rPr>
          <w:bCs/>
        </w:rPr>
        <w:tab/>
        <w:t>51</w:t>
      </w:r>
      <w:r>
        <w:rPr>
          <w:bCs/>
        </w:rPr>
        <w:tab/>
        <w:t>22</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Е 22.</w:t>
      </w:r>
      <w:r>
        <w:rPr>
          <w:bCs/>
        </w:rPr>
        <w:tab/>
        <w:t>Дополнительная подготовка судей и адвокатов</w:t>
      </w:r>
      <w:r>
        <w:rPr>
          <w:bCs/>
        </w:rPr>
        <w:tab/>
      </w:r>
      <w:r>
        <w:rPr>
          <w:bCs/>
        </w:rPr>
        <w:tab/>
        <w:t>52 - 55</w:t>
      </w:r>
      <w:r>
        <w:rPr>
          <w:bCs/>
        </w:rPr>
        <w:tab/>
        <w:t>23</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Е 23.</w:t>
      </w:r>
      <w:r>
        <w:rPr>
          <w:bCs/>
        </w:rPr>
        <w:tab/>
        <w:t>Бюджетные ассигнования на международное</w:t>
      </w:r>
    </w:p>
    <w:p w:rsidR="00000000" w:rsidRDefault="00000000">
      <w:pPr>
        <w:tabs>
          <w:tab w:val="clear" w:pos="1134"/>
          <w:tab w:val="clear" w:pos="6237"/>
          <w:tab w:val="left" w:pos="1418"/>
          <w:tab w:val="right" w:leader="dot" w:pos="7172"/>
          <w:tab w:val="center" w:pos="8039"/>
          <w:tab w:val="center" w:pos="9122"/>
        </w:tabs>
        <w:rPr>
          <w:bCs/>
        </w:rPr>
      </w:pPr>
      <w:r>
        <w:rPr>
          <w:bCs/>
        </w:rPr>
        <w:tab/>
      </w:r>
      <w:r>
        <w:rPr>
          <w:bCs/>
        </w:rPr>
        <w:tab/>
        <w:t>сотрудничество</w:t>
      </w:r>
      <w:r>
        <w:rPr>
          <w:bCs/>
        </w:rPr>
        <w:tab/>
      </w:r>
      <w:r>
        <w:rPr>
          <w:bCs/>
        </w:rPr>
        <w:tab/>
        <w:t>56 - 58</w:t>
      </w:r>
      <w:r>
        <w:rPr>
          <w:bCs/>
        </w:rPr>
        <w:tab/>
        <w:t>23</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Е 24.</w:t>
      </w:r>
      <w:r>
        <w:rPr>
          <w:bCs/>
        </w:rPr>
        <w:tab/>
        <w:t>Обязательства в связи с членством в международных</w:t>
      </w:r>
    </w:p>
    <w:p w:rsidR="00000000" w:rsidRDefault="00000000">
      <w:pPr>
        <w:tabs>
          <w:tab w:val="clear" w:pos="1134"/>
          <w:tab w:val="clear" w:pos="6237"/>
          <w:tab w:val="left" w:pos="1418"/>
          <w:tab w:val="right" w:leader="dot" w:pos="7172"/>
          <w:tab w:val="center" w:pos="8039"/>
          <w:tab w:val="center" w:pos="9122"/>
        </w:tabs>
        <w:rPr>
          <w:bCs/>
        </w:rPr>
      </w:pPr>
      <w:r>
        <w:rPr>
          <w:bCs/>
        </w:rPr>
        <w:tab/>
      </w:r>
      <w:r>
        <w:rPr>
          <w:bCs/>
        </w:rPr>
        <w:tab/>
        <w:t>финансовых учреждениях</w:t>
      </w:r>
      <w:r>
        <w:rPr>
          <w:bCs/>
        </w:rPr>
        <w:tab/>
      </w:r>
      <w:r>
        <w:rPr>
          <w:bCs/>
        </w:rPr>
        <w:tab/>
        <w:t>59</w:t>
      </w:r>
      <w:r>
        <w:rPr>
          <w:bCs/>
        </w:rPr>
        <w:tab/>
        <w:t>24</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Е 25.</w:t>
      </w:r>
      <w:r>
        <w:rPr>
          <w:bCs/>
        </w:rPr>
        <w:tab/>
        <w:t>Конвенция МОТ № 169 и вопрос о праве собственности</w:t>
      </w:r>
    </w:p>
    <w:p w:rsidR="00000000" w:rsidRDefault="00000000">
      <w:pPr>
        <w:tabs>
          <w:tab w:val="clear" w:pos="1134"/>
          <w:tab w:val="clear" w:pos="6237"/>
          <w:tab w:val="left" w:pos="1418"/>
          <w:tab w:val="right" w:leader="dot" w:pos="7172"/>
          <w:tab w:val="center" w:pos="8039"/>
          <w:tab w:val="center" w:pos="9122"/>
        </w:tabs>
        <w:rPr>
          <w:bCs/>
        </w:rPr>
      </w:pPr>
      <w:r>
        <w:rPr>
          <w:bCs/>
        </w:rPr>
        <w:tab/>
      </w:r>
      <w:r>
        <w:rPr>
          <w:bCs/>
        </w:rPr>
        <w:tab/>
        <w:t>саами на землю</w:t>
      </w:r>
      <w:r>
        <w:rPr>
          <w:bCs/>
        </w:rPr>
        <w:tab/>
      </w:r>
      <w:r>
        <w:rPr>
          <w:bCs/>
        </w:rPr>
        <w:tab/>
        <w:t>60 - 79</w:t>
      </w:r>
      <w:r>
        <w:rPr>
          <w:bCs/>
        </w:rPr>
        <w:tab/>
        <w:t>25</w:t>
      </w:r>
    </w:p>
    <w:p w:rsidR="00000000" w:rsidRDefault="00000000">
      <w:pPr>
        <w:tabs>
          <w:tab w:val="clear" w:pos="6237"/>
          <w:tab w:val="center" w:pos="8759"/>
        </w:tabs>
        <w:jc w:val="center"/>
        <w:rPr>
          <w:b/>
        </w:rPr>
      </w:pPr>
      <w:r>
        <w:rPr>
          <w:b/>
        </w:rPr>
        <w:t>СОДЕРЖАНИЕ</w:t>
      </w:r>
      <w:r>
        <w:rPr>
          <w:b/>
          <w:lang w:val="en-US"/>
        </w:rPr>
        <w:t xml:space="preserve"> </w:t>
      </w:r>
      <w:r>
        <w:rPr>
          <w:b/>
        </w:rPr>
        <w:t>(</w:t>
      </w:r>
      <w:r>
        <w:rPr>
          <w:b/>
          <w:i/>
          <w:iCs/>
        </w:rPr>
        <w:t>продолжение</w:t>
      </w:r>
      <w:r>
        <w:rPr>
          <w:b/>
        </w:rPr>
        <w:t>)</w:t>
      </w:r>
    </w:p>
    <w:p w:rsidR="00000000" w:rsidRDefault="00000000">
      <w:pPr>
        <w:tabs>
          <w:tab w:val="clear" w:pos="6237"/>
          <w:tab w:val="center" w:pos="8759"/>
        </w:tabs>
        <w:jc w:val="center"/>
        <w:rPr>
          <w:bCs/>
        </w:rPr>
      </w:pPr>
    </w:p>
    <w:p w:rsidR="00000000" w:rsidRDefault="00000000">
      <w:pPr>
        <w:tabs>
          <w:tab w:val="clear" w:pos="6237"/>
          <w:tab w:val="center" w:pos="8039"/>
          <w:tab w:val="center" w:pos="9122"/>
        </w:tabs>
        <w:rPr>
          <w:bCs/>
          <w:i/>
          <w:iCs/>
        </w:rPr>
      </w:pPr>
      <w:r>
        <w:rPr>
          <w:bCs/>
        </w:rPr>
        <w:tab/>
      </w:r>
      <w:r>
        <w:rPr>
          <w:bCs/>
        </w:rPr>
        <w:tab/>
      </w:r>
      <w:r>
        <w:rPr>
          <w:bCs/>
        </w:rPr>
        <w:tab/>
      </w:r>
      <w:r>
        <w:rPr>
          <w:bCs/>
        </w:rPr>
        <w:tab/>
      </w:r>
      <w:r>
        <w:rPr>
          <w:bCs/>
        </w:rPr>
        <w:tab/>
      </w:r>
      <w:r>
        <w:rPr>
          <w:bCs/>
          <w:i/>
          <w:iCs/>
        </w:rPr>
        <w:t>Пункты</w:t>
      </w:r>
      <w:r>
        <w:rPr>
          <w:bCs/>
          <w:i/>
          <w:iCs/>
        </w:rPr>
        <w:tab/>
        <w:t>Стр.</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Е 26.</w:t>
      </w:r>
      <w:r>
        <w:rPr>
          <w:bCs/>
        </w:rPr>
        <w:tab/>
        <w:t>Положение народности рома</w:t>
      </w:r>
      <w:r>
        <w:rPr>
          <w:bCs/>
        </w:rPr>
        <w:tab/>
      </w:r>
      <w:r>
        <w:rPr>
          <w:bCs/>
        </w:rPr>
        <w:tab/>
        <w:t>80 - 101</w:t>
      </w:r>
      <w:r>
        <w:rPr>
          <w:bCs/>
        </w:rPr>
        <w:tab/>
        <w:t>30</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Е 27.</w:t>
      </w:r>
      <w:r>
        <w:rPr>
          <w:bCs/>
        </w:rPr>
        <w:tab/>
        <w:t>Расизм и ксенофобия</w:t>
      </w:r>
      <w:r>
        <w:rPr>
          <w:bCs/>
        </w:rPr>
        <w:tab/>
      </w:r>
      <w:r>
        <w:rPr>
          <w:bCs/>
        </w:rPr>
        <w:tab/>
        <w:t>102 - 121</w:t>
      </w:r>
      <w:r>
        <w:rPr>
          <w:bCs/>
        </w:rPr>
        <w:tab/>
        <w:t>36</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Е 28.</w:t>
      </w:r>
      <w:r>
        <w:rPr>
          <w:bCs/>
        </w:rPr>
        <w:tab/>
        <w:t>Гарантированность занятости лиц, работающих</w:t>
      </w:r>
    </w:p>
    <w:p w:rsidR="00000000" w:rsidRDefault="00000000">
      <w:pPr>
        <w:tabs>
          <w:tab w:val="clear" w:pos="1134"/>
          <w:tab w:val="clear" w:pos="6237"/>
          <w:tab w:val="left" w:pos="1418"/>
          <w:tab w:val="right" w:leader="dot" w:pos="7172"/>
          <w:tab w:val="center" w:pos="8039"/>
          <w:tab w:val="center" w:pos="9122"/>
        </w:tabs>
        <w:rPr>
          <w:bCs/>
        </w:rPr>
      </w:pPr>
      <w:r>
        <w:rPr>
          <w:bCs/>
        </w:rPr>
        <w:tab/>
      </w:r>
      <w:r>
        <w:rPr>
          <w:bCs/>
        </w:rPr>
        <w:tab/>
        <w:t>неполный рабочий день, резервных рабочих</w:t>
      </w:r>
    </w:p>
    <w:p w:rsidR="00000000" w:rsidRDefault="00000000">
      <w:pPr>
        <w:tabs>
          <w:tab w:val="clear" w:pos="1134"/>
          <w:tab w:val="clear" w:pos="6237"/>
          <w:tab w:val="left" w:pos="1418"/>
          <w:tab w:val="right" w:leader="dot" w:pos="7172"/>
          <w:tab w:val="center" w:pos="8039"/>
          <w:tab w:val="center" w:pos="9122"/>
        </w:tabs>
        <w:rPr>
          <w:bCs/>
        </w:rPr>
      </w:pPr>
      <w:r>
        <w:rPr>
          <w:bCs/>
        </w:rPr>
        <w:tab/>
      </w:r>
      <w:r>
        <w:rPr>
          <w:bCs/>
        </w:rPr>
        <w:tab/>
        <w:t>и иностранцев</w:t>
      </w:r>
      <w:r>
        <w:rPr>
          <w:bCs/>
        </w:rPr>
        <w:tab/>
      </w:r>
      <w:r>
        <w:rPr>
          <w:bCs/>
        </w:rPr>
        <w:tab/>
        <w:t>122 - 126</w:t>
      </w:r>
      <w:r>
        <w:rPr>
          <w:bCs/>
        </w:rPr>
        <w:tab/>
        <w:t>41</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Е 29.</w:t>
      </w:r>
      <w:r>
        <w:rPr>
          <w:bCs/>
        </w:rPr>
        <w:tab/>
        <w:t>Введение минимальной заработной платы в целях</w:t>
      </w:r>
    </w:p>
    <w:p w:rsidR="00000000" w:rsidRDefault="00000000">
      <w:pPr>
        <w:tabs>
          <w:tab w:val="clear" w:pos="1134"/>
          <w:tab w:val="clear" w:pos="6237"/>
          <w:tab w:val="left" w:pos="1418"/>
          <w:tab w:val="right" w:leader="dot" w:pos="7172"/>
          <w:tab w:val="center" w:pos="8039"/>
          <w:tab w:val="center" w:pos="9122"/>
        </w:tabs>
        <w:rPr>
          <w:bCs/>
        </w:rPr>
      </w:pPr>
      <w:r>
        <w:rPr>
          <w:bCs/>
        </w:rPr>
        <w:tab/>
      </w:r>
      <w:r>
        <w:rPr>
          <w:bCs/>
        </w:rPr>
        <w:tab/>
        <w:t>защиты трудящихся, которые не подпадают под действие</w:t>
      </w:r>
    </w:p>
    <w:p w:rsidR="00000000" w:rsidRDefault="00000000">
      <w:pPr>
        <w:tabs>
          <w:tab w:val="clear" w:pos="1134"/>
          <w:tab w:val="clear" w:pos="6237"/>
          <w:tab w:val="left" w:pos="1418"/>
          <w:tab w:val="right" w:leader="dot" w:pos="7172"/>
          <w:tab w:val="center" w:pos="8039"/>
          <w:tab w:val="center" w:pos="9122"/>
        </w:tabs>
        <w:rPr>
          <w:bCs/>
        </w:rPr>
      </w:pPr>
      <w:r>
        <w:rPr>
          <w:bCs/>
        </w:rPr>
        <w:tab/>
      </w:r>
      <w:r>
        <w:rPr>
          <w:bCs/>
        </w:rPr>
        <w:tab/>
        <w:t>отраслевых коллективных договоров</w:t>
      </w:r>
      <w:r>
        <w:rPr>
          <w:bCs/>
        </w:rPr>
        <w:tab/>
      </w:r>
      <w:r>
        <w:rPr>
          <w:bCs/>
        </w:rPr>
        <w:tab/>
        <w:t>127 - 132</w:t>
      </w:r>
      <w:r>
        <w:rPr>
          <w:bCs/>
        </w:rPr>
        <w:tab/>
        <w:t>42</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Е 30.</w:t>
      </w:r>
      <w:r>
        <w:rPr>
          <w:bCs/>
        </w:rPr>
        <w:tab/>
        <w:t>Насилие в отношении женщин</w:t>
      </w:r>
      <w:r>
        <w:rPr>
          <w:bCs/>
        </w:rPr>
        <w:tab/>
      </w:r>
      <w:r>
        <w:rPr>
          <w:bCs/>
        </w:rPr>
        <w:tab/>
        <w:t>133 - 154</w:t>
      </w:r>
      <w:r>
        <w:rPr>
          <w:bCs/>
        </w:rPr>
        <w:tab/>
        <w:t>44</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Е 31.</w:t>
      </w:r>
      <w:r>
        <w:rPr>
          <w:bCs/>
        </w:rPr>
        <w:tab/>
        <w:t>Государственное здравоохранение</w:t>
      </w:r>
      <w:r>
        <w:rPr>
          <w:bCs/>
        </w:rPr>
        <w:tab/>
      </w:r>
      <w:r>
        <w:rPr>
          <w:bCs/>
        </w:rPr>
        <w:tab/>
        <w:t>155</w:t>
      </w:r>
      <w:r>
        <w:rPr>
          <w:bCs/>
        </w:rPr>
        <w:tab/>
        <w:t>50</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Е 32.</w:t>
      </w:r>
      <w:r>
        <w:rPr>
          <w:bCs/>
        </w:rPr>
        <w:tab/>
        <w:t>Адекватные услуги в области здравоохранения, особенно</w:t>
      </w:r>
    </w:p>
    <w:p w:rsidR="00000000" w:rsidRDefault="00000000">
      <w:pPr>
        <w:tabs>
          <w:tab w:val="clear" w:pos="1134"/>
          <w:tab w:val="clear" w:pos="6237"/>
          <w:tab w:val="left" w:pos="1418"/>
          <w:tab w:val="right" w:leader="dot" w:pos="7172"/>
          <w:tab w:val="center" w:pos="8039"/>
          <w:tab w:val="center" w:pos="9122"/>
        </w:tabs>
        <w:rPr>
          <w:bCs/>
        </w:rPr>
      </w:pPr>
      <w:r>
        <w:rPr>
          <w:bCs/>
        </w:rPr>
        <w:tab/>
      </w:r>
      <w:r>
        <w:rPr>
          <w:bCs/>
        </w:rPr>
        <w:tab/>
        <w:t>для уязвимых групп населения</w:t>
      </w:r>
      <w:r>
        <w:rPr>
          <w:bCs/>
        </w:rPr>
        <w:tab/>
      </w:r>
      <w:r>
        <w:rPr>
          <w:bCs/>
        </w:rPr>
        <w:tab/>
        <w:t>156</w:t>
      </w:r>
      <w:r>
        <w:rPr>
          <w:bCs/>
        </w:rPr>
        <w:tab/>
        <w:t>51</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Е 34.</w:t>
      </w:r>
      <w:r>
        <w:rPr>
          <w:bCs/>
        </w:rPr>
        <w:tab/>
        <w:t>Распространение заключительных замечаний</w:t>
      </w:r>
      <w:r>
        <w:rPr>
          <w:bCs/>
        </w:rPr>
        <w:tab/>
      </w:r>
      <w:r>
        <w:rPr>
          <w:bCs/>
        </w:rPr>
        <w:tab/>
        <w:t>157 - 159</w:t>
      </w:r>
      <w:r>
        <w:rPr>
          <w:bCs/>
        </w:rPr>
        <w:tab/>
        <w:t>51</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1701"/>
          <w:tab w:val="clear" w:pos="2268"/>
          <w:tab w:val="clear" w:pos="6237"/>
          <w:tab w:val="right" w:leader="dot" w:pos="7172"/>
          <w:tab w:val="center" w:pos="8039"/>
          <w:tab w:val="center" w:pos="9122"/>
        </w:tabs>
        <w:rPr>
          <w:bCs/>
        </w:rPr>
      </w:pPr>
      <w:r>
        <w:rPr>
          <w:bCs/>
        </w:rPr>
        <w:t>Статья 1</w:t>
      </w:r>
      <w:r>
        <w:rPr>
          <w:bCs/>
        </w:rPr>
        <w:tab/>
      </w:r>
      <w:r>
        <w:rPr>
          <w:bCs/>
        </w:rPr>
        <w:tab/>
        <w:t>160 - 174</w:t>
      </w:r>
      <w:r>
        <w:rPr>
          <w:bCs/>
        </w:rPr>
        <w:tab/>
        <w:t>52</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1701"/>
          <w:tab w:val="clear" w:pos="2268"/>
          <w:tab w:val="clear" w:pos="6237"/>
          <w:tab w:val="right" w:leader="dot" w:pos="7172"/>
          <w:tab w:val="center" w:pos="8039"/>
          <w:tab w:val="center" w:pos="9122"/>
        </w:tabs>
        <w:rPr>
          <w:bCs/>
        </w:rPr>
      </w:pPr>
      <w:r>
        <w:rPr>
          <w:bCs/>
        </w:rPr>
        <w:t>Статья 2</w:t>
      </w:r>
      <w:r>
        <w:rPr>
          <w:bCs/>
        </w:rPr>
        <w:tab/>
      </w:r>
      <w:r>
        <w:rPr>
          <w:bCs/>
        </w:rPr>
        <w:tab/>
        <w:t>175 - 193</w:t>
      </w:r>
      <w:r>
        <w:rPr>
          <w:bCs/>
        </w:rPr>
        <w:tab/>
        <w:t>56</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567"/>
          <w:tab w:val="clear" w:pos="1134"/>
          <w:tab w:val="clear" w:pos="6237"/>
          <w:tab w:val="left" w:pos="561"/>
          <w:tab w:val="left" w:pos="1418"/>
          <w:tab w:val="right" w:leader="dot" w:pos="7172"/>
          <w:tab w:val="center" w:pos="8039"/>
          <w:tab w:val="center" w:pos="9122"/>
        </w:tabs>
        <w:rPr>
          <w:bCs/>
        </w:rPr>
      </w:pPr>
      <w:r>
        <w:rPr>
          <w:bCs/>
        </w:rPr>
        <w:tab/>
        <w:t>Запрещение дискриминации</w:t>
      </w:r>
      <w:r>
        <w:rPr>
          <w:bCs/>
        </w:rPr>
        <w:tab/>
      </w:r>
      <w:r>
        <w:rPr>
          <w:bCs/>
        </w:rPr>
        <w:tab/>
        <w:t>175 - 193</w:t>
      </w:r>
      <w:r>
        <w:rPr>
          <w:bCs/>
        </w:rPr>
        <w:tab/>
        <w:t>56</w:t>
      </w:r>
    </w:p>
    <w:p w:rsidR="00000000" w:rsidRDefault="00000000">
      <w:pPr>
        <w:tabs>
          <w:tab w:val="clear" w:pos="567"/>
          <w:tab w:val="clear" w:pos="1134"/>
          <w:tab w:val="clear" w:pos="6237"/>
          <w:tab w:val="left" w:pos="561"/>
          <w:tab w:val="left" w:pos="1418"/>
          <w:tab w:val="right" w:leader="dot" w:pos="7172"/>
          <w:tab w:val="center" w:pos="8039"/>
          <w:tab w:val="center" w:pos="9122"/>
        </w:tabs>
        <w:rPr>
          <w:bCs/>
        </w:rPr>
      </w:pPr>
    </w:p>
    <w:p w:rsidR="00000000" w:rsidRDefault="00000000">
      <w:pPr>
        <w:tabs>
          <w:tab w:val="clear" w:pos="567"/>
          <w:tab w:val="clear" w:pos="1134"/>
          <w:tab w:val="clear" w:pos="1701"/>
          <w:tab w:val="clear" w:pos="2268"/>
          <w:tab w:val="clear" w:pos="6237"/>
          <w:tab w:val="left" w:pos="561"/>
          <w:tab w:val="right" w:leader="dot" w:pos="7172"/>
          <w:tab w:val="center" w:pos="8039"/>
          <w:tab w:val="center" w:pos="9122"/>
        </w:tabs>
        <w:rPr>
          <w:bCs/>
        </w:rPr>
      </w:pPr>
      <w:r>
        <w:rPr>
          <w:bCs/>
        </w:rPr>
        <w:t>Статья 3</w:t>
      </w:r>
      <w:r>
        <w:rPr>
          <w:bCs/>
        </w:rPr>
        <w:tab/>
      </w:r>
      <w:r>
        <w:rPr>
          <w:bCs/>
        </w:rPr>
        <w:tab/>
        <w:t>194 - 210</w:t>
      </w:r>
      <w:r>
        <w:rPr>
          <w:bCs/>
        </w:rPr>
        <w:tab/>
        <w:t>61</w:t>
      </w:r>
    </w:p>
    <w:p w:rsidR="00000000" w:rsidRDefault="00000000">
      <w:pPr>
        <w:tabs>
          <w:tab w:val="clear" w:pos="567"/>
          <w:tab w:val="clear" w:pos="1134"/>
          <w:tab w:val="clear" w:pos="6237"/>
          <w:tab w:val="left" w:pos="561"/>
          <w:tab w:val="left" w:pos="1418"/>
          <w:tab w:val="right" w:leader="dot" w:pos="7172"/>
          <w:tab w:val="center" w:pos="8039"/>
          <w:tab w:val="center" w:pos="9122"/>
        </w:tabs>
        <w:rPr>
          <w:bCs/>
        </w:rPr>
      </w:pPr>
    </w:p>
    <w:p w:rsidR="00000000" w:rsidRDefault="00000000">
      <w:pPr>
        <w:tabs>
          <w:tab w:val="clear" w:pos="567"/>
          <w:tab w:val="clear" w:pos="1134"/>
          <w:tab w:val="clear" w:pos="6237"/>
          <w:tab w:val="left" w:pos="561"/>
          <w:tab w:val="left" w:pos="1418"/>
          <w:tab w:val="right" w:leader="dot" w:pos="7172"/>
          <w:tab w:val="center" w:pos="8039"/>
          <w:tab w:val="center" w:pos="9122"/>
        </w:tabs>
        <w:rPr>
          <w:bCs/>
        </w:rPr>
      </w:pPr>
      <w:r>
        <w:rPr>
          <w:bCs/>
        </w:rPr>
        <w:tab/>
        <w:t>1.</w:t>
      </w:r>
      <w:r>
        <w:rPr>
          <w:bCs/>
        </w:rPr>
        <w:tab/>
        <w:t>Поправки к законодательству</w:t>
      </w:r>
      <w:r>
        <w:rPr>
          <w:bCs/>
        </w:rPr>
        <w:tab/>
      </w:r>
      <w:r>
        <w:rPr>
          <w:bCs/>
        </w:rPr>
        <w:tab/>
        <w:t>194 - 199</w:t>
      </w:r>
      <w:r>
        <w:rPr>
          <w:bCs/>
        </w:rPr>
        <w:tab/>
        <w:t>61</w:t>
      </w:r>
    </w:p>
    <w:p w:rsidR="00000000" w:rsidRDefault="00000000">
      <w:pPr>
        <w:tabs>
          <w:tab w:val="clear" w:pos="567"/>
          <w:tab w:val="clear" w:pos="1134"/>
          <w:tab w:val="clear" w:pos="6237"/>
          <w:tab w:val="left" w:pos="561"/>
          <w:tab w:val="left" w:pos="1418"/>
          <w:tab w:val="right" w:leader="dot" w:pos="7172"/>
          <w:tab w:val="center" w:pos="8039"/>
          <w:tab w:val="center" w:pos="9122"/>
        </w:tabs>
        <w:rPr>
          <w:bCs/>
        </w:rPr>
      </w:pPr>
    </w:p>
    <w:p w:rsidR="00000000" w:rsidRDefault="00000000">
      <w:pPr>
        <w:tabs>
          <w:tab w:val="clear" w:pos="567"/>
          <w:tab w:val="clear" w:pos="1134"/>
          <w:tab w:val="clear" w:pos="6237"/>
          <w:tab w:val="left" w:pos="561"/>
          <w:tab w:val="left" w:pos="1418"/>
          <w:tab w:val="right" w:leader="dot" w:pos="7172"/>
          <w:tab w:val="center" w:pos="8039"/>
          <w:tab w:val="center" w:pos="9122"/>
        </w:tabs>
        <w:rPr>
          <w:bCs/>
        </w:rPr>
      </w:pPr>
      <w:r>
        <w:rPr>
          <w:bCs/>
        </w:rPr>
        <w:tab/>
        <w:t>2.</w:t>
      </w:r>
      <w:r>
        <w:rPr>
          <w:bCs/>
        </w:rPr>
        <w:tab/>
        <w:t>Политика в области обеспечения равенства</w:t>
      </w:r>
      <w:r>
        <w:rPr>
          <w:bCs/>
        </w:rPr>
        <w:tab/>
      </w:r>
      <w:r>
        <w:rPr>
          <w:bCs/>
        </w:rPr>
        <w:tab/>
        <w:t>200 - 210</w:t>
      </w:r>
      <w:r>
        <w:rPr>
          <w:bCs/>
        </w:rPr>
        <w:tab/>
        <w:t>62</w:t>
      </w:r>
    </w:p>
    <w:p w:rsidR="00000000" w:rsidRDefault="00000000">
      <w:pPr>
        <w:tabs>
          <w:tab w:val="clear" w:pos="567"/>
          <w:tab w:val="clear" w:pos="1134"/>
          <w:tab w:val="clear" w:pos="6237"/>
          <w:tab w:val="left" w:pos="561"/>
          <w:tab w:val="left" w:pos="1418"/>
          <w:tab w:val="right" w:leader="dot" w:pos="7172"/>
          <w:tab w:val="center" w:pos="8039"/>
          <w:tab w:val="center" w:pos="9122"/>
        </w:tabs>
        <w:rPr>
          <w:bCs/>
        </w:rPr>
      </w:pPr>
    </w:p>
    <w:p w:rsidR="00000000" w:rsidRDefault="00000000">
      <w:pPr>
        <w:tabs>
          <w:tab w:val="clear" w:pos="6237"/>
          <w:tab w:val="center" w:pos="8759"/>
        </w:tabs>
        <w:jc w:val="center"/>
        <w:rPr>
          <w:b/>
        </w:rPr>
      </w:pPr>
      <w:r>
        <w:rPr>
          <w:bCs/>
        </w:rPr>
        <w:br w:type="page"/>
      </w:r>
      <w:r>
        <w:rPr>
          <w:b/>
        </w:rPr>
        <w:t>СОДЕРЖАНИЕ (</w:t>
      </w:r>
      <w:r>
        <w:rPr>
          <w:b/>
          <w:i/>
          <w:iCs/>
        </w:rPr>
        <w:t>продолжение</w:t>
      </w:r>
      <w:r>
        <w:rPr>
          <w:b/>
        </w:rPr>
        <w:t>)</w:t>
      </w:r>
    </w:p>
    <w:p w:rsidR="00000000" w:rsidRDefault="00000000">
      <w:pPr>
        <w:tabs>
          <w:tab w:val="clear" w:pos="6237"/>
          <w:tab w:val="center" w:pos="8759"/>
        </w:tabs>
        <w:jc w:val="center"/>
        <w:rPr>
          <w:bCs/>
        </w:rPr>
      </w:pPr>
    </w:p>
    <w:p w:rsidR="00000000" w:rsidRDefault="00000000">
      <w:pPr>
        <w:tabs>
          <w:tab w:val="clear" w:pos="6237"/>
          <w:tab w:val="center" w:pos="8039"/>
          <w:tab w:val="center" w:pos="9122"/>
        </w:tabs>
        <w:rPr>
          <w:bCs/>
          <w:i/>
          <w:iCs/>
        </w:rPr>
      </w:pPr>
      <w:r>
        <w:rPr>
          <w:bCs/>
        </w:rPr>
        <w:tab/>
      </w:r>
      <w:r>
        <w:rPr>
          <w:bCs/>
        </w:rPr>
        <w:tab/>
      </w:r>
      <w:r>
        <w:rPr>
          <w:bCs/>
        </w:rPr>
        <w:tab/>
      </w:r>
      <w:r>
        <w:rPr>
          <w:bCs/>
        </w:rPr>
        <w:tab/>
      </w:r>
      <w:r>
        <w:rPr>
          <w:bCs/>
        </w:rPr>
        <w:tab/>
      </w:r>
      <w:r>
        <w:rPr>
          <w:bCs/>
          <w:i/>
          <w:iCs/>
        </w:rPr>
        <w:t>Пункты</w:t>
      </w:r>
      <w:r>
        <w:rPr>
          <w:bCs/>
          <w:i/>
          <w:iCs/>
        </w:rPr>
        <w:tab/>
        <w:t>Стр.</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567"/>
          <w:tab w:val="clear" w:pos="1134"/>
          <w:tab w:val="clear" w:pos="1701"/>
          <w:tab w:val="clear" w:pos="2268"/>
          <w:tab w:val="clear" w:pos="6237"/>
          <w:tab w:val="left" w:pos="561"/>
          <w:tab w:val="right" w:leader="dot" w:pos="7172"/>
          <w:tab w:val="center" w:pos="8039"/>
          <w:tab w:val="center" w:pos="9122"/>
        </w:tabs>
        <w:rPr>
          <w:bCs/>
        </w:rPr>
      </w:pPr>
      <w:r>
        <w:rPr>
          <w:bCs/>
        </w:rPr>
        <w:t>Статья 6</w:t>
      </w:r>
      <w:r>
        <w:rPr>
          <w:bCs/>
        </w:rPr>
        <w:tab/>
      </w:r>
      <w:r>
        <w:rPr>
          <w:bCs/>
        </w:rPr>
        <w:tab/>
        <w:t>211 - 323</w:t>
      </w:r>
      <w:r>
        <w:rPr>
          <w:bCs/>
        </w:rPr>
        <w:tab/>
        <w:t>66</w:t>
      </w:r>
    </w:p>
    <w:p w:rsidR="00000000" w:rsidRDefault="00000000">
      <w:pPr>
        <w:tabs>
          <w:tab w:val="clear" w:pos="567"/>
          <w:tab w:val="clear" w:pos="1134"/>
          <w:tab w:val="clear" w:pos="6237"/>
          <w:tab w:val="left" w:pos="561"/>
          <w:tab w:val="left" w:pos="1418"/>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1.</w:t>
      </w:r>
      <w:r>
        <w:rPr>
          <w:bCs/>
        </w:rPr>
        <w:tab/>
        <w:t>Международные конвенции</w:t>
      </w:r>
      <w:r>
        <w:rPr>
          <w:bCs/>
        </w:rPr>
        <w:tab/>
      </w:r>
      <w:r>
        <w:rPr>
          <w:bCs/>
        </w:rPr>
        <w:tab/>
        <w:t>211 - 212</w:t>
      </w:r>
      <w:r>
        <w:rPr>
          <w:bCs/>
        </w:rPr>
        <w:tab/>
        <w:t>66</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а)</w:t>
      </w:r>
      <w:r>
        <w:rPr>
          <w:bCs/>
        </w:rPr>
        <w:tab/>
        <w:t>Положение, показатели и тенденции в области занятости</w:t>
      </w:r>
      <w:r>
        <w:rPr>
          <w:bCs/>
        </w:rPr>
        <w:tab/>
      </w:r>
      <w:r>
        <w:rPr>
          <w:bCs/>
        </w:rPr>
        <w:tab/>
        <w:t>213 - 232</w:t>
      </w:r>
      <w:r>
        <w:rPr>
          <w:bCs/>
        </w:rPr>
        <w:tab/>
        <w:t>66</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b)</w:t>
      </w:r>
      <w:r>
        <w:rPr>
          <w:bCs/>
        </w:rPr>
        <w:tab/>
        <w:t>Стратегии и меры</w:t>
      </w:r>
      <w:r>
        <w:rPr>
          <w:bCs/>
        </w:rPr>
        <w:tab/>
      </w:r>
      <w:r>
        <w:rPr>
          <w:bCs/>
        </w:rPr>
        <w:tab/>
        <w:t>233 - 261</w:t>
      </w:r>
      <w:r>
        <w:rPr>
          <w:bCs/>
        </w:rPr>
        <w:tab/>
        <w:t>73</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с)</w:t>
      </w:r>
      <w:r>
        <w:rPr>
          <w:bCs/>
        </w:rPr>
        <w:tab/>
        <w:t>Производительность труда</w:t>
      </w:r>
      <w:r>
        <w:rPr>
          <w:bCs/>
        </w:rPr>
        <w:tab/>
      </w:r>
      <w:r>
        <w:rPr>
          <w:bCs/>
        </w:rPr>
        <w:tab/>
        <w:t>262 - 266</w:t>
      </w:r>
      <w:r>
        <w:rPr>
          <w:bCs/>
        </w:rPr>
        <w:tab/>
        <w:t>82</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d)</w:t>
      </w:r>
      <w:r>
        <w:rPr>
          <w:bCs/>
        </w:rPr>
        <w:tab/>
        <w:t>Свободный выбор работы</w:t>
      </w:r>
      <w:r>
        <w:rPr>
          <w:bCs/>
        </w:rPr>
        <w:tab/>
      </w:r>
      <w:r>
        <w:rPr>
          <w:bCs/>
        </w:rPr>
        <w:tab/>
        <w:t>267 - 271</w:t>
      </w:r>
      <w:r>
        <w:rPr>
          <w:bCs/>
        </w:rPr>
        <w:tab/>
        <w:t>83</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е)</w:t>
      </w:r>
      <w:r>
        <w:rPr>
          <w:bCs/>
        </w:rPr>
        <w:tab/>
        <w:t>Программы технической и профессиональной подготовки</w:t>
      </w:r>
      <w:r>
        <w:rPr>
          <w:bCs/>
        </w:rPr>
        <w:tab/>
      </w:r>
      <w:r>
        <w:rPr>
          <w:bCs/>
        </w:rPr>
        <w:tab/>
        <w:t>272 - 280</w:t>
      </w:r>
      <w:r>
        <w:rPr>
          <w:bCs/>
        </w:rPr>
        <w:tab/>
        <w:t>85</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f)</w:t>
      </w:r>
      <w:r>
        <w:rPr>
          <w:bCs/>
        </w:rPr>
        <w:tab/>
        <w:t>Трудности с обеспечением полной занятости</w:t>
      </w:r>
      <w:r>
        <w:rPr>
          <w:bCs/>
        </w:rPr>
        <w:tab/>
      </w:r>
      <w:r>
        <w:rPr>
          <w:bCs/>
        </w:rPr>
        <w:tab/>
        <w:t>281 - 284</w:t>
      </w:r>
      <w:r>
        <w:rPr>
          <w:bCs/>
        </w:rPr>
        <w:tab/>
        <w:t>88</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3 а)</w:t>
      </w:r>
      <w:r>
        <w:rPr>
          <w:bCs/>
        </w:rPr>
        <w:tab/>
        <w:t>Запрещение дискриминации</w:t>
      </w:r>
      <w:r>
        <w:rPr>
          <w:bCs/>
        </w:rPr>
        <w:tab/>
      </w:r>
      <w:r>
        <w:rPr>
          <w:bCs/>
        </w:rPr>
        <w:tab/>
        <w:t>285 - 300</w:t>
      </w:r>
      <w:r>
        <w:rPr>
          <w:bCs/>
        </w:rPr>
        <w:tab/>
        <w:t>89</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3 b)</w:t>
      </w:r>
      <w:r>
        <w:rPr>
          <w:bCs/>
        </w:rPr>
        <w:tab/>
        <w:t xml:space="preserve">Профессиональная ориентация и подготовка особых </w:t>
      </w:r>
    </w:p>
    <w:p w:rsidR="00000000" w:rsidRDefault="00000000">
      <w:pPr>
        <w:tabs>
          <w:tab w:val="clear" w:pos="6237"/>
          <w:tab w:val="right" w:leader="dot" w:pos="7172"/>
          <w:tab w:val="center" w:pos="8039"/>
          <w:tab w:val="center" w:pos="9122"/>
        </w:tabs>
        <w:rPr>
          <w:bCs/>
        </w:rPr>
      </w:pPr>
      <w:r>
        <w:rPr>
          <w:bCs/>
        </w:rPr>
        <w:tab/>
      </w:r>
      <w:r>
        <w:rPr>
          <w:bCs/>
        </w:rPr>
        <w:tab/>
        <w:t>групп общества (например, иммигрантов, рома и саами)</w:t>
      </w:r>
      <w:r>
        <w:rPr>
          <w:bCs/>
        </w:rPr>
        <w:tab/>
      </w:r>
      <w:r>
        <w:rPr>
          <w:bCs/>
        </w:rPr>
        <w:tab/>
        <w:t>301 - 315</w:t>
      </w:r>
      <w:r>
        <w:rPr>
          <w:bCs/>
        </w:rPr>
        <w:tab/>
        <w:t>92</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3 с)</w:t>
      </w:r>
      <w:r>
        <w:rPr>
          <w:bCs/>
        </w:rPr>
        <w:tab/>
        <w:t>Случаи, в которых различие, исключение или предпочтение</w:t>
      </w:r>
    </w:p>
    <w:p w:rsidR="00000000" w:rsidRDefault="00000000">
      <w:pPr>
        <w:tabs>
          <w:tab w:val="clear" w:pos="6237"/>
          <w:tab w:val="right" w:leader="dot" w:pos="7172"/>
          <w:tab w:val="center" w:pos="8039"/>
          <w:tab w:val="center" w:pos="9122"/>
        </w:tabs>
        <w:rPr>
          <w:bCs/>
        </w:rPr>
      </w:pPr>
      <w:r>
        <w:rPr>
          <w:bCs/>
        </w:rPr>
        <w:tab/>
      </w:r>
      <w:r>
        <w:rPr>
          <w:bCs/>
        </w:rPr>
        <w:tab/>
        <w:t>не считаются дискриминацией</w:t>
      </w:r>
      <w:r>
        <w:rPr>
          <w:bCs/>
        </w:rPr>
        <w:tab/>
      </w:r>
      <w:r>
        <w:rPr>
          <w:bCs/>
        </w:rPr>
        <w:tab/>
        <w:t>316 - 318</w:t>
      </w:r>
      <w:r>
        <w:rPr>
          <w:bCs/>
        </w:rPr>
        <w:tab/>
        <w:t>97</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 xml:space="preserve">4. </w:t>
      </w:r>
      <w:r>
        <w:rPr>
          <w:bCs/>
        </w:rPr>
        <w:tab/>
        <w:t>Работники, занятые на двух или более работах</w:t>
      </w:r>
    </w:p>
    <w:p w:rsidR="00000000" w:rsidRDefault="00000000">
      <w:pPr>
        <w:tabs>
          <w:tab w:val="clear" w:pos="6237"/>
          <w:tab w:val="right" w:leader="dot" w:pos="7172"/>
          <w:tab w:val="center" w:pos="8039"/>
          <w:tab w:val="center" w:pos="9122"/>
        </w:tabs>
        <w:rPr>
          <w:bCs/>
        </w:rPr>
      </w:pPr>
      <w:r>
        <w:rPr>
          <w:bCs/>
        </w:rPr>
        <w:tab/>
      </w:r>
      <w:r>
        <w:rPr>
          <w:bCs/>
        </w:rPr>
        <w:tab/>
        <w:t>на полной ставке</w:t>
      </w:r>
      <w:r>
        <w:rPr>
          <w:bCs/>
        </w:rPr>
        <w:tab/>
      </w:r>
      <w:r>
        <w:rPr>
          <w:bCs/>
        </w:rPr>
        <w:tab/>
        <w:t>319 - 322</w:t>
      </w:r>
      <w:r>
        <w:rPr>
          <w:bCs/>
        </w:rPr>
        <w:tab/>
        <w:t>98</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5.</w:t>
      </w:r>
      <w:r>
        <w:rPr>
          <w:bCs/>
        </w:rPr>
        <w:tab/>
        <w:t>Другие изменения в национальном законодательстве</w:t>
      </w:r>
      <w:r>
        <w:rPr>
          <w:bCs/>
        </w:rPr>
        <w:tab/>
      </w:r>
      <w:r>
        <w:rPr>
          <w:bCs/>
        </w:rPr>
        <w:tab/>
        <w:t>323</w:t>
      </w:r>
      <w:r>
        <w:rPr>
          <w:bCs/>
        </w:rPr>
        <w:tab/>
        <w:t>99</w:t>
      </w:r>
    </w:p>
    <w:p w:rsidR="00000000" w:rsidRDefault="00000000">
      <w:pPr>
        <w:tabs>
          <w:tab w:val="clear" w:pos="6237"/>
          <w:tab w:val="right" w:leader="dot" w:pos="7172"/>
          <w:tab w:val="center" w:pos="8039"/>
          <w:tab w:val="center" w:pos="9122"/>
        </w:tabs>
        <w:rPr>
          <w:bCs/>
        </w:rPr>
      </w:pPr>
    </w:p>
    <w:p w:rsidR="00000000" w:rsidRDefault="00000000">
      <w:pPr>
        <w:tabs>
          <w:tab w:val="clear" w:pos="1134"/>
          <w:tab w:val="clear" w:pos="1701"/>
          <w:tab w:val="clear" w:pos="2268"/>
          <w:tab w:val="clear" w:pos="6237"/>
          <w:tab w:val="right" w:leader="dot" w:pos="7172"/>
          <w:tab w:val="center" w:pos="8039"/>
          <w:tab w:val="center" w:pos="9122"/>
        </w:tabs>
        <w:rPr>
          <w:bCs/>
        </w:rPr>
      </w:pPr>
      <w:r>
        <w:rPr>
          <w:bCs/>
        </w:rPr>
        <w:t>Статья 7</w:t>
      </w:r>
      <w:r>
        <w:rPr>
          <w:bCs/>
        </w:rPr>
        <w:tab/>
      </w:r>
      <w:r>
        <w:rPr>
          <w:bCs/>
        </w:rPr>
        <w:tab/>
        <w:t>324 - 357</w:t>
      </w:r>
      <w:r>
        <w:rPr>
          <w:bCs/>
        </w:rPr>
        <w:tab/>
        <w:t>99</w:t>
      </w:r>
    </w:p>
    <w:p w:rsidR="00000000" w:rsidRDefault="00000000">
      <w:pPr>
        <w:tabs>
          <w:tab w:val="clear" w:pos="1134"/>
          <w:tab w:val="clear" w:pos="6237"/>
          <w:tab w:val="left" w:pos="1418"/>
          <w:tab w:val="right" w:leader="dot" w:pos="7172"/>
          <w:tab w:val="center" w:pos="8039"/>
          <w:tab w:val="center" w:pos="9122"/>
        </w:tabs>
        <w:rPr>
          <w:bCs/>
          <w:sz w:val="16"/>
        </w:rPr>
      </w:pPr>
    </w:p>
    <w:p w:rsidR="00000000" w:rsidRDefault="00000000">
      <w:pPr>
        <w:tabs>
          <w:tab w:val="clear" w:pos="6237"/>
          <w:tab w:val="right" w:leader="dot" w:pos="7172"/>
          <w:tab w:val="center" w:pos="8039"/>
          <w:tab w:val="center" w:pos="9122"/>
        </w:tabs>
        <w:rPr>
          <w:bCs/>
        </w:rPr>
      </w:pPr>
      <w:r>
        <w:rPr>
          <w:bCs/>
        </w:rPr>
        <w:tab/>
        <w:t>1.</w:t>
      </w:r>
      <w:r>
        <w:rPr>
          <w:bCs/>
        </w:rPr>
        <w:tab/>
        <w:t>Конвенции МОТ, ратифицированные Финляндией</w:t>
      </w:r>
      <w:r>
        <w:rPr>
          <w:bCs/>
        </w:rPr>
        <w:tab/>
      </w:r>
      <w:r>
        <w:rPr>
          <w:bCs/>
        </w:rPr>
        <w:tab/>
        <w:t>324</w:t>
      </w:r>
      <w:r>
        <w:rPr>
          <w:bCs/>
        </w:rPr>
        <w:tab/>
        <w:t>99</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а)</w:t>
      </w:r>
      <w:r>
        <w:rPr>
          <w:bCs/>
        </w:rPr>
        <w:tab/>
        <w:t>Основные методы, используемые для установления размеров</w:t>
      </w:r>
    </w:p>
    <w:p w:rsidR="00000000" w:rsidRDefault="00000000">
      <w:pPr>
        <w:tabs>
          <w:tab w:val="clear" w:pos="6237"/>
          <w:tab w:val="right" w:leader="dot" w:pos="7172"/>
          <w:tab w:val="center" w:pos="8039"/>
          <w:tab w:val="center" w:pos="9122"/>
        </w:tabs>
        <w:rPr>
          <w:bCs/>
        </w:rPr>
      </w:pPr>
      <w:r>
        <w:rPr>
          <w:bCs/>
        </w:rPr>
        <w:tab/>
      </w:r>
      <w:r>
        <w:rPr>
          <w:bCs/>
        </w:rPr>
        <w:tab/>
        <w:t>заработной платы</w:t>
      </w:r>
      <w:r>
        <w:rPr>
          <w:bCs/>
        </w:rPr>
        <w:tab/>
      </w:r>
      <w:r>
        <w:rPr>
          <w:bCs/>
        </w:rPr>
        <w:tab/>
        <w:t>325</w:t>
      </w:r>
      <w:r>
        <w:rPr>
          <w:bCs/>
        </w:rPr>
        <w:tab/>
        <w:t>100</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center" w:pos="8759"/>
        </w:tabs>
        <w:jc w:val="center"/>
        <w:rPr>
          <w:b/>
        </w:rPr>
      </w:pPr>
      <w:r>
        <w:rPr>
          <w:b/>
        </w:rPr>
        <w:t>СОДЕРЖАНИЕ (</w:t>
      </w:r>
      <w:r>
        <w:rPr>
          <w:b/>
          <w:i/>
          <w:iCs/>
        </w:rPr>
        <w:t>продолжение</w:t>
      </w:r>
      <w:r>
        <w:rPr>
          <w:b/>
        </w:rPr>
        <w:t>)</w:t>
      </w:r>
    </w:p>
    <w:p w:rsidR="00000000" w:rsidRDefault="00000000">
      <w:pPr>
        <w:tabs>
          <w:tab w:val="clear" w:pos="6237"/>
          <w:tab w:val="center" w:pos="8759"/>
        </w:tabs>
        <w:jc w:val="center"/>
        <w:rPr>
          <w:bCs/>
        </w:rPr>
      </w:pPr>
    </w:p>
    <w:p w:rsidR="00000000" w:rsidRDefault="00000000">
      <w:pPr>
        <w:tabs>
          <w:tab w:val="clear" w:pos="6237"/>
          <w:tab w:val="center" w:pos="8039"/>
          <w:tab w:val="center" w:pos="9122"/>
        </w:tabs>
        <w:rPr>
          <w:bCs/>
          <w:i/>
          <w:iCs/>
        </w:rPr>
      </w:pPr>
      <w:r>
        <w:rPr>
          <w:bCs/>
        </w:rPr>
        <w:tab/>
      </w:r>
      <w:r>
        <w:rPr>
          <w:bCs/>
        </w:rPr>
        <w:tab/>
      </w:r>
      <w:r>
        <w:rPr>
          <w:bCs/>
        </w:rPr>
        <w:tab/>
      </w:r>
      <w:r>
        <w:rPr>
          <w:bCs/>
        </w:rPr>
        <w:tab/>
      </w:r>
      <w:r>
        <w:rPr>
          <w:bCs/>
        </w:rPr>
        <w:tab/>
      </w:r>
      <w:r>
        <w:rPr>
          <w:bCs/>
          <w:i/>
          <w:iCs/>
        </w:rPr>
        <w:t>Пункты</w:t>
      </w:r>
      <w:r>
        <w:rPr>
          <w:bCs/>
          <w:i/>
          <w:iCs/>
        </w:rPr>
        <w:tab/>
        <w:t>Стр.</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b)</w:t>
      </w:r>
      <w:r>
        <w:rPr>
          <w:bCs/>
        </w:rPr>
        <w:tab/>
        <w:t>Система минимальной заработной платы</w:t>
      </w:r>
      <w:r>
        <w:rPr>
          <w:bCs/>
        </w:rPr>
        <w:tab/>
      </w:r>
      <w:r>
        <w:rPr>
          <w:bCs/>
        </w:rPr>
        <w:tab/>
        <w:t>326</w:t>
      </w:r>
      <w:r>
        <w:rPr>
          <w:bCs/>
        </w:rPr>
        <w:tab/>
        <w:t>100</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с)</w:t>
      </w:r>
      <w:r>
        <w:rPr>
          <w:bCs/>
        </w:rPr>
        <w:tab/>
        <w:t>Равная плата за равный труд</w:t>
      </w:r>
      <w:r>
        <w:rPr>
          <w:bCs/>
        </w:rPr>
        <w:tab/>
      </w:r>
      <w:r>
        <w:rPr>
          <w:bCs/>
        </w:rPr>
        <w:tab/>
        <w:t>327 - 330</w:t>
      </w:r>
      <w:r>
        <w:rPr>
          <w:bCs/>
        </w:rPr>
        <w:tab/>
        <w:t>100</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3.</w:t>
      </w:r>
      <w:r>
        <w:rPr>
          <w:bCs/>
        </w:rPr>
        <w:tab/>
        <w:t>Положения о гигиене и безопасности труда</w:t>
      </w:r>
      <w:r>
        <w:rPr>
          <w:bCs/>
        </w:rPr>
        <w:tab/>
      </w:r>
      <w:r>
        <w:rPr>
          <w:bCs/>
        </w:rPr>
        <w:tab/>
        <w:t>331 - 341</w:t>
      </w:r>
      <w:r>
        <w:rPr>
          <w:bCs/>
        </w:rPr>
        <w:tab/>
        <w:t>101</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4.</w:t>
      </w:r>
      <w:r>
        <w:rPr>
          <w:bCs/>
        </w:rPr>
        <w:tab/>
        <w:t>Фактическое осуществление принципа равенства</w:t>
      </w:r>
    </w:p>
    <w:p w:rsidR="00000000" w:rsidRDefault="00000000">
      <w:pPr>
        <w:tabs>
          <w:tab w:val="clear" w:pos="6237"/>
          <w:tab w:val="right" w:leader="dot" w:pos="7172"/>
          <w:tab w:val="center" w:pos="8039"/>
          <w:tab w:val="center" w:pos="9122"/>
        </w:tabs>
        <w:rPr>
          <w:bCs/>
        </w:rPr>
      </w:pPr>
      <w:r>
        <w:rPr>
          <w:bCs/>
        </w:rPr>
        <w:tab/>
      </w:r>
      <w:r>
        <w:rPr>
          <w:bCs/>
        </w:rPr>
        <w:tab/>
        <w:t>возможностей служебного роста</w:t>
      </w:r>
      <w:r>
        <w:rPr>
          <w:bCs/>
        </w:rPr>
        <w:tab/>
      </w:r>
      <w:r>
        <w:rPr>
          <w:bCs/>
        </w:rPr>
        <w:tab/>
        <w:t>342 - 344</w:t>
      </w:r>
      <w:r>
        <w:rPr>
          <w:bCs/>
        </w:rPr>
        <w:tab/>
        <w:t>103</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5.</w:t>
      </w:r>
      <w:r>
        <w:rPr>
          <w:bCs/>
        </w:rPr>
        <w:tab/>
        <w:t>Рабочее время, оплачиваемый периодический отпуск и</w:t>
      </w:r>
    </w:p>
    <w:p w:rsidR="00000000" w:rsidRDefault="00000000">
      <w:pPr>
        <w:tabs>
          <w:tab w:val="clear" w:pos="6237"/>
          <w:tab w:val="right" w:leader="dot" w:pos="7172"/>
          <w:tab w:val="center" w:pos="8039"/>
          <w:tab w:val="center" w:pos="9122"/>
        </w:tabs>
        <w:rPr>
          <w:bCs/>
        </w:rPr>
      </w:pPr>
      <w:r>
        <w:rPr>
          <w:bCs/>
        </w:rPr>
        <w:tab/>
      </w:r>
      <w:r>
        <w:rPr>
          <w:bCs/>
        </w:rPr>
        <w:tab/>
        <w:t>вознаграждение за праздничные дни</w:t>
      </w:r>
      <w:r>
        <w:rPr>
          <w:bCs/>
        </w:rPr>
        <w:tab/>
      </w:r>
      <w:r>
        <w:rPr>
          <w:bCs/>
        </w:rPr>
        <w:tab/>
        <w:t>345 - 353</w:t>
      </w:r>
      <w:r>
        <w:rPr>
          <w:bCs/>
        </w:rPr>
        <w:tab/>
        <w:t>104</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5 а)</w:t>
      </w:r>
      <w:r>
        <w:rPr>
          <w:bCs/>
        </w:rPr>
        <w:tab/>
        <w:t>Факторы и трудности, отражающиеся на степень осуществления</w:t>
      </w:r>
    </w:p>
    <w:p w:rsidR="00000000" w:rsidRDefault="00000000">
      <w:pPr>
        <w:tabs>
          <w:tab w:val="clear" w:pos="6237"/>
          <w:tab w:val="right" w:leader="dot" w:pos="7172"/>
          <w:tab w:val="center" w:pos="8039"/>
          <w:tab w:val="center" w:pos="9122"/>
        </w:tabs>
        <w:rPr>
          <w:bCs/>
        </w:rPr>
      </w:pPr>
      <w:r>
        <w:rPr>
          <w:bCs/>
        </w:rPr>
        <w:tab/>
      </w:r>
      <w:r>
        <w:rPr>
          <w:bCs/>
        </w:rPr>
        <w:tab/>
        <w:t>вышеупомянутых прав</w:t>
      </w:r>
      <w:r>
        <w:rPr>
          <w:bCs/>
        </w:rPr>
        <w:tab/>
      </w:r>
      <w:r>
        <w:rPr>
          <w:bCs/>
        </w:rPr>
        <w:tab/>
        <w:t>354</w:t>
      </w:r>
      <w:r>
        <w:rPr>
          <w:bCs/>
        </w:rPr>
        <w:tab/>
        <w:t>105</w:t>
      </w:r>
    </w:p>
    <w:p w:rsidR="00000000" w:rsidRDefault="00000000">
      <w:pPr>
        <w:tabs>
          <w:tab w:val="clear" w:pos="6237"/>
          <w:tab w:val="right" w:leader="dot" w:pos="7172"/>
          <w:tab w:val="center" w:pos="8039"/>
          <w:tab w:val="center" w:pos="9122"/>
        </w:tabs>
        <w:rPr>
          <w:bCs/>
        </w:rPr>
      </w:pPr>
      <w:r>
        <w:rPr>
          <w:bCs/>
        </w:rPr>
        <w:tab/>
      </w:r>
    </w:p>
    <w:p w:rsidR="00000000" w:rsidRDefault="00000000">
      <w:pPr>
        <w:tabs>
          <w:tab w:val="clear" w:pos="6237"/>
          <w:tab w:val="right" w:leader="dot" w:pos="7172"/>
          <w:tab w:val="center" w:pos="8039"/>
          <w:tab w:val="center" w:pos="9122"/>
        </w:tabs>
        <w:rPr>
          <w:bCs/>
        </w:rPr>
      </w:pPr>
      <w:r>
        <w:rPr>
          <w:bCs/>
        </w:rPr>
        <w:tab/>
        <w:t>5 b)</w:t>
      </w:r>
      <w:r>
        <w:rPr>
          <w:bCs/>
        </w:rPr>
        <w:tab/>
        <w:t>Категории трудящихся, которые лишены возможности</w:t>
      </w:r>
    </w:p>
    <w:p w:rsidR="00000000" w:rsidRDefault="00000000">
      <w:pPr>
        <w:tabs>
          <w:tab w:val="clear" w:pos="6237"/>
          <w:tab w:val="right" w:leader="dot" w:pos="7172"/>
          <w:tab w:val="center" w:pos="8039"/>
          <w:tab w:val="center" w:pos="9122"/>
        </w:tabs>
        <w:rPr>
          <w:bCs/>
        </w:rPr>
      </w:pPr>
      <w:r>
        <w:rPr>
          <w:bCs/>
        </w:rPr>
        <w:tab/>
      </w:r>
      <w:r>
        <w:rPr>
          <w:bCs/>
        </w:rPr>
        <w:tab/>
        <w:t>пользования вышеупомянутыми правами</w:t>
      </w:r>
      <w:r>
        <w:rPr>
          <w:bCs/>
        </w:rPr>
        <w:tab/>
      </w:r>
      <w:r>
        <w:rPr>
          <w:bCs/>
        </w:rPr>
        <w:tab/>
        <w:t>355</w:t>
      </w:r>
      <w:r>
        <w:rPr>
          <w:bCs/>
        </w:rPr>
        <w:tab/>
        <w:t>106</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6.</w:t>
      </w:r>
      <w:r>
        <w:rPr>
          <w:bCs/>
        </w:rPr>
        <w:tab/>
        <w:t>Изменения в национальном законодательстве</w:t>
      </w:r>
      <w:r>
        <w:rPr>
          <w:bCs/>
        </w:rPr>
        <w:tab/>
      </w:r>
      <w:r>
        <w:rPr>
          <w:bCs/>
        </w:rPr>
        <w:tab/>
        <w:t>356 - 357</w:t>
      </w:r>
      <w:r>
        <w:rPr>
          <w:bCs/>
        </w:rPr>
        <w:tab/>
        <w:t>106</w:t>
      </w:r>
    </w:p>
    <w:p w:rsidR="00000000" w:rsidRDefault="00000000">
      <w:pPr>
        <w:tabs>
          <w:tab w:val="clear" w:pos="6237"/>
          <w:tab w:val="right" w:leader="dot" w:pos="7172"/>
          <w:tab w:val="center" w:pos="8039"/>
          <w:tab w:val="center" w:pos="9122"/>
        </w:tabs>
        <w:rPr>
          <w:bCs/>
        </w:rPr>
      </w:pPr>
    </w:p>
    <w:p w:rsidR="00000000" w:rsidRDefault="00000000">
      <w:pPr>
        <w:tabs>
          <w:tab w:val="clear" w:pos="1134"/>
          <w:tab w:val="clear" w:pos="1701"/>
          <w:tab w:val="clear" w:pos="2268"/>
          <w:tab w:val="clear" w:pos="6237"/>
          <w:tab w:val="right" w:leader="dot" w:pos="7172"/>
          <w:tab w:val="center" w:pos="8039"/>
          <w:tab w:val="center" w:pos="9122"/>
        </w:tabs>
        <w:rPr>
          <w:bCs/>
        </w:rPr>
      </w:pPr>
      <w:r>
        <w:rPr>
          <w:bCs/>
        </w:rPr>
        <w:t>Статья 8</w:t>
      </w:r>
      <w:r>
        <w:rPr>
          <w:bCs/>
        </w:rPr>
        <w:tab/>
      </w:r>
      <w:r>
        <w:rPr>
          <w:bCs/>
        </w:rPr>
        <w:tab/>
        <w:t>358 - 366</w:t>
      </w:r>
      <w:r>
        <w:rPr>
          <w:bCs/>
        </w:rPr>
        <w:tab/>
        <w:t>106</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1.</w:t>
      </w:r>
      <w:r>
        <w:rPr>
          <w:bCs/>
        </w:rPr>
        <w:tab/>
        <w:t>Международные конвенции</w:t>
      </w:r>
      <w:r>
        <w:rPr>
          <w:bCs/>
        </w:rPr>
        <w:tab/>
      </w:r>
      <w:r>
        <w:rPr>
          <w:bCs/>
        </w:rPr>
        <w:tab/>
        <w:t>358 - 360</w:t>
      </w:r>
      <w:r>
        <w:rPr>
          <w:bCs/>
        </w:rPr>
        <w:tab/>
        <w:t>106</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е)</w:t>
      </w:r>
      <w:r>
        <w:rPr>
          <w:bCs/>
        </w:rPr>
        <w:tab/>
        <w:t>Данные о численности и структуре профсоюзных</w:t>
      </w:r>
    </w:p>
    <w:p w:rsidR="00000000" w:rsidRDefault="00000000">
      <w:pPr>
        <w:tabs>
          <w:tab w:val="clear" w:pos="6237"/>
          <w:tab w:val="right" w:leader="dot" w:pos="7172"/>
          <w:tab w:val="center" w:pos="8039"/>
          <w:tab w:val="center" w:pos="9122"/>
        </w:tabs>
        <w:rPr>
          <w:bCs/>
        </w:rPr>
      </w:pPr>
      <w:r>
        <w:rPr>
          <w:bCs/>
        </w:rPr>
        <w:tab/>
      </w:r>
      <w:r>
        <w:rPr>
          <w:bCs/>
        </w:rPr>
        <w:tab/>
        <w:t>организаций и об их членском составе</w:t>
      </w:r>
      <w:r>
        <w:rPr>
          <w:bCs/>
        </w:rPr>
        <w:tab/>
      </w:r>
      <w:r>
        <w:rPr>
          <w:bCs/>
        </w:rPr>
        <w:tab/>
        <w:t>361 - 362</w:t>
      </w:r>
      <w:r>
        <w:rPr>
          <w:bCs/>
        </w:rPr>
        <w:tab/>
        <w:t>106</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3.</w:t>
      </w:r>
      <w:r>
        <w:rPr>
          <w:bCs/>
        </w:rPr>
        <w:tab/>
        <w:t>Право за забастовки</w:t>
      </w:r>
      <w:r>
        <w:rPr>
          <w:bCs/>
        </w:rPr>
        <w:tab/>
      </w:r>
      <w:r>
        <w:rPr>
          <w:bCs/>
        </w:rPr>
        <w:tab/>
        <w:t>363 - 366</w:t>
      </w:r>
      <w:r>
        <w:rPr>
          <w:bCs/>
        </w:rPr>
        <w:tab/>
        <w:t>107</w:t>
      </w:r>
    </w:p>
    <w:p w:rsidR="00000000" w:rsidRDefault="00000000">
      <w:pPr>
        <w:tabs>
          <w:tab w:val="clear" w:pos="6237"/>
          <w:tab w:val="right" w:leader="dot" w:pos="7172"/>
          <w:tab w:val="center" w:pos="8039"/>
          <w:tab w:val="center" w:pos="9122"/>
        </w:tabs>
        <w:rPr>
          <w:bCs/>
        </w:rPr>
      </w:pPr>
    </w:p>
    <w:p w:rsidR="00000000" w:rsidRDefault="00000000">
      <w:pPr>
        <w:tabs>
          <w:tab w:val="clear" w:pos="1134"/>
          <w:tab w:val="clear" w:pos="1701"/>
          <w:tab w:val="clear" w:pos="2268"/>
          <w:tab w:val="clear" w:pos="6237"/>
          <w:tab w:val="right" w:leader="dot" w:pos="7172"/>
          <w:tab w:val="center" w:pos="8039"/>
          <w:tab w:val="center" w:pos="9122"/>
        </w:tabs>
        <w:rPr>
          <w:bCs/>
        </w:rPr>
      </w:pPr>
      <w:r>
        <w:rPr>
          <w:bCs/>
        </w:rPr>
        <w:t>Статья 9</w:t>
      </w:r>
      <w:r>
        <w:rPr>
          <w:bCs/>
        </w:rPr>
        <w:tab/>
      </w:r>
      <w:r>
        <w:rPr>
          <w:bCs/>
        </w:rPr>
        <w:tab/>
        <w:t>367 - 438</w:t>
      </w:r>
      <w:r>
        <w:rPr>
          <w:bCs/>
        </w:rPr>
        <w:tab/>
        <w:t>108</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1.</w:t>
      </w:r>
      <w:r>
        <w:rPr>
          <w:bCs/>
        </w:rPr>
        <w:tab/>
        <w:t>Конвенции МОТ, ратифицированные Финляндией</w:t>
      </w:r>
      <w:r>
        <w:rPr>
          <w:bCs/>
        </w:rPr>
        <w:tab/>
      </w:r>
      <w:r>
        <w:rPr>
          <w:bCs/>
        </w:rPr>
        <w:tab/>
        <w:t>367</w:t>
      </w:r>
      <w:r>
        <w:rPr>
          <w:bCs/>
        </w:rPr>
        <w:tab/>
        <w:t>108</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w:t>
      </w:r>
      <w:r>
        <w:rPr>
          <w:bCs/>
        </w:rPr>
        <w:tab/>
        <w:t>Сферы социального обеспечения</w:t>
      </w:r>
      <w:r>
        <w:rPr>
          <w:bCs/>
        </w:rPr>
        <w:tab/>
      </w:r>
      <w:r>
        <w:rPr>
          <w:bCs/>
        </w:rPr>
        <w:tab/>
        <w:t>368 - 372</w:t>
      </w:r>
      <w:r>
        <w:rPr>
          <w:bCs/>
        </w:rPr>
        <w:tab/>
        <w:t>109</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center" w:pos="8759"/>
        </w:tabs>
        <w:jc w:val="center"/>
        <w:rPr>
          <w:b/>
        </w:rPr>
      </w:pPr>
      <w:r>
        <w:rPr>
          <w:b/>
        </w:rPr>
        <w:t>СОДЕРЖАНИЕ (</w:t>
      </w:r>
      <w:r>
        <w:rPr>
          <w:b/>
          <w:i/>
          <w:iCs/>
        </w:rPr>
        <w:t>продолжение</w:t>
      </w:r>
      <w:r>
        <w:rPr>
          <w:b/>
        </w:rPr>
        <w:t>)</w:t>
      </w:r>
    </w:p>
    <w:p w:rsidR="00000000" w:rsidRDefault="00000000">
      <w:pPr>
        <w:tabs>
          <w:tab w:val="clear" w:pos="6237"/>
          <w:tab w:val="center" w:pos="8759"/>
        </w:tabs>
        <w:jc w:val="center"/>
        <w:rPr>
          <w:bCs/>
        </w:rPr>
      </w:pPr>
    </w:p>
    <w:p w:rsidR="00000000" w:rsidRDefault="00000000">
      <w:pPr>
        <w:tabs>
          <w:tab w:val="clear" w:pos="6237"/>
          <w:tab w:val="center" w:pos="8039"/>
          <w:tab w:val="center" w:pos="9122"/>
        </w:tabs>
        <w:rPr>
          <w:bCs/>
          <w:i/>
          <w:iCs/>
        </w:rPr>
      </w:pPr>
      <w:r>
        <w:rPr>
          <w:bCs/>
        </w:rPr>
        <w:tab/>
      </w:r>
      <w:r>
        <w:rPr>
          <w:bCs/>
        </w:rPr>
        <w:tab/>
      </w:r>
      <w:r>
        <w:rPr>
          <w:bCs/>
        </w:rPr>
        <w:tab/>
      </w:r>
      <w:r>
        <w:rPr>
          <w:bCs/>
        </w:rPr>
        <w:tab/>
      </w:r>
      <w:r>
        <w:rPr>
          <w:bCs/>
        </w:rPr>
        <w:tab/>
      </w:r>
      <w:r>
        <w:rPr>
          <w:bCs/>
          <w:i/>
          <w:iCs/>
        </w:rPr>
        <w:t>Пункты</w:t>
      </w:r>
      <w:r>
        <w:rPr>
          <w:bCs/>
          <w:i/>
          <w:iCs/>
        </w:rPr>
        <w:tab/>
        <w:t>Стр.</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а)</w:t>
      </w:r>
      <w:r>
        <w:rPr>
          <w:bCs/>
        </w:rPr>
        <w:tab/>
        <w:t>Медицинская помощь</w:t>
      </w:r>
      <w:r>
        <w:rPr>
          <w:bCs/>
        </w:rPr>
        <w:tab/>
      </w:r>
      <w:r>
        <w:rPr>
          <w:bCs/>
        </w:rPr>
        <w:tab/>
        <w:t>373 - 381</w:t>
      </w:r>
      <w:r>
        <w:rPr>
          <w:bCs/>
        </w:rPr>
        <w:tab/>
        <w:t>110</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b)</w:t>
      </w:r>
      <w:r>
        <w:rPr>
          <w:bCs/>
        </w:rPr>
        <w:tab/>
        <w:t>Денежные пособия по болезни</w:t>
      </w:r>
      <w:r>
        <w:rPr>
          <w:bCs/>
        </w:rPr>
        <w:tab/>
      </w:r>
      <w:r>
        <w:rPr>
          <w:bCs/>
        </w:rPr>
        <w:tab/>
        <w:t>382 - 393</w:t>
      </w:r>
      <w:r>
        <w:rPr>
          <w:bCs/>
        </w:rPr>
        <w:tab/>
        <w:t>115</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с)</w:t>
      </w:r>
      <w:r>
        <w:rPr>
          <w:bCs/>
        </w:rPr>
        <w:tab/>
        <w:t>Пособия по материнству</w:t>
      </w:r>
      <w:r>
        <w:rPr>
          <w:bCs/>
        </w:rPr>
        <w:tab/>
      </w:r>
      <w:r>
        <w:rPr>
          <w:bCs/>
        </w:rPr>
        <w:tab/>
        <w:t>394 - 398</w:t>
      </w:r>
      <w:r>
        <w:rPr>
          <w:bCs/>
        </w:rPr>
        <w:tab/>
        <w:t>118</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d)</w:t>
      </w:r>
      <w:r>
        <w:rPr>
          <w:bCs/>
        </w:rPr>
        <w:tab/>
        <w:t>Пособия по старости</w:t>
      </w:r>
      <w:r>
        <w:rPr>
          <w:bCs/>
        </w:rPr>
        <w:tab/>
      </w:r>
      <w:r>
        <w:rPr>
          <w:bCs/>
        </w:rPr>
        <w:tab/>
        <w:t>399 - 404</w:t>
      </w:r>
      <w:r>
        <w:rPr>
          <w:bCs/>
        </w:rPr>
        <w:tab/>
        <w:t>118</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е)</w:t>
      </w:r>
      <w:r>
        <w:rPr>
          <w:bCs/>
        </w:rPr>
        <w:tab/>
        <w:t>Пособия по инвалидности</w:t>
      </w:r>
      <w:r>
        <w:rPr>
          <w:bCs/>
        </w:rPr>
        <w:tab/>
      </w:r>
      <w:r>
        <w:rPr>
          <w:bCs/>
        </w:rPr>
        <w:tab/>
        <w:t>405 - 407</w:t>
      </w:r>
      <w:r>
        <w:rPr>
          <w:bCs/>
        </w:rPr>
        <w:tab/>
        <w:t>119</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f)</w:t>
      </w:r>
      <w:r>
        <w:rPr>
          <w:bCs/>
        </w:rPr>
        <w:tab/>
        <w:t>Пособия в связи с потерей кормильца</w:t>
      </w:r>
      <w:r>
        <w:rPr>
          <w:bCs/>
        </w:rPr>
        <w:tab/>
      </w:r>
      <w:r>
        <w:rPr>
          <w:bCs/>
        </w:rPr>
        <w:tab/>
        <w:t>408</w:t>
      </w:r>
      <w:r>
        <w:rPr>
          <w:bCs/>
        </w:rPr>
        <w:tab/>
        <w:t>120</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left" w:pos="1418"/>
          <w:tab w:val="right" w:leader="dot" w:pos="7172"/>
          <w:tab w:val="center" w:pos="8039"/>
          <w:tab w:val="center" w:pos="9122"/>
        </w:tabs>
        <w:rPr>
          <w:bCs/>
        </w:rPr>
      </w:pPr>
      <w:r>
        <w:rPr>
          <w:bCs/>
        </w:rPr>
        <w:tab/>
        <w:t>2 g)</w:t>
      </w:r>
      <w:r>
        <w:rPr>
          <w:bCs/>
        </w:rPr>
        <w:tab/>
        <w:t>Пособия в связи с производственным травматизмом</w:t>
      </w:r>
      <w:r>
        <w:rPr>
          <w:bCs/>
        </w:rPr>
        <w:tab/>
      </w:r>
      <w:r>
        <w:rPr>
          <w:bCs/>
        </w:rPr>
        <w:tab/>
        <w:t>409</w:t>
      </w:r>
      <w:r>
        <w:rPr>
          <w:bCs/>
        </w:rPr>
        <w:tab/>
        <w:t>120</w:t>
      </w:r>
    </w:p>
    <w:p w:rsidR="00000000" w:rsidRDefault="00000000">
      <w:pPr>
        <w:tabs>
          <w:tab w:val="clear" w:pos="6237"/>
          <w:tab w:val="left" w:pos="1418"/>
          <w:tab w:val="right" w:leader="dot" w:pos="7172"/>
          <w:tab w:val="center" w:pos="8039"/>
          <w:tab w:val="center" w:pos="9122"/>
        </w:tabs>
        <w:rPr>
          <w:bCs/>
        </w:rPr>
      </w:pPr>
    </w:p>
    <w:p w:rsidR="00000000" w:rsidRDefault="00000000">
      <w:pPr>
        <w:tabs>
          <w:tab w:val="clear" w:pos="6237"/>
          <w:tab w:val="left" w:pos="1418"/>
          <w:tab w:val="right" w:leader="dot" w:pos="7172"/>
          <w:tab w:val="center" w:pos="8039"/>
          <w:tab w:val="center" w:pos="9122"/>
        </w:tabs>
        <w:rPr>
          <w:bCs/>
        </w:rPr>
      </w:pPr>
      <w:r>
        <w:rPr>
          <w:bCs/>
        </w:rPr>
        <w:tab/>
        <w:t>2 h)</w:t>
      </w:r>
      <w:r>
        <w:rPr>
          <w:bCs/>
        </w:rPr>
        <w:tab/>
        <w:t>Пособия по безработице</w:t>
      </w:r>
      <w:r>
        <w:rPr>
          <w:bCs/>
        </w:rPr>
        <w:tab/>
      </w:r>
      <w:r>
        <w:rPr>
          <w:bCs/>
        </w:rPr>
        <w:tab/>
        <w:t>410 - 418</w:t>
      </w:r>
      <w:r>
        <w:rPr>
          <w:bCs/>
        </w:rPr>
        <w:tab/>
        <w:t>120</w:t>
      </w:r>
    </w:p>
    <w:p w:rsidR="00000000" w:rsidRDefault="00000000">
      <w:pPr>
        <w:tabs>
          <w:tab w:val="clear" w:pos="6237"/>
          <w:tab w:val="left" w:pos="1418"/>
          <w:tab w:val="right" w:leader="dot" w:pos="7172"/>
          <w:tab w:val="center" w:pos="8039"/>
          <w:tab w:val="center" w:pos="9122"/>
        </w:tabs>
        <w:rPr>
          <w:bCs/>
        </w:rPr>
      </w:pPr>
    </w:p>
    <w:p w:rsidR="00000000" w:rsidRDefault="00000000">
      <w:pPr>
        <w:tabs>
          <w:tab w:val="clear" w:pos="6237"/>
          <w:tab w:val="left" w:pos="1418"/>
          <w:tab w:val="right" w:leader="dot" w:pos="7172"/>
          <w:tab w:val="center" w:pos="8039"/>
          <w:tab w:val="center" w:pos="9122"/>
        </w:tabs>
        <w:rPr>
          <w:bCs/>
        </w:rPr>
      </w:pPr>
      <w:r>
        <w:rPr>
          <w:bCs/>
        </w:rPr>
        <w:tab/>
        <w:t>3.</w:t>
      </w:r>
      <w:r>
        <w:rPr>
          <w:bCs/>
        </w:rPr>
        <w:tab/>
        <w:t>Финансирование схем социального обеспечения</w:t>
      </w:r>
      <w:r>
        <w:rPr>
          <w:bCs/>
        </w:rPr>
        <w:tab/>
      </w:r>
      <w:r>
        <w:rPr>
          <w:bCs/>
        </w:rPr>
        <w:tab/>
        <w:t>419 - 427</w:t>
      </w:r>
      <w:r>
        <w:rPr>
          <w:bCs/>
        </w:rPr>
        <w:tab/>
        <w:t>123</w:t>
      </w:r>
    </w:p>
    <w:p w:rsidR="00000000" w:rsidRDefault="00000000">
      <w:pPr>
        <w:tabs>
          <w:tab w:val="clear" w:pos="6237"/>
          <w:tab w:val="left" w:pos="1418"/>
          <w:tab w:val="right" w:leader="dot" w:pos="7172"/>
          <w:tab w:val="center" w:pos="8039"/>
          <w:tab w:val="center" w:pos="9122"/>
        </w:tabs>
        <w:rPr>
          <w:bCs/>
        </w:rPr>
      </w:pPr>
    </w:p>
    <w:p w:rsidR="00000000" w:rsidRDefault="00000000">
      <w:pPr>
        <w:tabs>
          <w:tab w:val="clear" w:pos="6237"/>
          <w:tab w:val="left" w:pos="1418"/>
          <w:tab w:val="right" w:leader="dot" w:pos="7172"/>
          <w:tab w:val="center" w:pos="8039"/>
          <w:tab w:val="center" w:pos="9122"/>
        </w:tabs>
        <w:rPr>
          <w:bCs/>
        </w:rPr>
      </w:pPr>
      <w:r>
        <w:rPr>
          <w:bCs/>
        </w:rPr>
        <w:tab/>
        <w:t xml:space="preserve">4.  </w:t>
      </w:r>
      <w:r>
        <w:rPr>
          <w:bCs/>
        </w:rPr>
        <w:tab/>
        <w:t>Процент ВНП, затрачиваемый на социальное обеспечение</w:t>
      </w:r>
      <w:r>
        <w:rPr>
          <w:bCs/>
        </w:rPr>
        <w:tab/>
      </w:r>
      <w:r>
        <w:rPr>
          <w:bCs/>
        </w:rPr>
        <w:tab/>
        <w:t>428</w:t>
      </w:r>
      <w:r>
        <w:rPr>
          <w:bCs/>
        </w:rPr>
        <w:tab/>
        <w:t>126</w:t>
      </w:r>
    </w:p>
    <w:p w:rsidR="00000000" w:rsidRDefault="00000000">
      <w:pPr>
        <w:tabs>
          <w:tab w:val="clear" w:pos="6237"/>
          <w:tab w:val="left" w:pos="1418"/>
          <w:tab w:val="right" w:leader="dot" w:pos="7172"/>
          <w:tab w:val="center" w:pos="8039"/>
          <w:tab w:val="center" w:pos="9122"/>
        </w:tabs>
        <w:rPr>
          <w:bCs/>
        </w:rPr>
      </w:pPr>
    </w:p>
    <w:p w:rsidR="00000000" w:rsidRDefault="00000000">
      <w:pPr>
        <w:tabs>
          <w:tab w:val="clear" w:pos="6237"/>
          <w:tab w:val="left" w:pos="1418"/>
          <w:tab w:val="right" w:leader="dot" w:pos="7172"/>
          <w:tab w:val="center" w:pos="8039"/>
          <w:tab w:val="center" w:pos="9122"/>
        </w:tabs>
        <w:rPr>
          <w:bCs/>
        </w:rPr>
      </w:pPr>
      <w:r>
        <w:rPr>
          <w:bCs/>
        </w:rPr>
        <w:tab/>
        <w:t xml:space="preserve">7.  </w:t>
      </w:r>
      <w:r>
        <w:rPr>
          <w:bCs/>
        </w:rPr>
        <w:tab/>
        <w:t>Изменения в системе социального обеспечения</w:t>
      </w:r>
      <w:r>
        <w:rPr>
          <w:bCs/>
        </w:rPr>
        <w:tab/>
      </w:r>
      <w:r>
        <w:rPr>
          <w:bCs/>
        </w:rPr>
        <w:tab/>
        <w:t>429 - 438</w:t>
      </w:r>
      <w:r>
        <w:rPr>
          <w:bCs/>
        </w:rPr>
        <w:tab/>
        <w:t>126</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1701"/>
          <w:tab w:val="clear" w:pos="2268"/>
          <w:tab w:val="clear" w:pos="6237"/>
          <w:tab w:val="right" w:leader="dot" w:pos="7172"/>
          <w:tab w:val="center" w:pos="8039"/>
          <w:tab w:val="center" w:pos="9122"/>
        </w:tabs>
        <w:rPr>
          <w:bCs/>
        </w:rPr>
      </w:pPr>
      <w:r>
        <w:rPr>
          <w:bCs/>
        </w:rPr>
        <w:t>Статья 10</w:t>
      </w:r>
      <w:r>
        <w:rPr>
          <w:bCs/>
        </w:rPr>
        <w:tab/>
      </w:r>
      <w:r>
        <w:rPr>
          <w:bCs/>
        </w:rPr>
        <w:tab/>
        <w:t>439 - 471</w:t>
      </w:r>
      <w:r>
        <w:rPr>
          <w:bCs/>
        </w:rPr>
        <w:tab/>
        <w:t>128</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1.</w:t>
      </w:r>
      <w:r>
        <w:rPr>
          <w:bCs/>
        </w:rPr>
        <w:tab/>
        <w:t>Международные конвенции</w:t>
      </w:r>
      <w:r>
        <w:rPr>
          <w:bCs/>
        </w:rPr>
        <w:tab/>
      </w:r>
      <w:r>
        <w:rPr>
          <w:bCs/>
        </w:rPr>
        <w:tab/>
        <w:t>439 - 440</w:t>
      </w:r>
      <w:r>
        <w:rPr>
          <w:bCs/>
        </w:rPr>
        <w:tab/>
        <w:t>128</w:t>
      </w:r>
    </w:p>
    <w:p w:rsidR="00000000" w:rsidRDefault="00000000">
      <w:pPr>
        <w:tabs>
          <w:tab w:val="clear" w:pos="6237"/>
          <w:tab w:val="right" w:leader="dot" w:pos="7172"/>
          <w:tab w:val="center" w:pos="8039"/>
          <w:tab w:val="center" w:pos="9122"/>
        </w:tabs>
        <w:rPr>
          <w:bCs/>
        </w:rPr>
      </w:pPr>
    </w:p>
    <w:p w:rsidR="00000000" w:rsidRDefault="00000000">
      <w:pPr>
        <w:tabs>
          <w:tab w:val="clear" w:pos="2268"/>
          <w:tab w:val="clear" w:pos="6237"/>
          <w:tab w:val="right" w:leader="dot" w:pos="7172"/>
          <w:tab w:val="center" w:pos="8039"/>
          <w:tab w:val="center" w:pos="9122"/>
        </w:tabs>
        <w:rPr>
          <w:bCs/>
        </w:rPr>
      </w:pPr>
      <w:r>
        <w:rPr>
          <w:bCs/>
        </w:rPr>
        <w:tab/>
        <w:t>2.</w:t>
      </w:r>
      <w:r>
        <w:rPr>
          <w:bCs/>
        </w:rPr>
        <w:tab/>
        <w:t>Семья</w:t>
      </w:r>
      <w:r>
        <w:rPr>
          <w:bCs/>
        </w:rPr>
        <w:tab/>
      </w:r>
      <w:r>
        <w:rPr>
          <w:bCs/>
        </w:rPr>
        <w:tab/>
        <w:t>441</w:t>
      </w:r>
      <w:r>
        <w:rPr>
          <w:bCs/>
        </w:rPr>
        <w:tab/>
        <w:t>129</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4.</w:t>
      </w:r>
      <w:r>
        <w:rPr>
          <w:bCs/>
        </w:rPr>
        <w:tab/>
        <w:t>Оказания помощи семье и защита семьи</w:t>
      </w:r>
      <w:r>
        <w:rPr>
          <w:bCs/>
        </w:rPr>
        <w:tab/>
      </w:r>
      <w:r>
        <w:rPr>
          <w:bCs/>
        </w:rPr>
        <w:tab/>
        <w:t>442 - 455</w:t>
      </w:r>
      <w:r>
        <w:rPr>
          <w:bCs/>
        </w:rPr>
        <w:tab/>
        <w:t>129</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5.</w:t>
      </w:r>
      <w:r>
        <w:rPr>
          <w:bCs/>
        </w:rPr>
        <w:tab/>
        <w:t>Охрана материнства</w:t>
      </w:r>
      <w:r>
        <w:rPr>
          <w:bCs/>
        </w:rPr>
        <w:tab/>
      </w:r>
      <w:r>
        <w:rPr>
          <w:bCs/>
        </w:rPr>
        <w:tab/>
        <w:t>456 - 462</w:t>
      </w:r>
      <w:r>
        <w:rPr>
          <w:bCs/>
        </w:rPr>
        <w:tab/>
        <w:t>132</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6.</w:t>
      </w:r>
      <w:r>
        <w:rPr>
          <w:bCs/>
        </w:rPr>
        <w:tab/>
        <w:t>Защита детей от экономической и социальной эксплуатации</w:t>
      </w:r>
      <w:r>
        <w:rPr>
          <w:bCs/>
        </w:rPr>
        <w:tab/>
        <w:t>463 - 470</w:t>
      </w:r>
      <w:r>
        <w:rPr>
          <w:bCs/>
        </w:rPr>
        <w:tab/>
        <w:t>133</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6 а)</w:t>
      </w:r>
      <w:r>
        <w:rPr>
          <w:bCs/>
        </w:rPr>
        <w:tab/>
        <w:t>Возрастные ограничения</w:t>
      </w:r>
      <w:r>
        <w:rPr>
          <w:bCs/>
        </w:rPr>
        <w:tab/>
      </w:r>
      <w:r>
        <w:rPr>
          <w:bCs/>
        </w:rPr>
        <w:tab/>
        <w:t>471</w:t>
      </w:r>
      <w:r>
        <w:rPr>
          <w:bCs/>
        </w:rPr>
        <w:tab/>
        <w:t>135</w:t>
      </w:r>
    </w:p>
    <w:p w:rsidR="00000000" w:rsidRDefault="00000000">
      <w:pPr>
        <w:tabs>
          <w:tab w:val="clear" w:pos="6237"/>
          <w:tab w:val="center" w:pos="8759"/>
        </w:tabs>
        <w:jc w:val="center"/>
        <w:rPr>
          <w:b/>
        </w:rPr>
      </w:pPr>
      <w:r>
        <w:rPr>
          <w:b/>
        </w:rPr>
        <w:t>СОДЕРЖАНИЕ (</w:t>
      </w:r>
      <w:r>
        <w:rPr>
          <w:b/>
          <w:i/>
          <w:iCs/>
        </w:rPr>
        <w:t>продолжение</w:t>
      </w:r>
      <w:r>
        <w:rPr>
          <w:b/>
        </w:rPr>
        <w:t>)</w:t>
      </w:r>
    </w:p>
    <w:p w:rsidR="00000000" w:rsidRDefault="00000000">
      <w:pPr>
        <w:tabs>
          <w:tab w:val="clear" w:pos="6237"/>
          <w:tab w:val="center" w:pos="8759"/>
        </w:tabs>
        <w:jc w:val="center"/>
        <w:rPr>
          <w:bCs/>
        </w:rPr>
      </w:pPr>
    </w:p>
    <w:p w:rsidR="00000000" w:rsidRDefault="00000000">
      <w:pPr>
        <w:tabs>
          <w:tab w:val="clear" w:pos="6237"/>
          <w:tab w:val="center" w:pos="8039"/>
          <w:tab w:val="center" w:pos="9122"/>
        </w:tabs>
        <w:rPr>
          <w:bCs/>
          <w:i/>
          <w:iCs/>
        </w:rPr>
      </w:pPr>
      <w:r>
        <w:rPr>
          <w:bCs/>
        </w:rPr>
        <w:tab/>
      </w:r>
      <w:r>
        <w:rPr>
          <w:bCs/>
        </w:rPr>
        <w:tab/>
      </w:r>
      <w:r>
        <w:rPr>
          <w:bCs/>
        </w:rPr>
        <w:tab/>
      </w:r>
      <w:r>
        <w:rPr>
          <w:bCs/>
        </w:rPr>
        <w:tab/>
      </w:r>
      <w:r>
        <w:rPr>
          <w:bCs/>
        </w:rPr>
        <w:tab/>
      </w:r>
      <w:r>
        <w:rPr>
          <w:bCs/>
          <w:i/>
          <w:iCs/>
        </w:rPr>
        <w:t>Пункты</w:t>
      </w:r>
      <w:r>
        <w:rPr>
          <w:bCs/>
          <w:i/>
          <w:iCs/>
        </w:rPr>
        <w:tab/>
        <w:t>Стр.</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6 b)</w:t>
      </w:r>
      <w:r>
        <w:rPr>
          <w:bCs/>
        </w:rPr>
        <w:tab/>
        <w:t>Статистические данные о детях, занятых на оплачиваемой</w:t>
      </w:r>
    </w:p>
    <w:p w:rsidR="00000000" w:rsidRDefault="00000000">
      <w:pPr>
        <w:tabs>
          <w:tab w:val="clear" w:pos="6237"/>
          <w:tab w:val="right" w:leader="dot" w:pos="7172"/>
          <w:tab w:val="center" w:pos="8039"/>
          <w:tab w:val="center" w:pos="9122"/>
        </w:tabs>
        <w:rPr>
          <w:bCs/>
        </w:rPr>
      </w:pPr>
      <w:r>
        <w:rPr>
          <w:bCs/>
        </w:rPr>
        <w:tab/>
      </w:r>
      <w:r>
        <w:rPr>
          <w:bCs/>
        </w:rPr>
        <w:tab/>
        <w:t>работе</w:t>
      </w:r>
      <w:r>
        <w:rPr>
          <w:bCs/>
        </w:rPr>
        <w:tab/>
      </w:r>
      <w:r>
        <w:rPr>
          <w:bCs/>
        </w:rPr>
        <w:tab/>
      </w:r>
      <w:r>
        <w:rPr>
          <w:bCs/>
        </w:rPr>
        <w:tab/>
      </w:r>
      <w:r>
        <w:rPr>
          <w:bCs/>
        </w:rPr>
        <w:tab/>
        <w:t>135</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1701"/>
          <w:tab w:val="clear" w:pos="2268"/>
          <w:tab w:val="clear" w:pos="6237"/>
          <w:tab w:val="right" w:leader="dot" w:pos="7172"/>
          <w:tab w:val="center" w:pos="8039"/>
          <w:tab w:val="center" w:pos="9122"/>
        </w:tabs>
        <w:rPr>
          <w:bCs/>
        </w:rPr>
      </w:pPr>
      <w:r>
        <w:rPr>
          <w:bCs/>
        </w:rPr>
        <w:t>Статья 11</w:t>
      </w:r>
      <w:r>
        <w:rPr>
          <w:bCs/>
        </w:rPr>
        <w:tab/>
      </w:r>
      <w:r>
        <w:rPr>
          <w:bCs/>
        </w:rPr>
        <w:tab/>
        <w:t>472 - 506</w:t>
      </w:r>
      <w:r>
        <w:rPr>
          <w:bCs/>
        </w:rPr>
        <w:tab/>
        <w:t>136</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1.</w:t>
      </w:r>
      <w:r>
        <w:rPr>
          <w:bCs/>
        </w:rPr>
        <w:tab/>
        <w:t>Право на достаточный жизненный уровень</w:t>
      </w:r>
      <w:r>
        <w:rPr>
          <w:bCs/>
        </w:rPr>
        <w:tab/>
      </w:r>
      <w:r>
        <w:rPr>
          <w:bCs/>
        </w:rPr>
        <w:tab/>
        <w:t>472 - 480</w:t>
      </w:r>
      <w:r>
        <w:rPr>
          <w:bCs/>
        </w:rPr>
        <w:tab/>
        <w:t>136</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3.</w:t>
      </w:r>
      <w:r>
        <w:rPr>
          <w:bCs/>
        </w:rPr>
        <w:tab/>
        <w:t>Право на достаточное жилище</w:t>
      </w:r>
      <w:r>
        <w:rPr>
          <w:bCs/>
        </w:rPr>
        <w:tab/>
      </w:r>
      <w:r>
        <w:rPr>
          <w:bCs/>
        </w:rPr>
        <w:tab/>
        <w:t>481 - 506</w:t>
      </w:r>
      <w:r>
        <w:rPr>
          <w:bCs/>
        </w:rPr>
        <w:tab/>
        <w:t>137</w:t>
      </w:r>
    </w:p>
    <w:p w:rsidR="00000000" w:rsidRDefault="00000000">
      <w:pPr>
        <w:tabs>
          <w:tab w:val="clear" w:pos="1134"/>
          <w:tab w:val="clear" w:pos="1701"/>
          <w:tab w:val="clear" w:pos="2268"/>
          <w:tab w:val="clear" w:pos="6237"/>
          <w:tab w:val="right" w:leader="dot" w:pos="7172"/>
          <w:tab w:val="center" w:pos="8039"/>
          <w:tab w:val="center" w:pos="9122"/>
        </w:tabs>
        <w:rPr>
          <w:bCs/>
        </w:rPr>
      </w:pPr>
    </w:p>
    <w:p w:rsidR="00000000" w:rsidRDefault="00000000">
      <w:pPr>
        <w:tabs>
          <w:tab w:val="clear" w:pos="1134"/>
          <w:tab w:val="clear" w:pos="1701"/>
          <w:tab w:val="clear" w:pos="2268"/>
          <w:tab w:val="clear" w:pos="6237"/>
          <w:tab w:val="right" w:leader="dot" w:pos="7172"/>
          <w:tab w:val="center" w:pos="8039"/>
          <w:tab w:val="center" w:pos="9122"/>
        </w:tabs>
        <w:rPr>
          <w:bCs/>
        </w:rPr>
      </w:pPr>
      <w:r>
        <w:rPr>
          <w:bCs/>
        </w:rPr>
        <w:t>Статья 12</w:t>
      </w:r>
      <w:r>
        <w:rPr>
          <w:bCs/>
        </w:rPr>
        <w:tab/>
      </w:r>
      <w:r>
        <w:rPr>
          <w:bCs/>
        </w:rPr>
        <w:tab/>
        <w:t>507 - 556</w:t>
      </w:r>
      <w:r>
        <w:rPr>
          <w:bCs/>
        </w:rPr>
        <w:tab/>
        <w:t>145</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1.</w:t>
      </w:r>
      <w:r>
        <w:rPr>
          <w:bCs/>
        </w:rPr>
        <w:tab/>
        <w:t>Физическое и психическое здоровье населения</w:t>
      </w:r>
      <w:r>
        <w:rPr>
          <w:bCs/>
        </w:rPr>
        <w:tab/>
      </w:r>
      <w:r>
        <w:rPr>
          <w:bCs/>
        </w:rPr>
        <w:tab/>
        <w:t>507 - 517</w:t>
      </w:r>
      <w:r>
        <w:rPr>
          <w:bCs/>
        </w:rPr>
        <w:tab/>
        <w:t>145</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w:t>
      </w:r>
      <w:r>
        <w:rPr>
          <w:bCs/>
        </w:rPr>
        <w:tab/>
        <w:t>Национальная политика в области здравоохранения</w:t>
      </w:r>
      <w:r>
        <w:rPr>
          <w:bCs/>
        </w:rPr>
        <w:tab/>
      </w:r>
      <w:r>
        <w:rPr>
          <w:bCs/>
        </w:rPr>
        <w:tab/>
        <w:t>518 - 523</w:t>
      </w:r>
      <w:r>
        <w:rPr>
          <w:bCs/>
        </w:rPr>
        <w:tab/>
        <w:t>148</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4 а)</w:t>
      </w:r>
      <w:r>
        <w:rPr>
          <w:bCs/>
        </w:rPr>
        <w:tab/>
        <w:t>Уровень младенческой смертности</w:t>
      </w:r>
      <w:r>
        <w:rPr>
          <w:bCs/>
        </w:rPr>
        <w:tab/>
      </w:r>
      <w:r>
        <w:rPr>
          <w:bCs/>
        </w:rPr>
        <w:tab/>
        <w:t>524 - 526</w:t>
      </w:r>
      <w:r>
        <w:rPr>
          <w:bCs/>
        </w:rPr>
        <w:tab/>
        <w:t>149</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4 b)</w:t>
      </w:r>
      <w:r>
        <w:rPr>
          <w:bCs/>
        </w:rPr>
        <w:tab/>
        <w:t>Доступ к безопасной воде</w:t>
      </w:r>
      <w:r>
        <w:rPr>
          <w:bCs/>
        </w:rPr>
        <w:tab/>
      </w:r>
      <w:r>
        <w:rPr>
          <w:bCs/>
        </w:rPr>
        <w:tab/>
        <w:t>527</w:t>
      </w:r>
      <w:r>
        <w:rPr>
          <w:bCs/>
        </w:rPr>
        <w:tab/>
        <w:t>150</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4 с)</w:t>
      </w:r>
      <w:r>
        <w:rPr>
          <w:bCs/>
        </w:rPr>
        <w:tab/>
        <w:t>Доступ к санитарно-техническим средствам</w:t>
      </w:r>
      <w:r>
        <w:rPr>
          <w:bCs/>
        </w:rPr>
        <w:tab/>
      </w:r>
      <w:r>
        <w:rPr>
          <w:bCs/>
        </w:rPr>
        <w:tab/>
        <w:t>528</w:t>
      </w:r>
      <w:r>
        <w:rPr>
          <w:bCs/>
        </w:rPr>
        <w:tab/>
        <w:t>150</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4 d)</w:t>
      </w:r>
      <w:r>
        <w:rPr>
          <w:bCs/>
        </w:rPr>
        <w:tab/>
        <w:t>Вакцинация детей</w:t>
      </w:r>
      <w:r>
        <w:rPr>
          <w:bCs/>
        </w:rPr>
        <w:tab/>
      </w:r>
      <w:r>
        <w:rPr>
          <w:bCs/>
        </w:rPr>
        <w:tab/>
        <w:t>529 - 530</w:t>
      </w:r>
      <w:r>
        <w:rPr>
          <w:bCs/>
        </w:rPr>
        <w:tab/>
        <w:t>151</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4 е)</w:t>
      </w:r>
      <w:r>
        <w:rPr>
          <w:bCs/>
        </w:rPr>
        <w:tab/>
        <w:t>Ожидаемая продолжительность жизни</w:t>
      </w:r>
      <w:r>
        <w:rPr>
          <w:bCs/>
        </w:rPr>
        <w:tab/>
      </w:r>
      <w:r>
        <w:rPr>
          <w:bCs/>
        </w:rPr>
        <w:tab/>
        <w:t>531 - 533</w:t>
      </w:r>
      <w:r>
        <w:rPr>
          <w:bCs/>
        </w:rPr>
        <w:tab/>
        <w:t>151</w:t>
      </w:r>
    </w:p>
    <w:p w:rsidR="00000000" w:rsidRDefault="00000000">
      <w:pPr>
        <w:tabs>
          <w:tab w:val="clear" w:pos="6237"/>
          <w:tab w:val="right" w:leader="dot" w:pos="7172"/>
          <w:tab w:val="center" w:pos="8039"/>
          <w:tab w:val="center" w:pos="9122"/>
        </w:tabs>
        <w:rPr>
          <w:bCs/>
          <w:sz w:val="16"/>
        </w:rPr>
      </w:pPr>
    </w:p>
    <w:p w:rsidR="00000000" w:rsidRDefault="00000000">
      <w:pPr>
        <w:tabs>
          <w:tab w:val="clear" w:pos="6237"/>
          <w:tab w:val="right" w:leader="dot" w:pos="7172"/>
          <w:tab w:val="center" w:pos="8039"/>
          <w:tab w:val="center" w:pos="9122"/>
        </w:tabs>
        <w:rPr>
          <w:bCs/>
        </w:rPr>
      </w:pPr>
      <w:r>
        <w:rPr>
          <w:bCs/>
        </w:rPr>
        <w:tab/>
        <w:t>5 а)</w:t>
      </w:r>
      <w:r>
        <w:rPr>
          <w:bCs/>
        </w:rPr>
        <w:tab/>
        <w:t>Различия с точки зрения положении в области здравоохранения</w:t>
      </w:r>
    </w:p>
    <w:p w:rsidR="00000000" w:rsidRDefault="00000000">
      <w:pPr>
        <w:tabs>
          <w:tab w:val="clear" w:pos="6237"/>
          <w:tab w:val="right" w:leader="dot" w:pos="7172"/>
          <w:tab w:val="center" w:pos="8039"/>
          <w:tab w:val="center" w:pos="9122"/>
        </w:tabs>
        <w:rPr>
          <w:bCs/>
        </w:rPr>
      </w:pPr>
      <w:r>
        <w:rPr>
          <w:bCs/>
        </w:rPr>
        <w:tab/>
      </w:r>
      <w:r>
        <w:rPr>
          <w:bCs/>
        </w:rPr>
        <w:tab/>
        <w:t>между различными группами и районами</w:t>
      </w:r>
      <w:r>
        <w:rPr>
          <w:bCs/>
        </w:rPr>
        <w:tab/>
      </w:r>
      <w:r>
        <w:rPr>
          <w:bCs/>
        </w:rPr>
        <w:tab/>
        <w:t>534 - 536</w:t>
      </w:r>
      <w:r>
        <w:rPr>
          <w:bCs/>
        </w:rPr>
        <w:tab/>
        <w:t>155</w:t>
      </w:r>
    </w:p>
    <w:p w:rsidR="00000000" w:rsidRDefault="00000000">
      <w:pPr>
        <w:tabs>
          <w:tab w:val="clear" w:pos="6237"/>
          <w:tab w:val="right" w:leader="dot" w:pos="7172"/>
          <w:tab w:val="center" w:pos="8039"/>
          <w:tab w:val="center" w:pos="9122"/>
        </w:tabs>
        <w:rPr>
          <w:bCs/>
          <w:sz w:val="16"/>
        </w:rPr>
      </w:pPr>
    </w:p>
    <w:p w:rsidR="00000000" w:rsidRDefault="00000000">
      <w:pPr>
        <w:tabs>
          <w:tab w:val="clear" w:pos="6237"/>
          <w:tab w:val="right" w:leader="dot" w:pos="7172"/>
          <w:tab w:val="center" w:pos="8039"/>
          <w:tab w:val="center" w:pos="9122"/>
        </w:tabs>
        <w:rPr>
          <w:bCs/>
        </w:rPr>
      </w:pPr>
      <w:r>
        <w:rPr>
          <w:bCs/>
        </w:rPr>
        <w:tab/>
        <w:t>5 b), с) и d)  Меры, направленные на улучшение состояния здоровья</w:t>
      </w:r>
    </w:p>
    <w:p w:rsidR="00000000" w:rsidRDefault="00000000">
      <w:pPr>
        <w:tabs>
          <w:tab w:val="clear" w:pos="6237"/>
          <w:tab w:val="right" w:leader="dot" w:pos="7172"/>
          <w:tab w:val="center" w:pos="8039"/>
          <w:tab w:val="center" w:pos="9122"/>
        </w:tabs>
        <w:rPr>
          <w:bCs/>
        </w:rPr>
      </w:pPr>
      <w:r>
        <w:rPr>
          <w:bCs/>
        </w:rPr>
        <w:tab/>
      </w:r>
      <w:r>
        <w:rPr>
          <w:bCs/>
        </w:rPr>
        <w:tab/>
        <w:t>населения, относящегося к уязвимым и находящимся в</w:t>
      </w:r>
    </w:p>
    <w:p w:rsidR="00000000" w:rsidRDefault="00000000">
      <w:pPr>
        <w:tabs>
          <w:tab w:val="clear" w:pos="6237"/>
          <w:tab w:val="right" w:leader="dot" w:pos="7172"/>
          <w:tab w:val="center" w:pos="8039"/>
          <w:tab w:val="center" w:pos="9122"/>
        </w:tabs>
        <w:rPr>
          <w:bCs/>
        </w:rPr>
      </w:pPr>
      <w:r>
        <w:rPr>
          <w:bCs/>
        </w:rPr>
        <w:tab/>
      </w:r>
      <w:r>
        <w:rPr>
          <w:bCs/>
        </w:rPr>
        <w:tab/>
        <w:t xml:space="preserve">неблагоприятном </w:t>
      </w:r>
      <w:r>
        <w:rPr>
          <w:bCs/>
        </w:rPr>
        <w:tab/>
        <w:t>положении группам или проживающего</w:t>
      </w:r>
    </w:p>
    <w:p w:rsidR="00000000" w:rsidRDefault="00000000">
      <w:pPr>
        <w:tabs>
          <w:tab w:val="clear" w:pos="6237"/>
          <w:tab w:val="right" w:leader="dot" w:pos="7172"/>
          <w:tab w:val="center" w:pos="8039"/>
          <w:tab w:val="center" w:pos="9122"/>
        </w:tabs>
        <w:rPr>
          <w:bCs/>
        </w:rPr>
      </w:pPr>
      <w:r>
        <w:rPr>
          <w:bCs/>
        </w:rPr>
        <w:tab/>
      </w:r>
      <w:r>
        <w:rPr>
          <w:bCs/>
        </w:rPr>
        <w:tab/>
        <w:t>в депрессивных районах</w:t>
      </w:r>
      <w:r>
        <w:rPr>
          <w:bCs/>
        </w:rPr>
        <w:tab/>
      </w:r>
      <w:r>
        <w:rPr>
          <w:bCs/>
        </w:rPr>
        <w:tab/>
        <w:t>537 - 539</w:t>
      </w:r>
      <w:r>
        <w:rPr>
          <w:bCs/>
        </w:rPr>
        <w:tab/>
        <w:t>155</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5 е)</w:t>
      </w:r>
      <w:r>
        <w:rPr>
          <w:bCs/>
        </w:rPr>
        <w:tab/>
        <w:t>Меры, направленные на сокращение мертворождаемости</w:t>
      </w:r>
    </w:p>
    <w:p w:rsidR="00000000" w:rsidRDefault="00000000">
      <w:pPr>
        <w:tabs>
          <w:tab w:val="clear" w:pos="6237"/>
          <w:tab w:val="right" w:leader="dot" w:pos="7172"/>
          <w:tab w:val="center" w:pos="8039"/>
          <w:tab w:val="center" w:pos="9122"/>
        </w:tabs>
        <w:rPr>
          <w:bCs/>
        </w:rPr>
      </w:pPr>
      <w:r>
        <w:rPr>
          <w:bCs/>
        </w:rPr>
        <w:tab/>
      </w:r>
      <w:r>
        <w:rPr>
          <w:bCs/>
        </w:rPr>
        <w:tab/>
        <w:t>и младенческой смертности и на обеспечение здорового</w:t>
      </w:r>
    </w:p>
    <w:p w:rsidR="00000000" w:rsidRDefault="00000000">
      <w:pPr>
        <w:tabs>
          <w:tab w:val="clear" w:pos="6237"/>
          <w:tab w:val="right" w:leader="dot" w:pos="7172"/>
          <w:tab w:val="center" w:pos="8039"/>
          <w:tab w:val="center" w:pos="9122"/>
        </w:tabs>
        <w:rPr>
          <w:bCs/>
        </w:rPr>
      </w:pPr>
      <w:r>
        <w:rPr>
          <w:bCs/>
        </w:rPr>
        <w:tab/>
      </w:r>
      <w:r>
        <w:rPr>
          <w:bCs/>
        </w:rPr>
        <w:tab/>
        <w:t>развития ребенка</w:t>
      </w:r>
      <w:r>
        <w:rPr>
          <w:bCs/>
        </w:rPr>
        <w:tab/>
      </w:r>
      <w:r>
        <w:rPr>
          <w:bCs/>
        </w:rPr>
        <w:tab/>
        <w:t>540 - 543</w:t>
      </w:r>
      <w:r>
        <w:rPr>
          <w:bCs/>
        </w:rPr>
        <w:tab/>
        <w:t>156</w:t>
      </w:r>
    </w:p>
    <w:p w:rsidR="00000000" w:rsidRDefault="00000000">
      <w:pPr>
        <w:tabs>
          <w:tab w:val="clear" w:pos="6237"/>
          <w:tab w:val="center" w:pos="8759"/>
        </w:tabs>
        <w:jc w:val="center"/>
        <w:rPr>
          <w:b/>
        </w:rPr>
      </w:pPr>
      <w:r>
        <w:rPr>
          <w:b/>
        </w:rPr>
        <w:t>СОДЕРЖАНИЕ (</w:t>
      </w:r>
      <w:r>
        <w:rPr>
          <w:b/>
          <w:i/>
          <w:iCs/>
        </w:rPr>
        <w:t>продолжение</w:t>
      </w:r>
      <w:r>
        <w:rPr>
          <w:b/>
        </w:rPr>
        <w:t>)</w:t>
      </w:r>
    </w:p>
    <w:p w:rsidR="00000000" w:rsidRDefault="00000000">
      <w:pPr>
        <w:tabs>
          <w:tab w:val="clear" w:pos="6237"/>
          <w:tab w:val="center" w:pos="8759"/>
        </w:tabs>
        <w:jc w:val="center"/>
        <w:rPr>
          <w:bCs/>
        </w:rPr>
      </w:pPr>
    </w:p>
    <w:p w:rsidR="00000000" w:rsidRDefault="00000000">
      <w:pPr>
        <w:tabs>
          <w:tab w:val="clear" w:pos="6237"/>
          <w:tab w:val="center" w:pos="8039"/>
          <w:tab w:val="center" w:pos="9122"/>
        </w:tabs>
        <w:rPr>
          <w:bCs/>
          <w:i/>
          <w:iCs/>
        </w:rPr>
      </w:pPr>
      <w:r>
        <w:rPr>
          <w:bCs/>
        </w:rPr>
        <w:tab/>
      </w:r>
      <w:r>
        <w:rPr>
          <w:bCs/>
        </w:rPr>
        <w:tab/>
      </w:r>
      <w:r>
        <w:rPr>
          <w:bCs/>
        </w:rPr>
        <w:tab/>
      </w:r>
      <w:r>
        <w:rPr>
          <w:bCs/>
        </w:rPr>
        <w:tab/>
      </w:r>
      <w:r>
        <w:rPr>
          <w:bCs/>
        </w:rPr>
        <w:tab/>
      </w:r>
      <w:r>
        <w:rPr>
          <w:bCs/>
          <w:i/>
          <w:iCs/>
        </w:rPr>
        <w:t>Пункты</w:t>
      </w:r>
      <w:r>
        <w:rPr>
          <w:bCs/>
          <w:i/>
          <w:iCs/>
        </w:rPr>
        <w:tab/>
        <w:t>Стр.</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5 f)</w:t>
      </w:r>
      <w:r>
        <w:rPr>
          <w:bCs/>
        </w:rPr>
        <w:tab/>
        <w:t>Экологическая и промышленная гигиена</w:t>
      </w:r>
      <w:r>
        <w:rPr>
          <w:bCs/>
        </w:rPr>
        <w:tab/>
      </w:r>
      <w:r>
        <w:rPr>
          <w:bCs/>
        </w:rPr>
        <w:tab/>
        <w:t>544</w:t>
      </w:r>
      <w:r>
        <w:rPr>
          <w:bCs/>
        </w:rPr>
        <w:tab/>
        <w:t>156</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5 g)</w:t>
      </w:r>
      <w:r>
        <w:rPr>
          <w:bCs/>
        </w:rPr>
        <w:tab/>
        <w:t>Эпидемические заболевания</w:t>
      </w:r>
      <w:r>
        <w:rPr>
          <w:bCs/>
        </w:rPr>
        <w:tab/>
      </w:r>
      <w:r>
        <w:rPr>
          <w:bCs/>
        </w:rPr>
        <w:tab/>
        <w:t>545 - 547</w:t>
      </w:r>
      <w:r>
        <w:rPr>
          <w:bCs/>
        </w:rPr>
        <w:tab/>
        <w:t>157</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5 h)</w:t>
      </w:r>
      <w:r>
        <w:rPr>
          <w:bCs/>
        </w:rPr>
        <w:tab/>
        <w:t>Меры по обеспечению всестороннего медицинского</w:t>
      </w:r>
    </w:p>
    <w:p w:rsidR="00000000" w:rsidRDefault="00000000">
      <w:pPr>
        <w:tabs>
          <w:tab w:val="clear" w:pos="6237"/>
          <w:tab w:val="right" w:leader="dot" w:pos="7172"/>
          <w:tab w:val="center" w:pos="8039"/>
          <w:tab w:val="center" w:pos="9122"/>
        </w:tabs>
        <w:rPr>
          <w:bCs/>
        </w:rPr>
      </w:pPr>
      <w:r>
        <w:rPr>
          <w:bCs/>
        </w:rPr>
        <w:tab/>
      </w:r>
      <w:r>
        <w:rPr>
          <w:bCs/>
        </w:rPr>
        <w:tab/>
        <w:t>обслуживания и ухода</w:t>
      </w:r>
      <w:r>
        <w:rPr>
          <w:bCs/>
        </w:rPr>
        <w:tab/>
      </w:r>
      <w:r>
        <w:rPr>
          <w:bCs/>
        </w:rPr>
        <w:tab/>
        <w:t>548 - 556</w:t>
      </w:r>
      <w:r>
        <w:rPr>
          <w:bCs/>
        </w:rPr>
        <w:tab/>
        <w:t>157</w:t>
      </w:r>
    </w:p>
    <w:p w:rsidR="00000000" w:rsidRDefault="00000000">
      <w:pPr>
        <w:tabs>
          <w:tab w:val="clear" w:pos="6237"/>
          <w:tab w:val="right" w:leader="dot" w:pos="7172"/>
          <w:tab w:val="center" w:pos="8039"/>
          <w:tab w:val="center" w:pos="9122"/>
        </w:tabs>
        <w:rPr>
          <w:bCs/>
        </w:rPr>
      </w:pPr>
    </w:p>
    <w:p w:rsidR="00000000" w:rsidRDefault="00000000">
      <w:pPr>
        <w:tabs>
          <w:tab w:val="clear" w:pos="1134"/>
          <w:tab w:val="clear" w:pos="1701"/>
          <w:tab w:val="clear" w:pos="2268"/>
          <w:tab w:val="clear" w:pos="6237"/>
          <w:tab w:val="right" w:leader="dot" w:pos="7172"/>
          <w:tab w:val="center" w:pos="8039"/>
          <w:tab w:val="center" w:pos="9122"/>
        </w:tabs>
        <w:rPr>
          <w:bCs/>
        </w:rPr>
      </w:pPr>
      <w:r>
        <w:rPr>
          <w:bCs/>
        </w:rPr>
        <w:t>Статья 13</w:t>
      </w:r>
      <w:r>
        <w:rPr>
          <w:bCs/>
        </w:rPr>
        <w:tab/>
      </w:r>
      <w:r>
        <w:rPr>
          <w:bCs/>
        </w:rPr>
        <w:tab/>
        <w:t>557 - 601</w:t>
      </w:r>
      <w:r>
        <w:rPr>
          <w:bCs/>
        </w:rPr>
        <w:tab/>
        <w:t>160</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6237"/>
          <w:tab w:val="left" w:pos="1418"/>
          <w:tab w:val="right" w:leader="dot" w:pos="7172"/>
          <w:tab w:val="center" w:pos="8039"/>
          <w:tab w:val="center" w:pos="9122"/>
        </w:tabs>
        <w:rPr>
          <w:bCs/>
        </w:rPr>
      </w:pPr>
      <w:r>
        <w:rPr>
          <w:bCs/>
        </w:rPr>
        <w:tab/>
        <w:t>Право каждого человека на образование</w:t>
      </w:r>
      <w:r>
        <w:rPr>
          <w:bCs/>
        </w:rPr>
        <w:tab/>
      </w:r>
      <w:r>
        <w:rPr>
          <w:bCs/>
        </w:rPr>
        <w:tab/>
        <w:t>557 - 566</w:t>
      </w:r>
      <w:r>
        <w:rPr>
          <w:bCs/>
        </w:rPr>
        <w:tab/>
        <w:t>160</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1 а)</w:t>
      </w:r>
      <w:r>
        <w:rPr>
          <w:bCs/>
        </w:rPr>
        <w:tab/>
        <w:t>Начальное образование</w:t>
      </w:r>
      <w:r>
        <w:rPr>
          <w:bCs/>
        </w:rPr>
        <w:tab/>
      </w:r>
      <w:r>
        <w:rPr>
          <w:bCs/>
        </w:rPr>
        <w:tab/>
        <w:t>567 - 573</w:t>
      </w:r>
      <w:r>
        <w:rPr>
          <w:bCs/>
        </w:rPr>
        <w:tab/>
        <w:t>162</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1 b)</w:t>
      </w:r>
      <w:r>
        <w:rPr>
          <w:bCs/>
        </w:rPr>
        <w:tab/>
        <w:t>Среднее образование</w:t>
      </w:r>
      <w:r>
        <w:rPr>
          <w:bCs/>
        </w:rPr>
        <w:tab/>
      </w:r>
      <w:r>
        <w:rPr>
          <w:bCs/>
        </w:rPr>
        <w:tab/>
        <w:t>574 - 582</w:t>
      </w:r>
      <w:r>
        <w:rPr>
          <w:bCs/>
        </w:rPr>
        <w:tab/>
        <w:t>164</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1 с)</w:t>
      </w:r>
      <w:r>
        <w:rPr>
          <w:bCs/>
        </w:rPr>
        <w:tab/>
        <w:t>Высшее образование</w:t>
      </w:r>
      <w:r>
        <w:rPr>
          <w:bCs/>
        </w:rPr>
        <w:tab/>
      </w:r>
      <w:r>
        <w:rPr>
          <w:bCs/>
        </w:rPr>
        <w:tab/>
        <w:t>583 - 585</w:t>
      </w:r>
      <w:r>
        <w:rPr>
          <w:bCs/>
        </w:rPr>
        <w:tab/>
        <w:t>166</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1 d)</w:t>
      </w:r>
      <w:r>
        <w:rPr>
          <w:bCs/>
        </w:rPr>
        <w:tab/>
        <w:t>Усилия по обеспечению системы основного образования для</w:t>
      </w:r>
    </w:p>
    <w:p w:rsidR="00000000" w:rsidRDefault="00000000">
      <w:pPr>
        <w:tabs>
          <w:tab w:val="clear" w:pos="6237"/>
          <w:tab w:val="right" w:leader="dot" w:pos="7172"/>
          <w:tab w:val="center" w:pos="8039"/>
          <w:tab w:val="center" w:pos="9122"/>
        </w:tabs>
        <w:rPr>
          <w:bCs/>
        </w:rPr>
      </w:pPr>
      <w:r>
        <w:rPr>
          <w:bCs/>
        </w:rPr>
        <w:tab/>
      </w:r>
      <w:r>
        <w:rPr>
          <w:bCs/>
        </w:rPr>
        <w:tab/>
        <w:t>тех, кто не получил или не закончил начальное</w:t>
      </w:r>
      <w:r>
        <w:rPr>
          <w:bCs/>
        </w:rPr>
        <w:tab/>
        <w:t xml:space="preserve"> образование</w:t>
      </w:r>
      <w:r>
        <w:rPr>
          <w:bCs/>
        </w:rPr>
        <w:tab/>
        <w:t>586</w:t>
      </w:r>
      <w:r>
        <w:rPr>
          <w:bCs/>
        </w:rPr>
        <w:tab/>
        <w:t>167</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4.</w:t>
      </w:r>
      <w:r>
        <w:rPr>
          <w:bCs/>
        </w:rPr>
        <w:tab/>
        <w:t>Бюджетные ассигнования на образование</w:t>
      </w:r>
      <w:r>
        <w:rPr>
          <w:bCs/>
        </w:rPr>
        <w:tab/>
      </w:r>
      <w:r>
        <w:rPr>
          <w:bCs/>
        </w:rPr>
        <w:tab/>
        <w:t>587</w:t>
      </w:r>
      <w:r>
        <w:rPr>
          <w:bCs/>
        </w:rPr>
        <w:tab/>
        <w:t>167</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5 а)</w:t>
      </w:r>
      <w:r>
        <w:rPr>
          <w:bCs/>
        </w:rPr>
        <w:tab/>
        <w:t xml:space="preserve">Соотношение между мужчинами и женщинами на различных </w:t>
      </w:r>
    </w:p>
    <w:p w:rsidR="00000000" w:rsidRDefault="00000000">
      <w:pPr>
        <w:tabs>
          <w:tab w:val="clear" w:pos="6237"/>
          <w:tab w:val="right" w:leader="dot" w:pos="7172"/>
          <w:tab w:val="center" w:pos="8039"/>
          <w:tab w:val="center" w:pos="9122"/>
        </w:tabs>
        <w:rPr>
          <w:bCs/>
        </w:rPr>
      </w:pPr>
      <w:r>
        <w:rPr>
          <w:bCs/>
        </w:rPr>
        <w:tab/>
      </w:r>
      <w:r>
        <w:rPr>
          <w:bCs/>
        </w:rPr>
        <w:tab/>
        <w:t>уровнях образования</w:t>
      </w:r>
      <w:r>
        <w:rPr>
          <w:bCs/>
        </w:rPr>
        <w:tab/>
      </w:r>
      <w:r>
        <w:rPr>
          <w:bCs/>
        </w:rPr>
        <w:tab/>
        <w:t>588</w:t>
      </w:r>
      <w:r>
        <w:rPr>
          <w:bCs/>
        </w:rPr>
        <w:tab/>
        <w:t>167</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5 b) и с)  Практическое пользование правом на образование со</w:t>
      </w:r>
    </w:p>
    <w:p w:rsidR="00000000" w:rsidRDefault="00000000">
      <w:pPr>
        <w:tabs>
          <w:tab w:val="clear" w:pos="6237"/>
          <w:tab w:val="right" w:leader="dot" w:pos="7172"/>
          <w:tab w:val="center" w:pos="8039"/>
          <w:tab w:val="center" w:pos="9122"/>
        </w:tabs>
        <w:rPr>
          <w:bCs/>
        </w:rPr>
      </w:pPr>
      <w:r>
        <w:rPr>
          <w:bCs/>
        </w:rPr>
        <w:tab/>
      </w:r>
      <w:r>
        <w:rPr>
          <w:bCs/>
        </w:rPr>
        <w:tab/>
        <w:t>стороны уязвимых групп;  меры, принятые в целях</w:t>
      </w:r>
    </w:p>
    <w:p w:rsidR="00000000" w:rsidRDefault="00000000">
      <w:pPr>
        <w:tabs>
          <w:tab w:val="clear" w:pos="6237"/>
          <w:tab w:val="right" w:leader="dot" w:pos="7172"/>
          <w:tab w:val="center" w:pos="8039"/>
          <w:tab w:val="center" w:pos="9122"/>
        </w:tabs>
        <w:rPr>
          <w:bCs/>
        </w:rPr>
      </w:pPr>
      <w:r>
        <w:rPr>
          <w:bCs/>
        </w:rPr>
        <w:tab/>
      </w:r>
      <w:r>
        <w:rPr>
          <w:bCs/>
        </w:rPr>
        <w:tab/>
        <w:t>предоставления равного доступа к образованию</w:t>
      </w:r>
      <w:r>
        <w:rPr>
          <w:bCs/>
        </w:rPr>
        <w:tab/>
      </w:r>
      <w:r>
        <w:rPr>
          <w:bCs/>
        </w:rPr>
        <w:tab/>
        <w:t>589 - 598</w:t>
      </w:r>
      <w:r>
        <w:rPr>
          <w:bCs/>
        </w:rPr>
        <w:tab/>
        <w:t>168</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5 d)</w:t>
      </w:r>
      <w:r>
        <w:rPr>
          <w:bCs/>
        </w:rPr>
        <w:tab/>
        <w:t>Языковые возможности</w:t>
      </w:r>
      <w:r>
        <w:rPr>
          <w:bCs/>
        </w:rPr>
        <w:tab/>
      </w:r>
      <w:r>
        <w:rPr>
          <w:bCs/>
        </w:rPr>
        <w:tab/>
        <w:t>599 - 600</w:t>
      </w:r>
      <w:r>
        <w:rPr>
          <w:bCs/>
        </w:rPr>
        <w:tab/>
        <w:t>170</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6.</w:t>
      </w:r>
      <w:r>
        <w:rPr>
          <w:bCs/>
        </w:rPr>
        <w:tab/>
        <w:t>Улучшение положения преподавательского персонала</w:t>
      </w:r>
      <w:r>
        <w:rPr>
          <w:bCs/>
        </w:rPr>
        <w:tab/>
      </w:r>
      <w:r>
        <w:rPr>
          <w:bCs/>
        </w:rPr>
        <w:tab/>
        <w:t>601</w:t>
      </w:r>
      <w:r>
        <w:rPr>
          <w:bCs/>
        </w:rPr>
        <w:tab/>
        <w:t>171</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center" w:pos="8759"/>
        </w:tabs>
        <w:jc w:val="center"/>
        <w:rPr>
          <w:b/>
        </w:rPr>
      </w:pPr>
      <w:r>
        <w:rPr>
          <w:bCs/>
        </w:rPr>
        <w:br w:type="page"/>
      </w:r>
      <w:r>
        <w:rPr>
          <w:b/>
        </w:rPr>
        <w:t>СОДЕРЖАНИЕ (</w:t>
      </w:r>
      <w:r>
        <w:rPr>
          <w:b/>
          <w:i/>
          <w:iCs/>
        </w:rPr>
        <w:t>продолжение</w:t>
      </w:r>
      <w:r>
        <w:rPr>
          <w:b/>
        </w:rPr>
        <w:t>)</w:t>
      </w:r>
    </w:p>
    <w:p w:rsidR="00000000" w:rsidRDefault="00000000">
      <w:pPr>
        <w:tabs>
          <w:tab w:val="clear" w:pos="6237"/>
          <w:tab w:val="center" w:pos="8759"/>
        </w:tabs>
        <w:jc w:val="center"/>
        <w:rPr>
          <w:bCs/>
        </w:rPr>
      </w:pPr>
    </w:p>
    <w:p w:rsidR="00000000" w:rsidRDefault="00000000">
      <w:pPr>
        <w:tabs>
          <w:tab w:val="clear" w:pos="6237"/>
          <w:tab w:val="center" w:pos="8039"/>
          <w:tab w:val="center" w:pos="9122"/>
        </w:tabs>
        <w:rPr>
          <w:bCs/>
          <w:i/>
          <w:iCs/>
        </w:rPr>
      </w:pPr>
      <w:r>
        <w:rPr>
          <w:bCs/>
        </w:rPr>
        <w:tab/>
      </w:r>
      <w:r>
        <w:rPr>
          <w:bCs/>
        </w:rPr>
        <w:tab/>
      </w:r>
      <w:r>
        <w:rPr>
          <w:bCs/>
        </w:rPr>
        <w:tab/>
      </w:r>
      <w:r>
        <w:rPr>
          <w:bCs/>
        </w:rPr>
        <w:tab/>
      </w:r>
      <w:r>
        <w:rPr>
          <w:bCs/>
        </w:rPr>
        <w:tab/>
      </w:r>
      <w:r>
        <w:rPr>
          <w:bCs/>
          <w:i/>
          <w:iCs/>
        </w:rPr>
        <w:t>Пункты</w:t>
      </w:r>
      <w:r>
        <w:rPr>
          <w:bCs/>
          <w:i/>
          <w:iCs/>
        </w:rPr>
        <w:tab/>
        <w:t>Стр.</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1134"/>
          <w:tab w:val="clear" w:pos="1701"/>
          <w:tab w:val="clear" w:pos="2268"/>
          <w:tab w:val="clear" w:pos="6237"/>
          <w:tab w:val="right" w:leader="dot" w:pos="7172"/>
          <w:tab w:val="center" w:pos="8039"/>
          <w:tab w:val="center" w:pos="9122"/>
        </w:tabs>
        <w:rPr>
          <w:bCs/>
        </w:rPr>
      </w:pPr>
      <w:r>
        <w:rPr>
          <w:bCs/>
        </w:rPr>
        <w:t>Статья 15</w:t>
      </w:r>
      <w:r>
        <w:rPr>
          <w:bCs/>
        </w:rPr>
        <w:tab/>
      </w:r>
      <w:r>
        <w:rPr>
          <w:bCs/>
        </w:rPr>
        <w:tab/>
        <w:t>602 - 627</w:t>
      </w:r>
      <w:r>
        <w:rPr>
          <w:bCs/>
        </w:rPr>
        <w:tab/>
        <w:t>171</w:t>
      </w:r>
    </w:p>
    <w:p w:rsidR="00000000" w:rsidRDefault="00000000">
      <w:pPr>
        <w:tabs>
          <w:tab w:val="clear" w:pos="1134"/>
          <w:tab w:val="clear" w:pos="6237"/>
          <w:tab w:val="left" w:pos="1418"/>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1.</w:t>
      </w:r>
      <w:r>
        <w:rPr>
          <w:bCs/>
        </w:rPr>
        <w:tab/>
        <w:t>Право на участие в культурной жизни</w:t>
      </w:r>
      <w:r>
        <w:rPr>
          <w:bCs/>
        </w:rPr>
        <w:tab/>
      </w:r>
      <w:r>
        <w:rPr>
          <w:bCs/>
        </w:rPr>
        <w:tab/>
        <w:t>602 - 624</w:t>
      </w:r>
      <w:r>
        <w:rPr>
          <w:bCs/>
        </w:rPr>
        <w:tab/>
        <w:t>171</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1 а)-с)  Поощрение культурного развития и причастности населения</w:t>
      </w:r>
    </w:p>
    <w:p w:rsidR="00000000" w:rsidRDefault="00000000">
      <w:pPr>
        <w:tabs>
          <w:tab w:val="clear" w:pos="6237"/>
          <w:tab w:val="right" w:leader="dot" w:pos="7172"/>
          <w:tab w:val="center" w:pos="8039"/>
          <w:tab w:val="center" w:pos="9122"/>
        </w:tabs>
        <w:rPr>
          <w:bCs/>
        </w:rPr>
      </w:pPr>
      <w:r>
        <w:rPr>
          <w:bCs/>
        </w:rPr>
        <w:tab/>
      </w:r>
      <w:r>
        <w:rPr>
          <w:bCs/>
        </w:rPr>
        <w:tab/>
        <w:t>к сфере культуры</w:t>
      </w:r>
      <w:r>
        <w:rPr>
          <w:bCs/>
        </w:rPr>
        <w:tab/>
      </w:r>
      <w:r>
        <w:rPr>
          <w:bCs/>
        </w:rPr>
        <w:tab/>
        <w:t>602 - 618</w:t>
      </w:r>
      <w:r>
        <w:rPr>
          <w:bCs/>
        </w:rPr>
        <w:tab/>
        <w:t>171</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1 d)</w:t>
      </w:r>
      <w:r>
        <w:rPr>
          <w:bCs/>
        </w:rPr>
        <w:tab/>
        <w:t>Культурное наследие национальных этнических групп,</w:t>
      </w:r>
    </w:p>
    <w:p w:rsidR="00000000" w:rsidRDefault="00000000">
      <w:pPr>
        <w:tabs>
          <w:tab w:val="clear" w:pos="6237"/>
          <w:tab w:val="right" w:leader="dot" w:pos="7172"/>
          <w:tab w:val="center" w:pos="8039"/>
          <w:tab w:val="center" w:pos="9122"/>
        </w:tabs>
        <w:rPr>
          <w:bCs/>
        </w:rPr>
      </w:pPr>
      <w:r>
        <w:rPr>
          <w:bCs/>
        </w:rPr>
        <w:tab/>
      </w:r>
      <w:r>
        <w:rPr>
          <w:bCs/>
        </w:rPr>
        <w:tab/>
        <w:t>меньшинств и коренных народов</w:t>
      </w:r>
      <w:r>
        <w:rPr>
          <w:bCs/>
        </w:rPr>
        <w:tab/>
      </w:r>
      <w:r>
        <w:rPr>
          <w:bCs/>
        </w:rPr>
        <w:tab/>
        <w:t>619 - 624</w:t>
      </w:r>
      <w:r>
        <w:rPr>
          <w:bCs/>
        </w:rPr>
        <w:tab/>
        <w:t>175</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w:t>
      </w:r>
      <w:r>
        <w:rPr>
          <w:bCs/>
        </w:rPr>
        <w:tab/>
        <w:t>Право каждого человека на пользование результатами</w:t>
      </w:r>
    </w:p>
    <w:p w:rsidR="00000000" w:rsidRDefault="00000000">
      <w:pPr>
        <w:tabs>
          <w:tab w:val="clear" w:pos="6237"/>
          <w:tab w:val="right" w:leader="dot" w:pos="7172"/>
          <w:tab w:val="center" w:pos="8039"/>
          <w:tab w:val="center" w:pos="9122"/>
        </w:tabs>
        <w:rPr>
          <w:bCs/>
        </w:rPr>
      </w:pPr>
      <w:r>
        <w:rPr>
          <w:bCs/>
        </w:rPr>
        <w:tab/>
      </w:r>
      <w:r>
        <w:rPr>
          <w:bCs/>
        </w:rPr>
        <w:tab/>
        <w:t>научного прогресса и их практического применения</w:t>
      </w:r>
      <w:r>
        <w:rPr>
          <w:bCs/>
        </w:rPr>
        <w:tab/>
      </w:r>
      <w:r>
        <w:rPr>
          <w:bCs/>
        </w:rPr>
        <w:tab/>
        <w:t>625 - 627</w:t>
      </w:r>
      <w:r>
        <w:rPr>
          <w:bCs/>
        </w:rPr>
        <w:tab/>
        <w:t>177</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2 а) и b)</w:t>
      </w:r>
      <w:r>
        <w:rPr>
          <w:bCs/>
        </w:rPr>
        <w:tab/>
        <w:t>Меры, принятые в целях применения достижений</w:t>
      </w:r>
    </w:p>
    <w:p w:rsidR="00000000" w:rsidRDefault="00000000">
      <w:pPr>
        <w:tabs>
          <w:tab w:val="clear" w:pos="6237"/>
          <w:tab w:val="right" w:leader="dot" w:pos="7172"/>
          <w:tab w:val="center" w:pos="8039"/>
          <w:tab w:val="center" w:pos="9122"/>
        </w:tabs>
        <w:rPr>
          <w:bCs/>
        </w:rPr>
      </w:pPr>
      <w:r>
        <w:rPr>
          <w:bCs/>
        </w:rPr>
        <w:tab/>
      </w:r>
      <w:r>
        <w:rPr>
          <w:bCs/>
        </w:rPr>
        <w:tab/>
        <w:t xml:space="preserve">научного прогресса в интересах каждого человека и </w:t>
      </w:r>
    </w:p>
    <w:p w:rsidR="00000000" w:rsidRDefault="00000000">
      <w:pPr>
        <w:tabs>
          <w:tab w:val="clear" w:pos="6237"/>
          <w:tab w:val="right" w:leader="dot" w:pos="7172"/>
          <w:tab w:val="center" w:pos="8039"/>
          <w:tab w:val="center" w:pos="9122"/>
        </w:tabs>
        <w:rPr>
          <w:bCs/>
        </w:rPr>
      </w:pPr>
      <w:r>
        <w:rPr>
          <w:bCs/>
        </w:rPr>
        <w:tab/>
      </w:r>
      <w:r>
        <w:rPr>
          <w:bCs/>
        </w:rPr>
        <w:tab/>
        <w:t xml:space="preserve">в целях поощрения распространения информации о </w:t>
      </w:r>
    </w:p>
    <w:p w:rsidR="00000000" w:rsidRDefault="00000000">
      <w:pPr>
        <w:tabs>
          <w:tab w:val="clear" w:pos="6237"/>
          <w:tab w:val="right" w:leader="dot" w:pos="7172"/>
          <w:tab w:val="center" w:pos="8039"/>
          <w:tab w:val="center" w:pos="9122"/>
        </w:tabs>
        <w:rPr>
          <w:bCs/>
        </w:rPr>
      </w:pPr>
      <w:r>
        <w:rPr>
          <w:bCs/>
        </w:rPr>
        <w:tab/>
      </w:r>
      <w:r>
        <w:rPr>
          <w:bCs/>
        </w:rPr>
        <w:tab/>
        <w:t>научном прогрессе</w:t>
      </w:r>
      <w:r>
        <w:rPr>
          <w:bCs/>
        </w:rPr>
        <w:tab/>
      </w:r>
      <w:r>
        <w:rPr>
          <w:bCs/>
        </w:rPr>
        <w:tab/>
        <w:t>625 - 627</w:t>
      </w:r>
      <w:r>
        <w:rPr>
          <w:bCs/>
        </w:rPr>
        <w:tab/>
        <w:t>177</w:t>
      </w:r>
    </w:p>
    <w:p w:rsidR="00000000" w:rsidRDefault="00000000">
      <w:pPr>
        <w:tabs>
          <w:tab w:val="clear" w:pos="6237"/>
          <w:tab w:val="right" w:leader="dot" w:pos="7172"/>
          <w:tab w:val="center" w:pos="8039"/>
          <w:tab w:val="center" w:pos="9122"/>
        </w:tabs>
        <w:rPr>
          <w:bCs/>
        </w:rPr>
      </w:pPr>
    </w:p>
    <w:p w:rsidR="00000000" w:rsidRDefault="00000000">
      <w:pPr>
        <w:tabs>
          <w:tab w:val="clear" w:pos="6237"/>
          <w:tab w:val="right" w:leader="dot" w:pos="7172"/>
          <w:tab w:val="center" w:pos="8039"/>
          <w:tab w:val="center" w:pos="9122"/>
        </w:tabs>
        <w:rPr>
          <w:bCs/>
        </w:rPr>
      </w:pPr>
      <w:r>
        <w:rPr>
          <w:bCs/>
        </w:rPr>
        <w:tab/>
        <w:t>6.</w:t>
      </w:r>
      <w:r>
        <w:rPr>
          <w:bCs/>
        </w:rPr>
        <w:tab/>
        <w:t>Международные контакты и сотрудничество</w:t>
      </w:r>
      <w:r>
        <w:rPr>
          <w:bCs/>
        </w:rPr>
        <w:tab/>
      </w:r>
      <w:r>
        <w:rPr>
          <w:bCs/>
        </w:rPr>
        <w:tab/>
        <w:t>628 - 630</w:t>
      </w:r>
      <w:r>
        <w:rPr>
          <w:bCs/>
        </w:rPr>
        <w:tab/>
        <w:t>177</w:t>
      </w:r>
    </w:p>
    <w:p w:rsidR="00000000" w:rsidRDefault="00000000">
      <w:pPr>
        <w:tabs>
          <w:tab w:val="clear" w:pos="6237"/>
          <w:tab w:val="right" w:leader="dot" w:pos="7172"/>
          <w:tab w:val="center" w:pos="8039"/>
          <w:tab w:val="center" w:pos="9122"/>
        </w:tabs>
        <w:rPr>
          <w:bCs/>
        </w:rPr>
      </w:pPr>
    </w:p>
    <w:p w:rsidR="00000000" w:rsidRDefault="00000000">
      <w:pPr>
        <w:tabs>
          <w:tab w:val="clear" w:pos="1134"/>
          <w:tab w:val="clear" w:pos="1701"/>
          <w:tab w:val="clear" w:pos="2268"/>
          <w:tab w:val="clear" w:pos="6237"/>
          <w:tab w:val="right" w:leader="dot" w:pos="8080"/>
          <w:tab w:val="center" w:pos="9122"/>
        </w:tabs>
        <w:rPr>
          <w:bCs/>
        </w:rPr>
      </w:pPr>
      <w:r>
        <w:rPr>
          <w:bCs/>
        </w:rPr>
        <w:t>ПРИЛОЖЕНИЯ</w:t>
      </w:r>
      <w:r>
        <w:rPr>
          <w:bCs/>
        </w:rPr>
        <w:tab/>
      </w:r>
      <w:r>
        <w:rPr>
          <w:bCs/>
        </w:rPr>
        <w:tab/>
        <w:t>179</w:t>
      </w:r>
    </w:p>
    <w:p w:rsidR="00000000" w:rsidRDefault="00000000">
      <w:pPr>
        <w:tabs>
          <w:tab w:val="clear" w:pos="567"/>
          <w:tab w:val="clear" w:pos="1134"/>
          <w:tab w:val="clear" w:pos="6237"/>
          <w:tab w:val="left" w:pos="561"/>
          <w:tab w:val="left" w:pos="1418"/>
          <w:tab w:val="right" w:leader="dot" w:pos="7172"/>
          <w:tab w:val="center" w:pos="8039"/>
          <w:tab w:val="center" w:pos="9122"/>
        </w:tabs>
        <w:rPr>
          <w:bCs/>
        </w:rPr>
      </w:pPr>
    </w:p>
    <w:p w:rsidR="00000000" w:rsidRDefault="00000000">
      <w:pPr>
        <w:jc w:val="center"/>
        <w:rPr>
          <w:b/>
          <w:bCs/>
        </w:rPr>
      </w:pPr>
      <w:r>
        <w:rPr>
          <w:bCs/>
        </w:rPr>
        <w:br w:type="page"/>
      </w:r>
      <w:r>
        <w:rPr>
          <w:b/>
          <w:bCs/>
        </w:rPr>
        <w:t>Введение</w:t>
      </w:r>
    </w:p>
    <w:p w:rsidR="00000000" w:rsidRDefault="00000000"/>
    <w:p w:rsidR="00000000" w:rsidRDefault="00000000">
      <w:r>
        <w:t>1.</w:t>
      </w:r>
      <w:r>
        <w:tab/>
        <w:t>Пятый периодический доклад правительства Финляндии об осуществлении Международного пакта об экономических, социальных и культурных правах охватывает период с июля 1999</w:t>
      </w:r>
      <w:r>
        <w:rPr>
          <w:lang w:val="en-US"/>
        </w:rPr>
        <w:t> </w:t>
      </w:r>
      <w:r>
        <w:t>года по май 2005 года.</w:t>
      </w:r>
    </w:p>
    <w:p w:rsidR="00000000" w:rsidRDefault="00000000"/>
    <w:p w:rsidR="00000000" w:rsidRDefault="00000000">
      <w:r>
        <w:t>2.</w:t>
      </w:r>
      <w:r>
        <w:tab/>
        <w:t>Новая Конституция Финляндии, соответствующие положения которой об основных правах и свободах уже освещались в третьем и четвертом периодических докладах, вступила в силу 1 марта 2000 года.  В результате проведенной ранее, в 1995 году, реформы положений об основных правах, которые содержались в прежнем Законе о Конституции, сфера охвата защиты прав человека, распространявшаяся лишь на традиционные основные права и свободы, была расширена и стала включать в себя также гарантии фактического равенства и сферу осуществления экономических, социальных и культурных прав.</w:t>
      </w:r>
    </w:p>
    <w:p w:rsidR="00000000" w:rsidRDefault="00000000"/>
    <w:p w:rsidR="00000000" w:rsidRDefault="00000000">
      <w:r>
        <w:t>3.</w:t>
      </w:r>
      <w:r>
        <w:tab/>
        <w:t>В начале 1999</w:t>
      </w:r>
      <w:r>
        <w:rPr>
          <w:lang w:val="en-US"/>
        </w:rPr>
        <w:t> </w:t>
      </w:r>
      <w:r>
        <w:t>года была реформирована национальная система стратегического планирования в области социального обеспечения и здравоохранения, вследствие чего прежние ежегодные национальные планы были заменены четырехлетними целевыми планами действий, соответствующими по своему охвату сроку полномочий правительства.  Так, нынешний Целевой план действий в области социального обеспечения и здравоохранения рассчитан на 2004</w:t>
      </w:r>
      <w:r>
        <w:noBreakHyphen/>
        <w:t>2007 годы.</w:t>
      </w:r>
    </w:p>
    <w:p w:rsidR="00000000" w:rsidRDefault="00000000"/>
    <w:p w:rsidR="00000000" w:rsidRDefault="00000000">
      <w:r>
        <w:t>4.</w:t>
      </w:r>
      <w:r>
        <w:tab/>
        <w:t>В 2001 году Министерство социального обеспечения и здравоохранения приняло еще один стратегический документ - Стратегии в области социальной защиты до 2010 года.  Решения о выделении ресурсов на цели социального обеспечения и здравоохранения на местном уровне принимаются парламентом в увязке с государственным бюджетом.  В период, охватываемый настоящим докладом, система государственных субсидий на цели осуществления проектов в области социального обеспечения и здравоохранения была пересмотрена, так что с 2003 года стала возможной финансовая поддержка для проектов развития систем предоставления услуг, осуществляемых местными органами власти и совместными муниципальными советами.</w:t>
      </w:r>
    </w:p>
    <w:p w:rsidR="00000000" w:rsidRDefault="00000000"/>
    <w:p w:rsidR="00000000" w:rsidRDefault="00000000">
      <w:r>
        <w:t>5.</w:t>
      </w:r>
      <w:r>
        <w:tab/>
        <w:t>Большую долю ответственности за обеспечение благосостояния населения на практике несут местные органы власти.  Подтверждением тому служат оценки, согласно которым расходы местных органов власти в областях социального обеспечения, здравоохранения и образования составляют около 75% общего объема их расходов в 2005 году.</w:t>
      </w:r>
    </w:p>
    <w:p w:rsidR="00000000" w:rsidRDefault="00000000"/>
    <w:p w:rsidR="00000000" w:rsidRDefault="00000000">
      <w:r>
        <w:t>6.</w:t>
      </w:r>
      <w:r>
        <w:tab/>
        <w:t>Согласно оценке, составленной правительством и Ассоциацией финских региональных и местных органов власти, которая прилагается к руководящим положениям по государственным расходам на 2006</w:t>
      </w:r>
      <w:r>
        <w:noBreakHyphen/>
        <w:t>2009 годы, в 2004 году финансовое положение местных органов власти и совместных муниципальных советов оказалось более слабым, чем это ожидалось, и предполагается, что это приведет к увеличению нагрузки на расходные статьи.  В 2005 и 2006 годах финансовое положение местных органов власти будет оставаться напряженным.  Нагрузка на расходные статьи в секторах социального обеспечения и здравоохранения повышается, в частности, вследствие старения населения.  Экономика местных органов власти - это единственный сектор государственной экономики, который имеет сегодня дефицитный баланс.</w:t>
      </w:r>
    </w:p>
    <w:p w:rsidR="00000000" w:rsidRDefault="00000000"/>
    <w:p w:rsidR="00000000" w:rsidRDefault="00000000">
      <w:r>
        <w:t>7.</w:t>
      </w:r>
      <w:r>
        <w:tab/>
        <w:t>Согласно статье 109 Конституции, в круг обязанностей Парламентского уполномоченного входит надзор за осуществлением основных свобод и прав человека.  Частью этого надзора является оценка соблюдения основных прав и свобод, гарантируемых Конституцией, и прав человека, закрепленных в международных конвенциях, государственными властями.  Доклад Парламентского уполномоченного, представляемый парламенту, содержит отдельный раздел об основных правах человека.  Кроме того, парламентский уполномоченный привлекает внимание к выявленным недостаткам, представляя соответствующие соображения, в частности, в различные министерства и комитеты парламента.  В целях получения информации об осуществлении экономических, социальных и культурных прав Парламентский уполномоченный поддерживает постоянный диалог с неправительственными организациями.  К числу таких организаций относятся, в частности, организации рома, организации по защите прав инвалидов и детей, а также женские организации.</w:t>
      </w:r>
    </w:p>
    <w:p w:rsidR="00000000" w:rsidRDefault="00000000"/>
    <w:p w:rsidR="00000000" w:rsidRDefault="00000000">
      <w:r>
        <w:t>8.</w:t>
      </w:r>
      <w:r>
        <w:tab/>
        <w:t>1 сентября 2001 года вступил в силу Закон об Уполномоченном по делам меньшинств (660/2001), заменивший действовавший ранее Закон об Уполномоченном по делам иностранцев.  Уполномоченный по делам меньшинств - это независимое и беспристрастное должностное лицо, в обязанности которого входит предотвращение этнической дискриминации, содействие формированию благоприятных межэтнических отношений, защита статуса и прав иммигрантов и представителей меньшинств, контроль за соблюдением принципа равенства между различными этническими группами, а также контроль за соблюдением принципа недискриминации.</w:t>
      </w:r>
    </w:p>
    <w:p w:rsidR="00000000" w:rsidRDefault="00000000"/>
    <w:p w:rsidR="00000000" w:rsidRDefault="00000000">
      <w:r>
        <w:t>9.</w:t>
      </w:r>
      <w:r>
        <w:tab/>
        <w:t>В соответствии с политической программой правительства премьер-министра Матти Ванханена, принятой от 24 июня 2003 года, правительство намерено представить в парламент до конца срока своих полномочий доклад о политике правительства в отношении инвалидов.  Этот доклад будет охватывать все сектора администрации.  Подготовка доклада координируется министерством социального обеспечения и здравоохранения в рамках Национального проекта развития социальных услуг.</w:t>
      </w:r>
    </w:p>
    <w:p w:rsidR="00000000" w:rsidRDefault="00000000"/>
    <w:p w:rsidR="00000000" w:rsidRDefault="00000000">
      <w:r>
        <w:t>10.</w:t>
      </w:r>
      <w:r>
        <w:tab/>
        <w:t>С 1998 года парламент информируется о приоритетах политики правительства в области прав человека.  Поначалу это делалось посредством докладов, представляемых министром иностранных дел в парламентский Комитет по иностранным делам, а сейчас </w:t>
      </w:r>
      <w:r>
        <w:noBreakHyphen/>
      </w:r>
      <w:r>
        <w:rPr>
          <w:lang w:val="en-US"/>
        </w:rPr>
        <w:t> </w:t>
      </w:r>
      <w:r>
        <w:t>посредством докладов правительства.</w:t>
      </w:r>
    </w:p>
    <w:p w:rsidR="00000000" w:rsidRDefault="00000000"/>
    <w:p w:rsidR="00000000" w:rsidRDefault="00000000">
      <w:r>
        <w:tab/>
        <w:t>При подготовке настоящего доклада профессиональным союзам и неправительственным организациям была предоставлена возможность представить свои мнения об осуществлении обязательств правительства по Пакту за отчетный период.</w:t>
      </w:r>
    </w:p>
    <w:p w:rsidR="00000000" w:rsidRDefault="00000000"/>
    <w:p w:rsidR="00000000" w:rsidRDefault="00000000">
      <w:pPr>
        <w:jc w:val="center"/>
        <w:rPr>
          <w:b/>
          <w:bCs/>
        </w:rPr>
      </w:pPr>
      <w:r>
        <w:rPr>
          <w:b/>
          <w:bCs/>
        </w:rPr>
        <w:t xml:space="preserve">Заключительные замечания Комитета (документ </w:t>
      </w:r>
      <w:r>
        <w:rPr>
          <w:b/>
          <w:bCs/>
          <w:lang w:val="en-US"/>
        </w:rPr>
        <w:t>E</w:t>
      </w:r>
      <w:r>
        <w:rPr>
          <w:b/>
          <w:bCs/>
        </w:rPr>
        <w:t>/</w:t>
      </w:r>
      <w:r>
        <w:rPr>
          <w:b/>
          <w:bCs/>
          <w:lang w:val="en-US"/>
        </w:rPr>
        <w:t>C</w:t>
      </w:r>
      <w:r>
        <w:rPr>
          <w:b/>
          <w:bCs/>
        </w:rPr>
        <w:t>.12/1/</w:t>
      </w:r>
      <w:r>
        <w:rPr>
          <w:b/>
          <w:bCs/>
          <w:lang w:val="en-US"/>
        </w:rPr>
        <w:t>Add</w:t>
      </w:r>
      <w:r>
        <w:rPr>
          <w:b/>
          <w:bCs/>
        </w:rPr>
        <w:t>.52</w:t>
      </w:r>
    </w:p>
    <w:p w:rsidR="00000000" w:rsidRDefault="00000000">
      <w:pPr>
        <w:jc w:val="center"/>
        <w:rPr>
          <w:b/>
          <w:bCs/>
        </w:rPr>
      </w:pPr>
      <w:r>
        <w:rPr>
          <w:b/>
          <w:bCs/>
        </w:rPr>
        <w:t>от 1 декабря 2000 года)</w:t>
      </w:r>
    </w:p>
    <w:p w:rsidR="00000000" w:rsidRDefault="00000000">
      <w:pPr>
        <w:jc w:val="center"/>
        <w:rPr>
          <w:b/>
          <w:bCs/>
        </w:rPr>
      </w:pPr>
    </w:p>
    <w:p w:rsidR="00000000" w:rsidRDefault="00000000">
      <w:pPr>
        <w:jc w:val="center"/>
        <w:rPr>
          <w:b/>
          <w:bCs/>
        </w:rPr>
      </w:pPr>
      <w:r>
        <w:rPr>
          <w:b/>
          <w:bCs/>
          <w:lang w:val="en-US"/>
        </w:rPr>
        <w:t>D</w:t>
      </w:r>
      <w:r>
        <w:rPr>
          <w:b/>
          <w:bCs/>
        </w:rPr>
        <w:t>.</w:t>
      </w:r>
      <w:r>
        <w:rPr>
          <w:b/>
          <w:bCs/>
        </w:rPr>
        <w:tab/>
        <w:t>Основные проблемы, вызывающие озабоченность</w:t>
      </w:r>
    </w:p>
    <w:p w:rsidR="00000000" w:rsidRDefault="00000000">
      <w:pPr>
        <w:jc w:val="center"/>
        <w:rPr>
          <w:b/>
          <w:bCs/>
        </w:rPr>
      </w:pPr>
    </w:p>
    <w:p w:rsidR="00000000" w:rsidRDefault="00000000">
      <w:pPr>
        <w:jc w:val="center"/>
        <w:rPr>
          <w:b/>
          <w:bCs/>
        </w:rPr>
      </w:pPr>
      <w:r>
        <w:rPr>
          <w:b/>
          <w:bCs/>
          <w:lang w:val="en-US"/>
        </w:rPr>
        <w:t>D</w:t>
      </w:r>
      <w:r>
        <w:rPr>
          <w:b/>
          <w:bCs/>
        </w:rPr>
        <w:t xml:space="preserve"> 12.  Прецедентная практика</w:t>
      </w:r>
    </w:p>
    <w:p w:rsidR="00000000" w:rsidRDefault="00000000">
      <w:pPr>
        <w:rPr>
          <w:b/>
          <w:bCs/>
          <w:i/>
          <w:iCs/>
        </w:rPr>
      </w:pPr>
    </w:p>
    <w:p w:rsidR="00000000" w:rsidRDefault="00000000">
      <w:r>
        <w:t>11.</w:t>
      </w:r>
      <w:r>
        <w:tab/>
        <w:t>Комитет выразил обеспокоенность по поводу того, что, хотя на положения Пакта можно непосредственно ссылаться в судах, прецедентная практика в этой области отсутствует.</w:t>
      </w:r>
    </w:p>
    <w:p w:rsidR="00000000" w:rsidRDefault="00000000"/>
    <w:p w:rsidR="00000000" w:rsidRDefault="00000000">
      <w:r>
        <w:t>12.</w:t>
      </w:r>
      <w:r>
        <w:tab/>
        <w:t xml:space="preserve">Правительство отмечает, что, несмотря на их немногочисленность, случаи непосредственных ссылок на Пакт все же имеются.  К их числу относятся, среди прочего, постановление Верховного суда </w:t>
      </w:r>
      <w:r>
        <w:rPr>
          <w:i/>
          <w:iCs/>
        </w:rPr>
        <w:t>ККО:1998:79</w:t>
      </w:r>
      <w:r>
        <w:t xml:space="preserve"> от 25 июня 1998 года, постановление Верховного административного суда </w:t>
      </w:r>
      <w:r>
        <w:rPr>
          <w:i/>
          <w:iCs/>
          <w:lang w:val="en-US"/>
        </w:rPr>
        <w:t>KHO</w:t>
      </w:r>
      <w:r>
        <w:rPr>
          <w:i/>
          <w:iCs/>
        </w:rPr>
        <w:t>:2003:58</w:t>
      </w:r>
      <w:r>
        <w:t xml:space="preserve"> от 5 сентября 2003 года, решение Губернского административного суда Центральной Финляндии № 227 от 26 марта 1997 года и решение Суда по трудовым спорам </w:t>
      </w:r>
      <w:r>
        <w:rPr>
          <w:i/>
          <w:iCs/>
        </w:rPr>
        <w:t xml:space="preserve">ТТ:1995-43 </w:t>
      </w:r>
      <w:r>
        <w:t>от 3 июля 1995 года.</w:t>
      </w:r>
    </w:p>
    <w:p w:rsidR="00000000" w:rsidRDefault="00000000"/>
    <w:p w:rsidR="00000000" w:rsidRDefault="00000000">
      <w:r>
        <w:t>13.</w:t>
      </w:r>
      <w:r>
        <w:tab/>
        <w:t>Немногочисленность ссылок на Пакт и на другие международные конвенции по правам человека может быть обусловлена тем, что решения выносятся на основе соответствующих национальных положений, согласующихся с международными обязательствами в области прав человека, поэтому конкретная ссылка на определенное положение той или иной конвенции по правам человека не считается необходимой.  Вместе с тем в случаях, когда выявляются расхождения между национальным законодательством и международной конвенцией по правам человека, последняя, включая соответствующую прецедентную практику, может быть упомянута в качестве основания для решения.</w:t>
      </w:r>
    </w:p>
    <w:p w:rsidR="00000000" w:rsidRDefault="00000000">
      <w:r>
        <w:t>14.</w:t>
      </w:r>
      <w:r>
        <w:tab/>
        <w:t>Вопрос о подготовке по вопросам, касающимся Пакта и прав человека в целом, рассматривается в контексте предложения/рекомендации Комитета Е 22 ниже.</w:t>
      </w:r>
    </w:p>
    <w:p w:rsidR="00000000" w:rsidRDefault="00000000"/>
    <w:p w:rsidR="00000000" w:rsidRDefault="00000000">
      <w:pPr>
        <w:jc w:val="center"/>
        <w:rPr>
          <w:b/>
          <w:bCs/>
        </w:rPr>
      </w:pPr>
      <w:r>
        <w:rPr>
          <w:b/>
          <w:bCs/>
          <w:lang w:val="en-US"/>
        </w:rPr>
        <w:t>D</w:t>
      </w:r>
      <w:r>
        <w:rPr>
          <w:b/>
          <w:bCs/>
        </w:rPr>
        <w:t xml:space="preserve"> 14.</w:t>
      </w:r>
      <w:r>
        <w:rPr>
          <w:b/>
          <w:bCs/>
        </w:rPr>
        <w:tab/>
        <w:t xml:space="preserve"> Расистские взгляды</w:t>
      </w:r>
    </w:p>
    <w:p w:rsidR="00000000" w:rsidRDefault="00000000">
      <w:pPr>
        <w:rPr>
          <w:b/>
          <w:bCs/>
          <w:i/>
          <w:iCs/>
        </w:rPr>
      </w:pPr>
    </w:p>
    <w:p w:rsidR="00000000" w:rsidRDefault="00000000">
      <w:r>
        <w:t>15.</w:t>
      </w:r>
      <w:r>
        <w:tab/>
        <w:t>Комитет выразил сожаление по поводу того, что среди населения страны бытуют расистские взгляды.</w:t>
      </w:r>
    </w:p>
    <w:p w:rsidR="00000000" w:rsidRDefault="00000000"/>
    <w:p w:rsidR="00000000" w:rsidRDefault="00000000">
      <w:r>
        <w:t>16.</w:t>
      </w:r>
      <w:r>
        <w:tab/>
        <w:t>Законодательные положения о равенстве и запрещении дискриминации играют важную роль в системе основных прав Финляндии.</w:t>
      </w:r>
    </w:p>
    <w:p w:rsidR="00000000" w:rsidRDefault="00000000"/>
    <w:p w:rsidR="00000000" w:rsidRDefault="00000000">
      <w:r>
        <w:t>17.</w:t>
      </w:r>
      <w:r>
        <w:tab/>
        <w:t>Пункт 2 статьи 6 вышеупомянутой Конституции Финляндии (731/1999) содержит положение о запрещении дискриминации, согласно которому никто не может без основательных причин занимать особое положение на основании пола, возраста, происхождения, языка, религии, убеждений, взглядов, состояния здоровья, дееспособности либо по какой-либо иной причине, которые относятся к его или ее личности.  Приведенный перечень оснований для дискриминации не является исчерпывающим.</w:t>
      </w:r>
    </w:p>
    <w:p w:rsidR="00000000" w:rsidRDefault="00000000"/>
    <w:p w:rsidR="00000000" w:rsidRDefault="00000000">
      <w:r>
        <w:t>18.</w:t>
      </w:r>
      <w:r>
        <w:tab/>
        <w:t>1 февраля 2004 года вступил в силу новый Закон о недискриминации (21/2004).  Его положения рассматриваются в контексте статьи 2.</w:t>
      </w:r>
    </w:p>
    <w:p w:rsidR="00000000" w:rsidRDefault="00000000"/>
    <w:p w:rsidR="00000000" w:rsidRDefault="00000000">
      <w:r>
        <w:t>19.</w:t>
      </w:r>
      <w:r>
        <w:tab/>
        <w:t>Внесены поправки в положения главы 6 Уголовного кодекса, касающиеся наказаний, которые позволяют увеличивать наказание, если мотивы совершенного преступления носят расистский характер (Закон о поправках к Уголовному кодексу, 515/2003).  Согласно пункту 4 статьи 5 тот факт, что преступление было направлено против лица, принадлежащего к какой-либо национальной, расовой, этнической или иной группе населения, по причине его принадлежности к такой группе, является основанием для увеличения наказания.  Это положение вступило в силу 1 января 2004 года.</w:t>
      </w:r>
    </w:p>
    <w:p w:rsidR="00000000" w:rsidRDefault="00000000"/>
    <w:p w:rsidR="00000000" w:rsidRDefault="00000000">
      <w:r>
        <w:t>20.</w:t>
      </w:r>
      <w:r>
        <w:tab/>
        <w:t>В пояснительной части постановления правительства о принятии вышеупомянутых положений отмечено, что в ряде стран в результате социальных перемен происходит активизация расизма и ксенофобии.  Было сочтено необходимым реагировать на эту проблему через уголовное законодательство, поскольку формы выражения расистских и ксенофобных взглядов как таковые содержат элементы состава преступления.  Все более широкое признание получает тот факт, что преступления, совершенные на вышеупомянутой почве, должны влечь за собой более строгое наказание, чем обычно.  В Финляндии такие преступления особо затрагивают беженцев и иммигрантов, однако мотив может быть также связан с вероисповеданием или этническим происхождением потерпевшего (постановление правительства 44/2002).</w:t>
      </w:r>
    </w:p>
    <w:p w:rsidR="00000000" w:rsidRDefault="00000000"/>
    <w:p w:rsidR="00000000" w:rsidRDefault="00000000">
      <w:r>
        <w:t>21.</w:t>
      </w:r>
      <w:r>
        <w:tab/>
        <w:t xml:space="preserve">Часть 3 статьи 47 (578/1995) Уголовного кодекса о должностных преступлениях содержит конкретное положение, запрещающее дискриминацию в сфере трудовых отношений.  Согласно этому положению, работодатель или его представитель, который при объявлении вакансии, отборе кандидатов или в процессе работы без какой-либо существенной и обоснованной причины ставит кандидата или работника в неравное положение по причине расы, национального или этнического происхождения, цвета кожи, языка, пола, возраста, отношений, сексуальных предпочтений или состояния здоровья либо по причине вероисповедания, политических взглядов, политической или профсоюзной деятельности или по какой-либо аналогичной причине, подлежит наказанию в виде штрафа или тюремного заключения на срок до шести месяцев за </w:t>
      </w:r>
      <w:r>
        <w:rPr>
          <w:i/>
          <w:iCs/>
        </w:rPr>
        <w:t>дискриминацию в сфере трудовых отношений</w:t>
      </w:r>
      <w:r>
        <w:t>.</w:t>
      </w:r>
    </w:p>
    <w:p w:rsidR="00000000" w:rsidRDefault="00000000"/>
    <w:p w:rsidR="00000000" w:rsidRDefault="00000000">
      <w:r>
        <w:t>22.</w:t>
      </w:r>
      <w:r>
        <w:tab/>
        <w:t xml:space="preserve">В связи с принятием действующего ныне Закона об иностранцах в упомянутую выше часть 3 статьи 47 Уголовного кодекса, содержащую запрещение дискриминации в сфере трудовых отношений, в число запрещенных оснований для дискриминации была добавлена национальность.  В то же время положения Уголовного кодекса были дополнены новой частью 3а статьи 47, касающейся дискриминации кабального типа в сфере трудовых отношений.  Если лицо, ищущее работу, или работник ставится в неравное положение в связи с бедственной финансовой или иной ситуацией, зависимым положением, нежеланием войти в положение, халатностью или пренебрежением, то правонарушитель подлежит наказанию в виде штрафа или тюремного заключения на срок до двух лет за </w:t>
      </w:r>
      <w:r>
        <w:rPr>
          <w:i/>
          <w:iCs/>
        </w:rPr>
        <w:t>дискриминацию кабального типа в сфере трудовых отношений</w:t>
      </w:r>
      <w:r>
        <w:t>.  Максимальное наказание за этот тип дискриминации является значительно более строгим, чем просто за дискриминацию в сфере трудовых отношений, в связи с которой правонарушитель может быть приговорен к штрафу или тюремному заключению на срок до шести месяцев.</w:t>
      </w:r>
    </w:p>
    <w:p w:rsidR="00000000" w:rsidRDefault="00000000">
      <w:pPr>
        <w:tabs>
          <w:tab w:val="clear" w:pos="567"/>
          <w:tab w:val="clear" w:pos="1134"/>
          <w:tab w:val="clear" w:pos="6237"/>
          <w:tab w:val="left" w:pos="561"/>
          <w:tab w:val="left" w:pos="1418"/>
          <w:tab w:val="right" w:leader="dot" w:pos="7172"/>
          <w:tab w:val="center" w:pos="8039"/>
          <w:tab w:val="center" w:pos="9122"/>
        </w:tabs>
        <w:rPr>
          <w:bCs/>
        </w:rPr>
      </w:pPr>
    </w:p>
    <w:p w:rsidR="00000000" w:rsidRDefault="00000000">
      <w:r>
        <w:t>23.</w:t>
      </w:r>
      <w:r>
        <w:tab/>
        <w:t>Согласно соответствующему постановлению правительства, цель обеих вышеупомянутых поправок состоит в предотвращении дискриминации в отношении иностранцев в сфере трудовых отношений и в укреплении принципа равного обращения с работниками.  Работники иностранного происхождения зачастую зависят от своего работодателя, как это подчеркивается в положении о дискриминации кабального типа в сфере трудовых отношений, поскольку они опасаются потерять работу или быть выдворенными из страны.  Кроме того, нехватка знаний или слабое владение языком могут ограничивать возможности иностранных работников в вопросах поиска информации о трудовом законодательстве и практике в этой области.  Положение, запрещающее дискриминацию кабального типа в сфере трудовых отношений, призвано усилить защиту более слабой стороны (постановление правительства 151/2003).</w:t>
      </w:r>
    </w:p>
    <w:p w:rsidR="00000000" w:rsidRDefault="00000000"/>
    <w:p w:rsidR="00000000" w:rsidRDefault="00000000">
      <w:r>
        <w:t>24.</w:t>
      </w:r>
      <w:r>
        <w:tab/>
        <w:t>Вышеупомянутые поправки к статье 47 Уголовного кодекса вступили в силу 1 мая 2004 года.</w:t>
      </w:r>
    </w:p>
    <w:p w:rsidR="00000000" w:rsidRDefault="00000000"/>
    <w:p w:rsidR="00000000" w:rsidRDefault="00000000">
      <w:r>
        <w:t>25.</w:t>
      </w:r>
      <w:r>
        <w:tab/>
        <w:t>Новый Закон о трудовых договорах (55/2001), который вступил в силу в 2001 году, носит общее применение и содержит наиболее актуальные положения по вопросам занятости, которые имеют обязательную силу для работодателя и наемного работника.  Положения аннулированного Закона о трудовых договорах (320/1970), касающиеся дискриминации в сфере трудовых отношений, также были включены в новый закон, где они были дополнены некоторыми более конкретными положениями.  Закон о трудовых договорах предусматривает равное обращение с работниками и запрещение дискриминации.  Статья 1 в части 2 содержит общее обязательство, согласно которому работодатель должен добиваться улучшения отношений между работодателем и работником и отношений между работниками во всех аспектах.  Работодатель должен также стараться расширять возможности работников в плане повышения квалификации в интересах их профессионального роста.</w:t>
      </w:r>
    </w:p>
    <w:p w:rsidR="00000000" w:rsidRDefault="00000000"/>
    <w:p w:rsidR="00000000" w:rsidRDefault="00000000">
      <w:r>
        <w:t>26.</w:t>
      </w:r>
      <w:r>
        <w:tab/>
        <w:t>Помимо санкций, основанных на вышеупомянутых положениях Уголовного кодекса, работодателю может быть предписано согласно статье 12 Закона о трудовых договорах возместить убытки на основе принципа деликтной ответственности или выплатить компенсацию в иной форме в соответствии с положениями Закона о недискриминации (21/2004) или Закона о равноправии женщин и мужчин (609/1986).  Для тех форм компенсации, которые не связаны с убытками, установления непосредственной деликтной ответственности работодателя не требуется.</w:t>
      </w:r>
    </w:p>
    <w:p w:rsidR="00000000" w:rsidRDefault="00000000"/>
    <w:p w:rsidR="00000000" w:rsidRDefault="00000000">
      <w:r>
        <w:t>27.</w:t>
      </w:r>
      <w:r>
        <w:tab/>
        <w:t>В 2004 году новое положение, запрещающее дискриминацию на основе национального или этнического происхождения или вероисповедания, было добавлено в Закон о государственных гражданских служащих (750/1994) и в Закон о гражданских служащих местных органов управления (304/2003).</w:t>
      </w:r>
    </w:p>
    <w:p w:rsidR="00000000" w:rsidRDefault="00000000"/>
    <w:p w:rsidR="00000000" w:rsidRDefault="00000000">
      <w:r>
        <w:t>28.</w:t>
      </w:r>
      <w:r>
        <w:tab/>
        <w:t>Закон о моряках (423/1978), Закон о государственных гражданских служащих (750/1994) и Закон о гражданских служащих местных органов управления также содержат конкретные положения, запрещающие дискриминацию.  Дискриминация по признаку пола запрещена Законом о равноправии женщин и мужчин (609/1986).  Положения, касающиеся концепции дискриминации, запрещения ответных мер и бремени доказывания, включены в новый Закон о недискриминации (21/2004), который вступил в силу 1 февраля 2004 года.</w:t>
      </w:r>
    </w:p>
    <w:p w:rsidR="00000000" w:rsidRDefault="00000000">
      <w:r>
        <w:t>29.</w:t>
      </w:r>
      <w:r>
        <w:tab/>
        <w:t xml:space="preserve">В последние несколько лет министерство труда финансировало ряд широкомасштабных кампаний, направленных на укрепление терпимости.  Например, в 2002 году оно выпустило новый журнал, видеокассету и плакат, посвященные профессиональным возможностям иммигрантов и предназначенные для работодателей.  Министерство имеет также сайты в Интернете, на которых содержатся подборки материалов и нормативных документов по поощрению разнообразия и предотвращению дискриминации, а также регистр учреждений, осуществляющих соответствующую подготовку, брошюры, посвященные Закону о недискриминации, и примеры передового опыта в области укрепления антидискриминационной практики.  На этих сайтах также имеются ссылки на другие соответствующие национальные и международные материалы по вопросам укрепления принципа равенства.  В июне 2005 года будет открыт специализированный электронный портал по предотвращению дискриминации по адресу </w:t>
      </w:r>
      <w:hyperlink r:id="rId9" w:history="1">
        <w:r>
          <w:rPr>
            <w:rStyle w:val="Hyperlink"/>
            <w:u w:val="none"/>
          </w:rPr>
          <w:t>www.equality.fi</w:t>
        </w:r>
      </w:hyperlink>
      <w:r>
        <w:t>.  Кроме того, министерство труда финансирует работу Лиги прав человека (национальная НПО) в области предотвращения расизма и этнической дискриминации, которая охватывает предоставление общественной информации, консультативные услуги и учебную деятельность.</w:t>
      </w:r>
    </w:p>
    <w:p w:rsidR="00000000" w:rsidRDefault="00000000"/>
    <w:p w:rsidR="00000000" w:rsidRDefault="00000000">
      <w:r>
        <w:t>30.</w:t>
      </w:r>
      <w:r>
        <w:tab/>
        <w:t>По линии Европейского социального фонда осуществляется проект развития культурного разнообразия на рабочих местах, рассчитанный на 2003-2006 годы.  Цель этого проекта состоит в сборе информации о передовом опыте на рабочих местах и в создании функциональных моделей для найма иммигрантов в государственном и частном секторах.  Проект включает проведение учебных занятий, посвященных вопросам культурного разнообразия и терпимости, на рабочих местах.  В настоящее время проект состоит из 29 различных подпроектов, посвященных различным аспектам или тематическим вопросам, которые осуществляются на основе сотрудничества.</w:t>
      </w:r>
    </w:p>
    <w:p w:rsidR="00000000" w:rsidRDefault="00000000"/>
    <w:p w:rsidR="00000000" w:rsidRDefault="00000000">
      <w:r>
        <w:t>31.</w:t>
      </w:r>
      <w:r>
        <w:tab/>
        <w:t>Статья 9 (578/1995) главы 11 Уголовного кодекса содержит общее запрещение дискриминации.</w:t>
      </w:r>
    </w:p>
    <w:p w:rsidR="00000000" w:rsidRDefault="00000000"/>
    <w:p w:rsidR="00000000" w:rsidRDefault="00000000">
      <w:pPr>
        <w:jc w:val="center"/>
        <w:rPr>
          <w:b/>
          <w:bCs/>
        </w:rPr>
      </w:pPr>
      <w:r>
        <w:rPr>
          <w:b/>
          <w:bCs/>
        </w:rPr>
        <w:t>D 15.  Реализация трудовых прав так называемыми "резервными" рабочими</w:t>
      </w:r>
    </w:p>
    <w:p w:rsidR="00000000" w:rsidRDefault="00000000">
      <w:pPr>
        <w:rPr>
          <w:b/>
          <w:bCs/>
          <w:i/>
          <w:iCs/>
        </w:rPr>
      </w:pPr>
    </w:p>
    <w:p w:rsidR="00000000" w:rsidRDefault="00000000">
      <w:r>
        <w:t>32.</w:t>
      </w:r>
      <w:r>
        <w:tab/>
        <w:t>В Финляндии трудовые договоры могут быть либо постоянными, либо временными.  Согласно пункту 2 статьи 3 Закона о трудовых договорах (55/2001), временный трудовой договор может быть заключен лишь по обоснованной причине.  Это положение призвано исключить возможности отступления от обязательных правил, касающихся защиты прав трудящих, на том лишь основании, что продолжительность работы была небольшой.  Обоснованной причиной для заключения временного трудового договора может быть, например, характер работы, необходимость замещения другого работника, стажировка или иная сопоставимая причина.  Трудовой договор может быть также временным в тех случаях, когда работодатель имеет другую обоснованную причину, связанную с деятельностью компании или работой, которая должна быть выполнена.  Если работодатель имеет постоянную потребность в работниках, то использование временных трудовых договоров не считается допустимым.  Временный трудовой договор, заключенный по инициативе работодателя без обоснованной причины, и последующие временные трудовые договоры, заключенные с тем же работником без обоснованной причины, считаются действующими на постоянной основе.</w:t>
      </w:r>
    </w:p>
    <w:p w:rsidR="00000000" w:rsidRDefault="00000000"/>
    <w:p w:rsidR="00000000" w:rsidRDefault="00000000">
      <w:r>
        <w:t>33.</w:t>
      </w:r>
      <w:r>
        <w:tab/>
        <w:t>Действие временного трудового договора прекращается по истечении срока, на который он был заключен, причем для прекращения найма не требуется никакого отдельного акта.  До истечения согласованного срока наем временного работника может быть прекращен лишь в том случае, если имеются условия для аннулирования договора, т.е. если работник совершил серьезное нарушение договора.</w:t>
      </w:r>
    </w:p>
    <w:p w:rsidR="00000000" w:rsidRDefault="00000000"/>
    <w:p w:rsidR="00000000" w:rsidRDefault="00000000">
      <w:r>
        <w:t>34.</w:t>
      </w:r>
      <w:r>
        <w:tab/>
        <w:t>В финском законодательстве не проводится разграничения между так называемыми "резервными" работниками и другими временными работниками.  Условия договоров, заключаемых с наемными работниками, определяются в соответствии со статьей 9 главы 2 Закона о трудовых договорах.  Если работодатель отряжает своего работника для выполнения работы на другого работодателя (</w:t>
      </w:r>
      <w:r>
        <w:rPr>
          <w:i/>
          <w:iCs/>
        </w:rPr>
        <w:t>использующее предприятие</w:t>
      </w:r>
      <w:r>
        <w:t>) и использующее предприятие не связано коллективным договором, упомянутым в пункте 3 статьи 7, и не обязано соблюдать в своих отношениях с работниками общеприменимый коллективный договор, то к отношениям с наемным работником применяются положения другого коллективного договора, применимого к использующему предприятию.</w:t>
      </w:r>
    </w:p>
    <w:p w:rsidR="00000000" w:rsidRDefault="00000000"/>
    <w:p w:rsidR="00000000" w:rsidRDefault="00000000">
      <w:pPr>
        <w:jc w:val="center"/>
        <w:rPr>
          <w:b/>
          <w:bCs/>
        </w:rPr>
      </w:pPr>
      <w:r>
        <w:rPr>
          <w:b/>
          <w:bCs/>
        </w:rPr>
        <w:t>D 16.  Минимальная заработная плата</w:t>
      </w:r>
    </w:p>
    <w:p w:rsidR="00000000" w:rsidRDefault="00000000">
      <w:pPr>
        <w:rPr>
          <w:b/>
          <w:bCs/>
          <w:i/>
          <w:iCs/>
        </w:rPr>
      </w:pPr>
    </w:p>
    <w:p w:rsidR="00000000" w:rsidRDefault="00000000">
      <w:r>
        <w:t>35.</w:t>
      </w:r>
      <w:r>
        <w:tab/>
        <w:t>Согласно финской системе ставки заработной платы, выплачиваемой за выполненную работу, определяются на основе трудового договора, заключенного с работником, и коллективного договора, применяющегося в соответствующем секторе.  Закон о трудовых договорах - это общеприменимый закон, содержащий наиболее актуальные положения, касающиеся найма и имеющие обязательную силу для работодателя и наемного работника.  Согласно Закону о коллективных договорах (436/1946), работодатель, связанный коллективным договором, обязан соблюдать положения коллективного договора в отношении найма любых работников - вне зависимости от того, связаны они этим договором или нет, если только область применения коллективного договора конкретно не ограничена лишь теми работниками, которые связаны его положениями.  Если трудовой договор в каком-либо аспекте вступает в противоречие с положениями применимого коллективного договора, то применяются соответствующие положения последнего.</w:t>
      </w:r>
    </w:p>
    <w:p w:rsidR="00000000" w:rsidRDefault="00000000">
      <w:r>
        <w:t>36.</w:t>
      </w:r>
      <w:r>
        <w:tab/>
        <w:t>Согласно статье 7 главы 2 Закона о трудовых договорах, работодатель должен соблюдать по крайней мере положения национального коллективного договора, считающегося представительным в соответствующем секторе (</w:t>
      </w:r>
      <w:r>
        <w:rPr>
          <w:i/>
          <w:iCs/>
        </w:rPr>
        <w:t>общеприменимый коллективный договор</w:t>
      </w:r>
      <w:r>
        <w:t>), об условиях найма и условиях труда, которые касаются работы, выполняемой наемным работником, или ближайшей к ней по своему характеру сопоставимой работы.  Таким образом, минимальный уровень заработной платы и другие стандарты определяются на основе общеприменимого коллективного договора, если таковой существует.  Цель этих положений состоит в том, чтобы гарантировать для работников, не входящих в профсоюзы, те же ставки заработной платы, что и для членов профсоюза.  Если в соответствующем секторе нет применимого коллективного договора, то ставки заработной платы могут устанавливаться на основе свободного согласования.  Вместе с тем, согласно принципу, вытекающему из Закона о трудовых договорах, за любую работу полагается обычная и разумная заработная плата.</w:t>
      </w:r>
    </w:p>
    <w:p w:rsidR="00000000" w:rsidRDefault="00000000"/>
    <w:p w:rsidR="00000000" w:rsidRDefault="00000000">
      <w:r>
        <w:t>37.</w:t>
      </w:r>
      <w:r>
        <w:tab/>
        <w:t>Согласно статье 2 главы 10 Закона о трудовых договорах, если применение того или иного положения или условия в трудовом договоре противоречит надлежащей практике или в каком-либо ином отношении представляется неразумным, это положение или условие может быть скорректировано или проигнорировано.</w:t>
      </w:r>
    </w:p>
    <w:p w:rsidR="00000000" w:rsidRDefault="00000000"/>
    <w:p w:rsidR="00000000" w:rsidRDefault="00000000">
      <w:pPr>
        <w:jc w:val="center"/>
      </w:pPr>
      <w:r>
        <w:rPr>
          <w:b/>
          <w:bCs/>
          <w:lang w:val="en-US"/>
        </w:rPr>
        <w:t>D</w:t>
      </w:r>
      <w:r>
        <w:rPr>
          <w:b/>
          <w:bCs/>
        </w:rPr>
        <w:t xml:space="preserve"> 17.  Насилие в отношении женщин</w:t>
      </w:r>
    </w:p>
    <w:p w:rsidR="00000000" w:rsidRDefault="00000000"/>
    <w:p w:rsidR="00000000" w:rsidRDefault="00000000">
      <w:r>
        <w:t>38.</w:t>
      </w:r>
      <w:r>
        <w:tab/>
        <w:t>Масштабы насилия в отношении женщин, услуги, предлагаемые жертвам насилия, меры по реабилитации жертв и имеющиеся в их распоряжении средства правовой защиты освещены в ответе на предложение и рекомендацию Е 30 Комитета.</w:t>
      </w:r>
    </w:p>
    <w:p w:rsidR="00000000" w:rsidRDefault="00000000"/>
    <w:p w:rsidR="00000000" w:rsidRDefault="00000000">
      <w:pPr>
        <w:jc w:val="center"/>
      </w:pPr>
      <w:r>
        <w:rPr>
          <w:b/>
          <w:bCs/>
          <w:lang w:val="en-US"/>
        </w:rPr>
        <w:t>D</w:t>
      </w:r>
      <w:r>
        <w:rPr>
          <w:b/>
          <w:bCs/>
        </w:rPr>
        <w:t xml:space="preserve"> 18.  Бездомные в Хельсинкской агломерации</w:t>
      </w:r>
    </w:p>
    <w:p w:rsidR="00000000" w:rsidRDefault="00000000"/>
    <w:p w:rsidR="00000000" w:rsidRDefault="00000000">
      <w:r>
        <w:t>39.</w:t>
      </w:r>
      <w:r>
        <w:tab/>
        <w:t>Приблизительно 60% всех бездомных в Финляндии проживают в Хельсинки или в одном из соседних с ним городов, хотя население этих городов составляет лишь порядка 20% всего населения страны.  Высокий процент бездомных обусловлен более серьезными проблемами на рынке жилья и более высокой стоимостью жизни в Хельсинкской агломерации по сравнению с другими районами страны, а также – отчасти – склонностью бездомных к перемещению в более крупные населенные пункты.</w:t>
      </w:r>
    </w:p>
    <w:p w:rsidR="00000000" w:rsidRDefault="00000000"/>
    <w:p w:rsidR="00000000" w:rsidRDefault="00000000">
      <w:r>
        <w:t>40.</w:t>
      </w:r>
      <w:r>
        <w:tab/>
        <w:t>Государство и городские власти Хельсинки, Эспоо и Вантаа согласовали программу сокращения численности бездомных на 2002-2005 годы.  В ходе осуществления этой программы для бездомных выделено или будет выделено в общей сложности около 3 000 квартир.  Численность одиноких бездомных в Хельсинкской агломерации сократилась с 5 500 до 4 200 человек.</w:t>
      </w:r>
    </w:p>
    <w:p w:rsidR="00000000" w:rsidRDefault="00000000">
      <w:pPr>
        <w:jc w:val="center"/>
        <w:rPr>
          <w:b/>
          <w:bCs/>
        </w:rPr>
      </w:pPr>
      <w:r>
        <w:rPr>
          <w:b/>
          <w:bCs/>
        </w:rPr>
        <w:t>Таблица 1</w:t>
      </w:r>
    </w:p>
    <w:p w:rsidR="00000000" w:rsidRDefault="00000000">
      <w:pPr>
        <w:jc w:val="center"/>
        <w:rPr>
          <w:b/>
          <w:bCs/>
        </w:rPr>
      </w:pPr>
    </w:p>
    <w:p w:rsidR="00000000" w:rsidRDefault="00000000">
      <w:pPr>
        <w:jc w:val="center"/>
        <w:rPr>
          <w:b/>
          <w:bCs/>
        </w:rPr>
      </w:pPr>
      <w:r>
        <w:rPr>
          <w:b/>
          <w:bCs/>
        </w:rPr>
        <w:t>Численность бездомных в Хельсинкской агломерации в 1999-2004 годах</w:t>
      </w:r>
    </w:p>
    <w:p w:rsidR="00000000" w:rsidRDefault="00000000"/>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64"/>
        <w:gridCol w:w="9"/>
        <w:gridCol w:w="13"/>
        <w:gridCol w:w="966"/>
        <w:gridCol w:w="994"/>
        <w:gridCol w:w="989"/>
        <w:gridCol w:w="991"/>
        <w:gridCol w:w="16"/>
        <w:gridCol w:w="982"/>
        <w:gridCol w:w="987"/>
      </w:tblGrid>
      <w:tr w:rsidR="00000000">
        <w:tblPrEx>
          <w:tblCellMar>
            <w:top w:w="0" w:type="dxa"/>
            <w:bottom w:w="0" w:type="dxa"/>
          </w:tblCellMar>
        </w:tblPrEx>
        <w:trPr>
          <w:cantSplit/>
        </w:trPr>
        <w:tc>
          <w:tcPr>
            <w:tcW w:w="3464" w:type="dxa"/>
            <w:tcBorders>
              <w:bottom w:val="single" w:sz="4" w:space="0" w:color="auto"/>
            </w:tcBorders>
          </w:tcPr>
          <w:p w:rsidR="00000000" w:rsidRDefault="00000000"/>
        </w:tc>
        <w:tc>
          <w:tcPr>
            <w:tcW w:w="988" w:type="dxa"/>
            <w:gridSpan w:val="3"/>
            <w:tcBorders>
              <w:bottom w:val="single" w:sz="4" w:space="0" w:color="auto"/>
            </w:tcBorders>
          </w:tcPr>
          <w:p w:rsidR="00000000" w:rsidRDefault="00000000">
            <w:pPr>
              <w:jc w:val="center"/>
              <w:rPr>
                <w:lang w:val="en-US"/>
              </w:rPr>
            </w:pPr>
            <w:r>
              <w:rPr>
                <w:lang w:val="en-US"/>
              </w:rPr>
              <w:t>1999</w:t>
            </w:r>
          </w:p>
        </w:tc>
        <w:tc>
          <w:tcPr>
            <w:tcW w:w="994" w:type="dxa"/>
            <w:tcBorders>
              <w:bottom w:val="single" w:sz="4" w:space="0" w:color="auto"/>
            </w:tcBorders>
          </w:tcPr>
          <w:p w:rsidR="00000000" w:rsidRDefault="00000000">
            <w:pPr>
              <w:jc w:val="center"/>
              <w:rPr>
                <w:lang w:val="en-US"/>
              </w:rPr>
            </w:pPr>
            <w:r>
              <w:rPr>
                <w:lang w:val="en-US"/>
              </w:rPr>
              <w:t>2000</w:t>
            </w:r>
          </w:p>
        </w:tc>
        <w:tc>
          <w:tcPr>
            <w:tcW w:w="989" w:type="dxa"/>
            <w:tcBorders>
              <w:bottom w:val="single" w:sz="4" w:space="0" w:color="auto"/>
            </w:tcBorders>
          </w:tcPr>
          <w:p w:rsidR="00000000" w:rsidRDefault="00000000">
            <w:pPr>
              <w:jc w:val="center"/>
              <w:rPr>
                <w:lang w:val="en-US"/>
              </w:rPr>
            </w:pPr>
            <w:r>
              <w:rPr>
                <w:lang w:val="en-US"/>
              </w:rPr>
              <w:t>2001</w:t>
            </w:r>
          </w:p>
        </w:tc>
        <w:tc>
          <w:tcPr>
            <w:tcW w:w="991" w:type="dxa"/>
            <w:tcBorders>
              <w:bottom w:val="single" w:sz="4" w:space="0" w:color="auto"/>
            </w:tcBorders>
          </w:tcPr>
          <w:p w:rsidR="00000000" w:rsidRDefault="00000000">
            <w:pPr>
              <w:jc w:val="center"/>
              <w:rPr>
                <w:lang w:val="en-US"/>
              </w:rPr>
            </w:pPr>
            <w:r>
              <w:rPr>
                <w:lang w:val="en-US"/>
              </w:rPr>
              <w:t>2002</w:t>
            </w:r>
          </w:p>
        </w:tc>
        <w:tc>
          <w:tcPr>
            <w:tcW w:w="998" w:type="dxa"/>
            <w:gridSpan w:val="2"/>
            <w:tcBorders>
              <w:bottom w:val="single" w:sz="4" w:space="0" w:color="auto"/>
            </w:tcBorders>
          </w:tcPr>
          <w:p w:rsidR="00000000" w:rsidRDefault="00000000">
            <w:pPr>
              <w:jc w:val="center"/>
              <w:rPr>
                <w:lang w:val="en-US"/>
              </w:rPr>
            </w:pPr>
            <w:r>
              <w:rPr>
                <w:lang w:val="en-US"/>
              </w:rPr>
              <w:t>2003</w:t>
            </w:r>
          </w:p>
        </w:tc>
        <w:tc>
          <w:tcPr>
            <w:tcW w:w="987" w:type="dxa"/>
            <w:tcBorders>
              <w:bottom w:val="single" w:sz="4" w:space="0" w:color="auto"/>
            </w:tcBorders>
          </w:tcPr>
          <w:p w:rsidR="00000000" w:rsidRDefault="00000000">
            <w:pPr>
              <w:jc w:val="center"/>
              <w:rPr>
                <w:lang w:val="en-US"/>
              </w:rPr>
            </w:pPr>
            <w:r>
              <w:rPr>
                <w:lang w:val="en-US"/>
              </w:rPr>
              <w:t>2004</w:t>
            </w:r>
          </w:p>
        </w:tc>
      </w:tr>
      <w:tr w:rsidR="00000000">
        <w:tblPrEx>
          <w:tblCellMar>
            <w:top w:w="0" w:type="dxa"/>
            <w:bottom w:w="0" w:type="dxa"/>
          </w:tblCellMar>
        </w:tblPrEx>
        <w:trPr>
          <w:cantSplit/>
        </w:trPr>
        <w:tc>
          <w:tcPr>
            <w:tcW w:w="3473" w:type="dxa"/>
            <w:gridSpan w:val="2"/>
            <w:tcBorders>
              <w:bottom w:val="nil"/>
            </w:tcBorders>
          </w:tcPr>
          <w:p w:rsidR="00000000" w:rsidRDefault="00000000">
            <w:r>
              <w:t>Одинокие бездомные</w:t>
            </w:r>
          </w:p>
        </w:tc>
        <w:tc>
          <w:tcPr>
            <w:tcW w:w="979" w:type="dxa"/>
            <w:gridSpan w:val="2"/>
            <w:tcBorders>
              <w:bottom w:val="nil"/>
            </w:tcBorders>
          </w:tcPr>
          <w:p w:rsidR="00000000" w:rsidRDefault="00000000"/>
        </w:tc>
        <w:tc>
          <w:tcPr>
            <w:tcW w:w="994" w:type="dxa"/>
            <w:tcBorders>
              <w:bottom w:val="nil"/>
            </w:tcBorders>
          </w:tcPr>
          <w:p w:rsidR="00000000" w:rsidRDefault="00000000"/>
        </w:tc>
        <w:tc>
          <w:tcPr>
            <w:tcW w:w="989" w:type="dxa"/>
            <w:tcBorders>
              <w:bottom w:val="nil"/>
            </w:tcBorders>
          </w:tcPr>
          <w:p w:rsidR="00000000" w:rsidRDefault="00000000"/>
        </w:tc>
        <w:tc>
          <w:tcPr>
            <w:tcW w:w="1007" w:type="dxa"/>
            <w:gridSpan w:val="2"/>
            <w:tcBorders>
              <w:bottom w:val="nil"/>
            </w:tcBorders>
          </w:tcPr>
          <w:p w:rsidR="00000000" w:rsidRDefault="00000000"/>
        </w:tc>
        <w:tc>
          <w:tcPr>
            <w:tcW w:w="982" w:type="dxa"/>
            <w:tcBorders>
              <w:bottom w:val="nil"/>
            </w:tcBorders>
          </w:tcPr>
          <w:p w:rsidR="00000000" w:rsidRDefault="00000000"/>
        </w:tc>
        <w:tc>
          <w:tcPr>
            <w:tcW w:w="987" w:type="dxa"/>
            <w:tcBorders>
              <w:bottom w:val="nil"/>
            </w:tcBorders>
          </w:tcPr>
          <w:p w:rsidR="00000000" w:rsidRDefault="00000000"/>
        </w:tc>
      </w:tr>
      <w:tr w:rsidR="00000000">
        <w:tblPrEx>
          <w:tblCellMar>
            <w:top w:w="0" w:type="dxa"/>
            <w:bottom w:w="0" w:type="dxa"/>
          </w:tblCellMar>
        </w:tblPrEx>
        <w:trPr>
          <w:cantSplit/>
        </w:trPr>
        <w:tc>
          <w:tcPr>
            <w:tcW w:w="3464" w:type="dxa"/>
            <w:tcBorders>
              <w:top w:val="nil"/>
              <w:bottom w:val="nil"/>
            </w:tcBorders>
          </w:tcPr>
          <w:p w:rsidR="00000000" w:rsidRDefault="00000000">
            <w:r>
              <w:t>Финляндия в целом</w:t>
            </w:r>
          </w:p>
        </w:tc>
        <w:tc>
          <w:tcPr>
            <w:tcW w:w="988" w:type="dxa"/>
            <w:gridSpan w:val="3"/>
            <w:tcBorders>
              <w:top w:val="nil"/>
              <w:bottom w:val="nil"/>
            </w:tcBorders>
          </w:tcPr>
          <w:p w:rsidR="00000000" w:rsidRDefault="00000000">
            <w:pPr>
              <w:tabs>
                <w:tab w:val="clear" w:pos="567"/>
              </w:tabs>
              <w:ind w:right="136"/>
              <w:jc w:val="right"/>
            </w:pPr>
            <w:r>
              <w:t>9 900</w:t>
            </w:r>
          </w:p>
        </w:tc>
        <w:tc>
          <w:tcPr>
            <w:tcW w:w="994" w:type="dxa"/>
            <w:tcBorders>
              <w:top w:val="nil"/>
              <w:bottom w:val="nil"/>
            </w:tcBorders>
          </w:tcPr>
          <w:p w:rsidR="00000000" w:rsidRDefault="00000000">
            <w:pPr>
              <w:ind w:right="136"/>
              <w:jc w:val="right"/>
            </w:pPr>
            <w:r>
              <w:t>10 000</w:t>
            </w:r>
          </w:p>
        </w:tc>
        <w:tc>
          <w:tcPr>
            <w:tcW w:w="989" w:type="dxa"/>
            <w:tcBorders>
              <w:top w:val="nil"/>
              <w:bottom w:val="nil"/>
            </w:tcBorders>
          </w:tcPr>
          <w:p w:rsidR="00000000" w:rsidRDefault="00000000">
            <w:pPr>
              <w:ind w:right="136"/>
              <w:jc w:val="right"/>
            </w:pPr>
            <w:r>
              <w:t>10 000</w:t>
            </w:r>
          </w:p>
        </w:tc>
        <w:tc>
          <w:tcPr>
            <w:tcW w:w="991" w:type="dxa"/>
            <w:tcBorders>
              <w:top w:val="nil"/>
              <w:bottom w:val="nil"/>
            </w:tcBorders>
          </w:tcPr>
          <w:p w:rsidR="00000000" w:rsidRDefault="00000000">
            <w:pPr>
              <w:ind w:right="136"/>
              <w:jc w:val="right"/>
            </w:pPr>
            <w:r>
              <w:t>9 560</w:t>
            </w:r>
          </w:p>
        </w:tc>
        <w:tc>
          <w:tcPr>
            <w:tcW w:w="998" w:type="dxa"/>
            <w:gridSpan w:val="2"/>
            <w:tcBorders>
              <w:top w:val="nil"/>
              <w:bottom w:val="nil"/>
            </w:tcBorders>
          </w:tcPr>
          <w:p w:rsidR="00000000" w:rsidRDefault="00000000">
            <w:pPr>
              <w:ind w:right="136"/>
              <w:jc w:val="right"/>
            </w:pPr>
            <w:r>
              <w:t>8 190</w:t>
            </w:r>
          </w:p>
        </w:tc>
        <w:tc>
          <w:tcPr>
            <w:tcW w:w="987" w:type="dxa"/>
            <w:tcBorders>
              <w:top w:val="nil"/>
              <w:bottom w:val="nil"/>
            </w:tcBorders>
          </w:tcPr>
          <w:p w:rsidR="00000000" w:rsidRDefault="00000000">
            <w:pPr>
              <w:ind w:right="136"/>
              <w:jc w:val="right"/>
            </w:pPr>
            <w:r>
              <w:t>7 650</w:t>
            </w:r>
          </w:p>
        </w:tc>
      </w:tr>
      <w:tr w:rsidR="00000000">
        <w:tblPrEx>
          <w:tblCellMar>
            <w:top w:w="0" w:type="dxa"/>
            <w:bottom w:w="0" w:type="dxa"/>
          </w:tblCellMar>
        </w:tblPrEx>
        <w:trPr>
          <w:cantSplit/>
        </w:trPr>
        <w:tc>
          <w:tcPr>
            <w:tcW w:w="3464" w:type="dxa"/>
            <w:tcBorders>
              <w:top w:val="nil"/>
              <w:bottom w:val="nil"/>
            </w:tcBorders>
          </w:tcPr>
          <w:p w:rsidR="00000000" w:rsidRDefault="00000000">
            <w:r>
              <w:t>Хельсинкская агломерация</w:t>
            </w:r>
          </w:p>
        </w:tc>
        <w:tc>
          <w:tcPr>
            <w:tcW w:w="988" w:type="dxa"/>
            <w:gridSpan w:val="3"/>
            <w:tcBorders>
              <w:top w:val="nil"/>
              <w:bottom w:val="nil"/>
            </w:tcBorders>
          </w:tcPr>
          <w:p w:rsidR="00000000" w:rsidRDefault="00000000">
            <w:pPr>
              <w:tabs>
                <w:tab w:val="clear" w:pos="567"/>
              </w:tabs>
              <w:ind w:right="136"/>
              <w:jc w:val="right"/>
              <w:rPr>
                <w:lang w:val="fi-FI"/>
              </w:rPr>
            </w:pPr>
            <w:r>
              <w:rPr>
                <w:lang w:val="fi-FI"/>
              </w:rPr>
              <w:t>5</w:t>
            </w:r>
            <w:r>
              <w:t xml:space="preserve"> </w:t>
            </w:r>
            <w:r>
              <w:rPr>
                <w:lang w:val="fi-FI"/>
              </w:rPr>
              <w:t>463</w:t>
            </w:r>
          </w:p>
        </w:tc>
        <w:tc>
          <w:tcPr>
            <w:tcW w:w="994" w:type="dxa"/>
            <w:tcBorders>
              <w:top w:val="nil"/>
              <w:bottom w:val="nil"/>
            </w:tcBorders>
          </w:tcPr>
          <w:p w:rsidR="00000000" w:rsidRDefault="00000000">
            <w:pPr>
              <w:ind w:right="136"/>
              <w:jc w:val="right"/>
              <w:rPr>
                <w:lang w:val="fi-FI"/>
              </w:rPr>
            </w:pPr>
            <w:r>
              <w:rPr>
                <w:lang w:val="fi-FI"/>
              </w:rPr>
              <w:t>5</w:t>
            </w:r>
            <w:r>
              <w:t xml:space="preserve"> </w:t>
            </w:r>
            <w:r>
              <w:rPr>
                <w:lang w:val="fi-FI"/>
              </w:rPr>
              <w:t>716</w:t>
            </w:r>
          </w:p>
        </w:tc>
        <w:tc>
          <w:tcPr>
            <w:tcW w:w="989" w:type="dxa"/>
            <w:tcBorders>
              <w:top w:val="nil"/>
              <w:bottom w:val="nil"/>
            </w:tcBorders>
          </w:tcPr>
          <w:p w:rsidR="00000000" w:rsidRDefault="00000000">
            <w:pPr>
              <w:ind w:right="136"/>
              <w:jc w:val="right"/>
              <w:rPr>
                <w:lang w:val="fi-FI"/>
              </w:rPr>
            </w:pPr>
            <w:r>
              <w:rPr>
                <w:lang w:val="fi-FI"/>
              </w:rPr>
              <w:t>5</w:t>
            </w:r>
            <w:r>
              <w:t xml:space="preserve"> </w:t>
            </w:r>
            <w:r>
              <w:rPr>
                <w:lang w:val="fi-FI"/>
              </w:rPr>
              <w:t>787</w:t>
            </w:r>
          </w:p>
        </w:tc>
        <w:tc>
          <w:tcPr>
            <w:tcW w:w="991" w:type="dxa"/>
            <w:tcBorders>
              <w:top w:val="nil"/>
              <w:bottom w:val="nil"/>
            </w:tcBorders>
          </w:tcPr>
          <w:p w:rsidR="00000000" w:rsidRDefault="00000000">
            <w:pPr>
              <w:ind w:right="136"/>
              <w:jc w:val="right"/>
              <w:rPr>
                <w:lang w:val="fi-FI"/>
              </w:rPr>
            </w:pPr>
            <w:r>
              <w:rPr>
                <w:lang w:val="fi-FI"/>
              </w:rPr>
              <w:t>5</w:t>
            </w:r>
            <w:r>
              <w:t xml:space="preserve"> </w:t>
            </w:r>
            <w:r>
              <w:rPr>
                <w:lang w:val="fi-FI"/>
              </w:rPr>
              <w:t>560</w:t>
            </w:r>
          </w:p>
        </w:tc>
        <w:tc>
          <w:tcPr>
            <w:tcW w:w="998" w:type="dxa"/>
            <w:gridSpan w:val="2"/>
            <w:tcBorders>
              <w:top w:val="nil"/>
              <w:bottom w:val="nil"/>
            </w:tcBorders>
          </w:tcPr>
          <w:p w:rsidR="00000000" w:rsidRDefault="00000000">
            <w:pPr>
              <w:ind w:right="136"/>
              <w:jc w:val="right"/>
              <w:rPr>
                <w:lang w:val="fi-FI"/>
              </w:rPr>
            </w:pPr>
            <w:r>
              <w:rPr>
                <w:lang w:val="fi-FI"/>
              </w:rPr>
              <w:t>4</w:t>
            </w:r>
            <w:r>
              <w:t xml:space="preserve"> </w:t>
            </w:r>
            <w:r>
              <w:rPr>
                <w:lang w:val="fi-FI"/>
              </w:rPr>
              <w:t>440</w:t>
            </w:r>
          </w:p>
        </w:tc>
        <w:tc>
          <w:tcPr>
            <w:tcW w:w="987" w:type="dxa"/>
            <w:tcBorders>
              <w:top w:val="nil"/>
              <w:bottom w:val="nil"/>
            </w:tcBorders>
          </w:tcPr>
          <w:p w:rsidR="00000000" w:rsidRDefault="00000000">
            <w:pPr>
              <w:ind w:right="136"/>
              <w:jc w:val="right"/>
              <w:rPr>
                <w:lang w:val="fi-FI"/>
              </w:rPr>
            </w:pPr>
            <w:r>
              <w:rPr>
                <w:lang w:val="fi-FI"/>
              </w:rPr>
              <w:t>4</w:t>
            </w:r>
            <w:r>
              <w:t xml:space="preserve"> </w:t>
            </w:r>
            <w:r>
              <w:rPr>
                <w:lang w:val="fi-FI"/>
              </w:rPr>
              <w:t>185</w:t>
            </w:r>
          </w:p>
        </w:tc>
      </w:tr>
      <w:tr w:rsidR="00000000">
        <w:tblPrEx>
          <w:tblCellMar>
            <w:top w:w="0" w:type="dxa"/>
            <w:bottom w:w="0" w:type="dxa"/>
          </w:tblCellMar>
        </w:tblPrEx>
        <w:trPr>
          <w:cantSplit/>
        </w:trPr>
        <w:tc>
          <w:tcPr>
            <w:tcW w:w="3464" w:type="dxa"/>
            <w:tcBorders>
              <w:top w:val="nil"/>
              <w:bottom w:val="nil"/>
            </w:tcBorders>
          </w:tcPr>
          <w:p w:rsidR="00000000" w:rsidRDefault="00000000">
            <w:r>
              <w:rPr>
                <w:lang w:val="fi-FI"/>
              </w:rPr>
              <w:t>Хельсинки</w:t>
            </w:r>
          </w:p>
        </w:tc>
        <w:tc>
          <w:tcPr>
            <w:tcW w:w="988" w:type="dxa"/>
            <w:gridSpan w:val="3"/>
            <w:tcBorders>
              <w:top w:val="nil"/>
              <w:bottom w:val="nil"/>
            </w:tcBorders>
          </w:tcPr>
          <w:p w:rsidR="00000000" w:rsidRDefault="00000000">
            <w:pPr>
              <w:tabs>
                <w:tab w:val="clear" w:pos="567"/>
              </w:tabs>
              <w:ind w:right="136"/>
              <w:jc w:val="right"/>
              <w:rPr>
                <w:lang w:val="fi-FI"/>
              </w:rPr>
            </w:pPr>
            <w:r>
              <w:rPr>
                <w:lang w:val="fi-FI"/>
              </w:rPr>
              <w:t>4</w:t>
            </w:r>
            <w:r>
              <w:t xml:space="preserve"> </w:t>
            </w:r>
            <w:r>
              <w:rPr>
                <w:lang w:val="fi-FI"/>
              </w:rPr>
              <w:t>440</w:t>
            </w:r>
          </w:p>
        </w:tc>
        <w:tc>
          <w:tcPr>
            <w:tcW w:w="994" w:type="dxa"/>
            <w:tcBorders>
              <w:top w:val="nil"/>
              <w:bottom w:val="nil"/>
            </w:tcBorders>
          </w:tcPr>
          <w:p w:rsidR="00000000" w:rsidRDefault="00000000">
            <w:pPr>
              <w:ind w:right="136"/>
              <w:jc w:val="right"/>
              <w:rPr>
                <w:lang w:val="fi-FI"/>
              </w:rPr>
            </w:pPr>
            <w:r>
              <w:rPr>
                <w:lang w:val="fi-FI"/>
              </w:rPr>
              <w:t>4</w:t>
            </w:r>
            <w:r>
              <w:t xml:space="preserve"> </w:t>
            </w:r>
            <w:r>
              <w:rPr>
                <w:lang w:val="fi-FI"/>
              </w:rPr>
              <w:t>700</w:t>
            </w:r>
          </w:p>
        </w:tc>
        <w:tc>
          <w:tcPr>
            <w:tcW w:w="989" w:type="dxa"/>
            <w:tcBorders>
              <w:top w:val="nil"/>
              <w:bottom w:val="nil"/>
            </w:tcBorders>
          </w:tcPr>
          <w:p w:rsidR="00000000" w:rsidRDefault="00000000">
            <w:pPr>
              <w:ind w:right="136"/>
              <w:jc w:val="right"/>
              <w:rPr>
                <w:lang w:val="fi-FI"/>
              </w:rPr>
            </w:pPr>
            <w:r>
              <w:rPr>
                <w:lang w:val="fi-FI"/>
              </w:rPr>
              <w:t>4</w:t>
            </w:r>
            <w:r>
              <w:t xml:space="preserve"> </w:t>
            </w:r>
            <w:r>
              <w:rPr>
                <w:lang w:val="fi-FI"/>
              </w:rPr>
              <w:t>700</w:t>
            </w:r>
          </w:p>
        </w:tc>
        <w:tc>
          <w:tcPr>
            <w:tcW w:w="991" w:type="dxa"/>
            <w:tcBorders>
              <w:top w:val="nil"/>
              <w:bottom w:val="nil"/>
            </w:tcBorders>
          </w:tcPr>
          <w:p w:rsidR="00000000" w:rsidRDefault="00000000">
            <w:pPr>
              <w:ind w:right="136"/>
              <w:jc w:val="right"/>
              <w:rPr>
                <w:lang w:val="fi-FI"/>
              </w:rPr>
            </w:pPr>
            <w:r>
              <w:rPr>
                <w:lang w:val="fi-FI"/>
              </w:rPr>
              <w:t>4</w:t>
            </w:r>
            <w:r>
              <w:t xml:space="preserve"> </w:t>
            </w:r>
            <w:r>
              <w:rPr>
                <w:lang w:val="fi-FI"/>
              </w:rPr>
              <w:t>600</w:t>
            </w:r>
          </w:p>
        </w:tc>
        <w:tc>
          <w:tcPr>
            <w:tcW w:w="998" w:type="dxa"/>
            <w:gridSpan w:val="2"/>
            <w:tcBorders>
              <w:top w:val="nil"/>
              <w:bottom w:val="nil"/>
            </w:tcBorders>
          </w:tcPr>
          <w:p w:rsidR="00000000" w:rsidRDefault="00000000">
            <w:pPr>
              <w:ind w:right="136"/>
              <w:jc w:val="right"/>
              <w:rPr>
                <w:lang w:val="fi-FI"/>
              </w:rPr>
            </w:pPr>
            <w:r>
              <w:rPr>
                <w:lang w:val="fi-FI"/>
              </w:rPr>
              <w:t>3</w:t>
            </w:r>
            <w:r>
              <w:t xml:space="preserve"> </w:t>
            </w:r>
            <w:r>
              <w:rPr>
                <w:lang w:val="fi-FI"/>
              </w:rPr>
              <w:t>515</w:t>
            </w:r>
          </w:p>
        </w:tc>
        <w:tc>
          <w:tcPr>
            <w:tcW w:w="987" w:type="dxa"/>
            <w:tcBorders>
              <w:top w:val="nil"/>
              <w:bottom w:val="nil"/>
            </w:tcBorders>
          </w:tcPr>
          <w:p w:rsidR="00000000" w:rsidRDefault="00000000">
            <w:pPr>
              <w:ind w:right="136"/>
              <w:jc w:val="right"/>
              <w:rPr>
                <w:lang w:val="fi-FI"/>
              </w:rPr>
            </w:pPr>
            <w:r>
              <w:rPr>
                <w:lang w:val="fi-FI"/>
              </w:rPr>
              <w:t>3</w:t>
            </w:r>
            <w:r>
              <w:t xml:space="preserve"> </w:t>
            </w:r>
            <w:r>
              <w:rPr>
                <w:lang w:val="fi-FI"/>
              </w:rPr>
              <w:t>270</w:t>
            </w:r>
          </w:p>
        </w:tc>
      </w:tr>
      <w:tr w:rsidR="00000000">
        <w:tblPrEx>
          <w:tblCellMar>
            <w:top w:w="0" w:type="dxa"/>
            <w:bottom w:w="0" w:type="dxa"/>
          </w:tblCellMar>
        </w:tblPrEx>
        <w:trPr>
          <w:cantSplit/>
        </w:trPr>
        <w:tc>
          <w:tcPr>
            <w:tcW w:w="3464" w:type="dxa"/>
            <w:tcBorders>
              <w:top w:val="nil"/>
              <w:bottom w:val="nil"/>
            </w:tcBorders>
          </w:tcPr>
          <w:p w:rsidR="00000000" w:rsidRDefault="00000000">
            <w:r>
              <w:rPr>
                <w:lang w:val="fi-FI"/>
              </w:rPr>
              <w:t>Эспоо</w:t>
            </w:r>
          </w:p>
        </w:tc>
        <w:tc>
          <w:tcPr>
            <w:tcW w:w="988" w:type="dxa"/>
            <w:gridSpan w:val="3"/>
            <w:tcBorders>
              <w:top w:val="nil"/>
              <w:bottom w:val="nil"/>
            </w:tcBorders>
          </w:tcPr>
          <w:p w:rsidR="00000000" w:rsidRDefault="00000000">
            <w:pPr>
              <w:tabs>
                <w:tab w:val="clear" w:pos="567"/>
              </w:tabs>
              <w:ind w:right="136"/>
              <w:jc w:val="right"/>
              <w:rPr>
                <w:lang w:val="fi-FI"/>
              </w:rPr>
            </w:pPr>
            <w:r>
              <w:rPr>
                <w:lang w:val="fi-FI"/>
              </w:rPr>
              <w:t>550</w:t>
            </w:r>
          </w:p>
        </w:tc>
        <w:tc>
          <w:tcPr>
            <w:tcW w:w="994" w:type="dxa"/>
            <w:tcBorders>
              <w:top w:val="nil"/>
              <w:bottom w:val="nil"/>
            </w:tcBorders>
          </w:tcPr>
          <w:p w:rsidR="00000000" w:rsidRDefault="00000000">
            <w:pPr>
              <w:ind w:right="136"/>
              <w:jc w:val="right"/>
              <w:rPr>
                <w:lang w:val="fi-FI"/>
              </w:rPr>
            </w:pPr>
            <w:r>
              <w:rPr>
                <w:lang w:val="fi-FI"/>
              </w:rPr>
              <w:t>550</w:t>
            </w:r>
          </w:p>
        </w:tc>
        <w:tc>
          <w:tcPr>
            <w:tcW w:w="989" w:type="dxa"/>
            <w:tcBorders>
              <w:top w:val="nil"/>
              <w:bottom w:val="nil"/>
            </w:tcBorders>
          </w:tcPr>
          <w:p w:rsidR="00000000" w:rsidRDefault="00000000">
            <w:pPr>
              <w:ind w:right="136"/>
              <w:jc w:val="right"/>
              <w:rPr>
                <w:lang w:val="fi-FI"/>
              </w:rPr>
            </w:pPr>
            <w:r>
              <w:rPr>
                <w:lang w:val="fi-FI"/>
              </w:rPr>
              <w:t>580</w:t>
            </w:r>
          </w:p>
        </w:tc>
        <w:tc>
          <w:tcPr>
            <w:tcW w:w="991" w:type="dxa"/>
            <w:tcBorders>
              <w:top w:val="nil"/>
              <w:bottom w:val="nil"/>
            </w:tcBorders>
          </w:tcPr>
          <w:p w:rsidR="00000000" w:rsidRDefault="00000000">
            <w:pPr>
              <w:ind w:right="136"/>
              <w:jc w:val="right"/>
              <w:rPr>
                <w:lang w:val="fi-FI"/>
              </w:rPr>
            </w:pPr>
            <w:r>
              <w:rPr>
                <w:lang w:val="fi-FI"/>
              </w:rPr>
              <w:t>529</w:t>
            </w:r>
          </w:p>
        </w:tc>
        <w:tc>
          <w:tcPr>
            <w:tcW w:w="998" w:type="dxa"/>
            <w:gridSpan w:val="2"/>
            <w:tcBorders>
              <w:top w:val="nil"/>
              <w:bottom w:val="nil"/>
            </w:tcBorders>
          </w:tcPr>
          <w:p w:rsidR="00000000" w:rsidRDefault="00000000">
            <w:pPr>
              <w:ind w:right="136"/>
              <w:jc w:val="right"/>
              <w:rPr>
                <w:lang w:val="fi-FI"/>
              </w:rPr>
            </w:pPr>
            <w:r>
              <w:rPr>
                <w:lang w:val="fi-FI"/>
              </w:rPr>
              <w:t>446</w:t>
            </w:r>
          </w:p>
        </w:tc>
        <w:tc>
          <w:tcPr>
            <w:tcW w:w="987" w:type="dxa"/>
            <w:tcBorders>
              <w:top w:val="nil"/>
              <w:bottom w:val="nil"/>
            </w:tcBorders>
          </w:tcPr>
          <w:p w:rsidR="00000000" w:rsidRDefault="00000000">
            <w:pPr>
              <w:ind w:right="136"/>
              <w:jc w:val="right"/>
              <w:rPr>
                <w:lang w:val="fi-FI"/>
              </w:rPr>
            </w:pPr>
            <w:r>
              <w:rPr>
                <w:lang w:val="fi-FI"/>
              </w:rPr>
              <w:t>438</w:t>
            </w:r>
          </w:p>
        </w:tc>
      </w:tr>
      <w:tr w:rsidR="00000000">
        <w:tblPrEx>
          <w:tblCellMar>
            <w:top w:w="0" w:type="dxa"/>
            <w:bottom w:w="0" w:type="dxa"/>
          </w:tblCellMar>
        </w:tblPrEx>
        <w:trPr>
          <w:cantSplit/>
        </w:trPr>
        <w:tc>
          <w:tcPr>
            <w:tcW w:w="3464" w:type="dxa"/>
            <w:tcBorders>
              <w:top w:val="nil"/>
              <w:bottom w:val="nil"/>
            </w:tcBorders>
          </w:tcPr>
          <w:p w:rsidR="00000000" w:rsidRDefault="00000000">
            <w:r>
              <w:rPr>
                <w:lang w:val="fi-FI"/>
              </w:rPr>
              <w:t>Вантаа</w:t>
            </w:r>
          </w:p>
        </w:tc>
        <w:tc>
          <w:tcPr>
            <w:tcW w:w="988" w:type="dxa"/>
            <w:gridSpan w:val="3"/>
            <w:tcBorders>
              <w:top w:val="nil"/>
              <w:bottom w:val="nil"/>
            </w:tcBorders>
          </w:tcPr>
          <w:p w:rsidR="00000000" w:rsidRDefault="00000000">
            <w:pPr>
              <w:tabs>
                <w:tab w:val="clear" w:pos="567"/>
              </w:tabs>
              <w:ind w:right="136"/>
              <w:jc w:val="right"/>
              <w:rPr>
                <w:lang w:val="en-US"/>
              </w:rPr>
            </w:pPr>
            <w:r>
              <w:rPr>
                <w:lang w:val="en-US"/>
              </w:rPr>
              <w:t>473</w:t>
            </w:r>
          </w:p>
        </w:tc>
        <w:tc>
          <w:tcPr>
            <w:tcW w:w="994" w:type="dxa"/>
            <w:tcBorders>
              <w:top w:val="nil"/>
              <w:bottom w:val="nil"/>
            </w:tcBorders>
          </w:tcPr>
          <w:p w:rsidR="00000000" w:rsidRDefault="00000000">
            <w:pPr>
              <w:ind w:right="136"/>
              <w:jc w:val="right"/>
              <w:rPr>
                <w:lang w:val="en-US"/>
              </w:rPr>
            </w:pPr>
            <w:r>
              <w:rPr>
                <w:lang w:val="en-US"/>
              </w:rPr>
              <w:t>466</w:t>
            </w:r>
          </w:p>
        </w:tc>
        <w:tc>
          <w:tcPr>
            <w:tcW w:w="989" w:type="dxa"/>
            <w:tcBorders>
              <w:top w:val="nil"/>
              <w:bottom w:val="nil"/>
            </w:tcBorders>
          </w:tcPr>
          <w:p w:rsidR="00000000" w:rsidRDefault="00000000">
            <w:pPr>
              <w:ind w:right="136"/>
              <w:jc w:val="right"/>
              <w:rPr>
                <w:lang w:val="en-US"/>
              </w:rPr>
            </w:pPr>
            <w:r>
              <w:rPr>
                <w:lang w:val="en-US"/>
              </w:rPr>
              <w:t>507</w:t>
            </w:r>
          </w:p>
        </w:tc>
        <w:tc>
          <w:tcPr>
            <w:tcW w:w="991" w:type="dxa"/>
            <w:tcBorders>
              <w:top w:val="nil"/>
              <w:bottom w:val="nil"/>
            </w:tcBorders>
          </w:tcPr>
          <w:p w:rsidR="00000000" w:rsidRDefault="00000000">
            <w:pPr>
              <w:ind w:right="136"/>
              <w:jc w:val="right"/>
              <w:rPr>
                <w:lang w:val="en-US"/>
              </w:rPr>
            </w:pPr>
            <w:r>
              <w:rPr>
                <w:lang w:val="en-US"/>
              </w:rPr>
              <w:t>431</w:t>
            </w:r>
          </w:p>
        </w:tc>
        <w:tc>
          <w:tcPr>
            <w:tcW w:w="998" w:type="dxa"/>
            <w:gridSpan w:val="2"/>
            <w:tcBorders>
              <w:top w:val="nil"/>
              <w:bottom w:val="nil"/>
            </w:tcBorders>
          </w:tcPr>
          <w:p w:rsidR="00000000" w:rsidRDefault="00000000">
            <w:pPr>
              <w:ind w:right="136"/>
              <w:jc w:val="right"/>
              <w:rPr>
                <w:lang w:val="en-US"/>
              </w:rPr>
            </w:pPr>
            <w:r>
              <w:rPr>
                <w:lang w:val="en-US"/>
              </w:rPr>
              <w:t>479</w:t>
            </w:r>
          </w:p>
        </w:tc>
        <w:tc>
          <w:tcPr>
            <w:tcW w:w="987" w:type="dxa"/>
            <w:tcBorders>
              <w:top w:val="nil"/>
              <w:bottom w:val="nil"/>
            </w:tcBorders>
          </w:tcPr>
          <w:p w:rsidR="00000000" w:rsidRDefault="00000000">
            <w:pPr>
              <w:ind w:right="136"/>
              <w:jc w:val="right"/>
              <w:rPr>
                <w:lang w:val="en-US"/>
              </w:rPr>
            </w:pPr>
            <w:r>
              <w:rPr>
                <w:lang w:val="en-US"/>
              </w:rPr>
              <w:t>477</w:t>
            </w:r>
          </w:p>
        </w:tc>
      </w:tr>
      <w:tr w:rsidR="00000000">
        <w:tblPrEx>
          <w:tblCellMar>
            <w:top w:w="0" w:type="dxa"/>
            <w:bottom w:w="0" w:type="dxa"/>
          </w:tblCellMar>
        </w:tblPrEx>
        <w:trPr>
          <w:cantSplit/>
        </w:trPr>
        <w:tc>
          <w:tcPr>
            <w:tcW w:w="3486" w:type="dxa"/>
            <w:gridSpan w:val="3"/>
            <w:tcBorders>
              <w:top w:val="nil"/>
              <w:bottom w:val="nil"/>
            </w:tcBorders>
          </w:tcPr>
          <w:p w:rsidR="00000000" w:rsidRDefault="00000000">
            <w:r>
              <w:t>Бездомные семьи</w:t>
            </w:r>
          </w:p>
        </w:tc>
        <w:tc>
          <w:tcPr>
            <w:tcW w:w="966" w:type="dxa"/>
            <w:tcBorders>
              <w:top w:val="nil"/>
              <w:bottom w:val="nil"/>
            </w:tcBorders>
          </w:tcPr>
          <w:p w:rsidR="00000000" w:rsidRDefault="00000000"/>
        </w:tc>
        <w:tc>
          <w:tcPr>
            <w:tcW w:w="994" w:type="dxa"/>
            <w:tcBorders>
              <w:top w:val="nil"/>
              <w:bottom w:val="nil"/>
            </w:tcBorders>
          </w:tcPr>
          <w:p w:rsidR="00000000" w:rsidRDefault="00000000"/>
        </w:tc>
        <w:tc>
          <w:tcPr>
            <w:tcW w:w="989" w:type="dxa"/>
            <w:tcBorders>
              <w:top w:val="nil"/>
              <w:bottom w:val="nil"/>
            </w:tcBorders>
          </w:tcPr>
          <w:p w:rsidR="00000000" w:rsidRDefault="00000000"/>
        </w:tc>
        <w:tc>
          <w:tcPr>
            <w:tcW w:w="991" w:type="dxa"/>
            <w:tcBorders>
              <w:top w:val="nil"/>
              <w:bottom w:val="nil"/>
            </w:tcBorders>
          </w:tcPr>
          <w:p w:rsidR="00000000" w:rsidRDefault="00000000"/>
        </w:tc>
        <w:tc>
          <w:tcPr>
            <w:tcW w:w="998" w:type="dxa"/>
            <w:gridSpan w:val="2"/>
            <w:tcBorders>
              <w:top w:val="nil"/>
              <w:bottom w:val="nil"/>
            </w:tcBorders>
          </w:tcPr>
          <w:p w:rsidR="00000000" w:rsidRDefault="00000000"/>
        </w:tc>
        <w:tc>
          <w:tcPr>
            <w:tcW w:w="987" w:type="dxa"/>
            <w:tcBorders>
              <w:top w:val="nil"/>
              <w:bottom w:val="nil"/>
            </w:tcBorders>
          </w:tcPr>
          <w:p w:rsidR="00000000" w:rsidRDefault="00000000"/>
        </w:tc>
      </w:tr>
      <w:tr w:rsidR="00000000">
        <w:tblPrEx>
          <w:tblCellMar>
            <w:top w:w="0" w:type="dxa"/>
            <w:bottom w:w="0" w:type="dxa"/>
          </w:tblCellMar>
        </w:tblPrEx>
        <w:trPr>
          <w:cantSplit/>
        </w:trPr>
        <w:tc>
          <w:tcPr>
            <w:tcW w:w="3464" w:type="dxa"/>
            <w:tcBorders>
              <w:top w:val="nil"/>
              <w:bottom w:val="nil"/>
            </w:tcBorders>
          </w:tcPr>
          <w:p w:rsidR="00000000" w:rsidRDefault="00000000">
            <w:r>
              <w:t>Финляндия в целом</w:t>
            </w:r>
          </w:p>
        </w:tc>
        <w:tc>
          <w:tcPr>
            <w:tcW w:w="988" w:type="dxa"/>
            <w:gridSpan w:val="3"/>
            <w:tcBorders>
              <w:top w:val="nil"/>
              <w:bottom w:val="nil"/>
            </w:tcBorders>
          </w:tcPr>
          <w:p w:rsidR="00000000" w:rsidRDefault="00000000">
            <w:pPr>
              <w:tabs>
                <w:tab w:val="clear" w:pos="567"/>
              </w:tabs>
              <w:ind w:right="136"/>
              <w:jc w:val="right"/>
              <w:rPr>
                <w:lang w:val="en-US"/>
              </w:rPr>
            </w:pPr>
            <w:r>
              <w:rPr>
                <w:lang w:val="en-US"/>
              </w:rPr>
              <w:t>780</w:t>
            </w:r>
          </w:p>
        </w:tc>
        <w:tc>
          <w:tcPr>
            <w:tcW w:w="994" w:type="dxa"/>
            <w:tcBorders>
              <w:top w:val="nil"/>
              <w:bottom w:val="nil"/>
            </w:tcBorders>
          </w:tcPr>
          <w:p w:rsidR="00000000" w:rsidRDefault="00000000">
            <w:pPr>
              <w:tabs>
                <w:tab w:val="clear" w:pos="567"/>
              </w:tabs>
              <w:ind w:right="136"/>
              <w:jc w:val="right"/>
              <w:rPr>
                <w:lang w:val="en-US"/>
              </w:rPr>
            </w:pPr>
            <w:r>
              <w:t>780</w:t>
            </w:r>
          </w:p>
        </w:tc>
        <w:tc>
          <w:tcPr>
            <w:tcW w:w="989" w:type="dxa"/>
            <w:tcBorders>
              <w:top w:val="nil"/>
              <w:bottom w:val="nil"/>
            </w:tcBorders>
          </w:tcPr>
          <w:p w:rsidR="00000000" w:rsidRDefault="00000000">
            <w:pPr>
              <w:tabs>
                <w:tab w:val="clear" w:pos="567"/>
              </w:tabs>
              <w:ind w:right="136"/>
              <w:jc w:val="right"/>
              <w:rPr>
                <w:lang w:val="en-US"/>
              </w:rPr>
            </w:pPr>
            <w:r>
              <w:rPr>
                <w:lang w:val="en-US"/>
              </w:rPr>
              <w:t>780</w:t>
            </w:r>
          </w:p>
        </w:tc>
        <w:tc>
          <w:tcPr>
            <w:tcW w:w="991" w:type="dxa"/>
            <w:tcBorders>
              <w:top w:val="nil"/>
              <w:bottom w:val="nil"/>
            </w:tcBorders>
          </w:tcPr>
          <w:p w:rsidR="00000000" w:rsidRDefault="00000000">
            <w:pPr>
              <w:tabs>
                <w:tab w:val="clear" w:pos="567"/>
              </w:tabs>
              <w:ind w:right="136"/>
              <w:jc w:val="right"/>
              <w:rPr>
                <w:lang w:val="en-US"/>
              </w:rPr>
            </w:pPr>
            <w:r>
              <w:t>770</w:t>
            </w:r>
          </w:p>
        </w:tc>
        <w:tc>
          <w:tcPr>
            <w:tcW w:w="998" w:type="dxa"/>
            <w:gridSpan w:val="2"/>
            <w:tcBorders>
              <w:top w:val="nil"/>
              <w:bottom w:val="nil"/>
            </w:tcBorders>
          </w:tcPr>
          <w:p w:rsidR="00000000" w:rsidRDefault="00000000">
            <w:pPr>
              <w:tabs>
                <w:tab w:val="clear" w:pos="567"/>
              </w:tabs>
              <w:ind w:right="136"/>
              <w:jc w:val="right"/>
              <w:rPr>
                <w:lang w:val="en-US"/>
              </w:rPr>
            </w:pPr>
            <w:r>
              <w:rPr>
                <w:lang w:val="en-US"/>
              </w:rPr>
              <w:t>420</w:t>
            </w:r>
          </w:p>
        </w:tc>
        <w:tc>
          <w:tcPr>
            <w:tcW w:w="987" w:type="dxa"/>
            <w:tcBorders>
              <w:top w:val="nil"/>
              <w:bottom w:val="nil"/>
            </w:tcBorders>
          </w:tcPr>
          <w:p w:rsidR="00000000" w:rsidRDefault="00000000">
            <w:pPr>
              <w:tabs>
                <w:tab w:val="clear" w:pos="567"/>
              </w:tabs>
              <w:ind w:right="136"/>
              <w:jc w:val="right"/>
              <w:rPr>
                <w:lang w:val="en-US"/>
              </w:rPr>
            </w:pPr>
            <w:r>
              <w:rPr>
                <w:lang w:val="en-US"/>
              </w:rPr>
              <w:t>360</w:t>
            </w:r>
          </w:p>
        </w:tc>
      </w:tr>
      <w:tr w:rsidR="00000000">
        <w:tblPrEx>
          <w:tblCellMar>
            <w:top w:w="0" w:type="dxa"/>
            <w:bottom w:w="0" w:type="dxa"/>
          </w:tblCellMar>
        </w:tblPrEx>
        <w:trPr>
          <w:cantSplit/>
        </w:trPr>
        <w:tc>
          <w:tcPr>
            <w:tcW w:w="3464" w:type="dxa"/>
            <w:tcBorders>
              <w:top w:val="nil"/>
            </w:tcBorders>
          </w:tcPr>
          <w:p w:rsidR="00000000" w:rsidRDefault="00000000">
            <w:r>
              <w:rPr>
                <w:lang w:val="en-US"/>
              </w:rPr>
              <w:t>Хельсинкская агломерация</w:t>
            </w:r>
          </w:p>
        </w:tc>
        <w:tc>
          <w:tcPr>
            <w:tcW w:w="988" w:type="dxa"/>
            <w:gridSpan w:val="3"/>
            <w:tcBorders>
              <w:top w:val="nil"/>
            </w:tcBorders>
          </w:tcPr>
          <w:p w:rsidR="00000000" w:rsidRDefault="00000000">
            <w:pPr>
              <w:tabs>
                <w:tab w:val="clear" w:pos="567"/>
              </w:tabs>
              <w:ind w:right="136"/>
              <w:jc w:val="right"/>
              <w:rPr>
                <w:lang w:val="en-US"/>
              </w:rPr>
            </w:pPr>
            <w:r>
              <w:rPr>
                <w:lang w:val="en-US"/>
              </w:rPr>
              <w:t>686</w:t>
            </w:r>
          </w:p>
        </w:tc>
        <w:tc>
          <w:tcPr>
            <w:tcW w:w="994" w:type="dxa"/>
            <w:tcBorders>
              <w:top w:val="nil"/>
            </w:tcBorders>
          </w:tcPr>
          <w:p w:rsidR="00000000" w:rsidRDefault="00000000">
            <w:pPr>
              <w:tabs>
                <w:tab w:val="clear" w:pos="567"/>
              </w:tabs>
              <w:ind w:right="136"/>
              <w:jc w:val="right"/>
              <w:rPr>
                <w:lang w:val="en-US"/>
              </w:rPr>
            </w:pPr>
            <w:r>
              <w:t>684</w:t>
            </w:r>
          </w:p>
        </w:tc>
        <w:tc>
          <w:tcPr>
            <w:tcW w:w="989" w:type="dxa"/>
            <w:tcBorders>
              <w:top w:val="nil"/>
            </w:tcBorders>
          </w:tcPr>
          <w:p w:rsidR="00000000" w:rsidRDefault="00000000">
            <w:pPr>
              <w:tabs>
                <w:tab w:val="clear" w:pos="567"/>
              </w:tabs>
              <w:ind w:right="136"/>
              <w:jc w:val="right"/>
              <w:rPr>
                <w:lang w:val="en-US"/>
              </w:rPr>
            </w:pPr>
            <w:r>
              <w:rPr>
                <w:lang w:val="en-US"/>
              </w:rPr>
              <w:t>688</w:t>
            </w:r>
          </w:p>
        </w:tc>
        <w:tc>
          <w:tcPr>
            <w:tcW w:w="991" w:type="dxa"/>
            <w:tcBorders>
              <w:top w:val="nil"/>
            </w:tcBorders>
          </w:tcPr>
          <w:p w:rsidR="00000000" w:rsidRDefault="00000000">
            <w:pPr>
              <w:tabs>
                <w:tab w:val="clear" w:pos="567"/>
              </w:tabs>
              <w:ind w:right="136"/>
              <w:jc w:val="right"/>
              <w:rPr>
                <w:lang w:val="en-US"/>
              </w:rPr>
            </w:pPr>
            <w:r>
              <w:t>657</w:t>
            </w:r>
          </w:p>
        </w:tc>
        <w:tc>
          <w:tcPr>
            <w:tcW w:w="998" w:type="dxa"/>
            <w:gridSpan w:val="2"/>
            <w:tcBorders>
              <w:top w:val="nil"/>
            </w:tcBorders>
          </w:tcPr>
          <w:p w:rsidR="00000000" w:rsidRDefault="00000000">
            <w:pPr>
              <w:tabs>
                <w:tab w:val="clear" w:pos="567"/>
              </w:tabs>
              <w:ind w:right="136"/>
              <w:jc w:val="right"/>
              <w:rPr>
                <w:lang w:val="en-US"/>
              </w:rPr>
            </w:pPr>
            <w:r>
              <w:t>315</w:t>
            </w:r>
          </w:p>
        </w:tc>
        <w:tc>
          <w:tcPr>
            <w:tcW w:w="987" w:type="dxa"/>
            <w:tcBorders>
              <w:top w:val="nil"/>
            </w:tcBorders>
          </w:tcPr>
          <w:p w:rsidR="00000000" w:rsidRDefault="00000000">
            <w:pPr>
              <w:tabs>
                <w:tab w:val="clear" w:pos="567"/>
              </w:tabs>
              <w:ind w:right="136"/>
              <w:jc w:val="right"/>
              <w:rPr>
                <w:lang w:val="en-US"/>
              </w:rPr>
            </w:pPr>
            <w:r>
              <w:rPr>
                <w:lang w:val="en-US"/>
              </w:rPr>
              <w:t>229</w:t>
            </w:r>
          </w:p>
        </w:tc>
      </w:tr>
    </w:tbl>
    <w:p w:rsidR="00000000" w:rsidRDefault="00000000"/>
    <w:p w:rsidR="00000000" w:rsidRDefault="00000000">
      <w:r>
        <w:rPr>
          <w:i/>
          <w:iCs/>
        </w:rPr>
        <w:tab/>
        <w:t>Источник:</w:t>
      </w:r>
      <w:r>
        <w:t xml:space="preserve">  Управление жилого фонда Финляндии, 1999-2004 годы.</w:t>
      </w:r>
    </w:p>
    <w:p w:rsidR="00000000" w:rsidRDefault="00000000"/>
    <w:p w:rsidR="00000000" w:rsidRDefault="00000000">
      <w:r>
        <w:t>41.</w:t>
      </w:r>
      <w:r>
        <w:tab/>
        <w:t xml:space="preserve">Меры, принятые в 2002 году для сокращения численности бездомных в Хельсинкской агломерации, включали, в частности, расширение строительства новых квартир под аренду, особенно малогабаритных, и наличия арендного жилья в целом, расширение предложения квартир и земельных участков для определенных категорий лиц, укрепление регионального сотрудничества в области развития программ предоставления субсидируемого жилья и жилищных услуг, а также повышение качества приютов и обслуживания в них.  </w:t>
      </w:r>
    </w:p>
    <w:p w:rsidR="00000000" w:rsidRDefault="00000000"/>
    <w:p w:rsidR="00000000" w:rsidRDefault="00000000">
      <w:r>
        <w:t>42.</w:t>
      </w:r>
      <w:r>
        <w:tab/>
        <w:t>Вышеупомянутые жилые объекты включают обычные арендные квартиры, специально предназначенные для бездомных, а также субсидируемое жилье, приюты и жилые объекты, предназначенные для временного проживания.  Согласно оценкам около 70% бездомных в Хельсинкской столичной агломерации нуждаются в той или иной поддержке, связанной с жильем.  Более половины из них нуждаются в таком жилье, где поддержка обеспечивается на круглосуточной основе.</w:t>
      </w:r>
    </w:p>
    <w:p w:rsidR="00000000" w:rsidRDefault="00000000"/>
    <w:p w:rsidR="00000000" w:rsidRDefault="00000000">
      <w:r>
        <w:t>43.</w:t>
      </w:r>
      <w:r>
        <w:tab/>
        <w:t>Количество арендного жилья, построенного в 2002-2004 годах, составило почти половину того целевого показателя, который был намечен для программы сокращения численности бездомных.  По некоторым типам жилья, таким, как обычные квартиры под аренду, и особенно квартиры для молодежи, поставленная задача была явно перевыполнена.  В отношении субсидируемого жилья, приютов и временного жилья целевой показатель, намеченный в программе сокращения численности бездомных в Хельсинкской агломерации, достигнут пока приблизительно на две трети.  В Хельсинки поставленные задачи перевыполнены, однако в Эспоо и Вантаа целевые рубежи достигнуты не полностью, а это означает, что положение остается не совсем ровным.  Кроме того, в программе сделан акцент на жилищных потребностях лиц с психическими или физическими недостатками, за исключением тех, кто нуждается в реабилитации вследствие психических расстройств, в то время как жилищным потребностям лиц, страдающих токсикоманией и имеющих другие серьезные проблемы, уделено сравнительно мало внимания.  Большинство бездомных в Хельсинкской столичной агломерации нуждаются либо в специализированных услугах, либо в круглосуточной поддержке, либо даже в наблюдении или поддержке по линии системы социального обеспечения.  Таким образом, для сокращения численности бездомных важно сосредоточить усилия на создании пансионов и приютов и на обеспечении поддержки и консультативных услуг, необходимых для поддержания автономного образа жизни.  Организация жилищных услуг для бездомных, которым особо сложно получить доступ к жилью, требует значительных инвестиций и соответствующих решений в отношении местоположения, объема, размеров и обслуживания жилых объектов.   Такие жилые объекты обычно предоставляются на основе сотрудничества между муниципалитетами, государством и частным сектором.</w:t>
      </w:r>
    </w:p>
    <w:p w:rsidR="00000000" w:rsidRDefault="00000000"/>
    <w:p w:rsidR="00000000" w:rsidRDefault="00000000">
      <w:r>
        <w:t>44.</w:t>
      </w:r>
      <w:r>
        <w:tab/>
        <w:t xml:space="preserve">В последние несколько лет в Хельсинки муниципальные власти и организации, занимающиеся содержанием приютов, повысили качество предоставляемых услуг.  Представители Министерства по охране окружающей среды и Министерства социального обеспечения и здравоохранения обсудили инструкции в отношении качества приютов и соответствующих услуг.  По общему мнению, развитие системы приютов должно осуществляться на основе сотрудничества с местными органами власти и должны быть приняты рекомендации в отношении норм жилищного обеспечения и соответствующих услуг. </w:t>
      </w:r>
    </w:p>
    <w:p w:rsidR="00000000" w:rsidRDefault="00000000"/>
    <w:p w:rsidR="00000000" w:rsidRDefault="00000000">
      <w:r>
        <w:t>45.</w:t>
      </w:r>
      <w:r>
        <w:tab/>
        <w:t>Рабочая группа, занимавшаяся рассмотрением проблемы бездомных в Хельсинкской агломерации, подготовила предложение по совместному плану развития системы жилищного обеспечения для бездомных на 2005-2007 годы.  Муниципалитеты в Хельсинкской агломерации создают сеть регионального сотрудничества, цель которой состоит в развитии системы жилищного обеспечения и поддержки для бездомных, которые сталкиваются с наибольшими трудностями в вопросах доступа к жилью, в разработке рабочих методов и моделей, позволяющих добиться сокращения численности бездомных на постоянной основе, и в обеспечении поддержки и консультативных услуг, необходимых для поддержания автономного образа жизни.  В ходе осуществления этого плана будет создана соответствующая система услуг, с тем чтобы сеть регионального сотрудничества могла функционировать и в будущем.</w:t>
      </w:r>
    </w:p>
    <w:p w:rsidR="00000000" w:rsidRDefault="00000000"/>
    <w:p w:rsidR="00000000" w:rsidRDefault="00000000">
      <w:r>
        <w:t>46.</w:t>
      </w:r>
      <w:r>
        <w:tab/>
        <w:t>За период с 2002 по 2005 год Финская ассоциация владельцев игральных автоматов (РАИ) предоставила некоммерческим организациям и ассоциациям в общей сложности 37 млн. евро, благодаря чему был начат процесс приобретения и строительства порядка 1 200 квартир для бездомных.  Часть этих средств использовалась в качестве оперативных субсидий.</w:t>
      </w:r>
    </w:p>
    <w:p w:rsidR="00000000" w:rsidRDefault="00000000"/>
    <w:p w:rsidR="00000000" w:rsidRDefault="00000000">
      <w:pPr>
        <w:jc w:val="center"/>
        <w:rPr>
          <w:b/>
          <w:bCs/>
        </w:rPr>
      </w:pPr>
      <w:r>
        <w:rPr>
          <w:b/>
          <w:bCs/>
          <w:lang w:val="en-US"/>
        </w:rPr>
        <w:t>D</w:t>
      </w:r>
      <w:r>
        <w:rPr>
          <w:b/>
          <w:bCs/>
        </w:rPr>
        <w:t xml:space="preserve"> 19.  Государственная система здравоохранения</w:t>
      </w:r>
    </w:p>
    <w:p w:rsidR="00000000" w:rsidRDefault="00000000">
      <w:pPr>
        <w:rPr>
          <w:b/>
          <w:bCs/>
          <w:i/>
          <w:iCs/>
        </w:rPr>
      </w:pPr>
    </w:p>
    <w:p w:rsidR="00000000" w:rsidRDefault="00000000">
      <w:r>
        <w:t>47.</w:t>
      </w:r>
      <w:r>
        <w:tab/>
        <w:t>За период после представления предыдущего периодического доклада существенно повысилась гибкость систем медицинского обслуживания и защиты прав пациентов, в частности, благодаря установлению предельно допустимых сроков оценки потребности в медицинской помощи и, при необходимости, оказания такой помощи.  1 марта 2005 года вступили в силу соответствующие поправки к действующему законодательству.  В рабочие часы каждый человек должен иметь возможность незамедлительно обратиться в учреждение государственной системы здравоохранения.  Если оценку потребности в медицинской помощи нельзя составить по телефону, то это должно быть сделано врачом в течение трех дней с момента обращения.  В течение разумного периода времени должен быть предоставлен доступ к медицинской помощи, которая была сочтена необходимой на основе соответствующих медицинских критериев.  Что касается специализированной медицинской помощи, то оценка потребности в ней должна быть начата в течение трех недель с момента получения больницей направления врача.  Доступ к специализированной медицинской помощи, которая была сочтена необходимой на основе соответствующих медицинских критериев, должен быть предоставлен в течение шести месяцев после составления оценки.</w:t>
      </w:r>
    </w:p>
    <w:p w:rsidR="00000000" w:rsidRDefault="00000000"/>
    <w:p w:rsidR="00000000" w:rsidRDefault="00000000">
      <w:r>
        <w:t>48.</w:t>
      </w:r>
      <w:r>
        <w:tab/>
        <w:t xml:space="preserve">Если оказание медицинской помощи в пределах установленного срока не представляется возможным, то местный орган власти или совместный муниципальный совет обязан организовать предоставление медицинской помощи через другие учреждения без дополнительных затрат для пациента.  Ответственность за предоставление медицинской помощи пациентам, направленным в больницу, несет районная больница.  Все жители района, охватываемого обслуживанием районной больницы, должны иметь доступ к услугам на основе единых принципов.  Медицинские учреждения должны публиковать информацию о продолжительности сроков ожидания до получения услуг.  Цель состоит в сокращении различий в предоставлении несрочной медицинской помощи между различными регионами, с тем чтобы люди имели доступ к медицинской помощи на основе более согласованных критериев, чем ранее, вне зависимости от места жительства.  Составлены согласованные критерии для наиболее серьезных болезней и видов лечения.  </w:t>
      </w:r>
    </w:p>
    <w:p w:rsidR="00000000" w:rsidRDefault="00000000"/>
    <w:p w:rsidR="00000000" w:rsidRDefault="00000000">
      <w:r>
        <w:t>49.</w:t>
      </w:r>
      <w:r>
        <w:tab/>
        <w:t>По мнению Ассоциации финских региональных и местных органов власти, несмотря на развитие государственной системы здравоохранения, местные органы власти не получают достаточных средств для выполнения своих расширяющихся обязанностей.  Экономическое положение местных органов власти в целом стало более слабым, однако статистика показывает, что для местных органов власти услуги социального обеспечения и здравоохранения имеют первоочередное значение.  Рост объема расходов в секторе социального обеспечения и здравоохранения является более значительным, чем в других секторах.</w:t>
      </w:r>
    </w:p>
    <w:p w:rsidR="00000000" w:rsidRDefault="00000000"/>
    <w:p w:rsidR="00000000" w:rsidRDefault="00000000">
      <w:pPr>
        <w:jc w:val="center"/>
        <w:rPr>
          <w:b/>
          <w:bCs/>
        </w:rPr>
      </w:pPr>
      <w:r>
        <w:rPr>
          <w:b/>
          <w:bCs/>
          <w:lang w:val="en-US"/>
        </w:rPr>
        <w:t>D</w:t>
      </w:r>
      <w:r>
        <w:rPr>
          <w:b/>
          <w:bCs/>
        </w:rPr>
        <w:t xml:space="preserve"> 20.  Неравенство в зависимости от места жительства</w:t>
      </w:r>
    </w:p>
    <w:p w:rsidR="00000000" w:rsidRDefault="00000000">
      <w:pPr>
        <w:rPr>
          <w:b/>
          <w:bCs/>
          <w:i/>
          <w:iCs/>
        </w:rPr>
      </w:pPr>
    </w:p>
    <w:p w:rsidR="00000000" w:rsidRDefault="00000000">
      <w:r>
        <w:t>50.</w:t>
      </w:r>
      <w:r>
        <w:tab/>
        <w:t xml:space="preserve">В государственной системе здравоохранения всегда подчеркивался принцип равенства, однако абсолютного равенства во всех аспектах достичь невозможно по причине наличия значительных различий между отдельными регионами страны, которые обусловлены действием системы независимого принятия решений на местном уровне.  Различия в доступе к услугам здравоохранения объясняются также социально-экономическим положением граждан.  Этим проблемам было уделено особое внимание в контексте вышеупомянутых поправок к законодательству, касающихся максимальной продолжительности ожидания, и в настоящее время предпринимаются усилия для их решения при помощи национальных целевых программ.  Неравенство в плане доступа к услугам здравоохранения не рассматривается в качестве проблемы применительно к группам пациентов, указанным Комитетом.  </w:t>
      </w:r>
    </w:p>
    <w:p w:rsidR="00000000" w:rsidRDefault="00000000"/>
    <w:p w:rsidR="00000000" w:rsidRDefault="00000000">
      <w:pPr>
        <w:jc w:val="center"/>
        <w:rPr>
          <w:b/>
          <w:bCs/>
        </w:rPr>
      </w:pPr>
      <w:r>
        <w:rPr>
          <w:b/>
          <w:bCs/>
        </w:rPr>
        <w:t>Е.</w:t>
      </w:r>
      <w:r>
        <w:rPr>
          <w:b/>
          <w:bCs/>
        </w:rPr>
        <w:tab/>
        <w:t>Предложения и рекомендации</w:t>
      </w:r>
    </w:p>
    <w:p w:rsidR="00000000" w:rsidRDefault="00000000">
      <w:pPr>
        <w:jc w:val="center"/>
        <w:rPr>
          <w:b/>
          <w:bCs/>
        </w:rPr>
      </w:pPr>
    </w:p>
    <w:p w:rsidR="00000000" w:rsidRDefault="00000000">
      <w:pPr>
        <w:jc w:val="center"/>
        <w:rPr>
          <w:b/>
          <w:bCs/>
        </w:rPr>
      </w:pPr>
      <w:r>
        <w:rPr>
          <w:b/>
          <w:bCs/>
        </w:rPr>
        <w:t>Е 21.  Национальный план действий</w:t>
      </w:r>
    </w:p>
    <w:p w:rsidR="00000000" w:rsidRDefault="00000000">
      <w:pPr>
        <w:rPr>
          <w:b/>
          <w:bCs/>
          <w:i/>
          <w:iCs/>
        </w:rPr>
      </w:pPr>
    </w:p>
    <w:p w:rsidR="00000000" w:rsidRDefault="00000000">
      <w:r>
        <w:t>51.</w:t>
      </w:r>
      <w:r>
        <w:tab/>
        <w:t>В своем докладе о политике Финляндии в области прав человека, который был представлен парламенту в 2004 году, правительство наметило в качестве своей цели обеспечение эффективного осуществления всех конвенций по правам человека, имеющих обязательную силу для Финляндии.  Будет укрепляться конструктивный диалог с органами, занимающимися наблюдением за выполнением договоров, повышаться уровень гласности при подготовке периодических докладов и расширяться участие гражданского общества в процессах их составления и осуществления контроля за выполнением рекомендаций, составленных договорными органами.</w:t>
      </w:r>
    </w:p>
    <w:p w:rsidR="00000000" w:rsidRDefault="00000000"/>
    <w:p w:rsidR="00000000" w:rsidRDefault="00000000">
      <w:pPr>
        <w:keepNext/>
        <w:jc w:val="center"/>
      </w:pPr>
      <w:r>
        <w:rPr>
          <w:b/>
          <w:bCs/>
        </w:rPr>
        <w:t>Е 22.   Дополнительная подготовка судей и адвокатов</w:t>
      </w:r>
    </w:p>
    <w:p w:rsidR="00000000" w:rsidRDefault="00000000">
      <w:pPr>
        <w:keepNext/>
      </w:pPr>
    </w:p>
    <w:p w:rsidR="00000000" w:rsidRDefault="00000000">
      <w:r>
        <w:t>52.</w:t>
      </w:r>
      <w:r>
        <w:tab/>
        <w:t>Комитет призывает государство-участник обеспечить, чтобы все судьи и адвокаты прошли бесплатную дополнительную подготовку с целью ознакомления с положениями Пакта и замечаниями общего порядка, принятыми Комитетом.</w:t>
      </w:r>
    </w:p>
    <w:p w:rsidR="00000000" w:rsidRDefault="00000000"/>
    <w:p w:rsidR="00000000" w:rsidRDefault="00000000">
      <w:r>
        <w:t>53.</w:t>
      </w:r>
      <w:r>
        <w:tab/>
        <w:t>Это предложение было учтено при организации подготовки.  За период с 1997 по 2004 год Министерство юстиции организовало в общей сложности 25 семинаров по теме "Права человека и основополагающие права в сфере отправления правосудия".  На текущий момент в этих трехдневных семинарах приняли участие 768 человек – в основном судьи и третейские судьи, и в дальнейшем планируется проводить дополнительные семинары с периодичностью два раза в год.  В программу семинаров регулярно включаются лекции по теме "Экономические, социальные и культурные права и права меньшинств в сфере отправления правосудия".  Эта же тема затрагивается в контексте изучения прецедентного права применительно к другим вопросам.  В качестве лекторов на этих семинарах выступают в основном пользующиеся международной известностью профессора финских университетов.</w:t>
      </w:r>
    </w:p>
    <w:p w:rsidR="00000000" w:rsidRDefault="00000000"/>
    <w:p w:rsidR="00000000" w:rsidRDefault="00000000">
      <w:r>
        <w:t>54.</w:t>
      </w:r>
      <w:r>
        <w:tab/>
        <w:t>Помимо судей, бесплатная подготовка по правам человека и основополагающим правам организовывалась и будет организовываться для государственных юрисконсультов.  Многие из них являются членами Финской ассоциации адвокатов.  Изучение экономических, социальных и культурных прав также было частью этой подготовки.  С 2003 года для государственных юрисконсультов было организовано три учебных курса, в которых приняли участие в общей сложности 72 юрисконсульта.  Учебные курсы будут организовываться и далее с периодичностью два раза в год.</w:t>
      </w:r>
    </w:p>
    <w:p w:rsidR="00000000" w:rsidRDefault="00000000"/>
    <w:p w:rsidR="00000000" w:rsidRDefault="00000000">
      <w:r>
        <w:t>55.</w:t>
      </w:r>
      <w:r>
        <w:tab/>
        <w:t>Вместе с тем из-за нехватки ресурсов Министерство юстиции не может организовывать бесплатную подготовку для частных адвокатов.</w:t>
      </w:r>
    </w:p>
    <w:p w:rsidR="00000000" w:rsidRDefault="00000000"/>
    <w:p w:rsidR="00000000" w:rsidRDefault="00000000">
      <w:pPr>
        <w:jc w:val="center"/>
      </w:pPr>
      <w:r>
        <w:rPr>
          <w:b/>
          <w:bCs/>
        </w:rPr>
        <w:t>Е 23.  Бюджетные ассигнования на международное сотрудничество</w:t>
      </w:r>
    </w:p>
    <w:p w:rsidR="00000000" w:rsidRDefault="00000000"/>
    <w:p w:rsidR="00000000" w:rsidRDefault="00000000">
      <w:r>
        <w:t>56.</w:t>
      </w:r>
      <w:r>
        <w:tab/>
        <w:t>Правительственная стратегическая программа развития, принятая 5 февраля 2004 года, предусматривает увеличение бюджетных ассигнований на цели сотрудничества в области развития.  В соответствии с уже принятыми решениями объем ассигнований в течение срока полномочий правительства до 2007 года вырастет приблизительно на 218 млн. евро.  Согласно предварительной информации, объем средств, используемых на цели сотрудничества в области развития в 2004 году, составил 0,35% ВВП.  В государственном бюджете на 2005 год ассигнования на цели сотрудничества в области развития составляют 0,39% ВВП.  Бюджетные ассигнования неуклонно растут, и, по имеющимся оценкам, в 2009 году они достигнут уровня 0,48% ВВП.</w:t>
      </w:r>
    </w:p>
    <w:p w:rsidR="00000000" w:rsidRDefault="00000000"/>
    <w:p w:rsidR="00000000" w:rsidRDefault="00000000">
      <w:r>
        <w:t>57.</w:t>
      </w:r>
      <w:r>
        <w:tab/>
        <w:t>Объем официальной помощи в целях развития (ОПР) обсуждался в рамках Европейского союза в качестве вклада в рассмотрение процесса реализации Целей развития, сформулированных в Декларации тысячелетия, на саммите Организации Объединенных Наций в сентябре 2005 года.  В Заключениях (9266/05) Совета и представителей правительств государств-членов, собравшихся на сессию Совета 24 мая 2005 года, были согласованы новые целевые объемы ОПР, которые превышают уровни, намечавшиеся ранее.  Согласно этим Заключениям, ЕС соглашается с новым коллективным уровнем 0,56% ОПР/ВНД к 2010 году, а те государства-члены, которые еще не достигли уровня 0,51% ОПР/ВНД, обязуются достичь этого уровня к тому же году.</w:t>
      </w:r>
    </w:p>
    <w:p w:rsidR="00000000" w:rsidRDefault="00000000"/>
    <w:p w:rsidR="00000000" w:rsidRDefault="00000000">
      <w:r>
        <w:t>58.</w:t>
      </w:r>
      <w:r>
        <w:tab/>
        <w:t>Финляндия принимает коллективный целевой уровень 0,56%, который должен быть достигнут к 2010 году, и целевой уровень 0,51% для старых государств-членов с учетом факторов неопределенности, связанных методом расчета.  В своей собственной стратегической программе развития правительство намечает цель 0,7% ВВП к 2010 году, но с учетом общих условий экономического развития.  В любом случае правительство все же ориентируется на достижение уровня 0,7% к 2010 году.</w:t>
      </w:r>
    </w:p>
    <w:p w:rsidR="00000000" w:rsidRDefault="00000000"/>
    <w:p w:rsidR="00000000" w:rsidRDefault="00000000">
      <w:pPr>
        <w:jc w:val="center"/>
        <w:rPr>
          <w:b/>
          <w:bCs/>
        </w:rPr>
      </w:pPr>
      <w:r>
        <w:rPr>
          <w:b/>
          <w:bCs/>
        </w:rPr>
        <w:t>Е 24.  Обязательства в связи с членством в международных</w:t>
      </w:r>
    </w:p>
    <w:p w:rsidR="00000000" w:rsidRDefault="00000000">
      <w:pPr>
        <w:jc w:val="center"/>
        <w:rPr>
          <w:b/>
          <w:bCs/>
        </w:rPr>
      </w:pPr>
      <w:r>
        <w:rPr>
          <w:b/>
          <w:bCs/>
        </w:rPr>
        <w:t>финансовых учреждениях</w:t>
      </w:r>
    </w:p>
    <w:p w:rsidR="00000000" w:rsidRDefault="00000000">
      <w:pPr>
        <w:rPr>
          <w:b/>
          <w:bCs/>
          <w:i/>
          <w:iCs/>
        </w:rPr>
      </w:pPr>
    </w:p>
    <w:p w:rsidR="00000000" w:rsidRDefault="00000000">
      <w:r>
        <w:t>59.</w:t>
      </w:r>
      <w:r>
        <w:tab/>
        <w:t>Финляндия участвует в работе международных финансовых учреждений в качестве самостоятельного члена.  В этом контексте Финляндия следует правительственной стратегической программе развития, принятой в 2004 году, в которой правительство заявило о своей приверженности целям развития, сформулированным в Декларации тысячелетия Организации Объединенных Наций, подходу, основанному на принципе справедливости, идеям партнерства в интересах развития и уважению права развивающихся стран и их народов на самоопределение.  В сотрудничестве с международными финансовыми учреждениями Финляндия, действуя через своего представителя на совещаниях исполнительных директоров, старается вносить свой вклад в повышение эффективности функционирования и результативности многосторонней системы путем укрепления сотрудничества и согласования усилий, особенно между отдельными странами, на основе национальных программ развития и сокращения масштабов нищеты.</w:t>
      </w:r>
    </w:p>
    <w:p w:rsidR="00000000" w:rsidRDefault="00000000"/>
    <w:p w:rsidR="00000000" w:rsidRDefault="00000000">
      <w:pPr>
        <w:keepNext/>
        <w:jc w:val="center"/>
        <w:rPr>
          <w:b/>
          <w:bCs/>
        </w:rPr>
      </w:pPr>
      <w:r>
        <w:rPr>
          <w:b/>
          <w:bCs/>
        </w:rPr>
        <w:t>Е 25.  Конвенция МОТ № 169 и вопрос о праве собственности саами на землю</w:t>
      </w:r>
    </w:p>
    <w:p w:rsidR="00000000" w:rsidRDefault="00000000">
      <w:pPr>
        <w:keepNext/>
        <w:jc w:val="center"/>
        <w:rPr>
          <w:b/>
          <w:bCs/>
        </w:rPr>
      </w:pPr>
    </w:p>
    <w:p w:rsidR="00000000" w:rsidRDefault="00000000">
      <w:r>
        <w:t>60.</w:t>
      </w:r>
      <w:r>
        <w:tab/>
        <w:t xml:space="preserve">В течение периода, охватываемого настоящим докладом, правительство старалось вносить свой вклад в урегулирование вопроса о праве собственности саами на землю. </w:t>
      </w:r>
    </w:p>
    <w:p w:rsidR="00000000" w:rsidRDefault="00000000"/>
    <w:p w:rsidR="00000000" w:rsidRDefault="00000000">
      <w:r>
        <w:t>61.</w:t>
      </w:r>
      <w:r>
        <w:tab/>
        <w:t xml:space="preserve">В контексте обеспечения культурной автономии народа саами вопрос о собственности на землю был исключен из процесса подготовки законодательства по вопросу об административном статусе саами, поскольку было сочтено, что, прежде чем предпринимать какие-либо усилия по решению этого вопроса законодательным путем, необходимо провести более углубленное изучение некоторых вопросов, касающихся земельной собственности.  Парламент саами еще в 1993 году объявил о своем намерении провести независимое рассмотрение вопроса о собственности на землю.  В то же время министерство юстиции предприняло активные усилия для изучения вопроса о собственности на землю с точки зрения норм, регулирующих имущественные права, и для подготовки законодательства об управлении землей, в котором было бы подтверждено право саами на землепользование.  </w:t>
      </w:r>
    </w:p>
    <w:p w:rsidR="00000000" w:rsidRDefault="00000000"/>
    <w:p w:rsidR="00000000" w:rsidRDefault="00000000">
      <w:r>
        <w:t>62.</w:t>
      </w:r>
      <w:r>
        <w:tab/>
        <w:t>Для цели подготовки вышеупомянутого законодательства министерство юстиции предложило судье Высшего административного суда г-ну Пекка Вихервуори подготовить доклад о возможностях устранения препятствий для ратификации Конвенции МОТ № 169.  В докладе было предложено сформировать совет по правам на землю, который, действуя параллельно с парламентом саами, проводил бы экспертизу проектов в сфере землепользования.  Другое предложение касалось создания фонда осуществления прав на землю, в который направлялась бы часть средств, получаемых от использования земельных участков, включая лесозаготовительные работы.  Г-н Вихервуори предложил также внести изменения в соответствующие положения законодательства, применяющегося к использованию земли в районе проживания саами, в целях укрепления статуса оленеводства.  В целом предложение г-на Вихервуори было сочтено непрактичным и трудноосуществимым, и оно не привело к принятию каких-либо законодательных мер.</w:t>
      </w:r>
    </w:p>
    <w:p w:rsidR="00000000" w:rsidRDefault="00000000"/>
    <w:p w:rsidR="00000000" w:rsidRDefault="00000000">
      <w:r>
        <w:t>63.</w:t>
      </w:r>
      <w:r>
        <w:tab/>
        <w:t>В 2000 году министерство юстиции учредило комитет для изучения вопроса о собственности на землю и составления предложения относительно возможных путей обеспечения прав на пользование землей, управляемой государством, в пределах территории проживания саами, с тем чтобы соответствующий механизм обеспечивал право саами как коренного народа на сохранение и развитие своей культуры и традиционных средств к существованию при одновременном учете местных условий и необходимости их улучшения.  Предложение комитета должно удовлетворять минимальным критериям, требуемым для ратификации Конвенции МОТ № 169.  Комитет в первую очередь должен оценить, в какой степени предложения г-на Вихервуори относительно установления права на пользование землей могут быть реализованы как таковые и в какой степени их следует изменить, уделив при этом внимание правам скольтских саами и особому характеру этих прав.  Комитет должен быть также включить в свой доклад оценку расходов и других последствий намечаемых мер.</w:t>
      </w:r>
    </w:p>
    <w:p w:rsidR="00000000" w:rsidRDefault="00000000"/>
    <w:p w:rsidR="00000000" w:rsidRDefault="00000000">
      <w:r>
        <w:t>64.</w:t>
      </w:r>
      <w:r>
        <w:tab/>
        <w:t>В декабре 2001 года в целях решения некоторых актуальных вопросов, связанных с собственностью на землю, комитет предложил учредить административный совет по делам территории проживания саами.  В состав этого комитета входили представители саами и других групп местного населения.  Комитету не удалось добиться единства во взглядах, и заявления, сделанные по этому предложению, также во многом расходились между собой.  Таким образом, это предложение не привело к принятию каких-либо мер в законодательной области.</w:t>
      </w:r>
    </w:p>
    <w:p w:rsidR="00000000" w:rsidRDefault="00000000"/>
    <w:p w:rsidR="00000000" w:rsidRDefault="00000000">
      <w:r>
        <w:t>65.</w:t>
      </w:r>
      <w:r>
        <w:tab/>
        <w:t>В министерстве юстиции была продолжена работа по подготовке поправок к законодательству.  Были проведены дополнительные дискуссии с парламентом саами и с правительством.</w:t>
      </w:r>
    </w:p>
    <w:p w:rsidR="00000000" w:rsidRDefault="00000000"/>
    <w:p w:rsidR="00000000" w:rsidRDefault="00000000">
      <w:r>
        <w:t>66.</w:t>
      </w:r>
      <w:r>
        <w:tab/>
        <w:t xml:space="preserve">В июне 2002 года министерство юстиции представило предложение относительно создания консультативного совета на территории проживания саами, уполномоченного представлять заключения по наиболее важным решениям по вопросам собственности на землю в регионе, которые предусмотрены в отдельном акте парламента.  Согласно этому предложению Служба национальных парков и лесного хозяйства может принимать решения, идущие вразрез с указанными заключениями, лишь в исключительных случаях.  Консультативный совет играл бы важную роль в обеспечении лучшей координации аспектов управления, использования и сохранения природных ресурсов в контексте наиболее важных решений, касающихся землепользования, а следовательно и в обеспечении гарантий того, чтобы саами могли сохранять свою культуру и традиционные средства к существованию при учете местных условий и необходимости их улучшения.  Цель состояла в отыскании рационального в экологическом, социальном, культурном и экономическом плане решения на основе скоординированных мер.  Предполагалось, что в состав консультативного совета должны входить представители парламента саами и других групп местного населения.  </w:t>
      </w:r>
    </w:p>
    <w:p w:rsidR="00000000" w:rsidRDefault="00000000"/>
    <w:p w:rsidR="00000000" w:rsidRDefault="00000000">
      <w:r>
        <w:t>67.</w:t>
      </w:r>
      <w:r>
        <w:tab/>
        <w:t>Кроме того, было предложено, что саами фактически должны составлять большинство в составе консультативного совета - точно так же, как и в составе административного совета, предложенного комитетом.  По мнению министерства, участие и влияние саами в вопросах использования земли является адекватным с учетом местной истории, характера землепользования, структуры населения и формы государственного управления в регионе, утвердившейся на протяжении длительного периода времени на практике и в сфере законодательства.  Такое решение не затрагивало бы сферу самоуправления муниципалитетов и не предполагало бы нарушения прав отдельных землевладельцев.  Предложенное решение не вызывало бы и никаких споров в регионе.  Министерство сочло целесообразным гарантировать также право участия в процессе принятия решений для местных жителей, не принадлежащих к народу саами, поскольку саами на протяжении веков пользовались своими средствами к существованию совместно с другими финнами, хотя изначально эти средства к существованию и принадлежали саами.</w:t>
      </w:r>
    </w:p>
    <w:p w:rsidR="00000000" w:rsidRDefault="00000000"/>
    <w:p w:rsidR="00000000" w:rsidRDefault="00000000">
      <w:r>
        <w:t>68.</w:t>
      </w:r>
      <w:r>
        <w:tab/>
        <w:t>Предложение министерства юстиции было направлено на предмет замечаний в различные органы власти и соответствующим неправительственным организациям.  В полученных замечаниях были высказаны неоднозначные мнения в отношении влияния вопроса о собственности на землю на законодательную основу регламентации вопросов управления земельными ресурсами, в результате чего представить правительственный законопроект в парламент в 2002 году, как это изначально планировалось, оказалось уже невозможно.  Парламент саами также высказался против этого предложения.</w:t>
      </w:r>
    </w:p>
    <w:p w:rsidR="00000000" w:rsidRDefault="00000000"/>
    <w:p w:rsidR="00000000" w:rsidRDefault="00000000">
      <w:r>
        <w:t>69.</w:t>
      </w:r>
      <w:r>
        <w:tab/>
        <w:t>Вопрос о правах собственности на земельные и водные ресурсы в пределах территории проживания саами оказался столь сложным, что было сочтено целесообразным постараться решить его при помощи особых мер.  С юридической точки зрения было бы нерационально решать вопрос о правах саами на землю через суд.  На исход судебного процесса могли бы повлиять различные факторы неопределенности, связанные, например, с вопросами предъявления доказательств.  Соответствующее же историческое исследование, основанное на архивных материалах, могло бы послужить надежной основой для принятия политического решения.</w:t>
      </w:r>
    </w:p>
    <w:p w:rsidR="00000000" w:rsidRDefault="00000000"/>
    <w:p w:rsidR="00000000" w:rsidRDefault="00000000">
      <w:r>
        <w:t>70.</w:t>
      </w:r>
      <w:r>
        <w:tab/>
        <w:t>Для решения этого вопроса в конце 2000 года министерство юстиции поручило доктору права г-ну Юхани Вириландеру подготовить экспертное заключение в отношении юридической значимости составленных на текущий момент докладов по вопросу о праве собственности на землю в пределах территории проживания саами.  Это экспертное заключение было представлено министерству юстиции в августе 2001 года.  По мнению г</w:t>
      </w:r>
      <w:r>
        <w:noBreakHyphen/>
        <w:t>на Вириландера, неоспоримых доказательств того, что земли, на которых находились саамские деревни, принадлежали этим деревням, не имеется.  Вместе с тем имеются доказательства - в виде протоколов окружных судов - того, что, помимо земельных участков, на которых находились их жилища, семьи, проживавшие в саамских деревнях, имели также в своем владении водные пространства и рыбопромысловые зоны, а также охотничьи и пастбищные угодья, которые принимались в расчет при распределении налоговых обязательств между жителями деревень (главами семей).  Имеются старые решения, говорящие о том, что существовали также открытые земельные площади без каких</w:t>
      </w:r>
      <w:r>
        <w:noBreakHyphen/>
        <w:t>либо конкретных владельцев.  Кроме того, в заключении учитывается растущая роль государственной власти и последующее постепенное утверждение государственной собственности.  В этом отношении был также сочтен актуальным тот факт, что в контексте указанных изменений саами начали создавать новые фермерские хозяйства для защиты своего положения.</w:t>
      </w:r>
    </w:p>
    <w:p w:rsidR="00000000" w:rsidRDefault="00000000"/>
    <w:p w:rsidR="00000000" w:rsidRDefault="00000000">
      <w:r>
        <w:t>71.</w:t>
      </w:r>
      <w:r>
        <w:tab/>
        <w:t xml:space="preserve">Г-н Вириландер характеризует свое заключение как носящее в основном умозрительный характер и отмечает в его вводном замечании, что для углубленного изучения вопроса потребуется провести исследование на основе исторических источников.  Он перечислил источники, на которые, по его мнению, следует опираться. </w:t>
      </w:r>
    </w:p>
    <w:p w:rsidR="00000000" w:rsidRDefault="00000000"/>
    <w:p w:rsidR="00000000" w:rsidRDefault="00000000">
      <w:r>
        <w:t>72.</w:t>
      </w:r>
      <w:r>
        <w:tab/>
        <w:t>Помимо предложенных поправок к законодательству, вышеупомянутый комитет рекомендовал приступить к проведению исследования, предложенного г</w:t>
      </w:r>
      <w:r>
        <w:noBreakHyphen/>
        <w:t>ном Вириландером.</w:t>
      </w:r>
    </w:p>
    <w:p w:rsidR="00000000" w:rsidRDefault="00000000"/>
    <w:p w:rsidR="00000000" w:rsidRDefault="00000000">
      <w:r>
        <w:t>73.</w:t>
      </w:r>
      <w:r>
        <w:tab/>
        <w:t>Существующие доклады показывают, что саами и другие финны на протяжении уже многих веков живут в одних и тех же местах и пользуются одними и теми же средствами к существованию.  Факты, касающиеся мест проживания и местных общин, а также развитие прав землепользования, имеют еще более важное значение для отыскания сбалансированного решения с учетом исторических фактов.</w:t>
      </w:r>
    </w:p>
    <w:p w:rsidR="00000000" w:rsidRDefault="00000000"/>
    <w:p w:rsidR="00000000" w:rsidRDefault="00000000">
      <w:r>
        <w:t>74.</w:t>
      </w:r>
      <w:r>
        <w:tab/>
        <w:t xml:space="preserve">На заседании, состоявшемся 22 мая 2002 года, правительство обсудило различные вопросы, касающиеся народа саами как отдельного субъекта, и сочло важным начать независимое исследование на основе архивных материалов по истории мест проживания, местным общинам и пользованию землей с середины </w:t>
      </w:r>
      <w:r>
        <w:rPr>
          <w:lang w:val="en-US"/>
        </w:rPr>
        <w:t>XVIII</w:t>
      </w:r>
      <w:r>
        <w:t> века до начала ХХ века в районах Кеми и Торнио в Лапландии.</w:t>
      </w:r>
    </w:p>
    <w:p w:rsidR="00000000" w:rsidRDefault="00000000"/>
    <w:p w:rsidR="00000000" w:rsidRDefault="00000000">
      <w:r>
        <w:t>75.</w:t>
      </w:r>
      <w:r>
        <w:tab/>
        <w:t>После того как парламент одобрил бюджет для исследования по вопросу о правах на землю, первым шагом в рамках этого исследовательского проекта стало объявление конкурса на его осуществление, о чем было также сообщено парламенту саами.  К установленному сроку в министерство юстиции поступило одно предложение - от совместной исследовательской группы университетов Оулу и Лапландии.  Это предложение удовлетворяло условиям, поставленным при объявлении конкурса, и министерство юстиции приняло его 20 декабря 2002 года.  В ходе проведения исследования исследовательская группа представляла отчеты о своей работе и заключениях руководящей группе.  Доклад исследовательской группы может быть опубликован в сентябре 2005 года.  Для осуществления контроля за ходом проведения исследования была сформирована руководящая группа, и парламенту саами также было предложено назначить своего представителя в состав этой группы.  К сожалению, парламент саами решил, по крайней мере на текущий момент, оставаться за рамками этой руководящей группы.  Углубленное историческое исследование по местам проживания и местным общинам, а также по развитию средств к существованию и прав землепользования было признано необходимым для решения рассматриваемого вопроса как на юридической, так и на политической основе.</w:t>
      </w:r>
    </w:p>
    <w:p w:rsidR="00000000" w:rsidRDefault="00000000"/>
    <w:p w:rsidR="00000000" w:rsidRDefault="00000000">
      <w:r>
        <w:t>76.</w:t>
      </w:r>
      <w:r>
        <w:tab/>
        <w:t>Одновременно с вышеуказанными мерами парламент саами продолжал свои собственные исследования.  В сентябре 2002 года парламент саами опубликовал доклад своей рабочей группы по вопросу о собственности на землю в пределах территории проживания саами (первый предварительный доклад).  Этот доклад построен главным образом на том утверждении, что право государства на землю не имеет надежной основы в законодательстве, вследствие чего оно является спорным.  Парламент саами утверждает, что леса были официально переданы государству всего около 30 лет назад поправкой, внесенной в законодательство в 1976 году, которая провозгласила также леса, принадлежащие государству, в качестве собственности, подлежащей внесению в земельный кадастр.</w:t>
      </w:r>
    </w:p>
    <w:p w:rsidR="00000000" w:rsidRDefault="00000000"/>
    <w:p w:rsidR="00000000" w:rsidRDefault="00000000">
      <w:r>
        <w:t>77.</w:t>
      </w:r>
      <w:r>
        <w:tab/>
        <w:t>Между тем кадастр не имеет и никогда не имел никакого нормативного или декларативного значения для права собственности на землю.  Кадастр недвижимости, как и существовавший ранее земельный кадастр, изначально не предназначался для учета всех земельных площадей;  в него заносились лишь данные, касающиеся частных фермерских владений и мест проживания.  Данные, касающиеся государственных земель, стали заноситься лишь на более позднем этапе.  Тот факт, что ранее в кадастрах не содержалось сведений о праве государства на те или иные земельные участки, не означает того, что эти участки имеют статус ничейной земли, т.е. земли, у которой нет владельца.  Крупные реформы в вопросах собственности на землю, общего размежевания земель и другие значительные законодательные реформы проводились в далеком прошлом.</w:t>
      </w:r>
    </w:p>
    <w:p w:rsidR="00000000" w:rsidRDefault="00000000"/>
    <w:p w:rsidR="00000000" w:rsidRDefault="00000000">
      <w:r>
        <w:t>78.</w:t>
      </w:r>
      <w:r>
        <w:tab/>
        <w:t>В своей рекомендации, составленной в 2004 году, Комитет по правам человека Организации Объединенных Наций выразил озабоченность по поводу прав саами на землю и заявил, что Финляндии не удалось решить этот вопрос.</w:t>
      </w:r>
    </w:p>
    <w:p w:rsidR="00000000" w:rsidRDefault="00000000"/>
    <w:p w:rsidR="00000000" w:rsidRDefault="00000000">
      <w:r>
        <w:t>79.</w:t>
      </w:r>
      <w:r>
        <w:tab/>
        <w:t>Правительство отмечает, что реализация мер, направленных на решение этого вопроса, еще не завершена.  Министерство юстиции готово продолжить дискуссии с парламентом саами в любое время, если будет предпринята соответствующая инициатива.  Вместе с тем оно не сможет представить какое-либо новое предложение по данному вопросу, пока не будет завершена работа вышеупомянутой рабочей группы и пока не будет рассмотрен ее доклад.</w:t>
      </w:r>
    </w:p>
    <w:p w:rsidR="00000000" w:rsidRDefault="00000000">
      <w:pPr>
        <w:jc w:val="center"/>
        <w:rPr>
          <w:b/>
          <w:bCs/>
        </w:rPr>
      </w:pPr>
      <w:r>
        <w:rPr>
          <w:b/>
          <w:bCs/>
        </w:rPr>
        <w:t>Е 26.  Положение народности рома</w:t>
      </w:r>
    </w:p>
    <w:p w:rsidR="00000000" w:rsidRDefault="00000000">
      <w:pPr>
        <w:rPr>
          <w:b/>
          <w:bCs/>
          <w:i/>
          <w:iCs/>
        </w:rPr>
      </w:pPr>
    </w:p>
    <w:p w:rsidR="00000000" w:rsidRDefault="00000000">
      <w:r>
        <w:t>80.</w:t>
      </w:r>
      <w:r>
        <w:tab/>
        <w:t>Финские рома живут в тех же местах и в таких же квартирах, что и большинство населения страны, и бездомных рома очень мало.  Вместе с тем рома зависят от государственного арендного жилья, поскольку им труднее найти квартиру в частном секторе в силу их более слабого финансового положения и все еще сохраняющихся предрассудков.  Несмотря на то, что в последние несколько лет и в государственном, и в частном жилищном секторах объем предложения квартир под аренду расширился, рома по</w:t>
      </w:r>
      <w:r>
        <w:noBreakHyphen/>
        <w:t>прежнему сталкиваются с проблемами на рынке жилья.  В частном секторе задачу отыскания квартир для рома затрудняют такие факторы, как обычно требуемые гарантийные залоги и требование платежеспособности.  В вопросах, касающихся частного жилья, принятие мер в связи с возможной дискриминацией представляется довольно сложным в силу проблем со сбором доказательств.  В отношении квартир, предоставляемых по социальной линии, рома находятся в равном положении с другими кандидатами.  Новый Закон о недискриминации (см. информацию, представленную по статье 2) дополнительно расширяет возможности принятия мер в случаях возможной дискриминации.</w:t>
      </w:r>
    </w:p>
    <w:p w:rsidR="00000000" w:rsidRDefault="00000000"/>
    <w:p w:rsidR="00000000" w:rsidRDefault="00000000">
      <w:r>
        <w:t>81.</w:t>
      </w:r>
      <w:r>
        <w:tab/>
        <w:t>Министерство по охране окружающей среды, которое отвечает за жилищное обеспечение, особо подчеркнуло обязательность гарантировать равенство в своем пособии для должностных лиц, принимающих решения о выборе жильцов для арендуемых квартир, субсидируемых государством.  В сотрудничестве с Консультативным советом по делам рома министерство по охране окружающей среды опубликовало также пособие под названием "Особые аспекты отношения к жилью в культуре рома".  Это пособие, предназначенное для местных жилищных органов и других соответствующих структур, содержит информацию о народности рома и тем самым расширяет доступ рома к жилью и их возможности для смены квартир.  Оба этих пособия распространяются на широкой основе.  Вопросы равного отношения затрагивались также в ходе различных учебных и других занятий для представителей местных властей и других органов, отвечающих за жилищное обеспечение.</w:t>
      </w:r>
    </w:p>
    <w:p w:rsidR="00000000" w:rsidRDefault="00000000"/>
    <w:p w:rsidR="00000000" w:rsidRDefault="00000000">
      <w:r>
        <w:t>82.</w:t>
      </w:r>
      <w:r>
        <w:tab/>
        <w:t>Что касается выбора жильцов для арендуемых квартир, субсидируемых государством, то рома могут подать жалобу в Управление жилого фонда Финляндии или Уполномоченному по делам меньшинств.  Жалобы по поводу жилищной ситуации рома подавались также Парламентскому уполномоченному.  Министерство по охране окружающей среды, Консультативный совет по делам рома и Уполномоченный по делам меньшинств недавно особо отметили важность решения этих проблем на местном уровне и проводят соответствующую работу в этом направлении.  Важную роль в этом отношении играют также подготовка и консультативные услуги для местных жилищных органов и органов системы социального обеспечения, агентств, занимающихся управлением недвижимостью, а также для местных координаторов и представителей рома.</w:t>
      </w:r>
    </w:p>
    <w:p w:rsidR="00000000" w:rsidRDefault="00000000"/>
    <w:p w:rsidR="00000000" w:rsidRDefault="00000000">
      <w:r>
        <w:t>83.</w:t>
      </w:r>
      <w:r>
        <w:tab/>
        <w:t>Осенью 2002 года Уполномоченный по делам меньшинств выдвинул инициативу по повышению эффективности услуг по трудоустройству рома.</w:t>
      </w:r>
    </w:p>
    <w:p w:rsidR="00000000" w:rsidRDefault="00000000"/>
    <w:p w:rsidR="00000000" w:rsidRDefault="00000000">
      <w:r>
        <w:t>84.</w:t>
      </w:r>
      <w:r>
        <w:tab/>
        <w:t>В связи с этим весной 2003 года министерство труда направило во все агентства по трудоустройству вопросник, с тем чтобы выявить пути оказания поддержки в трудоустройстве рома за счет средств, имеющихся в распоряжении соответствующих структур, выяснить, какое количество рома зарегистрировано в агентствах по трудоустройству в качестве ищущих работу или безработных, собрать оценочные данные по распределению безработных, ищущих работу, из числа представителей рома по возрастным группам и по уровню их образования, а также получить предложения в отношении оптимальных путей решения этой проблемы.</w:t>
      </w:r>
    </w:p>
    <w:p w:rsidR="00000000" w:rsidRDefault="00000000"/>
    <w:p w:rsidR="00000000" w:rsidRDefault="00000000">
      <w:r>
        <w:t>85.</w:t>
      </w:r>
      <w:r>
        <w:tab/>
        <w:t>В контексте вышеуказанного обследования министерство труда направило в отделы по вопросам трудовых отношений центров по вопросам занятости и экономического развития и в агентства по трудоустройству письма, в которых им предлагалось:</w:t>
      </w:r>
    </w:p>
    <w:p w:rsidR="00000000" w:rsidRDefault="00000000"/>
    <w:p w:rsidR="00000000" w:rsidRDefault="00000000">
      <w:pPr>
        <w:ind w:left="1134" w:hanging="1134"/>
      </w:pPr>
      <w:r>
        <w:tab/>
        <w:t>1)</w:t>
      </w:r>
      <w:r>
        <w:tab/>
        <w:t>назначить своих представителей в состав региональных консультативных советов по делам рома;</w:t>
      </w:r>
    </w:p>
    <w:p w:rsidR="00000000" w:rsidRDefault="00000000"/>
    <w:p w:rsidR="00000000" w:rsidRDefault="00000000">
      <w:pPr>
        <w:ind w:left="1134" w:hanging="1134"/>
      </w:pPr>
      <w:r>
        <w:tab/>
        <w:t>2)</w:t>
      </w:r>
      <w:r>
        <w:tab/>
        <w:t>назначить для каждого агентства по трудоустройству и отдела по вопросам трудовых отношений в каждом центре по вопросам трудоустройства и экономического развития координатора по делам рома.  В роли такого координатора могло бы выступать, например, то же лицо, которое выполняет функции координатора по вопросам равенства;</w:t>
      </w:r>
    </w:p>
    <w:p w:rsidR="00000000" w:rsidRDefault="00000000"/>
    <w:p w:rsidR="00000000" w:rsidRDefault="00000000">
      <w:pPr>
        <w:ind w:left="1134" w:hanging="1134"/>
      </w:pPr>
      <w:r>
        <w:tab/>
        <w:t>3)</w:t>
      </w:r>
      <w:r>
        <w:tab/>
        <w:t>организовать для своих сотрудников подготовку по вопросам, касающимся этнического равенства и культуры рома, а также по интеграции этих аспектов в их работу;</w:t>
      </w:r>
    </w:p>
    <w:p w:rsidR="00000000" w:rsidRDefault="00000000"/>
    <w:p w:rsidR="00000000" w:rsidRDefault="00000000">
      <w:pPr>
        <w:ind w:left="1134" w:hanging="1134"/>
      </w:pPr>
      <w:r>
        <w:tab/>
        <w:t>4)</w:t>
      </w:r>
      <w:r>
        <w:tab/>
        <w:t>изыскать пути для расширения занятости молодых людей из числа представителей народности рома, зарегистрированных в бюро трудоустройства, в сотрудничестве с представителями рома;</w:t>
      </w:r>
    </w:p>
    <w:p w:rsidR="00000000" w:rsidRDefault="00000000"/>
    <w:p w:rsidR="00000000" w:rsidRDefault="00000000">
      <w:pPr>
        <w:ind w:left="1134" w:hanging="1134"/>
      </w:pPr>
      <w:r>
        <w:tab/>
        <w:t>5)</w:t>
      </w:r>
      <w:r>
        <w:tab/>
        <w:t>разработать планы профессиональной ориентации, подходящие для этой группы населения, в сотрудничестве с представителями рома;</w:t>
      </w:r>
    </w:p>
    <w:p w:rsidR="00000000" w:rsidRDefault="00000000">
      <w:pPr>
        <w:ind w:left="1134" w:hanging="1134"/>
      </w:pPr>
      <w:r>
        <w:tab/>
        <w:t>6)</w:t>
      </w:r>
      <w:r>
        <w:tab/>
        <w:t>оценить возможности организации подготовительных занятий для представителей рома, желающих закончить полный курс школьного обучения;</w:t>
      </w:r>
    </w:p>
    <w:p w:rsidR="00000000" w:rsidRDefault="00000000"/>
    <w:p w:rsidR="00000000" w:rsidRDefault="00000000">
      <w:pPr>
        <w:ind w:left="1134" w:hanging="1134"/>
      </w:pPr>
      <w:r>
        <w:tab/>
        <w:t>7)</w:t>
      </w:r>
      <w:r>
        <w:tab/>
        <w:t>оценить - в сотрудничестве с представителями рома - возможности организации для них профессиональной подготовки в отношении индивидуальной трудовой деятельности или различных профессий;</w:t>
      </w:r>
    </w:p>
    <w:p w:rsidR="00000000" w:rsidRDefault="00000000"/>
    <w:p w:rsidR="00000000" w:rsidRDefault="00000000">
      <w:pPr>
        <w:ind w:left="1134" w:hanging="1134"/>
      </w:pPr>
      <w:r>
        <w:tab/>
        <w:t>8)</w:t>
      </w:r>
      <w:r>
        <w:tab/>
        <w:t>учитывать вышеуказанные предложения при подготовке планов борьбы с дискриминацией в соответствии с Законом о недискриминации.</w:t>
      </w:r>
    </w:p>
    <w:p w:rsidR="00000000" w:rsidRDefault="00000000"/>
    <w:p w:rsidR="00000000" w:rsidRDefault="00000000">
      <w:r>
        <w:t>86.</w:t>
      </w:r>
      <w:r>
        <w:tab/>
        <w:t>Кроме того, министерство труда приступило к проведению дискуссии с Консультативным советом по делам рома в целях совместного составления ряда пособий, включая пособие, посвященное культуре рома, для различных секторов администрации и еще одного пособия для работодателей и агентств по трудоустройству, справочного пособия для рома об услугах, предоставляемых агентствами по трудоустройству, справочника по услугам социального обеспечения и обновленного справочника по услугам здравоохранения.</w:t>
      </w:r>
    </w:p>
    <w:p w:rsidR="00000000" w:rsidRDefault="00000000"/>
    <w:p w:rsidR="00000000" w:rsidRDefault="00000000">
      <w:r>
        <w:t>87.</w:t>
      </w:r>
      <w:r>
        <w:tab/>
        <w:t>В настоящее время министерство труда изучает возможность организации к концу текущего года исследования по оценке наличия услуг трудоустройства для рома, а также адекватности и результативности этих услуг.</w:t>
      </w:r>
    </w:p>
    <w:p w:rsidR="00000000" w:rsidRDefault="00000000"/>
    <w:p w:rsidR="00000000" w:rsidRDefault="00000000">
      <w:r>
        <w:t>88.</w:t>
      </w:r>
      <w:r>
        <w:tab/>
        <w:t>Министерство труда осуществляет контроль за реализацией вышеупомянутых предложений и с этой целью, в частности, направило в нынешнем году в агентства по трудоустройству новый вопросник.</w:t>
      </w:r>
    </w:p>
    <w:p w:rsidR="00000000" w:rsidRDefault="00000000"/>
    <w:p w:rsidR="00000000" w:rsidRDefault="00000000">
      <w:r>
        <w:t>89.</w:t>
      </w:r>
      <w:r>
        <w:tab/>
        <w:t>С 2001 года министерство труда занимается координацией информационной кампании по борьбе с дискриминацией (SEIS:  "Стоп - за будущее Финляндии без дискриминации"), которая частично финансируется Европейским союзом в рамках Программы действий Сообщества по борьбе с дискриминацией.  Консультативный совет по делам рома участвует в этой кампании в качестве партнера.  Кампания осуществляется, в частности, через публикации и статьи, а также соответствующий вебсайт (</w:t>
      </w:r>
      <w:hyperlink r:id="rId10" w:history="1">
        <w:r>
          <w:rPr>
            <w:rStyle w:val="Hyperlink"/>
            <w:u w:val="none"/>
          </w:rPr>
          <w:t>www.join.fi/seis</w:t>
        </w:r>
      </w:hyperlink>
      <w:r>
        <w:t xml:space="preserve"> и http://www.join.fi/seis/english/).  В Интернете публикуется также интерактивный журнал (Push), содержащий статьи на языке рома.</w:t>
      </w:r>
    </w:p>
    <w:p w:rsidR="00000000" w:rsidRDefault="00000000"/>
    <w:p w:rsidR="00000000" w:rsidRDefault="00000000">
      <w:r>
        <w:t>90.</w:t>
      </w:r>
      <w:r>
        <w:tab/>
        <w:t>Весной 2004 года в рамках кампании SEIS были проведены региональные семинары в целях распространения информации о новом Законе о недискриминации и организованы учебные занятия на рабочих местах по вопросам, касающимся планирования с учетом принципа равенства.  Вопросы, касающиеся меньшинства рома, затрагиваются в ходе всех мероприятий, организуемых в связи с этой кампанией, и представители рома участвуют в их планировании и осуществлении.  Осенью 2004 года и весной/летом 2005 года основные усилия участников кампании были сосредоточены на внедрении разработанных моделей повышения эффективности антидискриминационной практики и на организации подготовки по вопросам обеспечения равенства для сотрудников компетентных органов.  На вебсайте информационной кампании имеется база данных, содержащая информацию об инструкторах по проблемам рома (являющихся представителями рома).  В настоящее время в базе данных содержится информация о десяти таких инструкторах.</w:t>
      </w:r>
    </w:p>
    <w:p w:rsidR="00000000" w:rsidRDefault="00000000"/>
    <w:p w:rsidR="00000000" w:rsidRDefault="00000000">
      <w:r>
        <w:t>91.</w:t>
      </w:r>
      <w:r>
        <w:tab/>
        <w:t>Министерство труда координировало и другой проект, частично финансировавшийся Европейским союзом (</w:t>
      </w:r>
      <w:r>
        <w:rPr>
          <w:lang w:val="en-US"/>
        </w:rPr>
        <w:t>JOIN</w:t>
      </w:r>
      <w:r>
        <w:t xml:space="preserve"> - "Совместные усилия в борьбе с дискриминацией на местном уровне"), наиболее важная цель которого состояла в наращивании усилий органов власти на основе укрепления сотрудничества и диалога между властями и группами населения, подвергающимися риску дискриминации.  Проект включал две кампании, ориентированные на проблемы рома.  Результатом одной из этих кампаний явилось опубликование первой книги по истории, подготовленной самими рома </w:t>
      </w:r>
      <w:r>
        <w:noBreakHyphen/>
        <w:t xml:space="preserve"> "</w:t>
      </w:r>
      <w:r>
        <w:rPr>
          <w:lang w:val="en-US"/>
        </w:rPr>
        <w:t>The</w:t>
      </w:r>
      <w:r>
        <w:t xml:space="preserve"> </w:t>
      </w:r>
      <w:r>
        <w:rPr>
          <w:lang w:val="en-US"/>
        </w:rPr>
        <w:t>History</w:t>
      </w:r>
      <w:r>
        <w:t xml:space="preserve"> </w:t>
      </w:r>
      <w:r>
        <w:rPr>
          <w:lang w:val="en-US"/>
        </w:rPr>
        <w:t>of</w:t>
      </w:r>
      <w:r>
        <w:t xml:space="preserve"> </w:t>
      </w:r>
      <w:r>
        <w:rPr>
          <w:lang w:val="en-US"/>
        </w:rPr>
        <w:t>Roma</w:t>
      </w:r>
      <w:r>
        <w:t>" ("История рома"), </w:t>
      </w:r>
      <w:r>
        <w:noBreakHyphen/>
        <w:t xml:space="preserve"> которая имеется в Интернете на нескольких языках (немецком, английском, финском и рома).  В печатном виде книга имеется пока только на немецком языке.  В</w:t>
      </w:r>
      <w:r>
        <w:rPr>
          <w:lang w:val="en-US"/>
        </w:rPr>
        <w:t> </w:t>
      </w:r>
      <w:r>
        <w:t xml:space="preserve">результате другой кампании, проведенной в Финляндии, была разработана и опробована модель оказания поддержки в вопросах обучения детей рома.  </w:t>
      </w:r>
    </w:p>
    <w:p w:rsidR="00000000" w:rsidRDefault="00000000"/>
    <w:p w:rsidR="00000000" w:rsidRDefault="00000000">
      <w:r>
        <w:t>92.</w:t>
      </w:r>
      <w:r>
        <w:tab/>
        <w:t xml:space="preserve">Проект </w:t>
      </w:r>
      <w:r>
        <w:rPr>
          <w:lang w:val="en-US"/>
        </w:rPr>
        <w:t>JOIN</w:t>
      </w:r>
      <w:r>
        <w:t xml:space="preserve"> был завершен в конце августа 2004 года, и его результаты, имеющие отношение к проблемам рома, были интегрированы в повседневную практику.  Дополнительная информация об этом проекте имеется в Интернете по адресу </w:t>
      </w:r>
      <w:r>
        <w:rPr>
          <w:lang w:val="en-US"/>
        </w:rPr>
        <w:t>www</w:t>
      </w:r>
      <w:r>
        <w:t>.</w:t>
      </w:r>
      <w:r>
        <w:rPr>
          <w:lang w:val="en-US"/>
        </w:rPr>
        <w:t>join</w:t>
      </w:r>
      <w:r>
        <w:t>.</w:t>
      </w:r>
      <w:r>
        <w:rPr>
          <w:lang w:val="en-US"/>
        </w:rPr>
        <w:t>fi</w:t>
      </w:r>
      <w:r>
        <w:t xml:space="preserve">.  Описание и структура кампании в интересах рома, которая проводилась в Хельсинки, также имеются в Интернете по адресу </w:t>
      </w:r>
      <w:r>
        <w:rPr>
          <w:lang w:val="en-US"/>
        </w:rPr>
        <w:t>http</w:t>
      </w:r>
      <w:r>
        <w:t>://</w:t>
      </w:r>
      <w:r>
        <w:rPr>
          <w:lang w:val="en-US"/>
        </w:rPr>
        <w:t>www</w:t>
      </w:r>
      <w:r>
        <w:t>.</w:t>
      </w:r>
      <w:r>
        <w:rPr>
          <w:lang w:val="en-US"/>
        </w:rPr>
        <w:t>join</w:t>
      </w:r>
      <w:r>
        <w:t>.</w:t>
      </w:r>
      <w:r>
        <w:rPr>
          <w:lang w:val="en-US"/>
        </w:rPr>
        <w:t>fi</w:t>
      </w:r>
      <w:r>
        <w:t>/</w:t>
      </w:r>
      <w:r>
        <w:rPr>
          <w:lang w:val="en-US"/>
        </w:rPr>
        <w:t>english</w:t>
      </w:r>
      <w:r>
        <w:t>/</w:t>
      </w:r>
      <w:r>
        <w:rPr>
          <w:lang w:val="en-US"/>
        </w:rPr>
        <w:t>helsinki</w:t>
      </w:r>
      <w:r>
        <w:t>.</w:t>
      </w:r>
      <w:r>
        <w:rPr>
          <w:lang w:val="en-US"/>
        </w:rPr>
        <w:t>html</w:t>
      </w:r>
      <w:r>
        <w:t>, а книга "</w:t>
      </w:r>
      <w:r>
        <w:rPr>
          <w:lang w:val="en-US"/>
        </w:rPr>
        <w:t>The</w:t>
      </w:r>
      <w:r>
        <w:t xml:space="preserve"> </w:t>
      </w:r>
      <w:r>
        <w:rPr>
          <w:lang w:val="en-US"/>
        </w:rPr>
        <w:t>History</w:t>
      </w:r>
      <w:r>
        <w:t xml:space="preserve"> </w:t>
      </w:r>
      <w:r>
        <w:rPr>
          <w:lang w:val="en-US"/>
        </w:rPr>
        <w:t>of</w:t>
      </w:r>
      <w:r>
        <w:t xml:space="preserve"> </w:t>
      </w:r>
      <w:r>
        <w:rPr>
          <w:lang w:val="en-US"/>
        </w:rPr>
        <w:t>Roma</w:t>
      </w:r>
      <w:r>
        <w:t xml:space="preserve">" - по адресу </w:t>
      </w:r>
      <w:r>
        <w:rPr>
          <w:lang w:val="en-US"/>
        </w:rPr>
        <w:t>http</w:t>
      </w:r>
      <w:r>
        <w:t>://</w:t>
      </w:r>
      <w:r>
        <w:rPr>
          <w:lang w:val="en-US"/>
        </w:rPr>
        <w:t>www</w:t>
      </w:r>
      <w:r>
        <w:t>.</w:t>
      </w:r>
      <w:r>
        <w:rPr>
          <w:lang w:val="en-US"/>
        </w:rPr>
        <w:t>romahistory</w:t>
      </w:r>
      <w:r>
        <w:t>.</w:t>
      </w:r>
      <w:r>
        <w:rPr>
          <w:lang w:val="en-US"/>
        </w:rPr>
        <w:t>com</w:t>
      </w:r>
      <w:r>
        <w:t>/.</w:t>
      </w:r>
    </w:p>
    <w:p w:rsidR="00000000" w:rsidRDefault="00000000"/>
    <w:p w:rsidR="00000000" w:rsidRDefault="00000000">
      <w:r>
        <w:t>93.</w:t>
      </w:r>
      <w:r>
        <w:tab/>
        <w:t xml:space="preserve">Министерство труда учредило национальную сеть координаторов по проблемам равенства, охватывающую региональные и местные административные органы.  Эти координаторы проходят регулярную подготовку, программа которой на протяжении уже ряда лет включает в себя вопросы укрепления этнического равенства и развития практических методов, построенных на принципах культурного разнообразия и недискриминации, на рабочих местах.  В 2003 году главными вопросами в программе такой подготовки были, в частности, статус рома в Финляндии, дискриминация, с которой сталкиваются представители рома, и вопросы культуры.  Все инструкторы на таких занятиях были представителями рома.  </w:t>
      </w:r>
    </w:p>
    <w:p w:rsidR="00000000" w:rsidRDefault="00000000"/>
    <w:p w:rsidR="00000000" w:rsidRDefault="00000000">
      <w:r>
        <w:t>94.</w:t>
      </w:r>
      <w:r>
        <w:tab/>
        <w:t xml:space="preserve">Представители рома, как правило, поощряются к участию в учебных программах, открытых для всех лиц, соответствующих критериям приема.  Вместе с тем администрация по вопросам занятости на протяжении ряда лет организует также дополнительную профессиональную подготовку для взрослых, рассчитанную специально на представителей рома.  Эта подготовка сконцентрирована в основном на тех областях, которые тесно связаны с культурой рома (вышивание, музыка, театр и коневодство).  Представители рома сами участвовали в составлении планов этой подготовки.  Потребности меньшинств в сфере образования являются неизменным объектом внимания на совещаниях, посвященных вопросам планирования профессиональной подготовки.  </w:t>
      </w:r>
    </w:p>
    <w:p w:rsidR="00000000" w:rsidRDefault="00000000"/>
    <w:p w:rsidR="00000000" w:rsidRDefault="00000000">
      <w:pPr>
        <w:rPr>
          <w:color w:val="000000"/>
        </w:rPr>
      </w:pPr>
      <w:r>
        <w:rPr>
          <w:color w:val="000000"/>
        </w:rPr>
        <w:t>95.</w:t>
      </w:r>
      <w:r>
        <w:rPr>
          <w:color w:val="000000"/>
        </w:rPr>
        <w:tab/>
        <w:t>В последние несколько лет средства, предоставленные Европейским социальным фондом, использовались для осуществления проекта под названием "</w:t>
      </w:r>
      <w:r>
        <w:rPr>
          <w:color w:val="000000"/>
          <w:lang w:val="en-US"/>
        </w:rPr>
        <w:t>Romako</w:t>
      </w:r>
      <w:r>
        <w:rPr>
          <w:color w:val="000000"/>
        </w:rPr>
        <w:t>".  Цель этого проекта состояла в повышении уровней образования, занятости и благосостояния народности рома.  Кроме того, в 2004 году по линии Европейского социального фонда организованы два проекта, касающиеся рома, в рамках программы "</w:t>
      </w:r>
      <w:r>
        <w:rPr>
          <w:color w:val="000000"/>
          <w:lang w:val="en-US"/>
        </w:rPr>
        <w:t>EQUAL</w:t>
      </w:r>
      <w:r>
        <w:rPr>
          <w:color w:val="000000"/>
        </w:rPr>
        <w:t xml:space="preserve">".  Эти проекты являются частью усилий по борьбе против расизма и ксенофобии, и они ориентированы конкретно на сферу образования и изменение взглядов большинства населения.  Один из проектов нацелен на интеграцию рома в трудовую жизнь на основе повышения квалификации и опыта представителей рома, уже имеющих необходимое образование.  Другой проект направлен на повышение уровня образования рома и на разработку модели экспериментальной подготовки инструкторов по вопросам культуры рома.  </w:t>
      </w:r>
    </w:p>
    <w:p w:rsidR="00000000" w:rsidRDefault="00000000">
      <w:pPr>
        <w:rPr>
          <w:color w:val="000000"/>
        </w:rPr>
      </w:pPr>
    </w:p>
    <w:p w:rsidR="00000000" w:rsidRDefault="00000000">
      <w:pPr>
        <w:rPr>
          <w:color w:val="000000"/>
        </w:rPr>
      </w:pPr>
      <w:r>
        <w:rPr>
          <w:color w:val="000000"/>
        </w:rPr>
        <w:t>96.</w:t>
      </w:r>
      <w:r>
        <w:rPr>
          <w:color w:val="000000"/>
        </w:rPr>
        <w:tab/>
        <w:t>Кроме того, в комплекс мер по созданию открытого для всех рынка труда входит один проект, касающийся рома (</w:t>
      </w:r>
      <w:r>
        <w:rPr>
          <w:color w:val="000000"/>
          <w:lang w:val="en-US"/>
        </w:rPr>
        <w:t>ROM</w:t>
      </w:r>
      <w:r>
        <w:rPr>
          <w:color w:val="000000"/>
        </w:rPr>
        <w:t>-</w:t>
      </w:r>
      <w:r>
        <w:rPr>
          <w:color w:val="000000"/>
          <w:lang w:val="en-US"/>
        </w:rPr>
        <w:t>EQUAL</w:t>
      </w:r>
      <w:r>
        <w:rPr>
          <w:color w:val="000000"/>
        </w:rPr>
        <w:t xml:space="preserve">).  Этот проект нацелен на создание модели интеграции рома в трудовую деятельность и организацию подготовки персональных школьных ассистентов из числа представителей рома, которые могли бы вносить свой вклад в формирование правильного отношения к рома со стороны персонала школ и тем самым помогать детям рома завершать полный курс школьного обучения.  </w:t>
      </w:r>
    </w:p>
    <w:p w:rsidR="00000000" w:rsidRDefault="00000000">
      <w:pPr>
        <w:rPr>
          <w:color w:val="000000"/>
        </w:rPr>
      </w:pPr>
    </w:p>
    <w:p w:rsidR="00000000" w:rsidRDefault="00000000">
      <w:r>
        <w:rPr>
          <w:color w:val="000000"/>
        </w:rPr>
        <w:t>97.</w:t>
      </w:r>
      <w:r>
        <w:rPr>
          <w:color w:val="000000"/>
        </w:rPr>
        <w:tab/>
        <w:t>С 1</w:t>
      </w:r>
      <w:r>
        <w:rPr>
          <w:color w:val="000000"/>
          <w:lang w:val="en-US"/>
        </w:rPr>
        <w:t> </w:t>
      </w:r>
      <w:r>
        <w:rPr>
          <w:color w:val="000000"/>
        </w:rPr>
        <w:t>января 2000</w:t>
      </w:r>
      <w:r>
        <w:rPr>
          <w:color w:val="000000"/>
          <w:lang w:val="en-US"/>
        </w:rPr>
        <w:t> </w:t>
      </w:r>
      <w:r>
        <w:rPr>
          <w:color w:val="000000"/>
        </w:rPr>
        <w:t>года по 31</w:t>
      </w:r>
      <w:r>
        <w:rPr>
          <w:color w:val="000000"/>
          <w:lang w:val="en-US"/>
        </w:rPr>
        <w:t> </w:t>
      </w:r>
      <w:r>
        <w:rPr>
          <w:color w:val="000000"/>
        </w:rPr>
        <w:t>декабря 2002</w:t>
      </w:r>
      <w:r>
        <w:rPr>
          <w:color w:val="000000"/>
          <w:lang w:val="en-US"/>
        </w:rPr>
        <w:t> </w:t>
      </w:r>
      <w:r>
        <w:rPr>
          <w:color w:val="000000"/>
        </w:rPr>
        <w:t>года по линии Европейского социального фонда осуществлялся проект оказания поддержки в области трудоустройства и профессиональной подготовки представителей рома (</w:t>
      </w:r>
      <w:r>
        <w:rPr>
          <w:color w:val="000000"/>
          <w:lang w:val="en-US"/>
        </w:rPr>
        <w:t>Finitiko</w:t>
      </w:r>
      <w:r>
        <w:rPr>
          <w:color w:val="000000"/>
        </w:rPr>
        <w:t xml:space="preserve"> </w:t>
      </w:r>
      <w:r>
        <w:rPr>
          <w:color w:val="000000"/>
          <w:lang w:val="en-US"/>
        </w:rPr>
        <w:t>romako</w:t>
      </w:r>
      <w:r>
        <w:rPr>
          <w:color w:val="000000"/>
        </w:rPr>
        <w:t xml:space="preserve">), который включал меры, направленные на расширение приема соответствующей категории учащихся в общеобразовательные школы и на оказание поддержки в их трудоустройстве.  </w:t>
      </w:r>
      <w:r>
        <w:t>Кроме того, специально для рома были организованы курсы по подготовке к трудовой жизни.  Проект был направлен на повышение уровня образования рома и на преодоление предрассудков в отношениях между рома и большинством населения.  В результате осуществления этого проекта многие представители рома смогли получить профессиональную подготовку.  Вместе с тем, несмотря на это, позиции работодателей не позволили обеспечить их трудоустройство.  Отчасти это было обусловлено коротким учебным и профессиональным стажем представителей рома, а также - нередко - теми трудностями, с которыми они сталкиваются в организации своей жизни вследствие социальной изоляции.</w:t>
      </w:r>
    </w:p>
    <w:p w:rsidR="00000000" w:rsidRDefault="00000000"/>
    <w:p w:rsidR="00000000" w:rsidRDefault="00000000">
      <w:r>
        <w:t>98.</w:t>
      </w:r>
      <w:r>
        <w:tab/>
        <w:t>Консультативный совет по делам рома обратил внимание на важность различных проектов содействия трудоустройству представителей рома.  По его мнению, компетентные органы, занимающиеся вопросами труда и образования, должны и впредь оказывать поддержку в области обучения представителей рома в сотрудничестве с самими рома.  Цель завершения полного курса школьного обучения и профессиональной подготовки для всех рома до сих пор не достигнута.  Необходимо также оказывать поддержку в трудоустройстве для тех рома, которые уже имеют требуемый уровень образования.  Государственные органы и организации, финансируемые из средств государственного бюджета, должны показать пример для других структур в вопросах трудоустройства рома.  Закон о недискриминации также можно толковать как требующий изменений в процедурах найма работников в государственном секторе.  Необходимо также уделить внимание консультативной помощи, оказываемой компетентными органами представителям рома как в случаях дискриминации, так и в вопросах общего порядка.</w:t>
      </w:r>
    </w:p>
    <w:p w:rsidR="00000000" w:rsidRDefault="00000000"/>
    <w:p w:rsidR="00000000" w:rsidRDefault="00000000">
      <w:r>
        <w:t>99.</w:t>
      </w:r>
      <w:r>
        <w:tab/>
        <w:t>Консультативный совет по делам рома отметил, что типичными формами дискриминации в отношении рома по</w:t>
      </w:r>
      <w:r>
        <w:noBreakHyphen/>
        <w:t>прежнему является лишение доступа в частные магазины и рестораны, а также ограничение услуг.  Другой серьезной формой дискриминации является практика изоляции в тюрьмах.  Изоляция заключенных рома по их просьбе может быть необходимой для того, чтобы защитить их от угрозы со стороны других заключенных.  Это значит, что мера, применяемая в качестве наказания, по сути используется для защиты заключенных рома, но в то же время затрудняет их доступ к групповым учебным занятиям, труду, отдыху на открытом воздухе и другим видам деятельности в условиях тюрьмы.  Имеются также проблемы с использованием заключенных рома в сфере общественно полезных работ, которые обусловлены предрассудками среди принимающих структур.</w:t>
      </w:r>
    </w:p>
    <w:p w:rsidR="00000000" w:rsidRDefault="00000000"/>
    <w:p w:rsidR="00000000" w:rsidRDefault="00000000">
      <w:r>
        <w:t>100.</w:t>
      </w:r>
      <w:r>
        <w:tab/>
        <w:t>Вопросы обучения и подготовки представителей рома более подробно рассматриваются в контексте статьи 13.</w:t>
      </w:r>
    </w:p>
    <w:p w:rsidR="00000000" w:rsidRDefault="00000000"/>
    <w:p w:rsidR="00000000" w:rsidRDefault="00000000">
      <w:r>
        <w:t>101.</w:t>
      </w:r>
      <w:r>
        <w:tab/>
        <w:t>Меры, принятые для оказания поддержки в трудоустройстве рома, были также освещены в периодических докладах правительства об осуществлении Конвенции МОТ № 111, представленных в 1999, 2001 и 2003 годах (</w:t>
      </w:r>
      <w:r>
        <w:rPr>
          <w:i/>
          <w:iCs/>
        </w:rPr>
        <w:t>приложения 1-3</w:t>
      </w:r>
      <w:r>
        <w:t>).</w:t>
      </w:r>
    </w:p>
    <w:p w:rsidR="00000000" w:rsidRDefault="00000000"/>
    <w:p w:rsidR="00000000" w:rsidRDefault="00000000">
      <w:pPr>
        <w:jc w:val="center"/>
        <w:rPr>
          <w:b/>
          <w:bCs/>
        </w:rPr>
      </w:pPr>
      <w:r>
        <w:rPr>
          <w:b/>
          <w:bCs/>
        </w:rPr>
        <w:t>Е 27.  Расизм и ксенофобия</w:t>
      </w:r>
    </w:p>
    <w:p w:rsidR="00000000" w:rsidRDefault="00000000">
      <w:pPr>
        <w:rPr>
          <w:b/>
          <w:bCs/>
          <w:i/>
          <w:iCs/>
        </w:rPr>
      </w:pPr>
    </w:p>
    <w:p w:rsidR="00000000" w:rsidRDefault="00000000">
      <w:r>
        <w:t>102.</w:t>
      </w:r>
      <w:r>
        <w:tab/>
        <w:t>В Европейском союзе подготовлено предложение по рамочному решению Совета о борьбе с расизмом и ксенофобией.  Это рамочное решение заменит совместное решение (96/443/</w:t>
      </w:r>
      <w:r>
        <w:rPr>
          <w:lang w:val="en-US"/>
        </w:rPr>
        <w:t>JHR</w:t>
      </w:r>
      <w:r>
        <w:t>) о мерах по борьбе с расизмом и ксенофобией и дополнит директиву Совета (2000/43/ЕС), касающуюся осуществления принципа равного обращения вне зависимости от расового или этнического происхождения.  Финляндия признала предложенное рамочное решение важным и поддержала усилия по достижению консенсуса в отношении этого решения.</w:t>
      </w:r>
    </w:p>
    <w:p w:rsidR="00000000" w:rsidRDefault="00000000"/>
    <w:p w:rsidR="00000000" w:rsidRDefault="00000000">
      <w:r>
        <w:t>103.</w:t>
      </w:r>
      <w:r>
        <w:tab/>
        <w:t>23 марта 2001 года был принят План действий правительства по борьбе с этнической дискриминацией и расизмом ("К достижению этнического равенства и многообразия").  Министерство труда координирует работу по реализации этого Плана действий, а также Программы действий Сообщества по борьбе с дискриминацией на национальном уровне.  План действий был подготовлен в сотрудничестве с широким кругом компетентных органов и других соответствующих структур, и информация о нем была широко распространена по всей стране (посредством семинаров, в соответствующей публикации и на отдельном вебсайте).  Он разработан также в порядке осуществления Программы действий, принятой на третьей Всемирной конференции Организации Объединенных Наций по борьбе против расизма, расовой дискриминации, ксенофобии и связанной с ними нетерпимости, которая проходила в Дурбане.</w:t>
      </w:r>
    </w:p>
    <w:p w:rsidR="00000000" w:rsidRDefault="00000000"/>
    <w:p w:rsidR="00000000" w:rsidRDefault="00000000">
      <w:r>
        <w:t>104.</w:t>
      </w:r>
      <w:r>
        <w:tab/>
        <w:t>План действий был рассчитан на 2001</w:t>
      </w:r>
      <w:r>
        <w:noBreakHyphen/>
        <w:t>2003 годы.  Его цель состояла в поддержании и развитии мер, направленных на укрепление благоприятных межэтнических отношений и на предотвращение расизма и этнической дискриминации в финском обществе.  Меры, предпринимавшиеся в соответствии с Планом действий, осуществлялись на национальном, региональном и местном уровнях и затрагивали в равной мере новых иммигрантов, иммигрантов, проживающих в стране уже длительное время, иммигрантов второго поколения и исторические этнические меньшинства, включая рома, евреев, татар и так называемых "старых" русских, а также коренной народ саами.  Эти меры охватывали также возвратившихся мигрантов и членов их семей.</w:t>
      </w:r>
    </w:p>
    <w:p w:rsidR="00000000" w:rsidRDefault="00000000"/>
    <w:p w:rsidR="00000000" w:rsidRDefault="00000000">
      <w:r>
        <w:t>105.</w:t>
      </w:r>
      <w:r>
        <w:tab/>
        <w:t>При осуществлении Плана действий задействовались также средства, выделенные в рамках Программы действий Сообщества по борьбе с дискриминацией.  Эти средства по</w:t>
      </w:r>
      <w:r>
        <w:noBreakHyphen/>
        <w:t>прежнему используются для реализации ряда национальных и международных проектов.</w:t>
      </w:r>
    </w:p>
    <w:p w:rsidR="00000000" w:rsidRDefault="00000000"/>
    <w:p w:rsidR="00000000" w:rsidRDefault="00000000">
      <w:r>
        <w:t>106.</w:t>
      </w:r>
      <w:r>
        <w:tab/>
        <w:t>В 2003 и 2004 годах средства Программы действий Сообщества использовались также для финансирования деятельности рабочей группы европейского уровня под председательством министра труда Финляндии, которой было поручено провести обзор европейских методов сбора информации по вопросам дискриминации, выявить сопоставимые показатели дискриминации и представить предложения в отношении методов сбора информации по вопросам дискриминации в государствах </w:t>
      </w:r>
      <w:r>
        <w:noBreakHyphen/>
      </w:r>
      <w:r>
        <w:rPr>
          <w:lang w:val="en-US"/>
        </w:rPr>
        <w:t> </w:t>
      </w:r>
      <w:r>
        <w:t>членах Европейского союза.  На основе результатов этой работы будет создана национальная система контроля за положением в области дискриминации, расизма и ксенофобии.</w:t>
      </w:r>
    </w:p>
    <w:p w:rsidR="00000000" w:rsidRDefault="00000000"/>
    <w:p w:rsidR="00000000" w:rsidRDefault="00000000">
      <w:r>
        <w:t>107.</w:t>
      </w:r>
      <w:r>
        <w:tab/>
        <w:t xml:space="preserve">Информация о новом </w:t>
      </w:r>
      <w:r>
        <w:rPr>
          <w:i/>
          <w:iCs/>
        </w:rPr>
        <w:t>Законе о недискриминации</w:t>
      </w:r>
      <w:r>
        <w:t xml:space="preserve"> представлена в разделе, касающемся статьи 2.</w:t>
      </w:r>
    </w:p>
    <w:p w:rsidR="00000000" w:rsidRDefault="00000000"/>
    <w:p w:rsidR="00000000" w:rsidRDefault="00000000">
      <w:r>
        <w:t>108.</w:t>
      </w:r>
      <w:r>
        <w:tab/>
        <w:t>1 сентября 2001 года вступил в силу Закон об Уполномоченном по делам меньшинств и Национальном совете по дискриминации (660/2001), упразднивший должность Уполномоченного по делам иностранцев.  В обязанности Уполномоченного по делам меньшинств входит укрепление благоприятных межэтнических отношений в обществе и укрепление положения и прав иностранцев и этнических меньшинств, составление докладов по вопросам равенства между различными этническими группами и о положении и условиях жизни различных этнических групп в обществе, выдвижение инициатив по ликвидации дискриминации и имеющихся недостатков, а также представление информации о законодательстве и прецедентной практике в вопросах, касающихся дискриминации по признаку этнического происхождения и положения этнических меньшинств и иностранцев.  Кроме того, Уполномоченный по делам меньшинств в сотрудничестве с другими компетентными органами осуществляет контроль за обеспечением равного обращения вне зависимости от этнического происхождения.  Уполномоченный по делам меньшинств имеет право бесплатно получать от других компетентных органов такую информацию, какая может оказаться необходимой для выполнения его функций, несмотря на положения законодательства о конфиденциальной документации.</w:t>
      </w:r>
    </w:p>
    <w:p w:rsidR="00000000" w:rsidRDefault="00000000"/>
    <w:p w:rsidR="00000000" w:rsidRDefault="00000000">
      <w:r>
        <w:t>109.</w:t>
      </w:r>
      <w:r>
        <w:tab/>
        <w:t>Уполномоченный по делам меньшинств может передавать материалы в Национальный совет по дискриминации, который является новым средством правовой защиты, улучшающим реальный доступ к системе правосудия.  Обязанности Совета определены в статье 13 Закона о недискриминации.  В случаях, когда имеет место этническая дискриминация, если только это не затрагивает сферы занятости, государственной службы, профессиональной подготовки или какой-либо сопоставимой деятельности на рабочем месте, Совет может  1) подтвердить внесудебное урегулирование спора между сторонами или  2) запретить продолжение или повторение поведения, составляющего нарушение запрета на дискриминацию или запрета ответных мер, по инициативе стороны в конфликте или Уполномоченного по делам меньшинств.  Помимо постановления о запрещении, Совет может вынести предупреждение о наложении штрафа и, при необходимости, постановление о взыскании штрафа.  Он не заменяет собой какие-либо средства правовой защиты, которые уже существовали до его создания, и не имеет никаких полномочий изменять решения компетентных органов.</w:t>
      </w:r>
    </w:p>
    <w:p w:rsidR="00000000" w:rsidRDefault="00000000"/>
    <w:p w:rsidR="00000000" w:rsidRDefault="00000000">
      <w:r>
        <w:t>110.</w:t>
      </w:r>
      <w:r>
        <w:tab/>
        <w:t xml:space="preserve">Весной 2005 года правительство сформировало </w:t>
      </w:r>
      <w:r>
        <w:rPr>
          <w:i/>
          <w:iCs/>
        </w:rPr>
        <w:t>Консультативный совет по делам меньшинств</w:t>
      </w:r>
      <w:r>
        <w:t>.  Этот Совет оказывает содействие Уполномоченному по делам меньшинств и может представлять предложения и соображения по вопросам развития механизмов надзора и контроля за соблюдением запрещения этнической дискриминации, а также по вопросам защиты статуса и прав иностранцев.  Консультативный совет старается развивать сотрудничество между государственными органами и неправительственными организациями в области контроля и предотвращения дискриминации.</w:t>
      </w:r>
    </w:p>
    <w:p w:rsidR="00000000" w:rsidRDefault="00000000"/>
    <w:p w:rsidR="00000000" w:rsidRDefault="00000000">
      <w:r>
        <w:t>111.</w:t>
      </w:r>
      <w:r>
        <w:tab/>
        <w:t xml:space="preserve">1 марта 2005 года в министерстве труда был создан реформированный </w:t>
      </w:r>
      <w:r>
        <w:rPr>
          <w:i/>
          <w:iCs/>
        </w:rPr>
        <w:t>Консультативный совет по межэтническим отношениям</w:t>
      </w:r>
      <w:r>
        <w:t>.  Цель реформы состояла в повышении степени открытости межэтнических отношений и авторитета Консультативного совета, а также в передаче части его функций региональным консультативным советам, которые должны быть созданы в городах Турку, Йоэнсуу и Оулу.  Расширены возможности участия в работе для иммигрантов и представителей этнических меньшинств, и в состав Консультативного совета предложено войти членам политических партий, представленных в парламенте.</w:t>
      </w:r>
    </w:p>
    <w:p w:rsidR="00000000" w:rsidRDefault="00000000"/>
    <w:p w:rsidR="00000000" w:rsidRDefault="00000000">
      <w:r>
        <w:t>112.</w:t>
      </w:r>
      <w:r>
        <w:tab/>
        <w:t>1 мая 1999</w:t>
      </w:r>
      <w:r>
        <w:rPr>
          <w:lang w:val="en-US"/>
        </w:rPr>
        <w:t> </w:t>
      </w:r>
      <w:r>
        <w:t xml:space="preserve">года вступил в силу </w:t>
      </w:r>
      <w:r>
        <w:rPr>
          <w:i/>
          <w:iCs/>
        </w:rPr>
        <w:t>Закон об интеграции иммигрантов и приеме просителей убежища</w:t>
      </w:r>
      <w:r>
        <w:t xml:space="preserve"> (Закон об интеграции;  493/1999).  Цель Закона состоит в укреплении интеграции, равенства и свободы выбора иммигрантов на основе принятия мер, направленных на расширение их возможностей для получения соответствующей информации и навыков, необходимых в обществе, а также в обеспечении средств к существованию и соответствующих услуг для просителей убежища и лиц, нуждающихся во временной защите, посредством организации их приема в стране.  В 2002 году в Закон было добавлено новое положение об укреплении принципа равенства и благоприятных межэтнических отношений.  Предусмотренное в нем обязательство касается местных органов власти и других органов, отвечающих за подготовку программ интеграции.  Для целей осуществления этого положения Ассоциация финских региональных и местных органов власти и ее партнеры организовали подготовку сотрудников органов власти, отвечающих за укрепление принципа равенства и благоприятных межэтнических отношений.  </w:t>
      </w:r>
    </w:p>
    <w:p w:rsidR="00000000" w:rsidRDefault="00000000"/>
    <w:p w:rsidR="00000000" w:rsidRDefault="00000000">
      <w:r>
        <w:t>113.</w:t>
      </w:r>
      <w:r>
        <w:tab/>
        <w:t>Наиболее важными элементами, предусмотренными в Законе об интеграции, являются местная программа интеграции и индивидуальный план интеграции, составляемый для каждого безработного иммигранта.  Закон наделяет иммигрантов определенными правами, но и налагает на них соответствующие обязательства.  Обязательства касаются, в частности, тех иммигрантов, которые нуждаются в пособии, обеспечивающем прожиточный минимум, или иной финансовой поддержке со стороны общества.  Иммигранты имеют право на охват планом интеграции в течение трех лет после прибытия в страну при том условии, что они являются безработными, ищущими работу, и право получать пособие по безработице и/или пособие, обеспечивающее прожиточный минимум.  Иммигранту, охваченному планом интеграции, выплачивается финансовое пособие, состоящее из пособия по безработице, и, если это необходимо, пособия, обеспечивающего прожиточный минимум.</w:t>
      </w:r>
    </w:p>
    <w:p w:rsidR="00000000" w:rsidRDefault="00000000"/>
    <w:p w:rsidR="00000000" w:rsidRDefault="00000000">
      <w:r>
        <w:t>114.</w:t>
      </w:r>
      <w:r>
        <w:tab/>
        <w:t>В мае 2002 года правительство представило в парламент доклад об осуществлении Закона об интеграции.  Согласно этому докладу, Закон доказал свою действенность и необходимость, и он оказывает позитивное влияние на статус иммигрантов.  Вместе с тем многие местные органы власти и Администрация по вопросам труда до сих пор занимаются разработкой и развитием практических методов и механизмов сотрудничества.  Следующий доклад об осуществлении этого Закона правительство представит в парламент в конце 2007 года.</w:t>
      </w:r>
    </w:p>
    <w:p w:rsidR="00000000" w:rsidRDefault="00000000"/>
    <w:p w:rsidR="00000000" w:rsidRDefault="00000000">
      <w:r>
        <w:t>115.</w:t>
      </w:r>
      <w:r>
        <w:tab/>
      </w:r>
      <w:r>
        <w:rPr>
          <w:i/>
          <w:iCs/>
        </w:rPr>
        <w:t>Программа осуществления политики в области иммиграции</w:t>
      </w:r>
      <w:r>
        <w:t>.  В 2004 году министерство труда сформировало рабочую группу для целей подготовки предложения по правительственной программе осуществления политики в области иммиграции.  В основу подготовки новой программы положена политическая программа правительства премьер-министра Матти Ванханена.  Цель программы осуществления политики в области иммиграции состоит в том, чтобы определить ориентиры политики в области иммиграции в интересах обеспечения соблюдения прав человека и основных свобод и укрепления культуры административного управления.  Кроме того, цель состоит в устранении угроз, связанных с иммиграцией.</w:t>
      </w:r>
    </w:p>
    <w:p w:rsidR="00000000" w:rsidRDefault="00000000"/>
    <w:p w:rsidR="00000000" w:rsidRDefault="00000000">
      <w:r>
        <w:t>116.</w:t>
      </w:r>
      <w:r>
        <w:tab/>
        <w:t>Работа над проектом программы осуществления политики в области иммиграции, подготовкой которого занималась рабочая группа, была завершена 15 июня 2005 года.  В проекте программы намечено в общей сложности 35 политических целей и предложены меры по их достижению.  Особое внимание в программе уделено активизации процессов иммиграции рабочей силы.  К числу других актуальных задач относится создание системы консультационных услуг, совершенствование системы интеграции иммигрантов и улучшение межэтнических отношений.  Цель состоит в ускорении развития общества, основанного на разнообразии ценностей и культурных укладов и на принципе недискриминации, что должно способствовать интернационализации и повышению конкурентоспособности Финляндии.</w:t>
      </w:r>
    </w:p>
    <w:p w:rsidR="00000000" w:rsidRDefault="00000000"/>
    <w:p w:rsidR="00000000" w:rsidRDefault="00000000">
      <w:r>
        <w:t>117.</w:t>
      </w:r>
      <w:r>
        <w:tab/>
        <w:t>Рабочая группа предлагает подготовить отдельную программу для реализации программы осуществления политики в области иммиграции, с тем чтобы оценить объем расходов по этой программе и порядок их распределения, а также определить власти и органы, ответственные за ее осуществление, и различные формы сотрудничества.  Рабочая группа отмечает, что для осуществления политики в области иммиграции требуются соответствующие контрольные механизмы.</w:t>
      </w:r>
    </w:p>
    <w:p w:rsidR="00000000" w:rsidRDefault="00000000"/>
    <w:p w:rsidR="00000000" w:rsidRDefault="00000000">
      <w:r>
        <w:t>118.</w:t>
      </w:r>
      <w:r>
        <w:tab/>
        <w:t>В 2001 году министерство труда представило проект, направленный на укрепление принципа этнического равенства в сфере трудовых отношений и предусматривающий организацию и подготовку сети экспертов (Е</w:t>
      </w:r>
      <w:r>
        <w:rPr>
          <w:lang w:val="en-US"/>
        </w:rPr>
        <w:t>TNA</w:t>
      </w:r>
      <w:r>
        <w:t>).  Эта сеть ведет свой собственный вебсайт и выпускает материалы по вопросам равенства в сфере трудовых отношений.  Сеть состоит из представителей органов власти, неправительственных организаций и групп, подвергающихся риску дискриминации (включая организации представителей рома, инвалидов и иммигрантов).  В 2004 и 2005 годах эта сеть была преобразована в национальную сеть экспертов (</w:t>
      </w:r>
      <w:r>
        <w:rPr>
          <w:lang w:val="en-US"/>
        </w:rPr>
        <w:t>NOVAETNA</w:t>
      </w:r>
      <w:r>
        <w:t>), и для членов этой сети, базирующихся в различных районах страны, были организованы учебные занятия семинарского типа, в ходе которых они прошли инструкторскую подготовку по вопросам, касающимся дискриминации.  Они действуют в качестве региональных экспертов по вопросам осуществления Закона о недискриминации.</w:t>
      </w:r>
    </w:p>
    <w:p w:rsidR="00000000" w:rsidRDefault="00000000"/>
    <w:p w:rsidR="00000000" w:rsidRDefault="00000000">
      <w:r>
        <w:t>119.</w:t>
      </w:r>
      <w:r>
        <w:tab/>
      </w:r>
      <w:r>
        <w:rPr>
          <w:i/>
          <w:iCs/>
        </w:rPr>
        <w:t>Программы борьбы с дискриминацией.</w:t>
      </w:r>
      <w:r>
        <w:t xml:space="preserve">  Министерство труда при финансовой поддержке ЕС занимается осуществлением различных программ и мер, направленных, в частности, на обеспечение и укрепление культурного разнообразия и равенства.  Цель вышеупомянутого проекта </w:t>
      </w:r>
      <w:r>
        <w:rPr>
          <w:lang w:val="en-US"/>
        </w:rPr>
        <w:t>SEIS</w:t>
      </w:r>
      <w:r>
        <w:t xml:space="preserve"> состоит в распространении информации и в организации подготовки по вопросам, касающимся культурного разнообразия и недискриминации, а также в разработке структур и моделей, способствующих укреплению принципа равенства.  С 2002 года осуществляются проекты </w:t>
      </w:r>
      <w:r>
        <w:rPr>
          <w:lang w:val="en-US"/>
        </w:rPr>
        <w:t>JOIN</w:t>
      </w:r>
      <w:r>
        <w:t xml:space="preserve">, преследующие цели развития диалога между соответствующими органами на местном уровне, распространения передового опыта, а также выявления и предупреждения дискриминационных видов практики.  Эти проекты используются для организации учебных занятий, тематических семинаров, обменов кадрами и экскурсий, а также для опробования новых методов.  В рамках проектов </w:t>
      </w:r>
      <w:r>
        <w:rPr>
          <w:lang w:val="en-US"/>
        </w:rPr>
        <w:t>JOIN</w:t>
      </w:r>
      <w:r>
        <w:t xml:space="preserve"> созданы также отдельный вебсайт и интерактивный журнал, сформирована сеть инструкторов и составлены учебные материалы.  Проекты нацелены на выявление сходных элементов в опыте групп, сталкивающихся с дискриминацией, что должно способствовать консолидации идей недискриминации и равенства.</w:t>
      </w:r>
    </w:p>
    <w:p w:rsidR="00000000" w:rsidRDefault="00000000"/>
    <w:p w:rsidR="00000000" w:rsidRDefault="00000000">
      <w:r>
        <w:t>120.</w:t>
      </w:r>
      <w:r>
        <w:tab/>
        <w:t>Министерство просвещения оказывает поддержку в борьбе против расизма посредством выделения ежегодных государственных субсидий.  Финансовые средства предоставляются в основном для проектов неправительственных организаций, направленных против расизма, ксенофобии и нетерпимости.  Эти проекты могут иметь различные формы:  субсидии могут предоставляться, например, для широких информационных кампаний, посещений школ и работы школьных клубов, имеющих своей целью ликвидацию предрассудков в отношении различных культур и предупреждение об опасностях расизма и ксенофобии.  На особых условиях субсидии могут также предоставляться для экспериментальных и пробных проектов борьбы против расизма, разработанных местными властями.  При решении вопроса о распределении субсидий особое внимание уделяется проектам, направленным на то, чтобы оградить молодежь от влияния различных групп, насаждающих идеи расизма.</w:t>
      </w:r>
    </w:p>
    <w:p w:rsidR="00000000" w:rsidRDefault="00000000"/>
    <w:p w:rsidR="00000000" w:rsidRDefault="00000000">
      <w:r>
        <w:t>121.</w:t>
      </w:r>
      <w:r>
        <w:tab/>
        <w:t>Меры, принятые для борьбы против дискриминации, были также освещены в периодических докладах об осуществлении Конвенции МОТ № 111, представленных в 1999, 2001 и 2003 годах (</w:t>
      </w:r>
      <w:r>
        <w:rPr>
          <w:i/>
          <w:iCs/>
        </w:rPr>
        <w:t>приложения 1-3</w:t>
      </w:r>
      <w:r>
        <w:t>).</w:t>
      </w:r>
    </w:p>
    <w:p w:rsidR="00000000" w:rsidRDefault="00000000"/>
    <w:p w:rsidR="00000000" w:rsidRDefault="00000000">
      <w:pPr>
        <w:tabs>
          <w:tab w:val="clear" w:pos="567"/>
          <w:tab w:val="clear" w:pos="1134"/>
          <w:tab w:val="left" w:pos="374"/>
          <w:tab w:val="left" w:pos="1064"/>
        </w:tabs>
        <w:ind w:left="1064" w:hanging="1064"/>
        <w:jc w:val="center"/>
        <w:rPr>
          <w:b/>
          <w:bCs/>
        </w:rPr>
      </w:pPr>
      <w:r>
        <w:rPr>
          <w:b/>
          <w:bCs/>
        </w:rPr>
        <w:t>Е 28.  Гарантированность занятости лиц, работающих неполный рабочий</w:t>
      </w:r>
    </w:p>
    <w:p w:rsidR="00000000" w:rsidRDefault="00000000">
      <w:pPr>
        <w:tabs>
          <w:tab w:val="clear" w:pos="567"/>
          <w:tab w:val="clear" w:pos="1134"/>
          <w:tab w:val="left" w:pos="374"/>
          <w:tab w:val="left" w:pos="1064"/>
        </w:tabs>
        <w:ind w:left="1064" w:hanging="1064"/>
        <w:jc w:val="center"/>
        <w:rPr>
          <w:b/>
          <w:bCs/>
        </w:rPr>
      </w:pPr>
      <w:r>
        <w:rPr>
          <w:b/>
          <w:bCs/>
        </w:rPr>
        <w:t>день, резервных рабочих и иностранцев</w:t>
      </w:r>
    </w:p>
    <w:p w:rsidR="00000000" w:rsidRDefault="00000000">
      <w:pPr>
        <w:rPr>
          <w:b/>
          <w:bCs/>
          <w:i/>
          <w:iCs/>
        </w:rPr>
      </w:pPr>
    </w:p>
    <w:p w:rsidR="00000000" w:rsidRDefault="00000000">
      <w:r>
        <w:t>122.</w:t>
      </w:r>
      <w:r>
        <w:tab/>
        <w:t>Цель Закона о трудовых договорах (55/2001) состоит в том, чтобы уравнять статус временных и постоянных трудовых договоров.  Это предусмотрено, в частности, в положении статьи 5 главы 1, которое гласит:  "Если работодатель и наемный работник заключали несколько следовавших друг за другом срочных трудовых договоров, на основе которых трудовые отношения продолжались без перерыва или лишь с краткосрочными перерывами, то при исчислении льгот, связанных с трудовыми отношениями, трудовые отношения считаются непрерывными".</w:t>
      </w:r>
    </w:p>
    <w:p w:rsidR="00000000" w:rsidRDefault="00000000"/>
    <w:p w:rsidR="00000000" w:rsidRDefault="00000000">
      <w:r>
        <w:t>123.</w:t>
      </w:r>
      <w:r>
        <w:tab/>
        <w:t>Закон далее предусматривает, что при объявлении вакансии работодатель должен обеспечить, чтобы работающие на неполную ставку и временные работники имели такие же возможности претендовать на эти рабочие места, как и постоянные сотрудники и сотрудники, работающие на полную ставку.</w:t>
      </w:r>
    </w:p>
    <w:p w:rsidR="00000000" w:rsidRDefault="00000000"/>
    <w:p w:rsidR="00000000" w:rsidRDefault="00000000">
      <w:r>
        <w:t>124.</w:t>
      </w:r>
      <w:r>
        <w:tab/>
        <w:t>Работодатель не может также без обоснованной причины применять менее благоприятные условия труда на основе продолжительности найма или рабочего времени.  Работодатель должен обеспечить равное обращение со всеми работниками и в других отношениях.</w:t>
      </w:r>
    </w:p>
    <w:p w:rsidR="00000000" w:rsidRDefault="00000000"/>
    <w:p w:rsidR="00000000" w:rsidRDefault="00000000">
      <w:r>
        <w:t>125.</w:t>
      </w:r>
      <w:r>
        <w:tab/>
        <w:t>Министерство труда возглавляет трехстороннюю рабочую группу, которой поручено провести обзор проблем, связанных с теневой экономикой, особенно в плане соблюдения минимальных условий труда и справедливой конкуренции между компаниями, с особым учетом расширения Европейского союза и международных контактов.  Эта рабочая группа должна оценить целесообразность установления контроля в вышеуказанных областях и представить необходимые предложения в отношении законодательных поправок или иных мер.  Кроме того, рабочая группа должна оценить возможности обеспечения минимальных условий труда в соответствии с финским трудовым законодательством и коллективными договорами для трудящихся, работающих за рубежом, в рамках транснационального сотрудничества и составить необходимые предложения в отношении законодательных поправок или иных мер.  Рабочая группа завершит свою работу 31 января 2006 года.</w:t>
      </w:r>
    </w:p>
    <w:p w:rsidR="00000000" w:rsidRDefault="00000000"/>
    <w:p w:rsidR="00000000" w:rsidRDefault="00000000">
      <w:r>
        <w:t>126.</w:t>
      </w:r>
      <w:r>
        <w:tab/>
        <w:t>Что касается профессиональных союзов, то Финская конфедерация служащих (ФКС) отметила, в частности, что за период после представления четвертого периодического доклада в финское трудовое законодательство были внесены позитивные поправки, касающиеся гарантий занятости лиц, работающих неполный рабочий день.  Пункт 2 статьи 2 главы 2 нового Закона о трудовых договорах запрещает применять без обоснованной причины менее благоприятные условия труда исключительно на основании продолжительности рабочего времени.  Это положение предусматривает, что работодатель обязан предоставлять работу лицам, работающим неполный рабочий день.  Если работодателю требуется больше работников для выполнения работ, подходящих для выполнения лицами, уже работающими у него на неполной ставке, такие работы должны в первую очередь предлагаться именно этим работникам.  Статья 22 Закона о гражданских служащих местных органов управления (304/2003), который вступил в силу 1 ноября 2003 года, также предусматривает первоочередное право работников, работающих неполный рабочий день, на другой пост.  На практике же условия труда лиц, работающих неполный рабочий день, остаются менее благоприятными, чем у работников, работающих на полную ставку.  Что касается так называемых "резервных" работников, то пункт 2 статьи 2 главы 2 Закона о трудовых договорах запрещает без обоснованной причины применять менее благоприятные условия труда исключительно на основе продолжительности найма, однако это положение не решает проблему отсутствия гарантий защиты от увольнения при краткосрочном найме.</w:t>
      </w:r>
    </w:p>
    <w:p w:rsidR="00000000" w:rsidRDefault="00000000"/>
    <w:p w:rsidR="00000000" w:rsidRDefault="00000000">
      <w:pPr>
        <w:tabs>
          <w:tab w:val="left" w:pos="454"/>
        </w:tabs>
        <w:ind w:left="1134" w:hanging="1134"/>
        <w:jc w:val="center"/>
        <w:rPr>
          <w:b/>
          <w:bCs/>
        </w:rPr>
      </w:pPr>
      <w:r>
        <w:rPr>
          <w:b/>
          <w:bCs/>
        </w:rPr>
        <w:t>Е 29.  Введение минимальной заработной платы в целях защиты трудящихся, которые не подпадают под действие отраслевых коллективных договоров</w:t>
      </w:r>
    </w:p>
    <w:p w:rsidR="00000000" w:rsidRDefault="00000000">
      <w:pPr>
        <w:rPr>
          <w:b/>
          <w:bCs/>
          <w:i/>
          <w:iCs/>
        </w:rPr>
      </w:pPr>
    </w:p>
    <w:p w:rsidR="00000000" w:rsidRDefault="00000000">
      <w:r>
        <w:t>127.</w:t>
      </w:r>
      <w:r>
        <w:tab/>
        <w:t>Согласно новому Закону о трудовых договорах (55/2001), минимальные условия труда по</w:t>
      </w:r>
      <w:r>
        <w:noBreakHyphen/>
        <w:t>прежнему определяются общеприменимыми коллективными договорами.  Если национальный коллективный договор, считающийся представительным в данной отрасли, содержит положения, касающиеся типа работ, выполняемых работником, то работодатель обязан применять эти положения в качестве минимальных условий труда.  В отраслях, где имеется общеприменимый коллективный договор, минимальные ставки заработной платы также определяются этим коллективным договором.  Вместе с тем если работодатель обязан в соответствии с Законом о коллективных договорах (436/1946) соблюдать коллективный договор, в котором другой договаривающейся стороной является национальная организация наемных работников, то вместо общеприменимого коллективного договора он может применять положения коллективного договора, который он обязан соблюдать.</w:t>
      </w:r>
    </w:p>
    <w:p w:rsidR="00000000" w:rsidRDefault="00000000"/>
    <w:p w:rsidR="00000000" w:rsidRDefault="00000000">
      <w:r>
        <w:t>128.</w:t>
      </w:r>
      <w:r>
        <w:tab/>
        <w:t>В отраслях, в которых не имеется общеприменимых коллективных договоров, ставки заработной платы работников могут определяться тем или иным другим применимым национальным коллективным договором или коллективным договором конкретной компании, который является обязательным для работодателя в соответствии с Законом о коллективных договорах.  Если не имеется и такого коллективного договора, то ставки заработной платы работников определяются положениями трудового договора, заключенного между работодателем и работником.</w:t>
      </w:r>
    </w:p>
    <w:p w:rsidR="00000000" w:rsidRDefault="00000000"/>
    <w:p w:rsidR="00000000" w:rsidRDefault="00000000">
      <w:r>
        <w:t>129.</w:t>
      </w:r>
      <w:r>
        <w:tab/>
        <w:t>Закон о трудовых договорах конкретно оговаривает также минимальные ставки заработной платы для тех случаев, когда не существует ни общеприменимого коллективного договора, ни какого-либо иного коллективного договора, являющегося обязательным для работодателя в соответствии с Законом о трудовых договорах, и когда ставки заработной платы не согласованы в трудовом договоре.  В таких случаях работник имеет право на разумную заработную плату, обычно выплачиваемую за работу данного типа.</w:t>
      </w:r>
    </w:p>
    <w:p w:rsidR="00000000" w:rsidRDefault="00000000"/>
    <w:p w:rsidR="00000000" w:rsidRDefault="00000000">
      <w:r>
        <w:t>130.</w:t>
      </w:r>
      <w:r>
        <w:tab/>
        <w:t xml:space="preserve">Вышеупомянутое положение о минимальных ставках заработной платы дополняется положением главы 10 Закона о трудовых договорах, которое касается корректировки неразумных условий труда.  Условия трудового договора, касающиеся размеров заработной платы, могут корректироваться или игнорироваться, если их применение противоречит надлежащей практике или является неразумным.  Если стороны трудового договора согласовали неразумно низкие ставки заработной платы, то это условие договора может быть скорректировано в соответствии со статьей 2 главы 10 Закона о трудовых договорах.  </w:t>
      </w:r>
    </w:p>
    <w:p w:rsidR="00000000" w:rsidRDefault="00000000"/>
    <w:p w:rsidR="00000000" w:rsidRDefault="00000000">
      <w:r>
        <w:t>131.</w:t>
      </w:r>
      <w:r>
        <w:tab/>
        <w:t xml:space="preserve">Положения Закона о трудовых договорах, касающиеся общей применимости коллективных договоров, подтверждения и действительности коллективных договоров и коллективного договора, применимого к наемным работникам, в основном призваны разъяснять значимость коллективных договоров в сфере защиты тех работников, которые наняты работодателями, не являющимися членами какого-либо союза работодателей.  </w:t>
      </w:r>
    </w:p>
    <w:p w:rsidR="00000000" w:rsidRDefault="00000000"/>
    <w:p w:rsidR="00000000" w:rsidRDefault="00000000">
      <w:r>
        <w:t>132.</w:t>
      </w:r>
      <w:r>
        <w:tab/>
        <w:t>Одновременно с Законом о трудовых договорах, т.е. 1 июня 2001 года, вступил в силу Закон о подтверждении общей применимости коллективных договоров (56/2001).  Согласно этому Закону комиссия, подтверждающая общеприменимый характер коллективных договоров, выносит решение по вопросу, касающемуся подтверждения общеприменимого характера договора, когда министерство, занимающееся вопросами обеспечения техники безопасности и гигиены труда, получает соответствующий коллективный договор и информацию, указанную в пунктах 2 и 4 статьи 2 Закона о коллективных договорах.  Решение комиссии может быть оспорено посредством письменной апелляции в суд по трудовым спорам.  Решение суда по трудовым спорам является окончательным.  Комиссия подтвердила общеприменимый характер приблизительно 150 коллективных договоров, которые совместно с другими обычно применимыми коллективными договорами охватывают 90</w:t>
      </w:r>
      <w:r>
        <w:noBreakHyphen/>
        <w:t>95% всех работников.  Таким образом, коллективные договоры являются эффективным средством защиты минимальных условий труда.  Что касается работников, остающихся за рамками системы коллективных договоров, то к ним применяется положение статьи 10 главы 2 Закона о трудовых договорах, касающееся минимальной оплаты труда в отсутствие коллективного договора.  Это положение действует  в ситуации, когда размер заработной платы не оговорен в трудовом договоре.  Кроме того, положения и условия, предполагающие неразумно низкие ставки заработной платы, могут быть скорректированы в соответствии со статьей 2 главы 10 Закона о трудовых договорах.  Помимо этого, Уголовный кодекс содержит положение (глава 47, статья 3 а) о дискриминации кабального типа в сфере трудовых отношений, согласно которому выплата заведомо заниженной заработной платы считается уголовным преступлением.</w:t>
      </w:r>
    </w:p>
    <w:p w:rsidR="00000000" w:rsidRDefault="00000000"/>
    <w:p w:rsidR="00000000" w:rsidRDefault="00000000">
      <w:pPr>
        <w:jc w:val="center"/>
        <w:rPr>
          <w:b/>
          <w:bCs/>
        </w:rPr>
      </w:pPr>
      <w:r>
        <w:rPr>
          <w:b/>
          <w:bCs/>
        </w:rPr>
        <w:t>Е 30.  Насилие в отношении женщин</w:t>
      </w:r>
    </w:p>
    <w:p w:rsidR="00000000" w:rsidRDefault="00000000">
      <w:pPr>
        <w:rPr>
          <w:b/>
          <w:bCs/>
          <w:i/>
          <w:iCs/>
        </w:rPr>
      </w:pPr>
    </w:p>
    <w:p w:rsidR="00000000" w:rsidRDefault="00000000">
      <w:r>
        <w:t>133.</w:t>
      </w:r>
      <w:r>
        <w:tab/>
        <w:t xml:space="preserve">В четвертом периодическом докладе была приведена информация о насилии в отношении женщин в Финляндии, в основе которой лежали результаты исследования, проведенного в 1997 году и касавшегося, в частности, насилия в отношении женщин со стороны мужчин.  Согласно результатам этого исследования, 40% женщин в тот или иной момент жизни подвергались физическому или сексуальному насилию или угрозам такого насилия со стороны мужчин.  Среди женщин, проживающих в гражданском или законном браке, 22% были жертвами такого насилия или угроз со стороны супруга или партнера, причем 9% таких случаев имели место в течение года, предшествовавшего опросу.  Поскольку после 1997 года аналогичных исследований не проводилось, конкретной информации о динамике масштабов насилия в отношении женщин не имеется.  </w:t>
      </w:r>
    </w:p>
    <w:p w:rsidR="00000000" w:rsidRDefault="00000000"/>
    <w:p w:rsidR="00000000" w:rsidRDefault="00000000">
      <w:r>
        <w:t>134.</w:t>
      </w:r>
      <w:r>
        <w:tab/>
        <w:t>Вместе с тем динамику масштабов насилия в отношении женщин в Финляндии можно проследить при помощи статистических данных, собираемых компетентными органами и касающихся, например, причин смерти и преступлений, о которых сообщается в полицию, а также при помощи общих обследований, проводимых среди жертв.  Согласно статистическим данным, касающимся причин смерти, за минувшие 10 лет число убитых женщин в среднем за год составляло от 29 до 53 человек.  В 2003 году было убито 29 женщин, что явно ниже среднего уровня (44) за десятилетний период.  Число убитых женщин стало сокращаться с 2001 года, когда оно составляло 47 человек, а в 2002 году оно составило 44 человека.  Вместе с тем показатель за 2003 год пока не позволяет говорить о наличии неуклонной тенденции, поскольку такое снижение может объясняться случайными причинами.  Из всех женщин, скончавшихся в результате актов насилия, около половины погибли от насилия со стороны сожителей.  В конце 90</w:t>
      </w:r>
      <w:r>
        <w:noBreakHyphen/>
        <w:t xml:space="preserve">х годов в результате такого насилия ежегодно погибало около 15 женщин.  Затем это число временно повысилось до 20, но в 2002 и 2003 годах оно вновь сократилась до 15 (источник:  StatFinn).  </w:t>
      </w:r>
    </w:p>
    <w:p w:rsidR="00000000" w:rsidRDefault="00000000"/>
    <w:p w:rsidR="00000000" w:rsidRDefault="00000000">
      <w:r>
        <w:t>135.</w:t>
      </w:r>
      <w:r>
        <w:tab/>
        <w:t>Заявления, поданные в полицию, показывают, что женщины подвергаются насилию со стороны сожителей чаще, чем мужчины.  В 2003 году около одной десятой всех актов насилия, заявленных в полицию, были зарегистрированы как акты бытового насилия</w:t>
      </w:r>
      <w:r>
        <w:rPr>
          <w:rStyle w:val="FootnoteReference"/>
        </w:rPr>
        <w:footnoteReference w:id="4"/>
      </w:r>
      <w:r>
        <w:t>.  Женщины становятся жертвами таких актов приблизительно в 80% случаев (Crime report 2004).</w:t>
      </w:r>
    </w:p>
    <w:p w:rsidR="00000000" w:rsidRDefault="00000000"/>
    <w:p w:rsidR="00000000" w:rsidRDefault="00000000">
      <w:r>
        <w:t>136.</w:t>
      </w:r>
      <w:r>
        <w:tab/>
        <w:t xml:space="preserve">Полиция имеет дело с актами насилия в отношении женщин в случае экстренных вызовов по месту жительства, в контексте уголовных расследований и при оказании помощи.  Полиция может также иметь дело с актами насилия в отношении женщин, когда последние ходатайствуют об издании запретительного судебного приказа в отношении своих сожителей.  В 2004 году в полицию поступило более 70 000 экстренных вызовов по месту жительства и 30 000 заявлений о нападениях, что на 3% больше, чем в 2003 году.  </w:t>
      </w:r>
    </w:p>
    <w:p w:rsidR="00000000" w:rsidRDefault="00000000"/>
    <w:p w:rsidR="00000000" w:rsidRDefault="00000000">
      <w:r>
        <w:t>137.</w:t>
      </w:r>
      <w:r>
        <w:tab/>
        <w:t>В конце 90</w:t>
      </w:r>
      <w:r>
        <w:noBreakHyphen/>
        <w:t>х годов увеличилось число изнасилований, о которых сообщалось в полицию.  Если в 1992 году в полицию поступило 400 заявлений об изнасиловании, то в 1999</w:t>
      </w:r>
      <w:r>
        <w:noBreakHyphen/>
        <w:t>2003 годах полиция получала в среднем 535 таких заявлений в год (Statistics Finland).  Согласно исследованию, опубликованному в 2004 году (</w:t>
      </w:r>
      <w:r>
        <w:rPr>
          <w:lang w:val="en-US"/>
        </w:rPr>
        <w:t>Kainulainen</w:t>
      </w:r>
      <w:r>
        <w:t xml:space="preserve">, </w:t>
      </w:r>
      <w:r>
        <w:rPr>
          <w:lang w:val="en-US"/>
        </w:rPr>
        <w:t>Heini</w:t>
      </w:r>
      <w:r>
        <w:t xml:space="preserve">: </w:t>
      </w:r>
      <w:r>
        <w:rPr>
          <w:i/>
          <w:iCs/>
          <w:lang w:val="en-US"/>
        </w:rPr>
        <w:t>Raiskattu</w:t>
      </w:r>
      <w:r>
        <w:t xml:space="preserve">? </w:t>
      </w:r>
      <w:r>
        <w:rPr>
          <w:lang w:val="en-US"/>
        </w:rPr>
        <w:t xml:space="preserve">(Raped?), Publications of the National Research Institute of Legal Policy No. 212. </w:t>
      </w:r>
      <w:r>
        <w:t xml:space="preserve">Statistics Finland. </w:t>
      </w:r>
      <w:r>
        <w:rPr>
          <w:i/>
          <w:iCs/>
        </w:rPr>
        <w:t>Oikeus</w:t>
      </w:r>
      <w:r>
        <w:t xml:space="preserve"> 2004:16), по заявлениям об изнасилованиях, поступающим в полицию, уголовные обвинения, как правило, не предъявляются.  Например, в 1998 году судебное преследование было возбуждено менее чем по 10% заявлений об изнасиловании.  Вместе с тем благодаря внесению поправок в положения уголовного законодательства, касающиеся половых преступлений, число случаев возбуждения уголовного преследования в связи с актами изнасилования увеличилось.  В 1999</w:t>
      </w:r>
      <w:r>
        <w:noBreakHyphen/>
        <w:t xml:space="preserve">2003 годах обвинения предъявлялись приблизительно в 15% случаев.  </w:t>
      </w:r>
    </w:p>
    <w:p w:rsidR="00000000" w:rsidRDefault="00000000"/>
    <w:p w:rsidR="00000000" w:rsidRDefault="00000000">
      <w:r>
        <w:t>138.</w:t>
      </w:r>
      <w:r>
        <w:tab/>
        <w:t xml:space="preserve">Общие обследования среди жертв, проводившиеся в Финляндии в 1980, 1988, 1993, 1997 и 2003 годах, дают общее представление о динамике масштабов насилия в отношении женщин.  Однако эти обследования не дают такой конкретной информации о насилии, с которым сталкиваются женщины, какую позволяют получить отдельные обследования, посвященные этой конкретной проблеме.  Это обусловлено различиями в формулировках задаваемых вопросов и в методике обобщения информации.  Обследования, проведенные среди жертв, показывают, что существенных различий в степени вероятности стать жертвами насилия или угроз между мужчинами и женщинами не существует.  С 1980 по 2003 год число случаев насилия в отношении женщин увеличилось с 8% до 11,8%.  Это увеличение в значительной мере объясняется ростом насилия, которому подвергаются женщины на работе.  Что касается бытового насилия в отношении женщин, то его масштабы сократились.  </w:t>
      </w:r>
    </w:p>
    <w:p w:rsidR="00000000" w:rsidRDefault="00000000"/>
    <w:p w:rsidR="00000000" w:rsidRDefault="00000000">
      <w:r>
        <w:t>139.</w:t>
      </w:r>
      <w:r>
        <w:tab/>
        <w:t>Бытовое насилие </w:t>
      </w:r>
      <w:r>
        <w:noBreakHyphen/>
        <w:t xml:space="preserve"> это, как правило, повторяющееся преступление.  В 90</w:t>
      </w:r>
      <w:r>
        <w:noBreakHyphen/>
        <w:t>х годах в результате актов насилия ежегодно погибало около 50 женщин, в том числе 20</w:t>
      </w:r>
      <w:r>
        <w:noBreakHyphen/>
        <w:t>30 женщин в результате бытового насилия или насилия со стороны сожителей.  Приблизительно в 90% случаев насилия со стороны сожителя правонарушителем является мужчина и в 10% случаев </w:t>
      </w:r>
      <w:r>
        <w:noBreakHyphen/>
        <w:t xml:space="preserve"> женщина.  Акты бытового насилия совершаются в основном в отношении женщин и в этих случаях чаще всего носят серьезный и повторяющийся характер.  </w:t>
      </w:r>
    </w:p>
    <w:p w:rsidR="00000000" w:rsidRDefault="00000000"/>
    <w:p w:rsidR="00000000" w:rsidRDefault="00000000">
      <w:r>
        <w:t>140.</w:t>
      </w:r>
      <w:r>
        <w:tab/>
        <w:t>Положение жертв преступлений и оказание помощи этой категории лиц являются объектом особого внимания.  Согласно статье 6 Указа об уголовных расследованиях и мерах принуждения, полиция должна информировать жертву о возможности получения компенсации от государства за ущерб, причиненный в результате преступления.  Помимо услуг, оказываемых властями, жертве может быть предложено воспользоваться услугами, предоставляемыми различными некоммерческими организациями.  Департаменты полиции заключили также соглашение о сотрудничестве с местными органами власти.  Для этой цели используются также местные планы обеспечения безопасности.</w:t>
      </w:r>
    </w:p>
    <w:p w:rsidR="00000000" w:rsidRDefault="00000000"/>
    <w:p w:rsidR="00000000" w:rsidRDefault="00000000">
      <w:r>
        <w:t>141.</w:t>
      </w:r>
      <w:r>
        <w:tab/>
        <w:t>Национальный совет по делам инвалидов заявил, что для женщин-инвалидов особенно важно иметь информацию о способах защиты от различных форм насилия.  По его мнению, следует повысить эффективность распространения информации, например, о возможности ходатайства об издании запретительного судебного приказа, помещении в приют или об оказании иной помощи в том, чтобы положить конец отношениям, связанным с насилием.</w:t>
      </w:r>
    </w:p>
    <w:p w:rsidR="00000000" w:rsidRDefault="00000000"/>
    <w:p w:rsidR="00000000" w:rsidRDefault="00000000">
      <w:r>
        <w:t>142.</w:t>
      </w:r>
      <w:r>
        <w:tab/>
      </w:r>
      <w:r>
        <w:rPr>
          <w:i/>
          <w:iCs/>
        </w:rPr>
        <w:t>Услуги, реабилитация и средства правовой защиты, предоставляемые жертвам.</w:t>
      </w:r>
      <w:r>
        <w:t xml:space="preserve">  Услуги, предоставляемые жертвам насилия, были освещены в третьем периодическом докладе об осуществлении Конвенции о ликвидации всех форм дискриминации в отношении женщин, представленном в 1997 году.  Эта информация была дополнена в четвертом периодическом докладе, где сообщалось об услугах, которыми могут воспользоваться мужчины, желающие избавиться от своей склонности к насилию.  Предупреждение насилия в отношении женщин было включено в качестве одной из целей в различные программы предупреждения и сокращения масштабов насилия:  в Программу обеспечения внутренней безопасности, координируемую министерством внутренних дел, в Национальную программу сокращения масштабов насилия, разработанную министерством юстиции, и в Программу действий по предупреждению насилия со стороны сожителей и бытового насилия, разработанную министерством социального обеспечения и здравоохранения.  Правительственная Программа по вопросам обеспечения равенства также содержит ряд целей, связанных с предупреждением насилия со стороны сожителей, насилия в отношении женщин и проституции.  </w:t>
      </w:r>
    </w:p>
    <w:p w:rsidR="00000000" w:rsidRDefault="00000000"/>
    <w:p w:rsidR="00000000" w:rsidRDefault="00000000">
      <w:r>
        <w:t>143.</w:t>
      </w:r>
      <w:r>
        <w:tab/>
        <w:t>Отдельным актом парламента, который вступил в силу в январе 1999</w:t>
      </w:r>
      <w:r>
        <w:rPr>
          <w:lang w:val="en-US"/>
        </w:rPr>
        <w:t> </w:t>
      </w:r>
      <w:r>
        <w:t>года, были внесены поправки в положения Уголовного кодекса, касающиеся половых преступлений.  Изнасилования были разделены на три категории в зависимости от степени тяжести преступления:  изнасилование, изнасилование при отягчающих обстоятельствах и понуждение к вступлению в половую связь.  Эти же поправки позволяют прокурорам возбуждать преследование в связи с изнасилованием и изнасилованием при отягчающих обстоятельствах вне зависимости от желания потерпевшей.  Для возбуждения преследования в связи с понуждением к вступлению в половую связь по</w:t>
      </w:r>
      <w:r>
        <w:noBreakHyphen/>
        <w:t>прежнему требуется, чтобы потерпевшая подала соответствующее заявление.</w:t>
      </w:r>
    </w:p>
    <w:p w:rsidR="00000000" w:rsidRDefault="00000000"/>
    <w:p w:rsidR="00000000" w:rsidRDefault="00000000">
      <w:r>
        <w:t>144.</w:t>
      </w:r>
      <w:r>
        <w:tab/>
        <w:t xml:space="preserve">Уголовный кодекс был также дополнен конкретными положениями о торговле людьми и торговле людьми при отягчающих обстоятельствах, которые вступили в силу 1 августа 2004 года, а в начале 2005 года были внесены дополнительные положения в Закон о запретительных судебных приказах, которые позволяют издавать запретительный судебный приказ в отношении члена семьи.  Министерство юстиции разрабатывает еще одну поправку к Уголовному кодексу, в соответствии с которой приобретение сексуальных услуг будет квалифицироваться в качестве уголовного преступления.  Планируемые новые изменения связаны с осуществлением Протоколов, касающихся торговли людьми и незаконного ввоза мигрантов, которые дополняют Конвенцию Организации Объединенных Наций против транснациональной организованной преступности.  Правительственное постановление должно быть представлено в парламент до конца года.  </w:t>
      </w:r>
    </w:p>
    <w:p w:rsidR="00000000" w:rsidRDefault="00000000"/>
    <w:p w:rsidR="00000000" w:rsidRDefault="00000000">
      <w:r>
        <w:t>145.</w:t>
      </w:r>
      <w:r>
        <w:tab/>
        <w:t>В последние несколько лет было уделено внимание проблеме насилия со стороны сожителей, с которым сталкиваются женщины-иммигранты, и его предупреждению.  В 1998 году была создана Международная женская ассоциация (</w:t>
      </w:r>
      <w:r>
        <w:rPr>
          <w:lang w:val="en-US"/>
        </w:rPr>
        <w:t>Monika</w:t>
      </w:r>
      <w:r>
        <w:t>-</w:t>
      </w:r>
      <w:r>
        <w:rPr>
          <w:lang w:val="en-US"/>
        </w:rPr>
        <w:t>Naiset</w:t>
      </w:r>
      <w:r>
        <w:t xml:space="preserve">).  Женская ассоциация в Турку разработала проект, призванный помочь женщинам-иммигрантам интегрироваться в финское общество на основе устранения препятствий для их трудоустройства и доступа к образованию.  Женщины-иммигранты могут воспользоваться услугами национальной горячей линии на нескольких языках, созданной для оказания им помощи.  Однако согласно отзывам об эффективности этой телефонной линии плата за услугу является проблемой для многих женщин-иммигрантов.  </w:t>
      </w:r>
    </w:p>
    <w:p w:rsidR="00000000" w:rsidRDefault="00000000"/>
    <w:p w:rsidR="00000000" w:rsidRDefault="00000000">
      <w:r>
        <w:t>146.</w:t>
      </w:r>
      <w:r>
        <w:tab/>
        <w:t>По-прежнему сохраняются недостатки в системе приютов.  Существуют обширные районы, где не имеется ни одного приюта, особенно на севере и на востоке страны.  Кроме того, нет широко доступных убежищ или центров оказания поддержки, куда жертвы насилия или женщины, чувствующие себя в опасности, могли бы прийти на короткое время.  Имеются также недостатки в подготовке специалистов по вопросам выявления и пресечения актов насилия.</w:t>
      </w:r>
    </w:p>
    <w:p w:rsidR="00000000" w:rsidRDefault="00000000"/>
    <w:p w:rsidR="00000000" w:rsidRDefault="00000000">
      <w:r>
        <w:t>147.</w:t>
      </w:r>
      <w:r>
        <w:tab/>
        <w:t xml:space="preserve">Министерство внутренних дел координировало работу по подготовке обширной межотраслевой Программы обеспечения внутренней безопасности, которая была завершена летом 2004 года.  Одной из актуальных целей этой Программы является предупреждение насилия, и в частности сокращение масштабов преступлений против жизни.  Центральное место в Программе занимают превентивные меры и обеспечение безопасности в повседневной жизни.  Уделено внимание и насилию в отношении женщин.  В Программе подчеркивается важность укрепления сотрудничества между различными органами власти.  Предполагается, что она будет регулярно обновляться, а ее осуществление подлежит соответствующему контролю.  </w:t>
      </w:r>
    </w:p>
    <w:p w:rsidR="00000000" w:rsidRDefault="00000000"/>
    <w:p w:rsidR="00000000" w:rsidRDefault="00000000">
      <w:r>
        <w:t>148.</w:t>
      </w:r>
      <w:r>
        <w:tab/>
        <w:t>На основе правительственной политической программы министерство социального обеспечения и здравоохранения разрабатывает программу действий по предупреждению бытового насилия.  В рамках Национального проекта развития социальных услуг к 2007 году намечено создать общенациональную систему экстренных социальных услуг.  К числу мер, которые намечено предпринять в рамках этого проекта, относится оценка положения в области экстренных социальных услуг и выяснение целей таких услуг, определение различных форм экстренных и чрезвычайных услуг и мер, принятие стандартов качества для экстренных социальных услуг и оценка потребности в сотрудничестве с другими органами власти.  Одной из намечаемых конкретных мер является повышение эффективности сотрудничества между местными органами власти, полицией и органами системы социального обеспечения.  На местном уровне это можно сделать посредством размещения органов, отвечающих за оказание экстренных социальных услуг, как можно ближе к отделениям полиции, а также налаживания регулярных контактов и сотрудничества между сотрудниками системы социального обеспечения и полицией, с тем чтобы такие контакты и сотрудничество носили повседневный характер.  Имеющейся опыт размещения работников системы социального обеспечения в отделениях полиции доказал свою эффективность.  В настоящее время в результате сотрудничества между местными органами власти и полицией в отделениях полиции в различных районах страны работают около 20 работников системы социального обеспечения.  Развитие и укрепление сотрудничества способствует повышению эффективности многих мер, намеченных в Программе обеспечения внутренней безопасности, таких, как оперативное реагирование, лечение наркомании, развитие системы обеспечения благосостояния ребенка и предупреждение бытового насилия.</w:t>
      </w:r>
    </w:p>
    <w:p w:rsidR="00000000" w:rsidRDefault="00000000"/>
    <w:p w:rsidR="00000000" w:rsidRDefault="00000000">
      <w:r>
        <w:t>149.</w:t>
      </w:r>
      <w:r>
        <w:tab/>
        <w:t xml:space="preserve">Кроме того, Национальный совет по предупреждению преступности разработал Национальную программу по сокращению масштабов насилия.  Эта Программа охватывает все наиболее серьезные формы насилия.  Предполагается, что она будет осуществляться в комплексе с Национальной программой по предупреждению преступности, принятой правительством в 1999 году, и Программой обеспечения внутренней безопасности, принятой в сентябре 2004 года.  Цель Программы состоит в интеграции проблемы предупреждения насилия в процессы разработки всех планов обеспечения безопасности на местном уровне.  Сокращение масштабов насилия является также одной из целей, намеченных в политической программе правительства. </w:t>
      </w:r>
    </w:p>
    <w:p w:rsidR="00000000" w:rsidRDefault="00000000"/>
    <w:p w:rsidR="00000000" w:rsidRDefault="00000000">
      <w:r>
        <w:t>150.</w:t>
      </w:r>
      <w:r>
        <w:tab/>
        <w:t>В Национальной программе по сокращению масштабов насилия правительству предлагается поставить перед собой цель добиться неуклонного сокращения числа лиц, подвергающихся насилию, включая бытовое насилие, насилие на улицах, насилие в отношениях между конкретными группами населения, насилие на работе и другие формы насилия.</w:t>
      </w:r>
    </w:p>
    <w:p w:rsidR="00000000" w:rsidRDefault="00000000"/>
    <w:p w:rsidR="00000000" w:rsidRDefault="00000000">
      <w:r>
        <w:t>151.</w:t>
      </w:r>
      <w:r>
        <w:tab/>
        <w:t>Ряд мер, предложенных в Программе в целях сокращения масштабов насилия в целом, должны также способствовать сокращению масштабов насилия в отношении женщин.  Вместе с тем поставлена цель добиться сокращения масштабов насилия в отношении женщин в большей степени и более быстрыми темпами, чем по другим формам насилия.  В этом контексте следует также применять принцип гласности:  насилие подлежит осуждению и носит преступный характер, поэтому оно никоим образом не является вопросом, относящимся к сфере частной жизни, даже если правонарушитель является членом семьи жертвы.  Необходимо повысить степень готовности к принятию мер реагирования и оказанию помощи, а также осведомленности жертв о возможностях получения помощи на всех уровнях.</w:t>
      </w:r>
    </w:p>
    <w:p w:rsidR="00000000" w:rsidRDefault="00000000"/>
    <w:p w:rsidR="00000000" w:rsidRDefault="00000000">
      <w:r>
        <w:t>152.</w:t>
      </w:r>
      <w:r>
        <w:tab/>
        <w:t>Во избежание дублирования усилий работа по осуществлению трех вышеупомянутых программ ведется на координированной основе.</w:t>
      </w:r>
    </w:p>
    <w:p w:rsidR="00000000" w:rsidRDefault="00000000"/>
    <w:p w:rsidR="00000000" w:rsidRDefault="00000000">
      <w:r>
        <w:t>153.</w:t>
      </w:r>
      <w:r>
        <w:tab/>
        <w:t>В случае риска рецидива насилия полиция может помочь жертвам насилия в составлении плана обеспечения безопасности.  Закон о полиции (493/1995) дает также полиции возможность реагировать на потенциально опасные ситуации даже до фактического совершения преступления.  Кроме того, поскольку теперь прокурор может возбудить преследование в связи с нападением вне зависимости от наличия заявления жертвы - даже если преступление было совершено в частном доме, - это позволяет полиции реагировать на акты насилия, которые ранее считались внутренним делом семьи.  1 января 1999</w:t>
      </w:r>
      <w:r>
        <w:rPr>
          <w:lang w:val="en-US"/>
        </w:rPr>
        <w:t> </w:t>
      </w:r>
      <w:r>
        <w:t>года вступил в силу Закон о запретительных судебных приказах.  В 2004 году было издано около 1 700 таких приказов.  С 1 января 2005 года этот Закон дополнен новыми положениями, согласно которым запретительный судебный приказ может быть также издан в отношении члена семьи, проживающего совместно с потерпевшим.</w:t>
      </w:r>
    </w:p>
    <w:p w:rsidR="00000000" w:rsidRDefault="00000000"/>
    <w:p w:rsidR="00000000" w:rsidRDefault="00000000">
      <w:r>
        <w:t>154.</w:t>
      </w:r>
      <w:r>
        <w:tab/>
        <w:t>Верховное командование сил полиции сформировало руководящую группу для координации усилий и разработки комплекса мер по предупреждению бытового насилия.  Составлена также программа действий сил полиции.  Программа базовой подготовки сотрудников полиции включает наиболее важные элементы предупреждения бытового насилия.  В этом контексте с 2002 года организована также подготовка для действующих сотрудников полиции.</w:t>
      </w:r>
    </w:p>
    <w:p w:rsidR="00000000" w:rsidRDefault="00000000"/>
    <w:p w:rsidR="00000000" w:rsidRDefault="00000000">
      <w:pPr>
        <w:keepNext/>
        <w:ind w:left="567" w:hanging="567"/>
        <w:jc w:val="center"/>
      </w:pPr>
      <w:r>
        <w:rPr>
          <w:b/>
          <w:bCs/>
        </w:rPr>
        <w:t>Е 31.  Государственное здравоохранение</w:t>
      </w:r>
    </w:p>
    <w:p w:rsidR="00000000" w:rsidRDefault="00000000">
      <w:pPr>
        <w:keepNext/>
        <w:ind w:left="567" w:hanging="567"/>
      </w:pPr>
    </w:p>
    <w:p w:rsidR="00000000" w:rsidRDefault="00000000">
      <w:r>
        <w:t>155.</w:t>
      </w:r>
      <w:r>
        <w:tab/>
        <w:t>В 2001 году правительство представило национальный проект по обеспечению дальнейшего развития системы здравоохранения.  Инициатива разработки этого проекта принадлежала Финской конфедерации служащих (ФКС) и входящим в нее профсоюзам системы здравоохранения.  Цель проекта состоит в развитии системы медицинских услуг на основе сотрудничества между государством и местными органами власти, с тем чтобы каждый человек независимо от его финансового положения и места жительства имел доступ к требующимся высококачественным медицинским услугам.  1 марта 2005 года вступили в силу наиболее актуальные поправки к законодательству, внесенные в рамках этого проекта.  Начало национального проекта было успешным, и было сочтено важным реализовать его в кратчайшие возможные сроки.  Вместе с тем решение правительства о бюджетной основе на 2006</w:t>
      </w:r>
      <w:r>
        <w:noBreakHyphen/>
        <w:t>2009 годы не допускает никакого увеличения объема государственного финансирования для этого проекта, пока не будет повышен уровень производительности в государственном секторе.  Согласно оценкам, в 2005 году общий объем производства увеличится на 3,7%.</w:t>
      </w:r>
    </w:p>
    <w:p w:rsidR="00000000" w:rsidRDefault="00000000"/>
    <w:p w:rsidR="00000000" w:rsidRDefault="00000000">
      <w:pPr>
        <w:keepNext/>
        <w:jc w:val="center"/>
      </w:pPr>
      <w:r>
        <w:rPr>
          <w:b/>
          <w:bCs/>
        </w:rPr>
        <w:t>Е 32.  Адекватные услуги в области здравоохранения, особенно для</w:t>
      </w:r>
      <w:r>
        <w:rPr>
          <w:b/>
          <w:bCs/>
        </w:rPr>
        <w:br/>
        <w:t>уязвимых групп населения</w:t>
      </w:r>
    </w:p>
    <w:p w:rsidR="00000000" w:rsidRDefault="00000000">
      <w:pPr>
        <w:keepNext/>
        <w:ind w:left="567" w:hanging="567"/>
      </w:pPr>
    </w:p>
    <w:p w:rsidR="00000000" w:rsidRDefault="00000000">
      <w:r>
        <w:t>156.</w:t>
      </w:r>
      <w:r>
        <w:tab/>
        <w:t>Государственная система здравоохранения основана на принципе равенства, в соответствии с которым уязвимые группы находятся в одинаковом положении с другими группами населения.  Приоритеты в вопросах предоставления услуг определяются на основе оценки степени неотложности в соответствии с медицинскими критериями.</w:t>
      </w:r>
    </w:p>
    <w:p w:rsidR="00000000" w:rsidRDefault="00000000"/>
    <w:p w:rsidR="00000000" w:rsidRDefault="00000000">
      <w:pPr>
        <w:keepNext/>
        <w:ind w:left="567" w:hanging="567"/>
        <w:jc w:val="center"/>
      </w:pPr>
      <w:r>
        <w:rPr>
          <w:b/>
          <w:bCs/>
        </w:rPr>
        <w:t>Е 34.  Распространение заключительных замечаний</w:t>
      </w:r>
    </w:p>
    <w:p w:rsidR="00000000" w:rsidRDefault="00000000">
      <w:pPr>
        <w:keepNext/>
        <w:ind w:left="567" w:hanging="567"/>
      </w:pPr>
    </w:p>
    <w:p w:rsidR="00000000" w:rsidRDefault="00000000">
      <w:r>
        <w:t>157.</w:t>
      </w:r>
      <w:r>
        <w:tab/>
        <w:t>Непосредственно после рассмотрения доклада в Комитете министерство иностранных дел организовало пресс-конференцию, на которой эксперты, выступавшие в Женеве, сообщили о наиболее важных вопросах, затрагивавшихся в ходе рассмотрения доклада.  Цель этой пресс-конференции состояла в том, чтобы обеспечить освещение хода рассмотрения доклада в средствах массовой информации и таким образом ознакомить с ним граждан страны.</w:t>
      </w:r>
    </w:p>
    <w:p w:rsidR="00000000" w:rsidRDefault="00000000"/>
    <w:p w:rsidR="00000000" w:rsidRDefault="00000000">
      <w:r>
        <w:t>158.</w:t>
      </w:r>
      <w:r>
        <w:tab/>
        <w:t>Через три недели после принятия заключительных замечаний Комитета министерство иностранных дел направило их тексты на английском и финском языках во все министерства с просьбой подготовить в течение трех месяцев предварительную оценку по соответствующим секторам администрации и представить соображения относительно того, какие меры следует принять для выполнения рекомендаций Комитета.  В то же время заключительные замечания были направлены, в частности, в парламент, Парламентскому уполномоченному, министру юстиции, в Верховный суд и Верховный административный суд, а также в профсоюзы и большое число неправительственных организаций.  Вместе с тем граждане должны также иметь доступ к информации о различных проектах, предпринятых в различных секторах администрации, и они должны иметь возможность следить за ходом осуществления этих проектов.  В этом контексте желательно, чтобы вся государственная администрация предпринимала активные усилия по обеспечению широкого распространения информации.</w:t>
      </w:r>
    </w:p>
    <w:p w:rsidR="00000000" w:rsidRDefault="00000000"/>
    <w:p w:rsidR="00000000" w:rsidRDefault="00000000">
      <w:r>
        <w:t>159.</w:t>
      </w:r>
      <w:r>
        <w:tab/>
        <w:t>Министерство иностранных дел публикует на своем вебсайте информацию по правам человека, включая периодические доклады об осуществлении международных конвенций по правам человека.  Доклады, представленные в органы по наблюдению за выполнением договоров, имеются на этом вебсайте на английском и финском языках, а заключительные замечания, составленные различными органами, </w:t>
      </w:r>
      <w:r>
        <w:noBreakHyphen/>
        <w:t xml:space="preserve"> на английском, финском и шведском языках.  Отдел по делам правозащитных судов и конвенций министерства иностранных дел обязан отвечать на вопросы граждан, касающиеся периодических докладов.</w:t>
      </w:r>
    </w:p>
    <w:p w:rsidR="00000000" w:rsidRDefault="00000000"/>
    <w:p w:rsidR="00000000" w:rsidRDefault="00000000">
      <w:pPr>
        <w:jc w:val="center"/>
        <w:rPr>
          <w:b/>
          <w:bCs/>
        </w:rPr>
      </w:pPr>
      <w:r>
        <w:rPr>
          <w:b/>
          <w:bCs/>
        </w:rPr>
        <w:t>Статья 1</w:t>
      </w:r>
    </w:p>
    <w:p w:rsidR="00000000" w:rsidRDefault="00000000">
      <w:pPr>
        <w:rPr>
          <w:b/>
          <w:bCs/>
        </w:rPr>
      </w:pPr>
    </w:p>
    <w:p w:rsidR="00000000" w:rsidRDefault="00000000">
      <w:r>
        <w:t>160.</w:t>
      </w:r>
      <w:r>
        <w:tab/>
        <w:t xml:space="preserve">Об </w:t>
      </w:r>
      <w:r>
        <w:rPr>
          <w:i/>
          <w:iCs/>
        </w:rPr>
        <w:t xml:space="preserve">особом статусе Аландских островов </w:t>
      </w:r>
      <w:r>
        <w:t>и Законе об автономии Аланда рассказывалось в третьем и четвертом периодических докладах.  Историческая причина автономии Аландских островов обусловлена необходимостью того, чтобы население этих островов, говорящее по-шведски, сохраняло свою языковую культуру и другие местные традиции.</w:t>
      </w:r>
    </w:p>
    <w:p w:rsidR="00000000" w:rsidRDefault="00000000"/>
    <w:p w:rsidR="00000000" w:rsidRDefault="00000000">
      <w:r>
        <w:t>161.</w:t>
      </w:r>
      <w:r>
        <w:tab/>
      </w:r>
      <w:r>
        <w:rPr>
          <w:i/>
          <w:iCs/>
        </w:rPr>
        <w:t>Конституция Финляндии</w:t>
      </w:r>
      <w:r>
        <w:t xml:space="preserve"> (731/1999), которая вступила в силу 1 марта 2000 года, содержит положения, касающиеся </w:t>
      </w:r>
      <w:r>
        <w:rPr>
          <w:i/>
          <w:iCs/>
        </w:rPr>
        <w:t>народа саами</w:t>
      </w:r>
      <w:r>
        <w:t>.  В подпункте 3 пункта 17 Конституции гарантируется, что саами как древние обитатели страны вправе сохранять и развивать свои собственные язык и культуру.  В подпункте 3 данного пункта также предусматривается, что право саами пользоваться своим языком в государственных органах регулируется законом.  Кроме того, в подпункте 4 пункта 121 Конституции предусматривается, что саами имеют на своей территории обитания языковую и культурную автономию в соответствии с предписаниями закона.  Эти новые положения соответствуют прежним.  Отмененный Закон о парламенте, который имел статус конституционного закона, содержал положение (пункт 52 а)), в соответствии с которым саами имели право, в частности, быть заслушанными парламентом по волнующим их вопросам, что предусматривалось Правилами процедуры парламента.  Это положение было включено в качестве подпункта 2 нового пункта</w:t>
      </w:r>
      <w:r>
        <w:rPr>
          <w:lang w:val="en-US"/>
        </w:rPr>
        <w:t> </w:t>
      </w:r>
      <w:r>
        <w:t xml:space="preserve"> 37 в пересмотренные Правила процедуры парламента (20/2000), принятые парламентом в конце 1999</w:t>
      </w:r>
      <w:r>
        <w:rPr>
          <w:lang w:val="en-US"/>
        </w:rPr>
        <w:t> </w:t>
      </w:r>
      <w:r>
        <w:t>года.</w:t>
      </w:r>
    </w:p>
    <w:p w:rsidR="00000000" w:rsidRDefault="00000000"/>
    <w:p w:rsidR="00000000" w:rsidRDefault="00000000">
      <w:r>
        <w:t>162.</w:t>
      </w:r>
      <w:r>
        <w:tab/>
        <w:t xml:space="preserve">Закон об использовании саамского языка в официальных учреждениях (516/1991) был пересмотрен в рамках нового </w:t>
      </w:r>
      <w:r>
        <w:rPr>
          <w:i/>
          <w:iCs/>
        </w:rPr>
        <w:t xml:space="preserve">Закона о саамском языке </w:t>
      </w:r>
      <w:r>
        <w:t>(1086/2003), который вступил в силу 1 января 2004 года одновременно с новым Законом о языках (423/2003), касающимся национальных языков Финляндии, финского и шведского.  Цель Закона о саамском языке, согласно его пункту 1, заключается в обеспечении права саами на сохранение и развитие своего собственного языка и культуры, в соответствии с требованиями Конституции и обязательных для Финляндии международных конвенций, и Закон содержит положения о праве саами пользоваться диалектами своего собственного языка (на которых говорят саамы инари, скольтские саамы и северные саамы) в судах и других официальных учреждениях.  Согласно положениям отмененного Закона, право пользоваться всеми тремя саамскими языками, на которых говорят в Финляндии, в официальных учреждениях было основано лишь на заявлении, содержавшемся в пояснительной части правительственного законопроекта, касавшемся его принятия.  В новом Законе все три саамских языка определяются как саамские языки по смыслу Закона (подпункт 1 пункта 3), что проясняет содержание Закона в этом отношении.</w:t>
      </w:r>
    </w:p>
    <w:p w:rsidR="00000000" w:rsidRDefault="00000000"/>
    <w:p w:rsidR="00000000" w:rsidRDefault="00000000">
      <w:r>
        <w:t>163.</w:t>
      </w:r>
      <w:r>
        <w:tab/>
        <w:t>Закон о саамском языке также содержит различные положения, касающиеся обязанности государственных органов осуществлять и поощрять языковые права саами, (например, подпункт 2 пункта 1, подпункты 1 и 2 пункта 14, пункты 15 и 24, а также подпункт 1 пункта 28).  Задача заключается в обеспечении права саами на справедливое судебное разбирательство и надлежащее ведение дел, независимо от языка, и соблюдении языковых прав саами без того, чтобы им было необходимо непосредственно ссылаться на эти права (подпункт 3 пункта 1).  Согласно положениям Закона, органы власти показывают общественности, что они также предоставляют услуги на саамском языке (подпункт 1 пункта 24).  Органы власти не должны ограничивать или отказываться обеспечивать языковые права, предусматриваемые настоящим Законом, на том основании, что саами также знают такие другие языки, как финский или шведский (подпункт 2 пункта 4).</w:t>
      </w:r>
    </w:p>
    <w:p w:rsidR="00000000" w:rsidRDefault="00000000"/>
    <w:p w:rsidR="00000000" w:rsidRDefault="00000000">
      <w:r>
        <w:t>164.</w:t>
      </w:r>
      <w:r>
        <w:tab/>
        <w:t>Закон о саамском языке распространяется на все государственно-административные функции, выполняемые органами власти, о которых говорится в Законе.  Новый Закон в основном распространяется на те же органы власти, что и отмененный.  Помимо государственных и местных органов, находящихся в родных землях саами, Закон является обязательным для таких органов за пределами этих районов, которые имеют отношение к защите прав граждан со стороны закона, таких, как канцлер юстиции и парламентский омбудсмен, а также омбудсмен по делам меньшинств.  Кроме того, Закон о саамском языке является обязательным для государственных предприятий и компаний, принадлежащих к государству (пункт 17), а также, с учетом определенных условий, частных образований, выполняющих функции государственных административных органов в родных землях саами (пункт 18).  Следовательно, делегирование частным образованиям полномочий по выполнению государственных административных функций не затрагивает языковых прав.  В соответствии с Законом все органы в своей деятельности и по собственной инициативе должны обеспечивать соблюдение на практике языковых прав, которые гарантированы настоящим Законом (подпункт 1, пункт 24).</w:t>
      </w:r>
    </w:p>
    <w:p w:rsidR="00000000" w:rsidRDefault="00000000"/>
    <w:p w:rsidR="00000000" w:rsidRDefault="00000000">
      <w:r>
        <w:t>165.</w:t>
      </w:r>
      <w:r>
        <w:tab/>
        <w:t>Каждый орган контролирует выполнение положений настоящего Закона в подведомственной ему сфере.  За применением положений настоящего Закона следит саамский парламент, который может давать рекомендации по вопросам, связанным с языковым законодательством, и выдвигать инициативы с целью устранения замеченных им недостатков (пункт 28).</w:t>
      </w:r>
    </w:p>
    <w:p w:rsidR="00000000" w:rsidRDefault="00000000"/>
    <w:p w:rsidR="00000000" w:rsidRDefault="00000000">
      <w:r>
        <w:t>166.</w:t>
      </w:r>
      <w:r>
        <w:tab/>
        <w:t>С учетом того, что первый доклад о соблюдении Закона о саамском языке, о чем говорится в подпункте 1 пункта 29 Закона о саамском языке, будет представлен саамскому парламенту лишь в 2006 году и будет основан на опыте, накопленном за время работы данного состава парламента, пока еще слишком рано оценивать воздействие нового Закона о саамском языке на обеспечение языковых прав саами.</w:t>
      </w:r>
    </w:p>
    <w:p w:rsidR="00000000" w:rsidRDefault="00000000"/>
    <w:p w:rsidR="00000000" w:rsidRDefault="00000000">
      <w:r>
        <w:t>167.</w:t>
      </w:r>
      <w:r>
        <w:tab/>
        <w:t xml:space="preserve">Как уже отмечалось в четвертом периодическом докладе, рассмотрение вопроса об </w:t>
      </w:r>
      <w:r>
        <w:rPr>
          <w:i/>
          <w:iCs/>
        </w:rPr>
        <w:t xml:space="preserve">определении саами, </w:t>
      </w:r>
      <w:r>
        <w:t>которое содержится в Законе о саамском парламенте, было продолжено в ходе парламентского обсуждения Закона.  Однако смысл по</w:t>
      </w:r>
      <w:r>
        <w:noBreakHyphen/>
        <w:t>прежнему сводится к тому, что соответствующее лицо должно само считать себя саами.  Кроме того, основное правило по</w:t>
      </w:r>
      <w:r>
        <w:noBreakHyphen/>
        <w:t>прежнему заключалось в обязательном наличии языковой связи с народом саами.  В соответствии с Законом о саамском парламенте саами является лицо, считающее себя саами, если оно или, по крайней мере, один из его родителей или родители его родителей овладели саами в качестве своего первого языка.</w:t>
      </w:r>
    </w:p>
    <w:p w:rsidR="00000000" w:rsidRDefault="00000000"/>
    <w:p w:rsidR="00000000" w:rsidRDefault="00000000">
      <w:r>
        <w:t>168.</w:t>
      </w:r>
      <w:r>
        <w:tab/>
        <w:t xml:space="preserve">Кроме того, в Закон был включен новый критерий, в соответствии с которым для того, чтобы какое-либо лицо считалось саами, необходимо, чтобы оно было потомком лица, зарегистрированного в поземельном, налоговом или демографическом кадастре в качестве горного или лесного лапландца или же лапландца-рыбака.  Лицу, желающему зарегистрироваться как саами, нет необходимости представлять какие-либо доказательства собственного знания саамского языка или знания этого языка своими родителями или родителями своих родителей.  Первоначальное намерение заключалось в том, чтобы принять декрет, в соответствии с которым было бы невозможно ссылаться на списки, которые были составлены до 1875 года.  Однако парламентский Комитет по конституционному законодательству пришел к выводу о том, что Закон не предусматривает полномочий по принятию подобного декрета, и посчитал, что дополнять Закон подобным образом нецелесообразно.  </w:t>
      </w:r>
    </w:p>
    <w:p w:rsidR="00000000" w:rsidRDefault="00000000"/>
    <w:p w:rsidR="00000000" w:rsidRDefault="00000000">
      <w:r>
        <w:t>169.</w:t>
      </w:r>
      <w:r>
        <w:tab/>
        <w:t>Согласно Закону о саамском парламенте, соответствующее лицо также считается саами, если, по меньшей мере, один из его родителей был или мог быть зарегистрирован в качестве избирателя на выборах в саамскую делегацию или в саамский парламент.  Предполагается, что этот критерий распространяется на лиц, родители которых могли сами внести себя в списки избирателей, но по той или иной причине не сделали этого.</w:t>
      </w:r>
    </w:p>
    <w:p w:rsidR="00000000" w:rsidRDefault="00000000"/>
    <w:p w:rsidR="00000000" w:rsidRDefault="00000000">
      <w:r>
        <w:t>170.</w:t>
      </w:r>
      <w:r>
        <w:tab/>
        <w:t xml:space="preserve">Вышеуказанные положения впервые были применены в ходе выборов в саамский парламент в 1999 году.  Тогда было отмечено, что определение саами, судя по всему, было слишком гибким в том, что касается регистрации лиц в поземельных, налоговых или демографических кадастрах в качестве горных или лесных лапландцев, или же лапландцев-рыбаков.  Всего 1 128 человек просили зарегистрировать их в качестве избирателей.  Почти все из них ссылались на регистрацию в поземельных кадастрах, составленных в период между 1739 и 1825 годами, что означало, что они являлись потомками лиц, родившихся в </w:t>
      </w:r>
      <w:r>
        <w:rPr>
          <w:lang w:val="en-US"/>
        </w:rPr>
        <w:t>XVII</w:t>
      </w:r>
      <w:r>
        <w:t xml:space="preserve"> или </w:t>
      </w:r>
      <w:r>
        <w:rPr>
          <w:lang w:val="en-US"/>
        </w:rPr>
        <w:t>XVIII</w:t>
      </w:r>
      <w:r>
        <w:t> столетии.  Однако самая старая упомянутая запись касалась поземельного кадастра 1695 года.  Самые недавние записи, на которые ссылались 54 заявителя, были сделаны в поземельных кадастрах 1826</w:t>
      </w:r>
      <w:r>
        <w:noBreakHyphen/>
        <w:t>1857 годов.</w:t>
      </w:r>
    </w:p>
    <w:p w:rsidR="00000000" w:rsidRDefault="00000000"/>
    <w:p w:rsidR="00000000" w:rsidRDefault="00000000">
      <w:r>
        <w:t>171.</w:t>
      </w:r>
      <w:r>
        <w:tab/>
        <w:t>Избирательный совет саамского парламента отклонил большинство заявлений, поданных на основании регистрации в поземельных, налоговых или демографических кадастрах, установив, что заявители, если учитывать их язык, были финнами, а не саами.  Тем не менее 56 заявлений было принято на основе языковых знаний их авторов.  Просьбы о пересмотре избирательным советом своего решения подали в общей сложности 765 заявителей.  Из этих просьб избирательный совет отклонил 740, отметив, что заявители не представили каких</w:t>
      </w:r>
      <w:r>
        <w:noBreakHyphen/>
        <w:t>либо новых доказательств, которые могли бы повлиять на окончательное решение.  Совет удовлетворил просьбы 25 заявителей на основе их языковых знаний.  Из тех заявителей, чьи просьбы были отклонены, 726 человек препроводили свои просьбы Совету саамского парламента для пересмотра.  Совет отклонил все просьбы, за исключением одной, в отношении которой им было установлено, что заявитель представил достаточно доказательств, подтверждающих его саамское происхождение.  Почти 700 апелляций на решение Совета саамского парламента было подано в саамский парламент, большинство из которых было отклонено.  Однако около 30 апелляций было удовлетворено на основе языковых знаний.  Не менее 657 заявителей подали дальнейшие апелляции в Высший административный суд.</w:t>
      </w:r>
    </w:p>
    <w:p w:rsidR="00000000" w:rsidRDefault="00000000"/>
    <w:p w:rsidR="00000000" w:rsidRDefault="00000000">
      <w:r>
        <w:t>172.</w:t>
      </w:r>
      <w:r>
        <w:tab/>
        <w:t>Окончательные решения по вопросу об определении саами были вынесены Высшим административным судом 22 сентября 1999</w:t>
      </w:r>
      <w:r>
        <w:rPr>
          <w:lang w:val="en-US"/>
        </w:rPr>
        <w:t> </w:t>
      </w:r>
      <w:r>
        <w:t>года.  Высший административный суд отклонил большинство апелляций.  Суд отметил, что положение об определении саами является неясным в том, что касается регистрации лиц в поземельных, налоговых или демографических кадастрах в качестве горных или лесных лапландцев, или же лапландцев-рыбаков.  Поэтому Суд постановил, что решение не может быть основано исключительно на формулировке данного положения.  В своем толковании этого положения Суд принял во внимание права, которые гарантируются Конституцией саами в качестве коренного народа, а также цель Закона о парламенте саами, заключающуюся в том, чтобы обеспечить самоуправление саами в том, что касается их языка и культуры.  Отметив, что поскольку языковой критерий означал, что, по крайней мере, один из родителей соответствующего лица должен был овладеть саами в качестве своего первого языка, то нельзя было считать соответствующее лицо саами на основании критерия регистрации, если его предок, зарегистрированный в поземельном, налоговом или демографическом кадастре в качестве горного или лесного лапландца, или же лапландца-рыбака, не являлся, по крайней мере, одним из родителей его родителей.  Таким образом, в большинстве случаев апелляции были отклонены на том основании, что записи, сделанные в таких кадастрах, охватывали слишком много поколений.</w:t>
      </w:r>
    </w:p>
    <w:p w:rsidR="00000000" w:rsidRDefault="00000000"/>
    <w:p w:rsidR="00000000" w:rsidRDefault="00000000">
      <w:r>
        <w:t>173.</w:t>
      </w:r>
      <w:r>
        <w:tab/>
        <w:t>Поскольку вопрос о толковании положения об определении саами был разрешен посредством прецедента, созданного Высшим административным судом, то было решено, что нет необходимости вносить поправки в указанное положение, содержащееся в пункте 3 Закона о саамском парламенте.  Предполагается, что, с учетом количества заявлений о включении в список избирателей, составленный для выборов в саамский парламент 2003 года (около 50 заявлений), на основе регистрационного критерия, более не будет подаваться такого множества апелляций, как на первых выборах, принимая во внимание также и то, что процедура подачи апелляций на решения, связанные с выборами в саамский парламент, была несколько упрощена за счет принятия законодательных поправок.</w:t>
      </w:r>
    </w:p>
    <w:p w:rsidR="00000000" w:rsidRDefault="00000000"/>
    <w:p w:rsidR="00000000" w:rsidRDefault="00000000">
      <w:r>
        <w:t>174.</w:t>
      </w:r>
      <w:r>
        <w:tab/>
        <w:t xml:space="preserve">Вопрос о </w:t>
      </w:r>
      <w:r>
        <w:rPr>
          <w:i/>
          <w:iCs/>
        </w:rPr>
        <w:t>правах собственности саами на землю</w:t>
      </w:r>
      <w:r>
        <w:t xml:space="preserve"> был рассмотрен в рамках ответа, данного в отношении предложения/рекомендации Комитета Е 25, выше.</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pPr>
        <w:jc w:val="center"/>
        <w:rPr>
          <w:b/>
          <w:bCs/>
        </w:rPr>
      </w:pPr>
      <w:r>
        <w:rPr>
          <w:b/>
          <w:bCs/>
        </w:rPr>
        <w:t>Запрещение дискриминации</w:t>
      </w:r>
    </w:p>
    <w:p w:rsidR="00000000" w:rsidRDefault="00000000">
      <w:pPr>
        <w:rPr>
          <w:b/>
          <w:bCs/>
        </w:rPr>
      </w:pPr>
    </w:p>
    <w:p w:rsidR="00000000" w:rsidRDefault="00000000">
      <w:r>
        <w:t>175.</w:t>
      </w:r>
      <w:r>
        <w:tab/>
      </w:r>
      <w:r>
        <w:rPr>
          <w:i/>
          <w:iCs/>
        </w:rPr>
        <w:t>Закон о запрещении дискриминации</w:t>
      </w:r>
      <w:r>
        <w:t xml:space="preserve"> (21/2004) вступил в силу 1 февраля 2004 года, с тем чтобы реализовать положения Директивы Совета (2000/43/ЕС) об осуществлении принципа равного обращения со всеми лицами, независимо от расового или этнического происхождения, а также Директивы Совета (2000/78/ЕС) о создании общей основы для равного обращения в сфере занятости и профессиональной деятельности.  Цель Закона заключается в поощрении и обеспечении равноправия и предоставлении более эффективной защиты жертвам дискриминации в случаях дискриминации, подпадающих под рамки действия Закона.  Закон запрещает дискриминацию по признаку возраста, этнического или национального происхождения, гражданства, языка, религии, убеждений, мнений, состояния здоровья, инвалидности и сексуальной ориентации, а также по другим признакам личного свойства.  Закон о запрещении дискриминации также предполагает расширение возможностей доступа инвалидов к занятости и образованию.  Содержащееся в Законе определение дискриминации является широким и охватывает как прямую, так и косвенную дискриминацию.</w:t>
      </w:r>
    </w:p>
    <w:p w:rsidR="00000000" w:rsidRDefault="00000000"/>
    <w:p w:rsidR="00000000" w:rsidRDefault="00000000">
      <w:r>
        <w:t>176.</w:t>
      </w:r>
      <w:r>
        <w:tab/>
        <w:t>В соответствии со статьей 2 Закона о запрещении дискриминации положения Закона распространяются на следующие аспекты государственной и частной деятельности:</w:t>
      </w:r>
    </w:p>
    <w:p w:rsidR="00000000" w:rsidRDefault="00000000"/>
    <w:p w:rsidR="00000000" w:rsidRDefault="00000000">
      <w:pPr>
        <w:ind w:left="1134" w:hanging="1134"/>
      </w:pPr>
      <w:r>
        <w:tab/>
        <w:t>1)</w:t>
      </w:r>
      <w:r>
        <w:tab/>
        <w:t>условия доступа к самостоятельной занятости или средствам к существованию, а также поддержку предпринимательской деятельности;</w:t>
      </w:r>
    </w:p>
    <w:p w:rsidR="00000000" w:rsidRDefault="00000000">
      <w:pPr>
        <w:ind w:left="1134" w:hanging="1134"/>
      </w:pPr>
    </w:p>
    <w:p w:rsidR="00000000" w:rsidRDefault="00000000">
      <w:pPr>
        <w:ind w:left="1134" w:hanging="1134"/>
      </w:pPr>
      <w:r>
        <w:tab/>
        <w:t>2)</w:t>
      </w:r>
      <w:r>
        <w:tab/>
        <w:t>условия найма, трудоустройства и работы, подготовку персонала и продвижение по службе;</w:t>
      </w:r>
    </w:p>
    <w:p w:rsidR="00000000" w:rsidRDefault="00000000">
      <w:pPr>
        <w:ind w:left="1134" w:hanging="1134"/>
      </w:pPr>
    </w:p>
    <w:p w:rsidR="00000000" w:rsidRDefault="00000000">
      <w:pPr>
        <w:ind w:left="1134" w:hanging="1134"/>
      </w:pPr>
      <w:r>
        <w:tab/>
        <w:t>3)</w:t>
      </w:r>
      <w:r>
        <w:tab/>
        <w:t>доступ к профессиональной подготовке, включая повышение квалификации и переподготовку, и профессиональной ориентации;  и</w:t>
      </w:r>
    </w:p>
    <w:p w:rsidR="00000000" w:rsidRDefault="00000000">
      <w:pPr>
        <w:ind w:left="1134" w:hanging="1134"/>
      </w:pPr>
    </w:p>
    <w:p w:rsidR="00000000" w:rsidRDefault="00000000">
      <w:pPr>
        <w:ind w:left="1134" w:hanging="1134"/>
      </w:pPr>
      <w:r>
        <w:tab/>
        <w:t>4)</w:t>
      </w:r>
      <w:r>
        <w:tab/>
        <w:t>членство и участие в деятельности организаций работников или работодателей или других организаций, члены которых принадлежат к определенной профессии, включая льготы, предоставляемые такими организациями.</w:t>
      </w:r>
    </w:p>
    <w:p w:rsidR="00000000" w:rsidRDefault="00000000">
      <w:pPr>
        <w:ind w:left="1134" w:hanging="1134"/>
      </w:pPr>
    </w:p>
    <w:p w:rsidR="00000000" w:rsidRDefault="00000000">
      <w:r>
        <w:t>177.</w:t>
      </w:r>
      <w:r>
        <w:tab/>
        <w:t>Закон также распространяется на дискриминацию по этническому признаку в отношении:</w:t>
      </w:r>
    </w:p>
    <w:p w:rsidR="00000000" w:rsidRDefault="00000000"/>
    <w:p w:rsidR="00000000" w:rsidRDefault="00000000">
      <w:pPr>
        <w:ind w:left="1134" w:hanging="1134"/>
      </w:pPr>
      <w:r>
        <w:tab/>
        <w:t>1)</w:t>
      </w:r>
      <w:r>
        <w:tab/>
        <w:t>служб социального обеспечения и здравоохранения;</w:t>
      </w:r>
    </w:p>
    <w:p w:rsidR="00000000" w:rsidRDefault="00000000">
      <w:pPr>
        <w:ind w:left="1134" w:hanging="1134"/>
      </w:pPr>
    </w:p>
    <w:p w:rsidR="00000000" w:rsidRDefault="00000000">
      <w:pPr>
        <w:ind w:left="1134" w:hanging="1134"/>
      </w:pPr>
      <w:r>
        <w:tab/>
        <w:t>2)</w:t>
      </w:r>
      <w:r>
        <w:tab/>
        <w:t>выплат по социальному страхованию и других форм поддержки, скидок или льгот, предоставляемых по социальным соображениям;</w:t>
      </w:r>
    </w:p>
    <w:p w:rsidR="00000000" w:rsidRDefault="00000000">
      <w:pPr>
        <w:ind w:left="1134" w:hanging="1134"/>
      </w:pPr>
    </w:p>
    <w:p w:rsidR="00000000" w:rsidRDefault="00000000">
      <w:pPr>
        <w:ind w:left="1134" w:hanging="1134"/>
      </w:pPr>
      <w:r>
        <w:tab/>
        <w:t>3)</w:t>
      </w:r>
      <w:r>
        <w:tab/>
        <w:t>воинской службы, членской добровольной воинской службы или альтернативной службы;  или</w:t>
      </w:r>
    </w:p>
    <w:p w:rsidR="00000000" w:rsidRDefault="00000000">
      <w:pPr>
        <w:ind w:left="1134" w:hanging="1134"/>
      </w:pPr>
    </w:p>
    <w:p w:rsidR="00000000" w:rsidRDefault="00000000">
      <w:pPr>
        <w:ind w:left="1134" w:hanging="1134"/>
      </w:pPr>
      <w:r>
        <w:tab/>
        <w:t>4)</w:t>
      </w:r>
      <w:r>
        <w:tab/>
        <w:t>обеспечения жильем и движимым и недвижимым имуществом или доступа к жилью и такому имуществу, а также услуг, предоставляемых широкому населению, не связанных с отношениями между частными лицами.</w:t>
      </w:r>
    </w:p>
    <w:p w:rsidR="00000000" w:rsidRDefault="00000000">
      <w:pPr>
        <w:ind w:left="1134" w:hanging="1134"/>
      </w:pPr>
    </w:p>
    <w:p w:rsidR="00000000" w:rsidRDefault="00000000">
      <w:r>
        <w:t>178.</w:t>
      </w:r>
      <w:r>
        <w:tab/>
        <w:t>В соответствии с пунктом 3 Закона о запрещении дискриминации положения Закона не распространяются на:</w:t>
      </w:r>
    </w:p>
    <w:p w:rsidR="00000000" w:rsidRDefault="00000000"/>
    <w:p w:rsidR="00000000" w:rsidRDefault="00000000">
      <w:pPr>
        <w:ind w:left="1134" w:hanging="1134"/>
      </w:pPr>
      <w:r>
        <w:tab/>
        <w:t>1)</w:t>
      </w:r>
      <w:r>
        <w:tab/>
        <w:t>цели или содержание образования или системы образования;  или</w:t>
      </w:r>
    </w:p>
    <w:p w:rsidR="00000000" w:rsidRDefault="00000000">
      <w:pPr>
        <w:ind w:left="1134" w:hanging="1134"/>
      </w:pPr>
    </w:p>
    <w:p w:rsidR="00000000" w:rsidRDefault="00000000">
      <w:pPr>
        <w:ind w:left="1134" w:hanging="1134"/>
      </w:pPr>
      <w:r>
        <w:tab/>
        <w:t>2)</w:t>
      </w:r>
      <w:r>
        <w:tab/>
        <w:t>действие положений, регулирующих порядок въезда и проживания в стране иностранцев, или дифференцированный режим иностранцев в силу их юридического статуса, определяемого законом.</w:t>
      </w:r>
    </w:p>
    <w:p w:rsidR="00000000" w:rsidRDefault="00000000">
      <w:r>
        <w:t>179.</w:t>
      </w:r>
      <w:r>
        <w:tab/>
        <w:t>В соответствии с пунктом 11 Закона контроль за соблюдением положений Закона в сферах трудовых и служебных взаимоотношений, регулируемых публичными законами, и отношениях, связанных со стажировкой и иной аналогичной деятельностью на рабочих местах, осуществляется службами техники безопасности и охраны здоровья, согласно положениям Закона о контроле за соблюдением техники безопасности и обеспечении охраны здоровья и подачи апелляций по вопросам соблюдения техники безопасности и охраны здоровья (131/1973).  Надзор за соблюдением запрещения дискриминации по этническому признаку в сферах, не связанных с трудовыми и служебными взаимоотношениями, регулируемыми публичными законами, осуществляют омбудсмен по делам меньшинств и Совет по вопросам дискриминации.</w:t>
      </w:r>
    </w:p>
    <w:p w:rsidR="00000000" w:rsidRDefault="00000000"/>
    <w:p w:rsidR="00000000" w:rsidRDefault="00000000">
      <w:r>
        <w:t>180.</w:t>
      </w:r>
      <w:r>
        <w:tab/>
        <w:t>В пункте 13 Закона о запрещении дискриминации определены обязанности Национального совета по вопросам дискриминации.  В вопросах, касающихся этнической дискриминации, если они не связаны с трудовыми или служебными взаимоотношениями, регулируемыми публичными законами, или отношениями, касающимися стажировки и иной аналогичной деятельности на рабочих местах, Совет по вопросам дискриминации уполномочен:</w:t>
      </w:r>
    </w:p>
    <w:p w:rsidR="00000000" w:rsidRDefault="00000000"/>
    <w:p w:rsidR="00000000" w:rsidRDefault="00000000">
      <w:pPr>
        <w:ind w:left="1134" w:hanging="1134"/>
      </w:pPr>
      <w:r>
        <w:tab/>
        <w:t>1)</w:t>
      </w:r>
      <w:r>
        <w:tab/>
        <w:t>подтверждать примирительное соглашение сторон;  или</w:t>
      </w:r>
    </w:p>
    <w:p w:rsidR="00000000" w:rsidRDefault="00000000">
      <w:pPr>
        <w:ind w:left="1134" w:hanging="1134"/>
      </w:pPr>
    </w:p>
    <w:p w:rsidR="00000000" w:rsidRDefault="00000000">
      <w:pPr>
        <w:ind w:left="1134" w:hanging="1134"/>
      </w:pPr>
      <w:r>
        <w:tab/>
        <w:t>2)</w:t>
      </w:r>
      <w:r>
        <w:tab/>
        <w:t>запрещать продолжение или повторение действий, противоречащих условиям, изложенным в пункте 6 или пункте 8.</w:t>
      </w:r>
    </w:p>
    <w:p w:rsidR="00000000" w:rsidRDefault="00000000">
      <w:pPr>
        <w:ind w:left="1134" w:hanging="1134"/>
      </w:pPr>
    </w:p>
    <w:p w:rsidR="00000000" w:rsidRDefault="00000000">
      <w:r>
        <w:t>181.</w:t>
      </w:r>
      <w:r>
        <w:tab/>
        <w:t>Для обеспечения выполнения своих решений Совет может налагать условные штрафы и взыскивать их в порядке, предусмотренном в Законе об условном наложении штрафов (1113/1990).  Совет также может принимать заключения о применении положений Закона о запрещении дискриминации.  Совет по вопросам дискриминации не заменяет собой какие-либо существующие средства или формы правовой защиты или подачи апелляций, а представляет собой дополнительное средство защиты, имеющееся в распоряжении жертв дискриминации.</w:t>
      </w:r>
    </w:p>
    <w:p w:rsidR="00000000" w:rsidRDefault="00000000"/>
    <w:p w:rsidR="00000000" w:rsidRDefault="00000000">
      <w:r>
        <w:t>182.</w:t>
      </w:r>
      <w:r>
        <w:tab/>
        <w:t>В Законе о запрещении дискриминации предусматривается, что каждый орган должен разработать план содействия этническому равенству (</w:t>
      </w:r>
      <w:r>
        <w:rPr>
          <w:i/>
          <w:iCs/>
        </w:rPr>
        <w:t>план обеспечения равенства</w:t>
      </w:r>
      <w:r>
        <w:t>).  Министерство труда разработало общие рекомендации относительно содержания таких планов для государственных и местных органов на финском, шведском и саамском языках.  Планы обеспечения равенства должны быть разработаны к концу 2005 года.</w:t>
      </w:r>
    </w:p>
    <w:p w:rsidR="00000000" w:rsidRDefault="00000000"/>
    <w:p w:rsidR="00000000" w:rsidRDefault="00000000">
      <w:r>
        <w:t xml:space="preserve">С текстом Закона о запрещении дискриминации на английском языке можно ознакомиться в Интернете по следующему адресу:  </w:t>
      </w:r>
      <w:hyperlink r:id="rId11"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finlex</w:t>
        </w:r>
        <w:r>
          <w:rPr>
            <w:rStyle w:val="Hyperlink"/>
            <w:u w:val="none"/>
          </w:rPr>
          <w:t>.</w:t>
        </w:r>
        <w:r>
          <w:rPr>
            <w:rStyle w:val="Hyperlink"/>
            <w:u w:val="none"/>
            <w:lang w:val="en-US"/>
          </w:rPr>
          <w:t>fi</w:t>
        </w:r>
        <w:r>
          <w:rPr>
            <w:rStyle w:val="Hyperlink"/>
            <w:u w:val="none"/>
          </w:rPr>
          <w:t>/</w:t>
        </w:r>
        <w:r>
          <w:rPr>
            <w:rStyle w:val="Hyperlink"/>
            <w:u w:val="none"/>
            <w:lang w:val="en-US"/>
          </w:rPr>
          <w:t>fi</w:t>
        </w:r>
        <w:r>
          <w:rPr>
            <w:rStyle w:val="Hyperlink"/>
            <w:u w:val="none"/>
          </w:rPr>
          <w:t>/</w:t>
        </w:r>
        <w:r>
          <w:rPr>
            <w:rStyle w:val="Hyperlink"/>
            <w:u w:val="none"/>
            <w:lang w:val="en-US"/>
          </w:rPr>
          <w:t>laki</w:t>
        </w:r>
        <w:r>
          <w:rPr>
            <w:rStyle w:val="Hyperlink"/>
            <w:u w:val="none"/>
          </w:rPr>
          <w:t>/</w:t>
        </w:r>
        <w:r>
          <w:rPr>
            <w:rStyle w:val="Hyperlink"/>
            <w:u w:val="none"/>
            <w:lang w:val="en-US"/>
          </w:rPr>
          <w:t>kaannokset</w:t>
        </w:r>
        <w:r>
          <w:rPr>
            <w:rStyle w:val="Hyperlink"/>
            <w:u w:val="none"/>
          </w:rPr>
          <w:t>/2004/</w:t>
        </w:r>
        <w:r>
          <w:rPr>
            <w:rStyle w:val="Hyperlink"/>
            <w:u w:val="none"/>
            <w:lang w:val="en-US"/>
          </w:rPr>
          <w:t>en</w:t>
        </w:r>
        <w:r>
          <w:rPr>
            <w:rStyle w:val="Hyperlink"/>
            <w:u w:val="none"/>
          </w:rPr>
          <w:t>20040021.</w:t>
        </w:r>
        <w:r>
          <w:rPr>
            <w:rStyle w:val="Hyperlink"/>
            <w:u w:val="none"/>
            <w:lang w:val="en-US"/>
          </w:rPr>
          <w:t>pdf</w:t>
        </w:r>
      </w:hyperlink>
      <w:r>
        <w:t>.</w:t>
      </w:r>
    </w:p>
    <w:p w:rsidR="00000000" w:rsidRDefault="00000000"/>
    <w:p w:rsidR="00000000" w:rsidRDefault="00000000">
      <w:r>
        <w:t>183.</w:t>
      </w:r>
      <w:r>
        <w:tab/>
        <w:t>Национальный совет по делам инвалидов - это орган, функционирующий под эгидой министерства социального обеспечения и здравоохранения, который координирует взаимодействие между властями, инвалидами и их семьями, а также организациями, занимающимися делами инвалидов, при планировании, разработке и осуществлении деятельности, касающейся условий жизни и благосостояния инвалидов.</w:t>
      </w:r>
    </w:p>
    <w:p w:rsidR="00000000" w:rsidRDefault="00000000"/>
    <w:p w:rsidR="00000000" w:rsidRDefault="00000000">
      <w:r>
        <w:t>184.</w:t>
      </w:r>
      <w:r>
        <w:tab/>
        <w:t>Закон о предоставлении услуг и осуществлении мер поддержки инвалидов (380/1987) направлен на расширение возможностей инвалидов жить в качестве равноправных членов общества вместе с другими людьми и недопущение возникновения и устранение препятствий, обусловленных инвалидностью.  Закон предусматривает возможность создания местными органами местных советов по делам инвалидов, активизации различных мероприятий, имеющих важное значение для инвалидов, и наблюдения за их осуществлением.  Такие советы могут по своей инициативе вносить предложения и мнения относительно вопросов, имеющих значение для повседневной жизни инвалидов.  Инвалиды и их семьи, а также организации, занимающиеся делами инвалидов, должны быть соответствующим образом представлены в местных советах.</w:t>
      </w:r>
    </w:p>
    <w:p w:rsidR="00000000" w:rsidRDefault="00000000"/>
    <w:p w:rsidR="00000000" w:rsidRDefault="00000000">
      <w:r>
        <w:t>185.</w:t>
      </w:r>
      <w:r>
        <w:tab/>
        <w:t xml:space="preserve">Новый Закон о трудовых соглашениях (55/2001), который вступил в силу в 2001 году, рассматривается выше в рамках ответа на замечание </w:t>
      </w:r>
      <w:r>
        <w:rPr>
          <w:lang w:val="en-US"/>
        </w:rPr>
        <w:t>D</w:t>
      </w:r>
      <w:r>
        <w:t xml:space="preserve"> 14 Комитета.</w:t>
      </w:r>
    </w:p>
    <w:p w:rsidR="00000000" w:rsidRDefault="00000000"/>
    <w:p w:rsidR="00000000" w:rsidRDefault="00000000">
      <w:r>
        <w:t>186.</w:t>
      </w:r>
      <w:r>
        <w:tab/>
        <w:t xml:space="preserve">По мнению </w:t>
      </w:r>
      <w:r>
        <w:rPr>
          <w:i/>
          <w:iCs/>
        </w:rPr>
        <w:t>Омбудсмена по делам меньшинств</w:t>
      </w:r>
      <w:r>
        <w:t>, возможности вмешательства, особенно в том, что касается дискриминации по признаку этнического происхождения, значительно улучшились после вступления в силу 1 февраля 2004 Закона о запрещении дискриминации.  С точки зрения жертв особо важное значение имеют положения Закона о запрещении дискриминации, касающиеся общего бремени доказывания и возможности получения возмещения посредством обращения в суд (статьи 17 и 19).</w:t>
      </w:r>
    </w:p>
    <w:p w:rsidR="00000000" w:rsidRDefault="00000000"/>
    <w:p w:rsidR="00000000" w:rsidRDefault="00000000">
      <w:r>
        <w:t>187.</w:t>
      </w:r>
      <w:r>
        <w:tab/>
        <w:t xml:space="preserve">В докладе </w:t>
      </w:r>
      <w:r>
        <w:rPr>
          <w:i/>
          <w:iCs/>
        </w:rPr>
        <w:t>Парламентского омбудсмена</w:t>
      </w:r>
      <w:r>
        <w:t xml:space="preserve"> за 2002 год обращается внимание на тот факт, что нетерпимость и даже дискриминация в отношении меньшинств могут привести к серьезным нарушениям основополагающих прав и прав человека.</w:t>
      </w:r>
    </w:p>
    <w:p w:rsidR="00000000" w:rsidRDefault="00000000"/>
    <w:p w:rsidR="00000000" w:rsidRDefault="00000000">
      <w:r>
        <w:t>188.</w:t>
      </w:r>
      <w:r>
        <w:tab/>
        <w:t>Жалобы, направлявшиеся в адрес Парламентского омбудсмена, содержали некоторые утверждения о расистском или ксенофобском отношении со стороны должностных лиц.  В одном решении Парламентского омбудсмена критиковалась местная полиция, которая подавала информацию для общественности таким образом, что складывалось впечатление, будто бы все рома - преступники.  Внимание полиции было также обращено на требование, касающееся необходимости использовать надлежащие формулировки, когда речь идет об этническом происхождении подозреваемых.</w:t>
      </w:r>
    </w:p>
    <w:p w:rsidR="00000000" w:rsidRDefault="00000000"/>
    <w:p w:rsidR="00000000" w:rsidRDefault="00000000">
      <w:r>
        <w:t>189.</w:t>
      </w:r>
      <w:r>
        <w:tab/>
        <w:t>Одна из задач проводившихся Парламентским омбудсменом в 2004 году инспекций заключалась в том, чтобы установить, в какой степени власти соблюдают свои обязательства по новому Закону о запрещении дискриминации.  При инспектировании тюрем и других закрытых учреждений Парламентский омбудсмен всегда уделяет особое внимание положению заключенных рома и иностранцев, а также заключенных, принадлежащих к языковым меньшинствам, и равному обращению с ними.</w:t>
      </w:r>
    </w:p>
    <w:p w:rsidR="00000000" w:rsidRDefault="00000000"/>
    <w:p w:rsidR="00000000" w:rsidRDefault="00000000">
      <w:r>
        <w:t>190.</w:t>
      </w:r>
      <w:r>
        <w:tab/>
        <w:t>Согласно представлениям, сделанным Парламентским омбудсменом, для обеспечения равноправия инвалидов важное значение имеет, например, предоставление транспортных услуг лицам, имеющим тяжелую инвалидность.  Местные власти должны обеспечивать, чтобы такие лица также могли на практике пользоваться соответствующими транспортными услугами.</w:t>
      </w:r>
    </w:p>
    <w:p w:rsidR="00000000" w:rsidRDefault="00000000"/>
    <w:p w:rsidR="00000000" w:rsidRDefault="00000000">
      <w:r>
        <w:t>191.</w:t>
      </w:r>
      <w:r>
        <w:tab/>
        <w:t>В одном решении Парламентский омбудсмен установил, что указания одного местного органа власти относительно обеспечения инвалидов медицинским оборудованием противоречили конституционному положению о запрещении дискриминации по возрастному признаку в силу того, что эти указания отказывали в возможностях медицинской реабилитации таким пациентам в возрасте 18 лет или старше, которые нуждались в специальном медицинском оборудовании, без представления этим местным органам власти каких-либо приемлемых причин использования возрастного критерия.</w:t>
      </w:r>
    </w:p>
    <w:p w:rsidR="00000000" w:rsidRDefault="00000000"/>
    <w:p w:rsidR="00000000" w:rsidRDefault="00000000">
      <w:r>
        <w:t>192.</w:t>
      </w:r>
      <w:r>
        <w:tab/>
        <w:t>По мнению Лиги финских феминисток (</w:t>
      </w:r>
      <w:r>
        <w:rPr>
          <w:lang w:val="en-US"/>
        </w:rPr>
        <w:t>Unioni</w:t>
      </w:r>
      <w:r>
        <w:t>), дискриминация, основанная на перемене пола и на сексуальной самоидентификации, также должна быть квалифицирована в качестве дискриминации по признаку пола.  Это означает, например, дискриминацию в силу того, что внешность того или иного человека не соответствует общим представлениям о его/ее официальном поле, или по причине того, что соответствующему лицу была сделана операция по перемене пола.</w:t>
      </w:r>
    </w:p>
    <w:p w:rsidR="00000000" w:rsidRDefault="00000000"/>
    <w:p w:rsidR="00000000" w:rsidRDefault="00000000">
      <w:r>
        <w:t>193.</w:t>
      </w:r>
      <w:r>
        <w:tab/>
        <w:t xml:space="preserve">Вопросы дискриминации также рассматриваются в ответах, высказанных в отношении замечания </w:t>
      </w:r>
      <w:r>
        <w:rPr>
          <w:lang w:val="en-US"/>
        </w:rPr>
        <w:t>D</w:t>
      </w:r>
      <w:r>
        <w:t xml:space="preserve"> 14 Комитета и его предложения/рекомендации Е 27.</w:t>
      </w:r>
    </w:p>
    <w:p w:rsidR="00000000" w:rsidRDefault="00000000">
      <w:pPr>
        <w:jc w:val="center"/>
        <w:rPr>
          <w:b/>
          <w:bCs/>
        </w:rPr>
      </w:pPr>
      <w:r>
        <w:br w:type="page"/>
      </w:r>
      <w:r>
        <w:rPr>
          <w:b/>
          <w:bCs/>
        </w:rPr>
        <w:t>Статья 3</w:t>
      </w:r>
    </w:p>
    <w:p w:rsidR="00000000" w:rsidRDefault="00000000">
      <w:pPr>
        <w:rPr>
          <w:b/>
          <w:bCs/>
        </w:rPr>
      </w:pPr>
    </w:p>
    <w:p w:rsidR="00000000" w:rsidRDefault="00000000">
      <w:pPr>
        <w:jc w:val="center"/>
        <w:rPr>
          <w:b/>
          <w:bCs/>
        </w:rPr>
      </w:pPr>
      <w:r>
        <w:rPr>
          <w:b/>
          <w:bCs/>
        </w:rPr>
        <w:t>1.</w:t>
      </w:r>
      <w:r>
        <w:rPr>
          <w:b/>
          <w:bCs/>
        </w:rPr>
        <w:tab/>
        <w:t>Поправки к законам</w:t>
      </w:r>
    </w:p>
    <w:p w:rsidR="00000000" w:rsidRDefault="00000000">
      <w:pPr>
        <w:rPr>
          <w:b/>
          <w:bCs/>
        </w:rPr>
      </w:pPr>
    </w:p>
    <w:p w:rsidR="00000000" w:rsidRDefault="00000000">
      <w:r>
        <w:t>194.</w:t>
      </w:r>
      <w:r>
        <w:tab/>
        <w:t>Содержание Закона о равноправии мужчин и женщин (609/1986;  Закон о равноправии) было изменено положениями, вступившими в силу 1 июня 2005 года (Закон 232/2005).  Цель реформы заключалась в том, чтобы внести поправки в Закон о равноправии и дополнить его с целью приведения его в соответствие с правовыми нормами Сообщества и прецедентным правом Суда Европейских сообществ.  Эта реформа также позволила решить проблемы и устранить недостатки, связанные с применением Закона.  Особая задача реформы заключалась в прояснении обязательств властей и работодателей, по содействию равноправию и уточнении положений Закона, связанных с запрещением дискриминации на работе.  В то же время поправки к Закону о равноправии реализуют Директиву Совета (2000/78/ЕС) о создании общей основы для равного обращения в сфере занятости и профессиональной деятельности.</w:t>
      </w:r>
    </w:p>
    <w:p w:rsidR="00000000" w:rsidRDefault="00000000"/>
    <w:p w:rsidR="00000000" w:rsidRDefault="00000000">
      <w:r>
        <w:t>195.</w:t>
      </w:r>
      <w:r>
        <w:tab/>
        <w:t>Наиболее важную перемену для работодателей представляют собой положения, касающиеся минимального содержания планов обеспечения равноправия, которые требуются Законом о равноправии.  Необходимо, чтобы новые планы обеспечения равноправия отражали фактическое равенство на рабочих местах, включая количество мужчин и женщин, занятых выполнением различных функций, классификацию функций мужчин и женщин, их заработную плату и разницу в оплате труда, а также меры, которые необходимо принять с целью содействия равенству, и оценку мер, принимавшихся ранее и их результатов.  Планы обеспечения равноправия должны составляться всеми работодателями, имеющими не менее 30 работников.</w:t>
      </w:r>
    </w:p>
    <w:p w:rsidR="00000000" w:rsidRDefault="00000000"/>
    <w:p w:rsidR="00000000" w:rsidRDefault="00000000">
      <w:r>
        <w:t>196.</w:t>
      </w:r>
      <w:r>
        <w:tab/>
        <w:t>Положение об общей обязанности властей содействовать равноправию стало более точным.  Власти должны содействовать равноправию между мужчинами и женщинами во всей своей деятельности, следуя четко установленным задачах и планам, разработанным в этих целях, а также создавать и претворять в жизнь такой порядок административных и других практических действий, который предполагал бы содействие равноправию в подготовительной работе и принятии решений.  Соображения, связанные с содействием равноправию, должны также приниматься во внимание при организации и предоставлении услуг.</w:t>
      </w:r>
    </w:p>
    <w:p w:rsidR="00000000" w:rsidRDefault="00000000"/>
    <w:p w:rsidR="00000000" w:rsidRDefault="00000000">
      <w:r>
        <w:t>197.</w:t>
      </w:r>
      <w:r>
        <w:tab/>
        <w:t xml:space="preserve">Положение Закона о равноправии, содержащее требование о квотах представленности мужчин и женщин (не менее 40% от каждой группы) во всех государственных и местных коллективных органах, также распространяется на совместные коллективные органы, учрежденные в некоторых муниципалитетах.  В категорию таких совместных органов входят, по крайней мере, муниципальные органы, о которых говорится в пункте 17 Закона о местных органах власти.  </w:t>
      </w:r>
    </w:p>
    <w:p w:rsidR="00000000" w:rsidRDefault="00000000"/>
    <w:p w:rsidR="00000000" w:rsidRDefault="00000000">
      <w:r>
        <w:t>198.</w:t>
      </w:r>
      <w:r>
        <w:tab/>
        <w:t>Закон о равноправии с внесенными в него поправками также содержит более конкретные положения об обязанностях учебных заведений и других образовательных служб по содействию равенству между мужчинами и женщинами.  Учебные заведения также должны разрабатывать планы обеспечения равноправия.  В числе других новых положений, касающихся учебных заведений и других образовательных служб, можно назвать те, которые определяют дискриминацию по признаку пола и сексуальные домогательства в учебных заведениях, а также положения об обязанности учебных заведений объяснять учащимся, по их просьбе, содержание принимаемых ими мер, которые соответствуют аналогичному положению, касающемуся работодателей.  Эти положения не распространяются на образовательные службы или школы, о которых говорится в Законе о базовом образовании (628/1998;  касается общего школьного образования).  С другой стороны, положения Закона о равноправии, касающиеся местных органов власти и совместных муниципальных советов, также должны приниматься во внимание в процессе предоставления базового образования.</w:t>
      </w:r>
    </w:p>
    <w:p w:rsidR="00000000" w:rsidRDefault="00000000"/>
    <w:p w:rsidR="00000000" w:rsidRDefault="00000000">
      <w:r>
        <w:t>199.</w:t>
      </w:r>
      <w:r>
        <w:tab/>
        <w:t xml:space="preserve">Верхний предел компенсации, выплачиваемой в рамках Закона о равноправии за нарушение положения о запрещении дискриминации, был отменен.  Более жесткие положения, касающиеся санкций, содействуют достижению целей, поставленных в планах обеспечения равноправия.  Национальный совет женщин Финляндии и Лига финских феминисток представили данные о том, что требуемые Законом о равноправии планы обеспечения равноправия подготовлены лишь в 27% компаний частного сектора и 25% местных органов власти.  </w:t>
      </w:r>
    </w:p>
    <w:p w:rsidR="00000000" w:rsidRDefault="00000000"/>
    <w:p w:rsidR="00000000" w:rsidRDefault="00000000">
      <w:pPr>
        <w:jc w:val="center"/>
        <w:rPr>
          <w:b/>
          <w:bCs/>
        </w:rPr>
      </w:pPr>
      <w:r>
        <w:rPr>
          <w:b/>
          <w:bCs/>
        </w:rPr>
        <w:t>2.</w:t>
      </w:r>
      <w:r>
        <w:rPr>
          <w:b/>
          <w:bCs/>
        </w:rPr>
        <w:tab/>
        <w:t>Политика равноправия</w:t>
      </w:r>
    </w:p>
    <w:p w:rsidR="00000000" w:rsidRDefault="00000000">
      <w:pPr>
        <w:rPr>
          <w:b/>
          <w:bCs/>
        </w:rPr>
      </w:pPr>
    </w:p>
    <w:p w:rsidR="00000000" w:rsidRDefault="00000000">
      <w:r>
        <w:t>200.</w:t>
      </w:r>
      <w:r>
        <w:tab/>
      </w:r>
      <w:r>
        <w:rPr>
          <w:i/>
          <w:iCs/>
        </w:rPr>
        <w:t>Правительственная программа по обеспечению равноправия на 2004-2007 годы.</w:t>
      </w:r>
      <w:r>
        <w:t xml:space="preserve">  В соответствии с правительственной политической программой, содействие равноправию между мужчинами и женщинами является задачей всего правительства.  Правительство подготовило программу обеспечения равноправия на 2004-2007 годы.  Одновременно данная программа реализует Пекинскую декларацию и Платформу действий, принятые на четвертой Всемирной конференции Организации Объединенных Наций по положению женщин в 1995 году.  В правительственной программе по обеспечению равноправия особое внимание уделяется равноправию на работе.</w:t>
      </w:r>
    </w:p>
    <w:p w:rsidR="00000000" w:rsidRDefault="00000000"/>
    <w:p w:rsidR="00000000" w:rsidRDefault="00000000">
      <w:r>
        <w:t>201.</w:t>
      </w:r>
      <w:r>
        <w:tab/>
        <w:t>Данная программа была разработана во взаимодействии между всеми министерствами, и она предполагает выполнение различных задач, поставленных в правительственной политической программе, которые касаются обеспечения равноправия.  Программа предполагает осуществление законодательных проектов, проектов в области образования и развития, подготовку докладов и принятие других мер.  Задача наиболее широкомасштабного проекта, который будет осуществляться в сотрудничестве между различными министерствами, заключается в превращении равенства между мужчинами и женщинами в важнейшую составляющую деятельности во всех областях.  В числе других крупных компонентов программы можно назвать, в частности, содействие равноправию на работе и недопущение насилия в отношении женщин и насилия между интимными партнерами.</w:t>
      </w:r>
    </w:p>
    <w:p w:rsidR="00000000" w:rsidRDefault="00000000"/>
    <w:p w:rsidR="00000000" w:rsidRDefault="00000000">
      <w:r>
        <w:t>202.</w:t>
      </w:r>
      <w:r>
        <w:tab/>
        <w:t>В программе отмечается, что правительство намерено содействовать достижению равной оплаты труда и равноправию на работе за счет осуществления долгосрочной программы совместно с профсоюзами.  Цель заключается в ликвидации необоснованной разницы в оплате труда между мужчинами и женщинами.</w:t>
      </w:r>
    </w:p>
    <w:p w:rsidR="00000000" w:rsidRDefault="00000000"/>
    <w:p w:rsidR="00000000" w:rsidRDefault="00000000">
      <w:r>
        <w:t>203.</w:t>
      </w:r>
      <w:r>
        <w:tab/>
        <w:t>Мужчинам предлагается брать отпуска по семейным обстоятельствам, а расходы, которые несут работодатели по оплате таких отпусков, выровнены в большей степени, чем раньше.  Правительство расширяет возможности мужчин и женщин ходить на работу и заниматься предпринимательской деятельностью, обеспечивая, в частности, функционирование качественных служб по уходу за детьми в дневное время и других государственных служб.  Появлению женщин на рынке труда способствуют, например, отдельное налогообложение, социальное обеспечение работников и самостоятельно занятых лиц, основанное на факте из занятости, и ссуды, предоставляемые женщинам, желающим заняться предпринимательской деятельностью.</w:t>
      </w:r>
    </w:p>
    <w:p w:rsidR="00000000" w:rsidRDefault="00000000"/>
    <w:p w:rsidR="00000000" w:rsidRDefault="00000000">
      <w:r>
        <w:t>204.</w:t>
      </w:r>
      <w:r>
        <w:tab/>
      </w:r>
      <w:r>
        <w:rPr>
          <w:i/>
          <w:iCs/>
        </w:rPr>
        <w:t>Актуализация равноправия.</w:t>
      </w:r>
      <w:r>
        <w:t xml:space="preserve">  Задача актуализации вопросов равноправия между мужчинами и женщинами заключается в разработке такой административной и прочей практики, которая содействовала бы равноправию в рамках деятельности министерств и других органов.  Содействие такому равноправию имеет далеко идущие последствия для всего общества.  Важно оценивать последствия принимаемых министерствами решений для мужчин и женщин и обеспечения их равноправия.  Цель актуализации этих вопросов состоит в том, чтобы положить конец практике и функциональной культуре, которые нейтральны с гендерной точки зрения или не учитывают существующих между мужчинами и женщинами различий.</w:t>
      </w:r>
    </w:p>
    <w:p w:rsidR="00000000" w:rsidRDefault="00000000"/>
    <w:p w:rsidR="00000000" w:rsidRDefault="00000000">
      <w:r>
        <w:t>205.</w:t>
      </w:r>
      <w:r>
        <w:tab/>
        <w:t>Актуализация направлена на то, чтобы заставить должностных лиц руководствоваться гендерной перспективой как одним из аспектов, которые должны приниматься во внимание при подготовке решений.  Задача состоит в том, чтобы должностные лица лучше понимали последствия своих решений для обеспечения равноправия между мужчинами и женщинами.  Вопросы равноправия могут даже существенно различаться в различных секторах управления.  Поэтому важно, чтобы каждый сектор управления мог определять и принимать во внимание вопросы равноправия, имеющие отношение к данному сектору.  Проект актуализации разрабатывается министерством социального обеспечения и здравоохранения с 2002 года.  У некоторых других министерств есть и свои собственные проекты по актуализации вопросов равноправия.  Опыт, накопленный в ходе осуществления экспериментального проекта министерства социального обеспечения и здравоохранения, используется для разработки модуля актуализации вопросов равноправия во всех государственных органах.</w:t>
      </w:r>
    </w:p>
    <w:p w:rsidR="00000000" w:rsidRDefault="00000000"/>
    <w:p w:rsidR="00000000" w:rsidRDefault="00000000">
      <w:r>
        <w:t>206.</w:t>
      </w:r>
      <w:r>
        <w:tab/>
        <w:t>Принцип актуализации претворяется в жизнь, в частности, с помощью следующих мер:</w:t>
      </w:r>
    </w:p>
    <w:p w:rsidR="00000000" w:rsidRDefault="00000000"/>
    <w:p w:rsidR="00000000" w:rsidRDefault="00000000">
      <w:r>
        <w:tab/>
        <w:t>1.</w:t>
      </w:r>
      <w:r>
        <w:tab/>
        <w:t>Обучение и подготовка информации</w:t>
      </w:r>
    </w:p>
    <w:p w:rsidR="00000000" w:rsidRDefault="00000000"/>
    <w:p w:rsidR="00000000" w:rsidRDefault="00000000">
      <w:pPr>
        <w:ind w:left="1701" w:hanging="1701"/>
      </w:pPr>
      <w:r>
        <w:tab/>
      </w:r>
      <w:r>
        <w:tab/>
        <w:t>-</w:t>
      </w:r>
      <w:r>
        <w:tab/>
        <w:t>С 2004 года министерства вместе проводят подготовку по актуализации вопросов равноправия и оценке гендерного фактора.</w:t>
      </w:r>
    </w:p>
    <w:p w:rsidR="00000000" w:rsidRDefault="00000000"/>
    <w:p w:rsidR="00000000" w:rsidRDefault="00000000">
      <w:pPr>
        <w:ind w:left="1701" w:hanging="1701"/>
      </w:pPr>
      <w:r>
        <w:tab/>
      </w:r>
      <w:r>
        <w:tab/>
        <w:t>-</w:t>
      </w:r>
      <w:r>
        <w:tab/>
        <w:t>Внутренние учебные программы министерств будут разрабатываться с учетом перспективы обеспечения равноправия.  Задача заключается в том, чтобы к 2007 году перспектива обеспечения равноправия стала частью учебных программ.</w:t>
      </w:r>
    </w:p>
    <w:p w:rsidR="00000000" w:rsidRDefault="00000000"/>
    <w:p w:rsidR="00000000" w:rsidRDefault="00000000">
      <w:pPr>
        <w:ind w:left="1701" w:hanging="1701"/>
      </w:pPr>
      <w:r>
        <w:tab/>
      </w:r>
      <w:r>
        <w:tab/>
        <w:t>-</w:t>
      </w:r>
      <w:r>
        <w:tab/>
        <w:t>Министерство социального обеспечения и здравоохранения подготовит руководство по оценке гендерного фактора для государственных должностных лиц.</w:t>
      </w:r>
    </w:p>
    <w:p w:rsidR="00000000" w:rsidRDefault="00000000"/>
    <w:p w:rsidR="00000000" w:rsidRDefault="00000000">
      <w:pPr>
        <w:ind w:left="1701" w:hanging="1701"/>
      </w:pPr>
      <w:r>
        <w:tab/>
      </w:r>
      <w:r>
        <w:tab/>
        <w:t>-</w:t>
      </w:r>
      <w:r>
        <w:tab/>
        <w:t>С целью поддержания мер по актуализации вопросов равноправия в Финляндии был создан портал в Интернете, содержащий информацию о равноправии и феминистских исследованиях.  В Финляндии это первая база данных, посвященная вопросам равноправия.</w:t>
      </w:r>
    </w:p>
    <w:p w:rsidR="00000000" w:rsidRDefault="00000000"/>
    <w:p w:rsidR="00000000" w:rsidRDefault="00000000">
      <w:pPr>
        <w:ind w:left="1701" w:hanging="1701"/>
      </w:pPr>
      <w:r>
        <w:tab/>
      </w:r>
      <w:r>
        <w:tab/>
        <w:t>-</w:t>
      </w:r>
      <w:r>
        <w:tab/>
        <w:t>Барометр равноправия, который разрабатывается каждые три года, содержит информацию об отношении, ожиданиях и мнениях граждан по вопросам равноправия.</w:t>
      </w:r>
    </w:p>
    <w:p w:rsidR="00000000" w:rsidRDefault="00000000"/>
    <w:p w:rsidR="00000000" w:rsidRDefault="00000000">
      <w:pPr>
        <w:ind w:left="1701" w:hanging="1701"/>
      </w:pPr>
      <w:r>
        <w:tab/>
      </w:r>
      <w:r>
        <w:tab/>
        <w:t>-</w:t>
      </w:r>
      <w:r>
        <w:tab/>
        <w:t>Местными органами власти разработаны доступные всем базы данных, содержащие информацию гендерного характера.</w:t>
      </w:r>
    </w:p>
    <w:p w:rsidR="00000000" w:rsidRDefault="00000000"/>
    <w:p w:rsidR="00000000" w:rsidRDefault="00000000">
      <w:r>
        <w:tab/>
        <w:t>2.</w:t>
      </w:r>
      <w:r>
        <w:tab/>
        <w:t>Оценка гендерного воздействия  законодательства</w:t>
      </w:r>
    </w:p>
    <w:p w:rsidR="00000000" w:rsidRDefault="00000000"/>
    <w:p w:rsidR="00000000" w:rsidRDefault="00000000">
      <w:pPr>
        <w:ind w:left="1134" w:hanging="1134"/>
      </w:pPr>
      <w:r>
        <w:tab/>
      </w:r>
      <w:r>
        <w:tab/>
      </w:r>
      <w:r>
        <w:tab/>
        <w:t>В числе инструкций, касающихся разработки правительственных законопроектов, которые были пересмотрены в 2004 году, есть инструкции по оценке гендерного воздействия.  Задача состоит в изучении к 2006 году необходимости оценки гендерного воздействия в отношении всех новых законодательных проектов, а в случае выявления такой необходимости - проведении оценки гендерного воздействия соответствующих правительственных законопроектов.</w:t>
      </w:r>
    </w:p>
    <w:p w:rsidR="00000000" w:rsidRDefault="00000000"/>
    <w:p w:rsidR="00000000" w:rsidRDefault="00000000">
      <w:r>
        <w:tab/>
        <w:t>3.</w:t>
      </w:r>
      <w:r>
        <w:tab/>
        <w:t>Оценка гендерного воздействия бюджетов</w:t>
      </w:r>
    </w:p>
    <w:p w:rsidR="00000000" w:rsidRDefault="00000000"/>
    <w:p w:rsidR="00000000" w:rsidRDefault="00000000">
      <w:pPr>
        <w:ind w:left="1134" w:hanging="1134"/>
      </w:pPr>
      <w:r>
        <w:tab/>
      </w:r>
      <w:r>
        <w:tab/>
      </w:r>
      <w:r>
        <w:tab/>
        <w:t>В рамках экспериментального проекта, который был начат министерством социального обеспечения и здравоохранения в 2004 году, Государственный центр экономических исследований проводит оценку гендерного воздействия государственного бюджета в секторе указанного министерства, анализируя различные компоненты бюджета и их прямое и косвенное воздействие на обеспечение равноправия между мужчинами и женщинами.  Данный проект является частью более крупного проекта, принятого Советом министров стран Северной Европы с целью оценки гендерного воздействия бюджетов.  В 2005 году министерство социального обеспечения и здравоохранения и министерство финансов намереваются приступить к дальнейшему усовершенствованию оценки гендерного воздействия в свете информации, полученной в рамках экспериментального проекта.  Задача заключается в том, чтобы обеспечить возможности разработки бюджета на 2008 год в соответствии с новыми инструкциями, в которых учтена гендерная перспектива.</w:t>
      </w:r>
    </w:p>
    <w:p w:rsidR="00000000" w:rsidRDefault="00000000"/>
    <w:p w:rsidR="00000000" w:rsidRDefault="00000000">
      <w:r>
        <w:t>207.</w:t>
      </w:r>
      <w:r>
        <w:tab/>
        <w:t>Спортивный отдел министерства образования разрабатывает меры содействия равноправию между мужчинами и женщинами в спорте.  Задача по обеспечению равноправия в данной области была поставлена в середине 90</w:t>
      </w:r>
      <w:r>
        <w:noBreakHyphen/>
        <w:t>х годов, когда созданная министерством образования рабочая группа представила план действий по поощрению равноправия.  Хотя шаги по обеспечению равноправия в спорте предпринимаются давно, частично под руководством министерства, оценка гендерного воздействия в качестве правительственной меры представляет собой новый подход к задаче по содействию равноправию.</w:t>
      </w:r>
    </w:p>
    <w:p w:rsidR="00000000" w:rsidRDefault="00000000"/>
    <w:p w:rsidR="00000000" w:rsidRDefault="00000000">
      <w:r>
        <w:t>208.</w:t>
      </w:r>
      <w:r>
        <w:tab/>
        <w:t>Министерством образования создана рабочая группа, которая предлагает использовать оценку гендерного воздействия во всех соответствующих компонентах государственного бюджета в области спорта, включая финансирование спортивных организаций, строительство спортивных сооружений, спортивный сектор местных органов власти, спортивные институты и спортивную науку, а также молодежную программу и проект "Жизнеспособность".  Важное значение в этом отношении имеют предоставление министерством образования государственных субсидий и возможность содействия равноправию за счет распределения ресурсов и распространения информации.</w:t>
      </w:r>
    </w:p>
    <w:p w:rsidR="00000000" w:rsidRDefault="00000000"/>
    <w:p w:rsidR="00000000" w:rsidRDefault="00000000">
      <w:r>
        <w:t>209.</w:t>
      </w:r>
      <w:r>
        <w:tab/>
        <w:t>Ассоциации инвалидов и женские организации считают важным то, что при оценке осуществления Закона о равноправии внимание уделяется обеспечению равноправия женщин, принадлежащих к меньшинствам, в том числе женщин-инвалидов, и улучшению их положения с обеспечением равенства прав.  О невидимой дискриминации по признаку инвалидности свидетельствует тот факт, что каких-либо статистических данных о занятости инвалидов не существует.</w:t>
      </w:r>
    </w:p>
    <w:p w:rsidR="00000000" w:rsidRDefault="00000000"/>
    <w:p w:rsidR="00000000" w:rsidRDefault="00000000">
      <w:r>
        <w:t>210.</w:t>
      </w:r>
      <w:r>
        <w:tab/>
        <w:t>Ассоциация "Сексуальное равенство" (СЕТА) считает, что Закон о правовом определении пола транссексуалов (563/2002), который вступил в силу в январе 2003 года, прояснил правовой статус транссексуалов и является важным достижением в деле защиты прав этой группы.</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pPr>
        <w:jc w:val="center"/>
        <w:rPr>
          <w:b/>
          <w:bCs/>
        </w:rPr>
      </w:pPr>
      <w:r>
        <w:rPr>
          <w:b/>
          <w:bCs/>
        </w:rPr>
        <w:t>1.</w:t>
      </w:r>
      <w:r>
        <w:rPr>
          <w:b/>
          <w:bCs/>
        </w:rPr>
        <w:tab/>
        <w:t>Международные конвенции</w:t>
      </w:r>
    </w:p>
    <w:p w:rsidR="00000000" w:rsidRDefault="00000000">
      <w:pPr>
        <w:rPr>
          <w:b/>
          <w:bCs/>
        </w:rPr>
      </w:pPr>
    </w:p>
    <w:p w:rsidR="00000000" w:rsidRDefault="00000000">
      <w:r>
        <w:t>211.</w:t>
      </w:r>
      <w:r>
        <w:tab/>
        <w:t>Финляндия ратифицировала все конвенции, упомянутые в общих принципах, касающихся формы и содержания докладов.</w:t>
      </w:r>
    </w:p>
    <w:p w:rsidR="00000000" w:rsidRDefault="00000000"/>
    <w:p w:rsidR="00000000" w:rsidRDefault="00000000">
      <w:r>
        <w:t>212.</w:t>
      </w:r>
      <w:r>
        <w:tab/>
        <w:t>Периодические доклады Финляндии о мерах по осуществлению положений Конвенции МОТ № 111, представленные в 1999, 2001 и 2003 годах, а также периодические доклады о мерах по осуществлению Конвенции МОТ № 122, представленные в 2000, 2002 и 2003 годах, содержатся в приложениях к настоящему докладу (</w:t>
      </w:r>
      <w:r>
        <w:rPr>
          <w:i/>
          <w:iCs/>
        </w:rPr>
        <w:t>Приложения 1-6</w:t>
      </w:r>
      <w:r>
        <w:t>).</w:t>
      </w:r>
    </w:p>
    <w:p w:rsidR="00000000" w:rsidRDefault="00000000"/>
    <w:p w:rsidR="00000000" w:rsidRDefault="00000000">
      <w:pPr>
        <w:jc w:val="center"/>
        <w:rPr>
          <w:b/>
          <w:bCs/>
        </w:rPr>
      </w:pPr>
      <w:r>
        <w:rPr>
          <w:b/>
          <w:bCs/>
        </w:rPr>
        <w:t>2 a)  Положение, уровень и тенденции в сфере занятости</w:t>
      </w:r>
    </w:p>
    <w:p w:rsidR="00000000" w:rsidRDefault="00000000">
      <w:pPr>
        <w:rPr>
          <w:b/>
          <w:bCs/>
        </w:rPr>
      </w:pPr>
    </w:p>
    <w:p w:rsidR="00000000" w:rsidRDefault="00000000">
      <w:r>
        <w:t>213.</w:t>
      </w:r>
      <w:r>
        <w:tab/>
        <w:t>В связи с прослеживающейся в последнее время понижательной тенденцией в экономике уровни занятости и безработицы в краткосрочной перспективе менялись медленно или практически не изменялись.  За последние несколько лет безработица сокращалась медленными темпами.  Безработица немного сократилась в 2003 году, но оставалась неизменной в 2004 году.  Однако в долгосрочной перспективе прослеживаются весьма положительные сдвиги.  В результате экономического кризиса начала 90</w:t>
      </w:r>
      <w:r>
        <w:noBreakHyphen/>
        <w:t>х годов уровень безработицы достиг высшей точки в 1994 году (408 300 человек) и, по данным обследования, проведенного Статистическим управлением Финляндии, к концу 2004 году он уже сократился на 44%.  Однако сокращение в основном имело место в конце 90</w:t>
      </w:r>
      <w:r>
        <w:noBreakHyphen/>
        <w:t>х годов, а с 2000 года темпы сокращения безработицы явно замедлились, и она в среднем остается на уровне в 12% в год.</w:t>
      </w:r>
    </w:p>
    <w:p w:rsidR="00000000" w:rsidRDefault="00000000"/>
    <w:p w:rsidR="00000000" w:rsidRDefault="00000000">
      <w:pPr>
        <w:jc w:val="center"/>
        <w:rPr>
          <w:b/>
          <w:bCs/>
        </w:rPr>
      </w:pPr>
      <w:r>
        <w:rPr>
          <w:b/>
          <w:bCs/>
        </w:rPr>
        <w:t>Таблица 2</w:t>
      </w:r>
    </w:p>
    <w:p w:rsidR="00000000" w:rsidRDefault="00000000">
      <w:pPr>
        <w:jc w:val="center"/>
        <w:rPr>
          <w:b/>
          <w:bCs/>
        </w:rPr>
      </w:pPr>
    </w:p>
    <w:p w:rsidR="00000000" w:rsidRDefault="00000000">
      <w:pPr>
        <w:jc w:val="center"/>
        <w:rPr>
          <w:b/>
          <w:bCs/>
        </w:rPr>
      </w:pPr>
      <w:r>
        <w:rPr>
          <w:b/>
          <w:bCs/>
        </w:rPr>
        <w:t>Трудовые ресурсы Финляндии по категориям в 1994, 1999 и 2004 годах</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80"/>
        <w:gridCol w:w="1568"/>
        <w:gridCol w:w="1568"/>
        <w:gridCol w:w="1765"/>
        <w:gridCol w:w="1568"/>
        <w:gridCol w:w="1961"/>
      </w:tblGrid>
      <w:tr w:rsidR="00000000">
        <w:tblPrEx>
          <w:tblCellMar>
            <w:top w:w="0" w:type="dxa"/>
            <w:bottom w:w="0" w:type="dxa"/>
          </w:tblCellMar>
        </w:tblPrEx>
        <w:trPr>
          <w:cantSplit/>
        </w:trPr>
        <w:tc>
          <w:tcPr>
            <w:tcW w:w="980" w:type="dxa"/>
          </w:tcPr>
          <w:p w:rsidR="00000000" w:rsidRDefault="00000000">
            <w:pPr>
              <w:jc w:val="center"/>
            </w:pPr>
            <w:r>
              <w:t>Год</w:t>
            </w:r>
          </w:p>
        </w:tc>
        <w:tc>
          <w:tcPr>
            <w:tcW w:w="1568" w:type="dxa"/>
          </w:tcPr>
          <w:p w:rsidR="00000000" w:rsidRDefault="00000000">
            <w:pPr>
              <w:jc w:val="center"/>
            </w:pPr>
            <w:r>
              <w:t>Всего</w:t>
            </w:r>
          </w:p>
        </w:tc>
        <w:tc>
          <w:tcPr>
            <w:tcW w:w="1568" w:type="dxa"/>
          </w:tcPr>
          <w:p w:rsidR="00000000" w:rsidRDefault="00000000">
            <w:pPr>
              <w:jc w:val="center"/>
            </w:pPr>
            <w:r>
              <w:t>Мужчины</w:t>
            </w:r>
          </w:p>
        </w:tc>
        <w:tc>
          <w:tcPr>
            <w:tcW w:w="1765" w:type="dxa"/>
          </w:tcPr>
          <w:p w:rsidR="00000000" w:rsidRDefault="00000000">
            <w:pPr>
              <w:jc w:val="center"/>
            </w:pPr>
            <w:r>
              <w:t>Женщины</w:t>
            </w:r>
          </w:p>
        </w:tc>
        <w:tc>
          <w:tcPr>
            <w:tcW w:w="1568" w:type="dxa"/>
          </w:tcPr>
          <w:p w:rsidR="00000000" w:rsidRDefault="00000000">
            <w:pPr>
              <w:jc w:val="center"/>
            </w:pPr>
            <w:r>
              <w:t>Молодежь</w:t>
            </w:r>
            <w:r>
              <w:rPr>
                <w:rStyle w:val="FootnoteReference"/>
              </w:rPr>
              <w:footnoteReference w:id="5"/>
            </w:r>
          </w:p>
        </w:tc>
        <w:tc>
          <w:tcPr>
            <w:tcW w:w="1961" w:type="dxa"/>
          </w:tcPr>
          <w:p w:rsidR="00000000" w:rsidRDefault="00000000">
            <w:pPr>
              <w:jc w:val="center"/>
            </w:pPr>
            <w:r>
              <w:t>Пожилые лица</w:t>
            </w:r>
            <w:r>
              <w:rPr>
                <w:rStyle w:val="FootnoteReference"/>
              </w:rPr>
              <w:footnoteReference w:id="6"/>
            </w:r>
          </w:p>
        </w:tc>
      </w:tr>
      <w:tr w:rsidR="00000000">
        <w:tblPrEx>
          <w:tblCellMar>
            <w:top w:w="0" w:type="dxa"/>
            <w:bottom w:w="0" w:type="dxa"/>
          </w:tblCellMar>
        </w:tblPrEx>
        <w:trPr>
          <w:cantSplit/>
        </w:trPr>
        <w:tc>
          <w:tcPr>
            <w:tcW w:w="980" w:type="dxa"/>
          </w:tcPr>
          <w:p w:rsidR="00000000" w:rsidRDefault="00000000">
            <w:pPr>
              <w:jc w:val="center"/>
              <w:rPr>
                <w:lang w:val="en-US"/>
              </w:rPr>
            </w:pPr>
            <w:r>
              <w:rPr>
                <w:lang w:val="en-US"/>
              </w:rPr>
              <w:t>1994</w:t>
            </w:r>
          </w:p>
        </w:tc>
        <w:tc>
          <w:tcPr>
            <w:tcW w:w="1568" w:type="dxa"/>
          </w:tcPr>
          <w:p w:rsidR="00000000" w:rsidRDefault="00000000">
            <w:pPr>
              <w:jc w:val="center"/>
              <w:rPr>
                <w:lang w:val="en-US"/>
              </w:rPr>
            </w:pPr>
            <w:r>
              <w:rPr>
                <w:lang w:val="en-US"/>
              </w:rPr>
              <w:t>2</w:t>
            </w:r>
            <w:r>
              <w:t xml:space="preserve"> </w:t>
            </w:r>
            <w:r>
              <w:rPr>
                <w:lang w:val="en-US"/>
              </w:rPr>
              <w:t>462</w:t>
            </w:r>
            <w:r>
              <w:t xml:space="preserve"> </w:t>
            </w:r>
            <w:r>
              <w:rPr>
                <w:lang w:val="en-US"/>
              </w:rPr>
              <w:t>700</w:t>
            </w:r>
          </w:p>
        </w:tc>
        <w:tc>
          <w:tcPr>
            <w:tcW w:w="1568" w:type="dxa"/>
          </w:tcPr>
          <w:p w:rsidR="00000000" w:rsidRDefault="00000000">
            <w:pPr>
              <w:jc w:val="center"/>
              <w:rPr>
                <w:lang w:val="en-US"/>
              </w:rPr>
            </w:pPr>
            <w:r>
              <w:rPr>
                <w:lang w:val="en-US"/>
              </w:rPr>
              <w:t>1</w:t>
            </w:r>
            <w:r>
              <w:t xml:space="preserve"> </w:t>
            </w:r>
            <w:r>
              <w:rPr>
                <w:lang w:val="en-US"/>
              </w:rPr>
              <w:t>293</w:t>
            </w:r>
            <w:r>
              <w:t xml:space="preserve"> </w:t>
            </w:r>
            <w:r>
              <w:rPr>
                <w:lang w:val="en-US"/>
              </w:rPr>
              <w:t>700</w:t>
            </w:r>
          </w:p>
        </w:tc>
        <w:tc>
          <w:tcPr>
            <w:tcW w:w="1765" w:type="dxa"/>
          </w:tcPr>
          <w:p w:rsidR="00000000" w:rsidRDefault="00000000">
            <w:pPr>
              <w:jc w:val="center"/>
              <w:rPr>
                <w:lang w:val="en-US"/>
              </w:rPr>
            </w:pPr>
            <w:r>
              <w:rPr>
                <w:lang w:val="en-US"/>
              </w:rPr>
              <w:t>1</w:t>
            </w:r>
            <w:r>
              <w:t xml:space="preserve"> </w:t>
            </w:r>
            <w:r>
              <w:rPr>
                <w:lang w:val="en-US"/>
              </w:rPr>
              <w:t>169</w:t>
            </w:r>
            <w:r>
              <w:t xml:space="preserve"> </w:t>
            </w:r>
            <w:r>
              <w:rPr>
                <w:lang w:val="en-US"/>
              </w:rPr>
              <w:t>100</w:t>
            </w:r>
          </w:p>
        </w:tc>
        <w:tc>
          <w:tcPr>
            <w:tcW w:w="1568" w:type="dxa"/>
          </w:tcPr>
          <w:p w:rsidR="00000000" w:rsidRDefault="00000000">
            <w:pPr>
              <w:jc w:val="center"/>
              <w:rPr>
                <w:lang w:val="en-US"/>
              </w:rPr>
            </w:pPr>
            <w:r>
              <w:rPr>
                <w:lang w:val="en-US"/>
              </w:rPr>
              <w:t>266</w:t>
            </w:r>
            <w:r>
              <w:t xml:space="preserve"> </w:t>
            </w:r>
            <w:r>
              <w:rPr>
                <w:lang w:val="en-US"/>
              </w:rPr>
              <w:t>500</w:t>
            </w:r>
          </w:p>
        </w:tc>
        <w:tc>
          <w:tcPr>
            <w:tcW w:w="1961" w:type="dxa"/>
          </w:tcPr>
          <w:p w:rsidR="00000000" w:rsidRDefault="00000000">
            <w:pPr>
              <w:jc w:val="center"/>
              <w:rPr>
                <w:lang w:val="en-US"/>
              </w:rPr>
            </w:pPr>
            <w:r>
              <w:rPr>
                <w:lang w:val="en-US"/>
              </w:rPr>
              <w:t>210</w:t>
            </w:r>
            <w:r>
              <w:t xml:space="preserve"> </w:t>
            </w:r>
            <w:r>
              <w:rPr>
                <w:lang w:val="en-US"/>
              </w:rPr>
              <w:t>700</w:t>
            </w:r>
          </w:p>
        </w:tc>
      </w:tr>
      <w:tr w:rsidR="00000000">
        <w:tblPrEx>
          <w:tblCellMar>
            <w:top w:w="0" w:type="dxa"/>
            <w:bottom w:w="0" w:type="dxa"/>
          </w:tblCellMar>
        </w:tblPrEx>
        <w:trPr>
          <w:cantSplit/>
        </w:trPr>
        <w:tc>
          <w:tcPr>
            <w:tcW w:w="980" w:type="dxa"/>
          </w:tcPr>
          <w:p w:rsidR="00000000" w:rsidRDefault="00000000">
            <w:pPr>
              <w:jc w:val="center"/>
              <w:rPr>
                <w:lang w:val="en-US"/>
              </w:rPr>
            </w:pPr>
            <w:r>
              <w:rPr>
                <w:lang w:val="en-US"/>
              </w:rPr>
              <w:t>1999</w:t>
            </w:r>
          </w:p>
        </w:tc>
        <w:tc>
          <w:tcPr>
            <w:tcW w:w="1568" w:type="dxa"/>
          </w:tcPr>
          <w:p w:rsidR="00000000" w:rsidRDefault="00000000">
            <w:pPr>
              <w:jc w:val="center"/>
              <w:rPr>
                <w:lang w:val="en-US"/>
              </w:rPr>
            </w:pPr>
            <w:r>
              <w:rPr>
                <w:lang w:val="en-US"/>
              </w:rPr>
              <w:t>2</w:t>
            </w:r>
            <w:r>
              <w:t xml:space="preserve"> </w:t>
            </w:r>
            <w:r>
              <w:rPr>
                <w:lang w:val="en-US"/>
              </w:rPr>
              <w:t>556</w:t>
            </w:r>
            <w:r>
              <w:t xml:space="preserve"> </w:t>
            </w:r>
            <w:r>
              <w:rPr>
                <w:lang w:val="en-US"/>
              </w:rPr>
              <w:t>900</w:t>
            </w:r>
          </w:p>
        </w:tc>
        <w:tc>
          <w:tcPr>
            <w:tcW w:w="1568" w:type="dxa"/>
          </w:tcPr>
          <w:p w:rsidR="00000000" w:rsidRDefault="00000000">
            <w:pPr>
              <w:jc w:val="center"/>
              <w:rPr>
                <w:lang w:val="en-US"/>
              </w:rPr>
            </w:pPr>
            <w:r>
              <w:rPr>
                <w:lang w:val="en-US"/>
              </w:rPr>
              <w:t>1</w:t>
            </w:r>
            <w:r>
              <w:t xml:space="preserve"> </w:t>
            </w:r>
            <w:r>
              <w:rPr>
                <w:lang w:val="en-US"/>
              </w:rPr>
              <w:t>335</w:t>
            </w:r>
            <w:r>
              <w:t xml:space="preserve"> </w:t>
            </w:r>
            <w:r>
              <w:rPr>
                <w:lang w:val="en-US"/>
              </w:rPr>
              <w:t>900</w:t>
            </w:r>
          </w:p>
        </w:tc>
        <w:tc>
          <w:tcPr>
            <w:tcW w:w="1765" w:type="dxa"/>
          </w:tcPr>
          <w:p w:rsidR="00000000" w:rsidRDefault="00000000">
            <w:pPr>
              <w:jc w:val="center"/>
              <w:rPr>
                <w:lang w:val="en-US"/>
              </w:rPr>
            </w:pPr>
            <w:r>
              <w:rPr>
                <w:lang w:val="en-US"/>
              </w:rPr>
              <w:t>1</w:t>
            </w:r>
            <w:r>
              <w:t xml:space="preserve"> </w:t>
            </w:r>
            <w:r>
              <w:rPr>
                <w:lang w:val="en-US"/>
              </w:rPr>
              <w:t>221</w:t>
            </w:r>
            <w:r>
              <w:t xml:space="preserve"> </w:t>
            </w:r>
            <w:r>
              <w:rPr>
                <w:lang w:val="en-US"/>
              </w:rPr>
              <w:t>000</w:t>
            </w:r>
          </w:p>
        </w:tc>
        <w:tc>
          <w:tcPr>
            <w:tcW w:w="1568" w:type="dxa"/>
          </w:tcPr>
          <w:p w:rsidR="00000000" w:rsidRDefault="00000000">
            <w:pPr>
              <w:jc w:val="center"/>
              <w:rPr>
                <w:lang w:val="en-US"/>
              </w:rPr>
            </w:pPr>
            <w:r>
              <w:rPr>
                <w:lang w:val="en-US"/>
              </w:rPr>
              <w:t>324</w:t>
            </w:r>
            <w:r>
              <w:t xml:space="preserve"> </w:t>
            </w:r>
            <w:r>
              <w:rPr>
                <w:lang w:val="en-US"/>
              </w:rPr>
              <w:t>500</w:t>
            </w:r>
          </w:p>
        </w:tc>
        <w:tc>
          <w:tcPr>
            <w:tcW w:w="1961" w:type="dxa"/>
          </w:tcPr>
          <w:p w:rsidR="00000000" w:rsidRDefault="00000000">
            <w:pPr>
              <w:jc w:val="center"/>
              <w:rPr>
                <w:lang w:val="en-US"/>
              </w:rPr>
            </w:pPr>
            <w:r>
              <w:rPr>
                <w:lang w:val="en-US"/>
              </w:rPr>
              <w:t>235</w:t>
            </w:r>
            <w:r>
              <w:t xml:space="preserve"> </w:t>
            </w:r>
            <w:r>
              <w:rPr>
                <w:lang w:val="en-US"/>
              </w:rPr>
              <w:t>500</w:t>
            </w:r>
          </w:p>
        </w:tc>
      </w:tr>
      <w:tr w:rsidR="00000000">
        <w:tblPrEx>
          <w:tblCellMar>
            <w:top w:w="0" w:type="dxa"/>
            <w:bottom w:w="0" w:type="dxa"/>
          </w:tblCellMar>
        </w:tblPrEx>
        <w:trPr>
          <w:cantSplit/>
        </w:trPr>
        <w:tc>
          <w:tcPr>
            <w:tcW w:w="980" w:type="dxa"/>
          </w:tcPr>
          <w:p w:rsidR="00000000" w:rsidRDefault="00000000">
            <w:pPr>
              <w:jc w:val="center"/>
              <w:rPr>
                <w:lang w:val="en-US"/>
              </w:rPr>
            </w:pPr>
            <w:r>
              <w:rPr>
                <w:lang w:val="en-US"/>
              </w:rPr>
              <w:t>2004</w:t>
            </w:r>
          </w:p>
        </w:tc>
        <w:tc>
          <w:tcPr>
            <w:tcW w:w="1568" w:type="dxa"/>
          </w:tcPr>
          <w:p w:rsidR="00000000" w:rsidRDefault="00000000">
            <w:pPr>
              <w:jc w:val="center"/>
              <w:rPr>
                <w:lang w:val="en-US"/>
              </w:rPr>
            </w:pPr>
            <w:r>
              <w:rPr>
                <w:lang w:val="en-US"/>
              </w:rPr>
              <w:t>2</w:t>
            </w:r>
            <w:r>
              <w:t xml:space="preserve"> </w:t>
            </w:r>
            <w:r>
              <w:rPr>
                <w:lang w:val="en-US"/>
              </w:rPr>
              <w:t>593</w:t>
            </w:r>
            <w:r>
              <w:t xml:space="preserve"> </w:t>
            </w:r>
            <w:r>
              <w:rPr>
                <w:lang w:val="en-US"/>
              </w:rPr>
              <w:t>500</w:t>
            </w:r>
          </w:p>
        </w:tc>
        <w:tc>
          <w:tcPr>
            <w:tcW w:w="1568" w:type="dxa"/>
          </w:tcPr>
          <w:p w:rsidR="00000000" w:rsidRDefault="00000000">
            <w:pPr>
              <w:jc w:val="center"/>
              <w:rPr>
                <w:lang w:val="en-US"/>
              </w:rPr>
            </w:pPr>
            <w:r>
              <w:rPr>
                <w:lang w:val="en-US"/>
              </w:rPr>
              <w:t>1</w:t>
            </w:r>
            <w:r>
              <w:t xml:space="preserve"> </w:t>
            </w:r>
            <w:r>
              <w:rPr>
                <w:lang w:val="en-US"/>
              </w:rPr>
              <w:t>346</w:t>
            </w:r>
            <w:r>
              <w:t xml:space="preserve"> </w:t>
            </w:r>
            <w:r>
              <w:rPr>
                <w:lang w:val="en-US"/>
              </w:rPr>
              <w:t>300</w:t>
            </w:r>
          </w:p>
        </w:tc>
        <w:tc>
          <w:tcPr>
            <w:tcW w:w="1765" w:type="dxa"/>
          </w:tcPr>
          <w:p w:rsidR="00000000" w:rsidRDefault="00000000">
            <w:pPr>
              <w:jc w:val="center"/>
              <w:rPr>
                <w:lang w:val="en-US"/>
              </w:rPr>
            </w:pPr>
            <w:r>
              <w:rPr>
                <w:lang w:val="en-US"/>
              </w:rPr>
              <w:t>1</w:t>
            </w:r>
            <w:r>
              <w:t xml:space="preserve"> </w:t>
            </w:r>
            <w:r>
              <w:rPr>
                <w:lang w:val="en-US"/>
              </w:rPr>
              <w:t>247</w:t>
            </w:r>
            <w:r>
              <w:t xml:space="preserve"> </w:t>
            </w:r>
            <w:r>
              <w:rPr>
                <w:lang w:val="en-US"/>
              </w:rPr>
              <w:t>200</w:t>
            </w:r>
          </w:p>
        </w:tc>
        <w:tc>
          <w:tcPr>
            <w:tcW w:w="1568" w:type="dxa"/>
          </w:tcPr>
          <w:p w:rsidR="00000000" w:rsidRDefault="00000000">
            <w:pPr>
              <w:jc w:val="center"/>
              <w:rPr>
                <w:lang w:val="en-US"/>
              </w:rPr>
            </w:pPr>
            <w:r>
              <w:rPr>
                <w:lang w:val="en-US"/>
              </w:rPr>
              <w:t>312</w:t>
            </w:r>
            <w:r>
              <w:t xml:space="preserve"> </w:t>
            </w:r>
            <w:r>
              <w:rPr>
                <w:lang w:val="en-US"/>
              </w:rPr>
              <w:t>600</w:t>
            </w:r>
          </w:p>
        </w:tc>
        <w:tc>
          <w:tcPr>
            <w:tcW w:w="1961" w:type="dxa"/>
          </w:tcPr>
          <w:p w:rsidR="00000000" w:rsidRDefault="00000000">
            <w:pPr>
              <w:jc w:val="center"/>
              <w:rPr>
                <w:lang w:val="en-US"/>
              </w:rPr>
            </w:pPr>
            <w:r>
              <w:rPr>
                <w:lang w:val="en-US"/>
              </w:rPr>
              <w:t>369</w:t>
            </w:r>
            <w:r>
              <w:t xml:space="preserve"> </w:t>
            </w:r>
            <w:r>
              <w:rPr>
                <w:lang w:val="en-US"/>
              </w:rPr>
              <w:t>600</w:t>
            </w:r>
          </w:p>
        </w:tc>
      </w:tr>
    </w:tbl>
    <w:p w:rsidR="00000000" w:rsidRDefault="00000000">
      <w:pPr>
        <w:rPr>
          <w:lang w:val="en-US"/>
        </w:rPr>
      </w:pPr>
    </w:p>
    <w:p w:rsidR="00000000" w:rsidRDefault="00000000">
      <w:r>
        <w:tab/>
      </w:r>
      <w:r>
        <w:rPr>
          <w:i/>
          <w:iCs/>
        </w:rPr>
        <w:t>Источник</w:t>
      </w:r>
      <w:r>
        <w:t>:  Статистическое управление Финляндии, обзор трудовых ресурсов.</w:t>
      </w:r>
    </w:p>
    <w:p w:rsidR="00000000" w:rsidRDefault="00000000"/>
    <w:p w:rsidR="00000000" w:rsidRDefault="00000000">
      <w:pPr>
        <w:keepNext/>
        <w:jc w:val="center"/>
        <w:rPr>
          <w:b/>
          <w:bCs/>
        </w:rPr>
      </w:pPr>
      <w:r>
        <w:rPr>
          <w:b/>
          <w:bCs/>
        </w:rPr>
        <w:t>Таблица 3</w:t>
      </w:r>
    </w:p>
    <w:p w:rsidR="00000000" w:rsidRDefault="00000000">
      <w:pPr>
        <w:keepNext/>
        <w:jc w:val="center"/>
        <w:rPr>
          <w:b/>
          <w:bCs/>
        </w:rPr>
      </w:pPr>
    </w:p>
    <w:p w:rsidR="00000000" w:rsidRDefault="00000000">
      <w:pPr>
        <w:keepNext/>
        <w:jc w:val="center"/>
        <w:rPr>
          <w:b/>
          <w:bCs/>
        </w:rPr>
      </w:pPr>
      <w:r>
        <w:rPr>
          <w:b/>
          <w:bCs/>
        </w:rPr>
        <w:t>Занятость по категориям в 1994, 1999 и 2004 годах</w:t>
      </w:r>
    </w:p>
    <w:p w:rsidR="00000000" w:rsidRDefault="00000000">
      <w:pPr>
        <w:keepNext/>
        <w:rPr>
          <w:i/>
          <w:iCs/>
        </w:rPr>
      </w:pP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16"/>
        <w:gridCol w:w="1106"/>
        <w:gridCol w:w="1176"/>
        <w:gridCol w:w="1260"/>
        <w:gridCol w:w="1232"/>
        <w:gridCol w:w="1133"/>
        <w:gridCol w:w="1359"/>
        <w:gridCol w:w="1496"/>
      </w:tblGrid>
      <w:tr w:rsidR="00000000">
        <w:tblPrEx>
          <w:tblCellMar>
            <w:top w:w="0" w:type="dxa"/>
            <w:bottom w:w="0" w:type="dxa"/>
          </w:tblCellMar>
        </w:tblPrEx>
        <w:trPr>
          <w:cantSplit/>
        </w:trPr>
        <w:tc>
          <w:tcPr>
            <w:tcW w:w="616" w:type="dxa"/>
          </w:tcPr>
          <w:p w:rsidR="00000000" w:rsidRDefault="00000000">
            <w:pPr>
              <w:keepNext/>
              <w:spacing w:line="240" w:lineRule="auto"/>
              <w:jc w:val="center"/>
            </w:pPr>
            <w:r>
              <w:t>Год</w:t>
            </w:r>
          </w:p>
        </w:tc>
        <w:tc>
          <w:tcPr>
            <w:tcW w:w="1106" w:type="dxa"/>
          </w:tcPr>
          <w:p w:rsidR="00000000" w:rsidRDefault="00000000">
            <w:pPr>
              <w:keepNext/>
              <w:spacing w:line="240" w:lineRule="auto"/>
              <w:jc w:val="center"/>
            </w:pPr>
            <w:r>
              <w:t>Всего</w:t>
            </w:r>
          </w:p>
        </w:tc>
        <w:tc>
          <w:tcPr>
            <w:tcW w:w="1176" w:type="dxa"/>
          </w:tcPr>
          <w:p w:rsidR="00000000" w:rsidRDefault="00000000">
            <w:pPr>
              <w:keepNext/>
              <w:spacing w:line="240" w:lineRule="auto"/>
              <w:jc w:val="center"/>
            </w:pPr>
            <w:r>
              <w:t>Мужчины</w:t>
            </w:r>
          </w:p>
        </w:tc>
        <w:tc>
          <w:tcPr>
            <w:tcW w:w="1260" w:type="dxa"/>
          </w:tcPr>
          <w:p w:rsidR="00000000" w:rsidRDefault="00000000">
            <w:pPr>
              <w:keepNext/>
              <w:spacing w:line="240" w:lineRule="auto"/>
              <w:jc w:val="center"/>
            </w:pPr>
            <w:r>
              <w:t>Женщины</w:t>
            </w:r>
          </w:p>
        </w:tc>
        <w:tc>
          <w:tcPr>
            <w:tcW w:w="1232" w:type="dxa"/>
          </w:tcPr>
          <w:p w:rsidR="00000000" w:rsidRDefault="00000000">
            <w:pPr>
              <w:keepNext/>
              <w:spacing w:line="240" w:lineRule="auto"/>
              <w:jc w:val="center"/>
            </w:pPr>
            <w:r>
              <w:t>Молодежь</w:t>
            </w:r>
          </w:p>
        </w:tc>
        <w:tc>
          <w:tcPr>
            <w:tcW w:w="1133" w:type="dxa"/>
          </w:tcPr>
          <w:p w:rsidR="00000000" w:rsidRDefault="00000000">
            <w:pPr>
              <w:keepNext/>
              <w:spacing w:line="240" w:lineRule="auto"/>
              <w:jc w:val="center"/>
            </w:pPr>
            <w:r>
              <w:t>Пожилые лица</w:t>
            </w:r>
          </w:p>
        </w:tc>
        <w:tc>
          <w:tcPr>
            <w:tcW w:w="1359" w:type="dxa"/>
          </w:tcPr>
          <w:p w:rsidR="00000000" w:rsidRDefault="00000000">
            <w:pPr>
              <w:keepNext/>
              <w:spacing w:line="240" w:lineRule="auto"/>
              <w:jc w:val="center"/>
            </w:pPr>
            <w:r>
              <w:t>Общий уровень занятости (%)</w:t>
            </w:r>
          </w:p>
        </w:tc>
        <w:tc>
          <w:tcPr>
            <w:tcW w:w="1496" w:type="dxa"/>
          </w:tcPr>
          <w:p w:rsidR="00000000" w:rsidRDefault="00000000">
            <w:pPr>
              <w:keepNext/>
              <w:spacing w:line="240" w:lineRule="auto"/>
              <w:jc w:val="center"/>
            </w:pPr>
            <w:r>
              <w:t>Уровень занятости пожилых лиц</w:t>
            </w:r>
          </w:p>
          <w:p w:rsidR="00000000" w:rsidRDefault="00000000">
            <w:pPr>
              <w:keepNext/>
              <w:spacing w:line="240" w:lineRule="auto"/>
              <w:jc w:val="center"/>
            </w:pPr>
            <w:r>
              <w:t>(%)</w:t>
            </w:r>
          </w:p>
        </w:tc>
      </w:tr>
      <w:tr w:rsidR="00000000">
        <w:tblPrEx>
          <w:tblCellMar>
            <w:top w:w="0" w:type="dxa"/>
            <w:bottom w:w="0" w:type="dxa"/>
          </w:tblCellMar>
        </w:tblPrEx>
        <w:trPr>
          <w:cantSplit/>
        </w:trPr>
        <w:tc>
          <w:tcPr>
            <w:tcW w:w="616" w:type="dxa"/>
          </w:tcPr>
          <w:p w:rsidR="00000000" w:rsidRDefault="00000000">
            <w:pPr>
              <w:keepNext/>
              <w:jc w:val="center"/>
            </w:pPr>
            <w:r>
              <w:t>1994</w:t>
            </w:r>
          </w:p>
        </w:tc>
        <w:tc>
          <w:tcPr>
            <w:tcW w:w="1106" w:type="dxa"/>
          </w:tcPr>
          <w:p w:rsidR="00000000" w:rsidRDefault="00000000">
            <w:pPr>
              <w:keepNext/>
              <w:jc w:val="center"/>
            </w:pPr>
            <w:r>
              <w:t>2 054 400</w:t>
            </w:r>
          </w:p>
        </w:tc>
        <w:tc>
          <w:tcPr>
            <w:tcW w:w="1176" w:type="dxa"/>
          </w:tcPr>
          <w:p w:rsidR="00000000" w:rsidRDefault="00000000">
            <w:pPr>
              <w:keepNext/>
              <w:jc w:val="center"/>
            </w:pPr>
            <w:r>
              <w:t>1 058 900</w:t>
            </w:r>
          </w:p>
        </w:tc>
        <w:tc>
          <w:tcPr>
            <w:tcW w:w="1260" w:type="dxa"/>
          </w:tcPr>
          <w:p w:rsidR="00000000" w:rsidRDefault="00000000">
            <w:pPr>
              <w:keepNext/>
              <w:jc w:val="center"/>
            </w:pPr>
            <w:r>
              <w:t xml:space="preserve">   995 500</w:t>
            </w:r>
          </w:p>
        </w:tc>
        <w:tc>
          <w:tcPr>
            <w:tcW w:w="1232" w:type="dxa"/>
          </w:tcPr>
          <w:p w:rsidR="00000000" w:rsidRDefault="00000000">
            <w:pPr>
              <w:keepNext/>
              <w:jc w:val="center"/>
            </w:pPr>
            <w:r>
              <w:t>175 900</w:t>
            </w:r>
          </w:p>
        </w:tc>
        <w:tc>
          <w:tcPr>
            <w:tcW w:w="1133" w:type="dxa"/>
          </w:tcPr>
          <w:p w:rsidR="00000000" w:rsidRDefault="00000000">
            <w:pPr>
              <w:keepNext/>
              <w:jc w:val="center"/>
            </w:pPr>
            <w:r>
              <w:t>171 000</w:t>
            </w:r>
          </w:p>
        </w:tc>
        <w:tc>
          <w:tcPr>
            <w:tcW w:w="1359" w:type="dxa"/>
          </w:tcPr>
          <w:p w:rsidR="00000000" w:rsidRDefault="00000000">
            <w:pPr>
              <w:keepNext/>
              <w:jc w:val="center"/>
            </w:pPr>
            <w:r>
              <w:t>59,9</w:t>
            </w:r>
          </w:p>
        </w:tc>
        <w:tc>
          <w:tcPr>
            <w:tcW w:w="1496" w:type="dxa"/>
          </w:tcPr>
          <w:p w:rsidR="00000000" w:rsidRDefault="00000000">
            <w:pPr>
              <w:keepNext/>
              <w:jc w:val="center"/>
            </w:pPr>
            <w:r>
              <w:t>33,5</w:t>
            </w:r>
          </w:p>
        </w:tc>
      </w:tr>
      <w:tr w:rsidR="00000000">
        <w:tblPrEx>
          <w:tblCellMar>
            <w:top w:w="0" w:type="dxa"/>
            <w:bottom w:w="0" w:type="dxa"/>
          </w:tblCellMar>
        </w:tblPrEx>
        <w:trPr>
          <w:cantSplit/>
        </w:trPr>
        <w:tc>
          <w:tcPr>
            <w:tcW w:w="616" w:type="dxa"/>
          </w:tcPr>
          <w:p w:rsidR="00000000" w:rsidRDefault="00000000">
            <w:pPr>
              <w:keepNext/>
              <w:jc w:val="center"/>
            </w:pPr>
            <w:r>
              <w:t>1999</w:t>
            </w:r>
          </w:p>
        </w:tc>
        <w:tc>
          <w:tcPr>
            <w:tcW w:w="1106" w:type="dxa"/>
          </w:tcPr>
          <w:p w:rsidR="00000000" w:rsidRDefault="00000000">
            <w:pPr>
              <w:keepNext/>
              <w:jc w:val="center"/>
            </w:pPr>
            <w:r>
              <w:t>2 295 900</w:t>
            </w:r>
          </w:p>
        </w:tc>
        <w:tc>
          <w:tcPr>
            <w:tcW w:w="1176" w:type="dxa"/>
          </w:tcPr>
          <w:p w:rsidR="00000000" w:rsidRDefault="00000000">
            <w:pPr>
              <w:keepNext/>
              <w:jc w:val="center"/>
            </w:pPr>
            <w:r>
              <w:t>1 205 600</w:t>
            </w:r>
          </w:p>
        </w:tc>
        <w:tc>
          <w:tcPr>
            <w:tcW w:w="1260" w:type="dxa"/>
          </w:tcPr>
          <w:p w:rsidR="00000000" w:rsidRDefault="00000000">
            <w:pPr>
              <w:keepNext/>
              <w:jc w:val="center"/>
            </w:pPr>
            <w:r>
              <w:t>1 090 400</w:t>
            </w:r>
          </w:p>
        </w:tc>
        <w:tc>
          <w:tcPr>
            <w:tcW w:w="1232" w:type="dxa"/>
          </w:tcPr>
          <w:p w:rsidR="00000000" w:rsidRDefault="00000000">
            <w:pPr>
              <w:keepNext/>
              <w:jc w:val="center"/>
            </w:pPr>
            <w:r>
              <w:t>254 900</w:t>
            </w:r>
          </w:p>
        </w:tc>
        <w:tc>
          <w:tcPr>
            <w:tcW w:w="1133" w:type="dxa"/>
          </w:tcPr>
          <w:p w:rsidR="00000000" w:rsidRDefault="00000000">
            <w:pPr>
              <w:keepNext/>
              <w:jc w:val="center"/>
            </w:pPr>
            <w:r>
              <w:t>211 300</w:t>
            </w:r>
          </w:p>
        </w:tc>
        <w:tc>
          <w:tcPr>
            <w:tcW w:w="1359" w:type="dxa"/>
          </w:tcPr>
          <w:p w:rsidR="00000000" w:rsidRDefault="00000000">
            <w:pPr>
              <w:keepNext/>
              <w:jc w:val="center"/>
            </w:pPr>
            <w:r>
              <w:t>66,0</w:t>
            </w:r>
          </w:p>
        </w:tc>
        <w:tc>
          <w:tcPr>
            <w:tcW w:w="1496" w:type="dxa"/>
          </w:tcPr>
          <w:p w:rsidR="00000000" w:rsidRDefault="00000000">
            <w:pPr>
              <w:keepNext/>
              <w:jc w:val="center"/>
            </w:pPr>
            <w:r>
              <w:t>39,3</w:t>
            </w:r>
          </w:p>
        </w:tc>
      </w:tr>
      <w:tr w:rsidR="00000000">
        <w:tblPrEx>
          <w:tblCellMar>
            <w:top w:w="0" w:type="dxa"/>
            <w:bottom w:w="0" w:type="dxa"/>
          </w:tblCellMar>
        </w:tblPrEx>
        <w:trPr>
          <w:cantSplit/>
        </w:trPr>
        <w:tc>
          <w:tcPr>
            <w:tcW w:w="616" w:type="dxa"/>
          </w:tcPr>
          <w:p w:rsidR="00000000" w:rsidRDefault="00000000">
            <w:pPr>
              <w:keepNext/>
              <w:jc w:val="center"/>
            </w:pPr>
            <w:r>
              <w:t>2004</w:t>
            </w:r>
          </w:p>
        </w:tc>
        <w:tc>
          <w:tcPr>
            <w:tcW w:w="1106" w:type="dxa"/>
          </w:tcPr>
          <w:p w:rsidR="00000000" w:rsidRDefault="00000000">
            <w:pPr>
              <w:keepNext/>
              <w:jc w:val="center"/>
            </w:pPr>
            <w:r>
              <w:t>2 364 700</w:t>
            </w:r>
          </w:p>
        </w:tc>
        <w:tc>
          <w:tcPr>
            <w:tcW w:w="1176" w:type="dxa"/>
          </w:tcPr>
          <w:p w:rsidR="00000000" w:rsidRDefault="00000000">
            <w:pPr>
              <w:keepNext/>
              <w:jc w:val="center"/>
            </w:pPr>
            <w:r>
              <w:t>1 228 800</w:t>
            </w:r>
          </w:p>
        </w:tc>
        <w:tc>
          <w:tcPr>
            <w:tcW w:w="1260" w:type="dxa"/>
          </w:tcPr>
          <w:p w:rsidR="00000000" w:rsidRDefault="00000000">
            <w:pPr>
              <w:keepNext/>
              <w:jc w:val="center"/>
            </w:pPr>
            <w:r>
              <w:t>1 135 900</w:t>
            </w:r>
          </w:p>
        </w:tc>
        <w:tc>
          <w:tcPr>
            <w:tcW w:w="1232" w:type="dxa"/>
          </w:tcPr>
          <w:p w:rsidR="00000000" w:rsidRDefault="00000000">
            <w:pPr>
              <w:keepNext/>
              <w:jc w:val="center"/>
            </w:pPr>
            <w:r>
              <w:t>247 900</w:t>
            </w:r>
          </w:p>
        </w:tc>
        <w:tc>
          <w:tcPr>
            <w:tcW w:w="1133" w:type="dxa"/>
          </w:tcPr>
          <w:p w:rsidR="00000000" w:rsidRDefault="00000000">
            <w:pPr>
              <w:keepNext/>
              <w:jc w:val="center"/>
            </w:pPr>
            <w:r>
              <w:t>342 700</w:t>
            </w:r>
          </w:p>
        </w:tc>
        <w:tc>
          <w:tcPr>
            <w:tcW w:w="1359" w:type="dxa"/>
          </w:tcPr>
          <w:p w:rsidR="00000000" w:rsidRDefault="00000000">
            <w:pPr>
              <w:keepNext/>
              <w:jc w:val="center"/>
            </w:pPr>
            <w:r>
              <w:t>67,2</w:t>
            </w:r>
          </w:p>
        </w:tc>
        <w:tc>
          <w:tcPr>
            <w:tcW w:w="1496" w:type="dxa"/>
          </w:tcPr>
          <w:p w:rsidR="00000000" w:rsidRDefault="00000000">
            <w:pPr>
              <w:keepNext/>
              <w:jc w:val="center"/>
            </w:pPr>
            <w:r>
              <w:t>50,9</w:t>
            </w:r>
          </w:p>
        </w:tc>
      </w:tr>
    </w:tbl>
    <w:p w:rsidR="00000000" w:rsidRDefault="00000000">
      <w:pPr>
        <w:keepNext/>
      </w:pPr>
    </w:p>
    <w:p w:rsidR="00000000" w:rsidRDefault="00000000">
      <w:pPr>
        <w:keepNext/>
      </w:pPr>
      <w:r>
        <w:tab/>
      </w:r>
      <w:r>
        <w:rPr>
          <w:i/>
          <w:iCs/>
        </w:rPr>
        <w:t>Источник</w:t>
      </w:r>
      <w:r>
        <w:t>:  Статистическое управление Финляндии, обзор трудовых ресурсов.</w:t>
      </w:r>
    </w:p>
    <w:p w:rsidR="00000000" w:rsidRDefault="00000000">
      <w:pPr>
        <w:keepNext/>
      </w:pPr>
    </w:p>
    <w:p w:rsidR="00000000" w:rsidRDefault="00000000">
      <w:r>
        <w:t>214.</w:t>
      </w:r>
      <w:r>
        <w:tab/>
        <w:t>Уровень занятости также повысился, особенно в конце 90-х годов.  С 1994 года численность занятых возросла более чем на 300 000 человек (15%).  В 2004 году коэффициент занятости в среднем оставался на уровне 67,2%.  Согласно статистическим данным министерства труда, среднее число вакансий, которые объявлялись агентствами по трудоустройству каждый месяц, в 2004 году составляло 23 500.</w:t>
      </w:r>
    </w:p>
    <w:p w:rsidR="00000000" w:rsidRDefault="00000000"/>
    <w:p w:rsidR="00000000" w:rsidRDefault="00000000">
      <w:r>
        <w:t>215.</w:t>
      </w:r>
      <w:r>
        <w:tab/>
        <w:t>Количество работников, занятых неполный рабочий день (от 1 до 29 часов в неделю), постоянно возрастает.  В период 1994-2004 годов их число увеличилось более чем на 50%.  Это отчасти объясняется все более широким использованием практики частичного выхода на пенсию и других гибких договоренностей относительно часов работы, существующих на рынке труда.  В результате практика работы неполный рабочий день особенно широко используется среди работников в возрасте 55-64 лет, среди которых число лиц, работающих неполный рабочий день, в 2004 году более чем в три раза превышает показатель 1994 года.  Тем не менее численность работников в возрасте до 25 лет, занятых неполный рабочий день, также почти удвоилась за тот же период времени.</w:t>
      </w:r>
    </w:p>
    <w:p w:rsidR="00000000" w:rsidRDefault="00000000"/>
    <w:p w:rsidR="00000000" w:rsidRDefault="00000000">
      <w:pPr>
        <w:keepNext/>
        <w:jc w:val="center"/>
        <w:rPr>
          <w:b/>
          <w:bCs/>
        </w:rPr>
      </w:pPr>
      <w:r>
        <w:rPr>
          <w:b/>
          <w:bCs/>
        </w:rPr>
        <w:t>Таблица 4</w:t>
      </w:r>
    </w:p>
    <w:p w:rsidR="00000000" w:rsidRDefault="00000000">
      <w:pPr>
        <w:keepNext/>
        <w:jc w:val="center"/>
        <w:rPr>
          <w:b/>
          <w:bCs/>
        </w:rPr>
      </w:pPr>
    </w:p>
    <w:p w:rsidR="00000000" w:rsidRDefault="00000000">
      <w:pPr>
        <w:keepNext/>
        <w:jc w:val="center"/>
        <w:rPr>
          <w:b/>
          <w:bCs/>
        </w:rPr>
      </w:pPr>
      <w:r>
        <w:rPr>
          <w:b/>
          <w:bCs/>
        </w:rPr>
        <w:t>Занятость неполный рабочий день (1-29 часов в неделю) по категориям в 1994,</w:t>
      </w:r>
    </w:p>
    <w:p w:rsidR="00000000" w:rsidRDefault="00000000">
      <w:pPr>
        <w:keepNext/>
        <w:jc w:val="center"/>
        <w:rPr>
          <w:b/>
          <w:bCs/>
        </w:rPr>
      </w:pPr>
      <w:r>
        <w:rPr>
          <w:b/>
          <w:bCs/>
        </w:rPr>
        <w:t>1999 и 2004 годах</w:t>
      </w:r>
    </w:p>
    <w:p w:rsidR="00000000" w:rsidRDefault="00000000">
      <w:pPr>
        <w:keepN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4"/>
        <w:gridCol w:w="1869"/>
        <w:gridCol w:w="1888"/>
        <w:gridCol w:w="1884"/>
        <w:gridCol w:w="1886"/>
      </w:tblGrid>
      <w:tr w:rsidR="00000000">
        <w:tblPrEx>
          <w:tblCellMar>
            <w:top w:w="0" w:type="dxa"/>
            <w:bottom w:w="0" w:type="dxa"/>
          </w:tblCellMar>
        </w:tblPrEx>
        <w:trPr>
          <w:cantSplit/>
        </w:trPr>
        <w:tc>
          <w:tcPr>
            <w:tcW w:w="1884" w:type="dxa"/>
            <w:vAlign w:val="center"/>
          </w:tcPr>
          <w:p w:rsidR="00000000" w:rsidRDefault="00000000">
            <w:pPr>
              <w:keepNext/>
              <w:jc w:val="center"/>
            </w:pPr>
            <w:r>
              <w:t>Всего</w:t>
            </w:r>
          </w:p>
        </w:tc>
        <w:tc>
          <w:tcPr>
            <w:tcW w:w="1869" w:type="dxa"/>
            <w:vAlign w:val="center"/>
          </w:tcPr>
          <w:p w:rsidR="00000000" w:rsidRDefault="00000000">
            <w:pPr>
              <w:keepNext/>
              <w:jc w:val="center"/>
            </w:pPr>
            <w:r>
              <w:t>Мужчины</w:t>
            </w:r>
          </w:p>
        </w:tc>
        <w:tc>
          <w:tcPr>
            <w:tcW w:w="1888" w:type="dxa"/>
            <w:vAlign w:val="center"/>
          </w:tcPr>
          <w:p w:rsidR="00000000" w:rsidRDefault="00000000">
            <w:pPr>
              <w:keepNext/>
              <w:jc w:val="center"/>
            </w:pPr>
            <w:r>
              <w:t>Женщины</w:t>
            </w:r>
          </w:p>
        </w:tc>
        <w:tc>
          <w:tcPr>
            <w:tcW w:w="1884" w:type="dxa"/>
            <w:vAlign w:val="center"/>
          </w:tcPr>
          <w:p w:rsidR="00000000" w:rsidRDefault="00000000">
            <w:pPr>
              <w:keepNext/>
              <w:jc w:val="center"/>
              <w:rPr>
                <w:lang w:val="en-US"/>
              </w:rPr>
            </w:pPr>
            <w:r>
              <w:t>Молодежь</w:t>
            </w:r>
          </w:p>
        </w:tc>
        <w:tc>
          <w:tcPr>
            <w:tcW w:w="1886" w:type="dxa"/>
            <w:vAlign w:val="center"/>
          </w:tcPr>
          <w:p w:rsidR="00000000" w:rsidRDefault="00000000">
            <w:pPr>
              <w:keepNext/>
              <w:jc w:val="center"/>
            </w:pPr>
            <w:r>
              <w:t>Пожилые лица</w:t>
            </w:r>
          </w:p>
        </w:tc>
      </w:tr>
      <w:tr w:rsidR="00000000">
        <w:tblPrEx>
          <w:tblCellMar>
            <w:top w:w="0" w:type="dxa"/>
            <w:bottom w:w="0" w:type="dxa"/>
          </w:tblCellMar>
        </w:tblPrEx>
        <w:trPr>
          <w:cantSplit/>
        </w:trPr>
        <w:tc>
          <w:tcPr>
            <w:tcW w:w="1884" w:type="dxa"/>
          </w:tcPr>
          <w:p w:rsidR="00000000" w:rsidRDefault="00000000">
            <w:pPr>
              <w:keepNext/>
              <w:jc w:val="center"/>
              <w:rPr>
                <w:lang w:val="en-US"/>
              </w:rPr>
            </w:pPr>
            <w:r>
              <w:rPr>
                <w:lang w:val="en-US"/>
              </w:rPr>
              <w:t>173 500</w:t>
            </w:r>
          </w:p>
        </w:tc>
        <w:tc>
          <w:tcPr>
            <w:tcW w:w="1869" w:type="dxa"/>
          </w:tcPr>
          <w:p w:rsidR="00000000" w:rsidRDefault="00000000">
            <w:pPr>
              <w:keepNext/>
              <w:jc w:val="center"/>
              <w:rPr>
                <w:lang w:val="en-US"/>
              </w:rPr>
            </w:pPr>
            <w:r>
              <w:rPr>
                <w:lang w:val="en-US"/>
              </w:rPr>
              <w:t>63 400</w:t>
            </w:r>
          </w:p>
        </w:tc>
        <w:tc>
          <w:tcPr>
            <w:tcW w:w="1888" w:type="dxa"/>
          </w:tcPr>
          <w:p w:rsidR="00000000" w:rsidRDefault="00000000">
            <w:pPr>
              <w:keepNext/>
              <w:jc w:val="center"/>
              <w:rPr>
                <w:lang w:val="en-US"/>
              </w:rPr>
            </w:pPr>
            <w:r>
              <w:rPr>
                <w:lang w:val="en-US"/>
              </w:rPr>
              <w:t>110 100</w:t>
            </w:r>
          </w:p>
        </w:tc>
        <w:tc>
          <w:tcPr>
            <w:tcW w:w="1884" w:type="dxa"/>
          </w:tcPr>
          <w:p w:rsidR="00000000" w:rsidRDefault="00000000">
            <w:pPr>
              <w:keepNext/>
              <w:jc w:val="center"/>
              <w:rPr>
                <w:lang w:val="en-US"/>
              </w:rPr>
            </w:pPr>
            <w:r>
              <w:rPr>
                <w:lang w:val="en-US"/>
              </w:rPr>
              <w:t>40</w:t>
            </w:r>
            <w:r>
              <w:t xml:space="preserve"> </w:t>
            </w:r>
            <w:r>
              <w:rPr>
                <w:lang w:val="en-US"/>
              </w:rPr>
              <w:t>000</w:t>
            </w:r>
          </w:p>
        </w:tc>
        <w:tc>
          <w:tcPr>
            <w:tcW w:w="1886" w:type="dxa"/>
          </w:tcPr>
          <w:p w:rsidR="00000000" w:rsidRDefault="00000000">
            <w:pPr>
              <w:keepNext/>
              <w:jc w:val="center"/>
              <w:rPr>
                <w:lang w:val="en-US"/>
              </w:rPr>
            </w:pPr>
            <w:r>
              <w:rPr>
                <w:lang w:val="en-US"/>
              </w:rPr>
              <w:t>21 200</w:t>
            </w:r>
          </w:p>
        </w:tc>
      </w:tr>
      <w:tr w:rsidR="00000000">
        <w:tblPrEx>
          <w:tblCellMar>
            <w:top w:w="0" w:type="dxa"/>
            <w:bottom w:w="0" w:type="dxa"/>
          </w:tblCellMar>
        </w:tblPrEx>
        <w:trPr>
          <w:cantSplit/>
        </w:trPr>
        <w:tc>
          <w:tcPr>
            <w:tcW w:w="1884" w:type="dxa"/>
          </w:tcPr>
          <w:p w:rsidR="00000000" w:rsidRDefault="00000000">
            <w:pPr>
              <w:keepNext/>
              <w:jc w:val="center"/>
              <w:rPr>
                <w:lang w:val="en-US"/>
              </w:rPr>
            </w:pPr>
            <w:r>
              <w:rPr>
                <w:lang w:val="en-US"/>
              </w:rPr>
              <w:t>225 500</w:t>
            </w:r>
          </w:p>
        </w:tc>
        <w:tc>
          <w:tcPr>
            <w:tcW w:w="1869" w:type="dxa"/>
          </w:tcPr>
          <w:p w:rsidR="00000000" w:rsidRDefault="00000000">
            <w:pPr>
              <w:keepNext/>
              <w:jc w:val="center"/>
              <w:rPr>
                <w:lang w:val="en-US"/>
              </w:rPr>
            </w:pPr>
            <w:r>
              <w:rPr>
                <w:lang w:val="en-US"/>
              </w:rPr>
              <w:t xml:space="preserve">79 </w:t>
            </w:r>
            <w:r>
              <w:t>7</w:t>
            </w:r>
            <w:r>
              <w:rPr>
                <w:lang w:val="en-US"/>
              </w:rPr>
              <w:t>00</w:t>
            </w:r>
          </w:p>
        </w:tc>
        <w:tc>
          <w:tcPr>
            <w:tcW w:w="1888" w:type="dxa"/>
          </w:tcPr>
          <w:p w:rsidR="00000000" w:rsidRDefault="00000000">
            <w:pPr>
              <w:keepNext/>
              <w:jc w:val="center"/>
              <w:rPr>
                <w:lang w:val="en-US"/>
              </w:rPr>
            </w:pPr>
            <w:r>
              <w:rPr>
                <w:lang w:val="en-US"/>
              </w:rPr>
              <w:t>145</w:t>
            </w:r>
            <w:r>
              <w:t xml:space="preserve"> </w:t>
            </w:r>
            <w:r>
              <w:rPr>
                <w:lang w:val="en-US"/>
              </w:rPr>
              <w:t>600</w:t>
            </w:r>
          </w:p>
        </w:tc>
        <w:tc>
          <w:tcPr>
            <w:tcW w:w="1884" w:type="dxa"/>
          </w:tcPr>
          <w:p w:rsidR="00000000" w:rsidRDefault="00000000">
            <w:pPr>
              <w:keepNext/>
              <w:jc w:val="center"/>
              <w:rPr>
                <w:lang w:val="en-US"/>
              </w:rPr>
            </w:pPr>
            <w:r>
              <w:rPr>
                <w:lang w:val="en-US"/>
              </w:rPr>
              <w:t>72 300</w:t>
            </w:r>
          </w:p>
        </w:tc>
        <w:tc>
          <w:tcPr>
            <w:tcW w:w="1886" w:type="dxa"/>
          </w:tcPr>
          <w:p w:rsidR="00000000" w:rsidRDefault="00000000">
            <w:pPr>
              <w:keepNext/>
              <w:jc w:val="center"/>
              <w:rPr>
                <w:lang w:val="en-US"/>
              </w:rPr>
            </w:pPr>
            <w:r>
              <w:rPr>
                <w:lang w:val="en-US"/>
              </w:rPr>
              <w:t>32 800</w:t>
            </w:r>
          </w:p>
        </w:tc>
      </w:tr>
      <w:tr w:rsidR="00000000">
        <w:tblPrEx>
          <w:tblCellMar>
            <w:top w:w="0" w:type="dxa"/>
            <w:bottom w:w="0" w:type="dxa"/>
          </w:tblCellMar>
        </w:tblPrEx>
        <w:trPr>
          <w:cantSplit/>
        </w:trPr>
        <w:tc>
          <w:tcPr>
            <w:tcW w:w="1884" w:type="dxa"/>
          </w:tcPr>
          <w:p w:rsidR="00000000" w:rsidRDefault="00000000">
            <w:pPr>
              <w:keepNext/>
              <w:jc w:val="center"/>
            </w:pPr>
            <w:r>
              <w:t>265 700</w:t>
            </w:r>
          </w:p>
        </w:tc>
        <w:tc>
          <w:tcPr>
            <w:tcW w:w="1869" w:type="dxa"/>
          </w:tcPr>
          <w:p w:rsidR="00000000" w:rsidRDefault="00000000">
            <w:pPr>
              <w:keepNext/>
              <w:jc w:val="center"/>
            </w:pPr>
            <w:r>
              <w:t>96 400</w:t>
            </w:r>
          </w:p>
        </w:tc>
        <w:tc>
          <w:tcPr>
            <w:tcW w:w="1888" w:type="dxa"/>
          </w:tcPr>
          <w:p w:rsidR="00000000" w:rsidRDefault="00000000">
            <w:pPr>
              <w:keepNext/>
              <w:jc w:val="center"/>
            </w:pPr>
            <w:r>
              <w:t>169 200</w:t>
            </w:r>
          </w:p>
        </w:tc>
        <w:tc>
          <w:tcPr>
            <w:tcW w:w="1884" w:type="dxa"/>
          </w:tcPr>
          <w:p w:rsidR="00000000" w:rsidRDefault="00000000">
            <w:pPr>
              <w:keepNext/>
              <w:jc w:val="center"/>
            </w:pPr>
            <w:r>
              <w:t>78 100</w:t>
            </w:r>
          </w:p>
        </w:tc>
        <w:tc>
          <w:tcPr>
            <w:tcW w:w="1886" w:type="dxa"/>
          </w:tcPr>
          <w:p w:rsidR="00000000" w:rsidRDefault="00000000">
            <w:pPr>
              <w:keepNext/>
              <w:jc w:val="center"/>
            </w:pPr>
            <w:r>
              <w:t>64 400</w:t>
            </w:r>
          </w:p>
        </w:tc>
      </w:tr>
    </w:tbl>
    <w:p w:rsidR="00000000" w:rsidRDefault="00000000">
      <w:pPr>
        <w:keepNext/>
      </w:pPr>
    </w:p>
    <w:p w:rsidR="00000000" w:rsidRDefault="00000000">
      <w:pPr>
        <w:keepNext/>
      </w:pPr>
      <w:r>
        <w:tab/>
      </w:r>
      <w:r>
        <w:rPr>
          <w:i/>
          <w:iCs/>
        </w:rPr>
        <w:t>Источник</w:t>
      </w:r>
      <w:r>
        <w:t>:  Статистическое управление Финляндии, обзор трудовых ресурсов.</w:t>
      </w:r>
    </w:p>
    <w:p w:rsidR="00000000" w:rsidRDefault="00000000">
      <w:pPr>
        <w:keepNext/>
      </w:pPr>
    </w:p>
    <w:p w:rsidR="00000000" w:rsidRDefault="00000000">
      <w:r>
        <w:t>216.</w:t>
      </w:r>
      <w:r>
        <w:tab/>
        <w:t>По статистическим данным министерства труда, количество безработных, желающих получить работу, в период с 1994-1999 годов сократилось примерно на 30%.  За 1999-2004 годы их число сократилось лишь на 17%.</w:t>
      </w:r>
    </w:p>
    <w:p w:rsidR="00000000" w:rsidRDefault="00000000">
      <w:pPr>
        <w:rPr>
          <w:sz w:val="16"/>
        </w:rPr>
      </w:pPr>
    </w:p>
    <w:p w:rsidR="00000000" w:rsidRDefault="00000000">
      <w:pPr>
        <w:jc w:val="center"/>
        <w:rPr>
          <w:b/>
          <w:bCs/>
        </w:rPr>
      </w:pPr>
      <w:r>
        <w:rPr>
          <w:b/>
          <w:bCs/>
        </w:rPr>
        <w:t>Таблица 5</w:t>
      </w:r>
    </w:p>
    <w:p w:rsidR="00000000" w:rsidRDefault="00000000">
      <w:pPr>
        <w:rPr>
          <w:sz w:val="16"/>
        </w:rPr>
      </w:pPr>
    </w:p>
    <w:p w:rsidR="00000000" w:rsidRDefault="00000000">
      <w:pPr>
        <w:jc w:val="center"/>
        <w:rPr>
          <w:b/>
          <w:bCs/>
        </w:rPr>
      </w:pPr>
      <w:r>
        <w:rPr>
          <w:b/>
          <w:bCs/>
        </w:rPr>
        <w:t>Безработные по категориям в 1994, 1999 и 2004 годах</w:t>
      </w:r>
    </w:p>
    <w:p w:rsidR="00000000" w:rsidRDefault="00000000">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52"/>
        <w:gridCol w:w="1272"/>
        <w:gridCol w:w="1316"/>
        <w:gridCol w:w="1596"/>
        <w:gridCol w:w="1973"/>
        <w:gridCol w:w="2202"/>
      </w:tblGrid>
      <w:tr w:rsidR="00000000">
        <w:tblPrEx>
          <w:tblCellMar>
            <w:top w:w="0" w:type="dxa"/>
            <w:bottom w:w="0" w:type="dxa"/>
          </w:tblCellMar>
        </w:tblPrEx>
        <w:trPr>
          <w:cantSplit/>
        </w:trPr>
        <w:tc>
          <w:tcPr>
            <w:tcW w:w="1052" w:type="dxa"/>
            <w:vAlign w:val="center"/>
          </w:tcPr>
          <w:p w:rsidR="00000000" w:rsidRDefault="00000000">
            <w:pPr>
              <w:spacing w:line="240" w:lineRule="auto"/>
              <w:jc w:val="center"/>
            </w:pPr>
            <w:r>
              <w:t>Всего</w:t>
            </w:r>
          </w:p>
        </w:tc>
        <w:tc>
          <w:tcPr>
            <w:tcW w:w="1272" w:type="dxa"/>
            <w:vAlign w:val="center"/>
          </w:tcPr>
          <w:p w:rsidR="00000000" w:rsidRDefault="00000000">
            <w:pPr>
              <w:spacing w:line="240" w:lineRule="auto"/>
              <w:jc w:val="center"/>
            </w:pPr>
            <w:r>
              <w:t>Мужчины</w:t>
            </w:r>
          </w:p>
        </w:tc>
        <w:tc>
          <w:tcPr>
            <w:tcW w:w="1316" w:type="dxa"/>
            <w:vAlign w:val="center"/>
          </w:tcPr>
          <w:p w:rsidR="00000000" w:rsidRDefault="00000000">
            <w:pPr>
              <w:spacing w:line="240" w:lineRule="auto"/>
              <w:jc w:val="center"/>
            </w:pPr>
            <w:r>
              <w:t>Женщины</w:t>
            </w:r>
          </w:p>
        </w:tc>
        <w:tc>
          <w:tcPr>
            <w:tcW w:w="1596" w:type="dxa"/>
            <w:vAlign w:val="center"/>
          </w:tcPr>
          <w:p w:rsidR="00000000" w:rsidRDefault="00000000">
            <w:pPr>
              <w:spacing w:line="240" w:lineRule="auto"/>
              <w:jc w:val="center"/>
            </w:pPr>
            <w:r>
              <w:t>Молодежь</w:t>
            </w:r>
          </w:p>
        </w:tc>
        <w:tc>
          <w:tcPr>
            <w:tcW w:w="1973" w:type="dxa"/>
            <w:vAlign w:val="center"/>
          </w:tcPr>
          <w:p w:rsidR="00000000" w:rsidRDefault="00000000">
            <w:pPr>
              <w:spacing w:line="240" w:lineRule="auto"/>
              <w:jc w:val="center"/>
            </w:pPr>
            <w:r>
              <w:t>Пожилые лица</w:t>
            </w:r>
          </w:p>
        </w:tc>
        <w:tc>
          <w:tcPr>
            <w:tcW w:w="2202" w:type="dxa"/>
            <w:vAlign w:val="center"/>
          </w:tcPr>
          <w:p w:rsidR="00000000" w:rsidRDefault="00000000">
            <w:pPr>
              <w:spacing w:line="240" w:lineRule="auto"/>
              <w:jc w:val="center"/>
            </w:pPr>
            <w:r>
              <w:t>Уровень безработицы (%)</w:t>
            </w:r>
          </w:p>
        </w:tc>
      </w:tr>
      <w:tr w:rsidR="00000000">
        <w:tblPrEx>
          <w:tblCellMar>
            <w:top w:w="0" w:type="dxa"/>
            <w:bottom w:w="0" w:type="dxa"/>
          </w:tblCellMar>
        </w:tblPrEx>
        <w:trPr>
          <w:cantSplit/>
        </w:trPr>
        <w:tc>
          <w:tcPr>
            <w:tcW w:w="1052" w:type="dxa"/>
          </w:tcPr>
          <w:p w:rsidR="00000000" w:rsidRDefault="00000000">
            <w:pPr>
              <w:jc w:val="center"/>
            </w:pPr>
            <w:r>
              <w:t>408 300</w:t>
            </w:r>
          </w:p>
        </w:tc>
        <w:tc>
          <w:tcPr>
            <w:tcW w:w="1272" w:type="dxa"/>
          </w:tcPr>
          <w:p w:rsidR="00000000" w:rsidRDefault="00000000">
            <w:pPr>
              <w:jc w:val="center"/>
            </w:pPr>
            <w:r>
              <w:t>234 700</w:t>
            </w:r>
          </w:p>
        </w:tc>
        <w:tc>
          <w:tcPr>
            <w:tcW w:w="1316" w:type="dxa"/>
          </w:tcPr>
          <w:p w:rsidR="00000000" w:rsidRDefault="00000000">
            <w:pPr>
              <w:jc w:val="center"/>
            </w:pPr>
            <w:r>
              <w:t>173 600</w:t>
            </w:r>
          </w:p>
        </w:tc>
        <w:tc>
          <w:tcPr>
            <w:tcW w:w="1596" w:type="dxa"/>
          </w:tcPr>
          <w:p w:rsidR="00000000" w:rsidRDefault="00000000">
            <w:pPr>
              <w:jc w:val="center"/>
            </w:pPr>
            <w:r>
              <w:t>90 600</w:t>
            </w:r>
          </w:p>
        </w:tc>
        <w:tc>
          <w:tcPr>
            <w:tcW w:w="1973" w:type="dxa"/>
          </w:tcPr>
          <w:p w:rsidR="00000000" w:rsidRDefault="00000000">
            <w:pPr>
              <w:jc w:val="center"/>
            </w:pPr>
            <w:r>
              <w:t>39 800</w:t>
            </w:r>
          </w:p>
        </w:tc>
        <w:tc>
          <w:tcPr>
            <w:tcW w:w="2202" w:type="dxa"/>
          </w:tcPr>
          <w:p w:rsidR="00000000" w:rsidRDefault="00000000">
            <w:pPr>
              <w:jc w:val="center"/>
            </w:pPr>
            <w:r>
              <w:t>16,6</w:t>
            </w:r>
          </w:p>
        </w:tc>
      </w:tr>
      <w:tr w:rsidR="00000000">
        <w:tblPrEx>
          <w:tblCellMar>
            <w:top w:w="0" w:type="dxa"/>
            <w:bottom w:w="0" w:type="dxa"/>
          </w:tblCellMar>
        </w:tblPrEx>
        <w:trPr>
          <w:cantSplit/>
        </w:trPr>
        <w:tc>
          <w:tcPr>
            <w:tcW w:w="1052" w:type="dxa"/>
          </w:tcPr>
          <w:p w:rsidR="00000000" w:rsidRDefault="00000000">
            <w:pPr>
              <w:jc w:val="center"/>
            </w:pPr>
            <w:r>
              <w:t>260 900</w:t>
            </w:r>
          </w:p>
        </w:tc>
        <w:tc>
          <w:tcPr>
            <w:tcW w:w="1272" w:type="dxa"/>
          </w:tcPr>
          <w:p w:rsidR="00000000" w:rsidRDefault="00000000">
            <w:pPr>
              <w:jc w:val="center"/>
            </w:pPr>
            <w:r>
              <w:t>130 300</w:t>
            </w:r>
          </w:p>
        </w:tc>
        <w:tc>
          <w:tcPr>
            <w:tcW w:w="1316" w:type="dxa"/>
          </w:tcPr>
          <w:p w:rsidR="00000000" w:rsidRDefault="00000000">
            <w:pPr>
              <w:jc w:val="center"/>
            </w:pPr>
            <w:r>
              <w:t>130 600</w:t>
            </w:r>
          </w:p>
        </w:tc>
        <w:tc>
          <w:tcPr>
            <w:tcW w:w="1596" w:type="dxa"/>
          </w:tcPr>
          <w:p w:rsidR="00000000" w:rsidRDefault="00000000">
            <w:pPr>
              <w:jc w:val="center"/>
            </w:pPr>
            <w:r>
              <w:t>69 600</w:t>
            </w:r>
          </w:p>
        </w:tc>
        <w:tc>
          <w:tcPr>
            <w:tcW w:w="1973" w:type="dxa"/>
          </w:tcPr>
          <w:p w:rsidR="00000000" w:rsidRDefault="00000000">
            <w:pPr>
              <w:jc w:val="center"/>
            </w:pPr>
            <w:r>
              <w:t>24 200</w:t>
            </w:r>
          </w:p>
        </w:tc>
        <w:tc>
          <w:tcPr>
            <w:tcW w:w="2202" w:type="dxa"/>
          </w:tcPr>
          <w:p w:rsidR="00000000" w:rsidRDefault="00000000">
            <w:pPr>
              <w:jc w:val="center"/>
            </w:pPr>
            <w:r>
              <w:t>10,2</w:t>
            </w:r>
          </w:p>
        </w:tc>
      </w:tr>
      <w:tr w:rsidR="00000000">
        <w:tblPrEx>
          <w:tblCellMar>
            <w:top w:w="0" w:type="dxa"/>
            <w:bottom w:w="0" w:type="dxa"/>
          </w:tblCellMar>
        </w:tblPrEx>
        <w:trPr>
          <w:cantSplit/>
        </w:trPr>
        <w:tc>
          <w:tcPr>
            <w:tcW w:w="1052" w:type="dxa"/>
          </w:tcPr>
          <w:p w:rsidR="00000000" w:rsidRDefault="00000000">
            <w:pPr>
              <w:jc w:val="center"/>
            </w:pPr>
            <w:r>
              <w:t>228 800</w:t>
            </w:r>
          </w:p>
        </w:tc>
        <w:tc>
          <w:tcPr>
            <w:tcW w:w="1272" w:type="dxa"/>
          </w:tcPr>
          <w:p w:rsidR="00000000" w:rsidRDefault="00000000">
            <w:pPr>
              <w:jc w:val="center"/>
            </w:pPr>
            <w:r>
              <w:t>117 600</w:t>
            </w:r>
          </w:p>
        </w:tc>
        <w:tc>
          <w:tcPr>
            <w:tcW w:w="1316" w:type="dxa"/>
          </w:tcPr>
          <w:p w:rsidR="00000000" w:rsidRDefault="00000000">
            <w:pPr>
              <w:jc w:val="center"/>
            </w:pPr>
            <w:r>
              <w:t>111 300</w:t>
            </w:r>
          </w:p>
        </w:tc>
        <w:tc>
          <w:tcPr>
            <w:tcW w:w="1596" w:type="dxa"/>
          </w:tcPr>
          <w:p w:rsidR="00000000" w:rsidRDefault="00000000">
            <w:pPr>
              <w:jc w:val="center"/>
            </w:pPr>
            <w:r>
              <w:t>64 700</w:t>
            </w:r>
          </w:p>
        </w:tc>
        <w:tc>
          <w:tcPr>
            <w:tcW w:w="1973" w:type="dxa"/>
          </w:tcPr>
          <w:p w:rsidR="00000000" w:rsidRDefault="00000000">
            <w:pPr>
              <w:jc w:val="center"/>
            </w:pPr>
            <w:r>
              <w:t>26 800</w:t>
            </w:r>
          </w:p>
        </w:tc>
        <w:tc>
          <w:tcPr>
            <w:tcW w:w="2202" w:type="dxa"/>
          </w:tcPr>
          <w:p w:rsidR="00000000" w:rsidRDefault="00000000">
            <w:pPr>
              <w:jc w:val="center"/>
            </w:pPr>
            <w:r>
              <w:t xml:space="preserve">  8,8</w:t>
            </w:r>
          </w:p>
        </w:tc>
      </w:tr>
    </w:tbl>
    <w:p w:rsidR="00000000" w:rsidRDefault="00000000">
      <w:pPr>
        <w:rPr>
          <w:sz w:val="16"/>
        </w:rPr>
      </w:pPr>
    </w:p>
    <w:p w:rsidR="00000000" w:rsidRDefault="00000000">
      <w:r>
        <w:tab/>
      </w:r>
      <w:r>
        <w:rPr>
          <w:i/>
          <w:iCs/>
        </w:rPr>
        <w:t>Источник</w:t>
      </w:r>
      <w:r>
        <w:t>:  Статистическое управление Финляндии, обзор трудовых ресурсов.</w:t>
      </w:r>
    </w:p>
    <w:p w:rsidR="00000000" w:rsidRDefault="00000000">
      <w:r>
        <w:t>217.</w:t>
      </w:r>
      <w:r>
        <w:tab/>
      </w:r>
      <w:r>
        <w:rPr>
          <w:i/>
          <w:iCs/>
        </w:rPr>
        <w:t>Гендерная перспектива</w:t>
      </w:r>
      <w:r>
        <w:t>.  За последние десять лет коэффициенты занятости мужчин и женщин изменялись примерно одинаковыми темпами.  Показатели занятости женщин возрастали лишь немногим медленнее, чем среди мужчин.  Однако в то же время показатели безработицы среди женщин понижались явно медленнее (50-100%), чем показатели мужчин.  Несмотря на это, мужчины составляют бо</w:t>
      </w:r>
      <w:r>
        <w:rPr>
          <w:rFonts w:ascii="Tahoma" w:hAnsi="Tahoma" w:cs="Tahoma"/>
        </w:rPr>
        <w:t></w:t>
      </w:r>
      <w:r>
        <w:t>льшую долю среди всех безработных.  Среди лиц, занятых неполный рабочий день, женщины в 2004 году составляли 64%.  Что касается роста численности лиц, занятых неполный рабочий день, то за последние десять лет женщины явно составляли среди них большую долю.</w:t>
      </w:r>
    </w:p>
    <w:p w:rsidR="00000000" w:rsidRDefault="00000000"/>
    <w:p w:rsidR="00000000" w:rsidRDefault="00000000">
      <w:r>
        <w:t>218.</w:t>
      </w:r>
      <w:r>
        <w:tab/>
        <w:t>В 2004 году женщины составляли 50% населения в возрасте 15-64 лет, 48% занятых, 49% безработных и 54% лиц, не присутствующих на рынке труда.  Доля женщин во всех группах приближается к 50%, что свидетельствует о равенстве между мужчинами и женщинами.</w:t>
      </w:r>
    </w:p>
    <w:p w:rsidR="00000000" w:rsidRDefault="00000000"/>
    <w:p w:rsidR="00000000" w:rsidRDefault="00000000">
      <w:r>
        <w:t>219.</w:t>
      </w:r>
      <w:r>
        <w:tab/>
        <w:t>Наибольшая разница между мужчинами и женщинами прослеживается в группах населения, не присутствующих на рынке труда.  В период 1998-2001 годов количество мужчин и женщин, не присутствующих на рынке труда, сократилось.  Численность таких женщин продолжала сокращаться в 2002 году.  За последние два года количество лиц, не присутствующих на рынке труда, увеличилось, и мужчин среди них несколько больше, чем женщин.  Разница в уровнях занятости мужчин и женщин в 2000 году составляла более 5%.  Прослеживающаяся с 2001 года понижательная тенденция в экономике, которая приводит к уменьшению уровня занятости в промышленности, зависящей от экспорта, особенно повлияла на занятость мужчин.  Поэтому с 2000 года разница между показателями занятости мужчин и женщин сократилась.  В 2004 году уровень занятости мужчин составлял 68,9%, а женщин - 65,5%.  Если говорить о периоде 1988-2004 годов, то  безработных женщин было больше, чем безработных мужчин, только в 1999</w:t>
      </w:r>
      <w:r>
        <w:noBreakHyphen/>
        <w:t>2001 годах.  Тем не менее, хотя в 2004 году безработных мужчин было больше, чем женщин, уровень безработицы среди них был ниже, т.е. 8,7%, чем уровень безработицы женщин, который составлял 8,9%.</w:t>
      </w:r>
    </w:p>
    <w:p w:rsidR="00000000" w:rsidRDefault="00000000"/>
    <w:p w:rsidR="00000000" w:rsidRDefault="00000000">
      <w:r>
        <w:t>220.</w:t>
      </w:r>
      <w:r>
        <w:tab/>
        <w:t>В 1999-2004 годах количество занятых мужчин увеличилось только на 23 000 человек, тогда как численность занятых женщин возросла на 46 000.  Положение женщин улучшилось в основном за счет увеличения числа вакансий, тогда как за последние несколько лет количество рабочих мест в промышленности, где доминируют мужчины, сокращалось.  В 2004 году количество женщин, не присутствующих на рынке труда, сократилось на 9 200 человек (население в возрасте 15</w:t>
      </w:r>
      <w:r>
        <w:noBreakHyphen/>
        <w:t>64 лет) по сравнению с 1999 годом, тогда как таких мужчин стало на 10 500 человек больше.</w:t>
      </w:r>
    </w:p>
    <w:p w:rsidR="00000000" w:rsidRDefault="00000000"/>
    <w:p w:rsidR="00000000" w:rsidRDefault="00000000">
      <w:r>
        <w:br w:type="page"/>
        <w:t>221.</w:t>
      </w:r>
      <w:r>
        <w:tab/>
        <w:t>Из всех служащих, работающих по найму, 82% мужчин и 68% женщин в 2004 году имели непрерывную работу в течение полного рабочего дня, а 5% мужчин и около 13% женщин имели постоянную работу с неполным рабочим днем.</w:t>
      </w:r>
    </w:p>
    <w:p w:rsidR="00000000" w:rsidRDefault="00000000"/>
    <w:p w:rsidR="00000000" w:rsidRDefault="00000000">
      <w:r>
        <w:t>222.</w:t>
      </w:r>
      <w:r>
        <w:tab/>
        <w:t>В 2004 году 13% мужчин и 20% женщин имели временную работу.  Из них 21% мужчин и 28% женщин были заняты неполный рабочий день.  Из всех наемных работников 13% (8% мужчин и 18% женщин) в 2004 году были заняты неполный рабочий день.</w:t>
      </w:r>
    </w:p>
    <w:p w:rsidR="00000000" w:rsidRDefault="00000000"/>
    <w:p w:rsidR="00000000" w:rsidRDefault="00000000">
      <w:r>
        <w:t>223.</w:t>
      </w:r>
      <w:r>
        <w:tab/>
      </w:r>
      <w:r>
        <w:rPr>
          <w:i/>
          <w:iCs/>
        </w:rPr>
        <w:t>Молодежь.</w:t>
      </w:r>
      <w:r>
        <w:t xml:space="preserve">  Численность работающих молодых людей, т.е. лиц в возрасте 15</w:t>
      </w:r>
      <w:r>
        <w:noBreakHyphen/>
        <w:t>24 лет, возросла в 2004 году по сравнению с 1994 годом более чем на 40%, что более чем в два раза превысила общий рост занятости.  Это отчасти объясняется значительным увеличением числа молодых людей, работающих неполный рабочий день.  С другой стороны, за тот же период наблюдалось явно меньшее сокращение численности безработных молодых людей, чем общего числа безработных.  Кроме того, процент безработных среди молодежи (21%) более чем в два раза превышает общий уровень безработицы.  Это объясняется тем фактом, что более половины безработных младше 25 лет в Финляндии составляют учащиеся, обучающиеся с отрывом от производства.  Если не учитывать долю этих учащихся, то показатели безработицы среди молодежи приблизятся к общему уровню безработицы.</w:t>
      </w:r>
    </w:p>
    <w:p w:rsidR="00000000" w:rsidRDefault="00000000"/>
    <w:p w:rsidR="00000000" w:rsidRDefault="00000000">
      <w:r>
        <w:t>224.</w:t>
      </w:r>
      <w:r>
        <w:tab/>
      </w:r>
      <w:r>
        <w:rPr>
          <w:i/>
          <w:iCs/>
        </w:rPr>
        <w:t>Пожилые лица.</w:t>
      </w:r>
      <w:r>
        <w:t xml:space="preserve">  Число работающих пожилых лиц (в возрасте 55-64 лет) за десять лет более чем удвоилось, а их уровень занятости за это же время возрос на 17%, достигнув 51% от общего числа пожилых лиц в Финляндии.  Особый рост наблюдался в категории пожилых лиц, работающих неполный рабочий день, что отчасти объясняется более широким использованием практики частичного выхода на пенсию.  Однако количество безработных пожилых лиц явно сокращалось более медленными темпами, чем количество всех безработных.  По статистическим данным министерства труда, количество безработных старше 50 лет, которые ищут работу, даже возросло в конце 90</w:t>
      </w:r>
      <w:r>
        <w:noBreakHyphen/>
        <w:t>х годов.  В 2004 году среднее число таких лиц уменьшилось лишь на 6 600 человека по сравнению с 1999 годом.  Более медленные темпы сокращения безработицы - это проблема, которая особенно затрагивает пожилых людей.  Как улучшение положения в области занятости пожилых лиц, так и медленные темпы сокращения безработицы объясняются тем фактом, что более многочисленные контингенты людей вливаются в группу пожилых лиц и достигают пенсионного возраста.  Эта тенденция будет даже возрастать по мере того, как самые многочисленные контингенты будут вливаться в группу пожилых лиц.</w:t>
      </w:r>
    </w:p>
    <w:p w:rsidR="00000000" w:rsidRDefault="00000000"/>
    <w:p w:rsidR="00000000" w:rsidRDefault="00000000">
      <w:r>
        <w:t>225.</w:t>
      </w:r>
      <w:r>
        <w:tab/>
      </w:r>
      <w:r>
        <w:rPr>
          <w:i/>
          <w:iCs/>
        </w:rPr>
        <w:t>Инвалиды.</w:t>
      </w:r>
      <w:r>
        <w:t xml:space="preserve">  Инвалиды составляют важную целевую группу, в отношении которой государство осуществляет меры по реализации стратегии занятости как в государственном, так и частном секторах.  За период, охватываемый настоящим докладом, было принято несколько законодательных поправок с целью улучшения положения в области занятости инвалидов и устранения соответствующих препятствий.  Среди этих поправок можно назвать, в частности, поправки, внесенные в Национальный пенсионный закон и Закон о социальном обеспечении, а также три новых закона, Закон о реабилитационной работе (189/2001), Закон о государственной службе трудоустройства (1295/2002) и Закон о социальных предприятиях (1351/2003).  Поправки призваны улучшить условия занятости всех лиц с ограниченной трудоспособностью и лиц, долгое время являющихся безработными, или пожилых лиц, ищущих работу, включая инвалидов.</w:t>
      </w:r>
    </w:p>
    <w:p w:rsidR="00000000" w:rsidRDefault="00000000"/>
    <w:p w:rsidR="00000000" w:rsidRDefault="00000000">
      <w:r>
        <w:t>226.</w:t>
      </w:r>
      <w:r>
        <w:tab/>
        <w:t>В соответствии с поправкой, внесенной в статью 22 (70/2002) Национального пенсионного закона (347/1956), инвалид может, вернувшись на работу, сохранить свое право на получение пенсии по инвалидности в течение не более пяти лет (вместо двух), пока он работает.  Все это время инвалиду выплачивается специальная финансовая надбавка в дополнение к вознаграждению, выплачиваемому работодателем.  Однако Национальный совет по делам инвалидов указывал, что этим льготным правом на получение пенсии в течение пяти лет воспользовались лишь немногие.  Целью другой поправки, внесенной в Национальный пенсионный закон (вместе с поправкой, внесенной в Закон о пособии по инвалидности;  124/1988) с целью расширения возможностей реабилитации и трудоустройства инвалидов, было повышение до 20 лет (с 18 лет, установленных ранее) минимального возраста получения пенсии по инвалидности без оценки возможностей реабилитации.  Кроме того, выплата пенсии по инвалидности приостанавливается в том случае, если доходы бенефициара превышают определенную сумму.  Цель принятия этой поправки заключалась в том, чтобы сделать положения о приостановлении выплаты пенсии по инвалидности более эффективными.</w:t>
      </w:r>
    </w:p>
    <w:p w:rsidR="00000000" w:rsidRDefault="00000000"/>
    <w:p w:rsidR="00000000" w:rsidRDefault="00000000">
      <w:r>
        <w:t>227.</w:t>
      </w:r>
      <w:r>
        <w:tab/>
        <w:t>Поправки к положениям о пенсионном законодательстве, связанном с реабилитацией, начали действовать с 1 января 2004 года в связи с реформой системы пенсионного обеспечения за выслугу лет.  Цель этой реформы заключалась в поощрении скорейшего восстановления трудоспособности и отказа от досрочного выхода на пенсию.  Реформа направлена на поддержание трудоспособности лиц трудоспособного возраста и восстановление трудоспособности.  В Законе о государственной службе трудоустройства предусматриваются различные формы услуг по восстановлению трудоспособности.  О Законе о государственной службе трудоустройства, а также Законе о социальных организациях и Законе о реабилитационной работе рассказывается в разделе 2 </w:t>
      </w:r>
      <w:r>
        <w:rPr>
          <w:lang w:val="en-US"/>
        </w:rPr>
        <w:t>b</w:t>
      </w:r>
      <w:r>
        <w:t>) ниже.  Услуги по восстановлению трудоспособности предоставляются всем лицам с ограниченной трудоспособностью.  Инвалиды подпадают под категорию лиц с ограниченной трудоспособностью, ищущих работу.</w:t>
      </w:r>
    </w:p>
    <w:p w:rsidR="00000000" w:rsidRDefault="00000000"/>
    <w:p w:rsidR="00000000" w:rsidRDefault="00000000">
      <w:r>
        <w:t>228.</w:t>
      </w:r>
      <w:r>
        <w:tab/>
        <w:t>Для трудоустройства лиц за счет мер поддержки обычно необходимо, чтобы ищущие работу лица были безработными.  Тем не менее слепые и лица с тяжелыми формами физической инвалидности всегда считаются в этом отношении безработными, даже если им выплачивается пенсия по инвалидности в соответствии со статьей 22 Национального пенсионного закона.  Работодателю в течение срока до двух лет может выплачиваться субсидия за трудоустройство безработного, который искал работу и которого нельзя было трудоустроить в рамках служб трудоустройства или за счет других вспомогательных мер трудоустройства, включая восстановление трудоспособности.  Кроме того, в подпункте 2 статьи 3 главы 3 Закона о пособиях по безработице предусматривается, что пособия по безработице могут выплачиваться лицам, имеющим право на получение пособий по инвалидности, если они во всех других отношениях удовлетворяют требованиям для получения пособий по безработице.</w:t>
      </w:r>
    </w:p>
    <w:p w:rsidR="00000000" w:rsidRDefault="00000000"/>
    <w:p w:rsidR="00000000" w:rsidRDefault="00000000">
      <w:r>
        <w:t>229.</w:t>
      </w:r>
      <w:r>
        <w:tab/>
        <w:t>Хотя основную ответственность за трудоустройство инвалидов и лиц, имеющих физические недостатки, несут органы по вопросам труда, их работу дополняет система социальной защиты.  В соответствии с поправками, внесенными в положения (статьи 17, 27 d) и 27 е)) Закона о социальном обеспечении, местные органы обязаны в рамках оказания услуг по социальному обеспечению принимать меры содействия трудоустройству инвалидов и организовывать специальные виды работ для инвалидов.  Одна из целей, которая преследовалась при внесении поправок в Закон о социальном обеспечении, заключалась в расширении функций производственных центров для инвалидов, с тем чтобы они также действовали в качестве консультационных центров, в которых могли бы работать специалисты в области трудоустройства инвалидов.  Однако, несмотря на эту поправку, трудоустроиться вне производственных центров смогли лишь очень немногие инвалиды.</w:t>
      </w:r>
    </w:p>
    <w:p w:rsidR="00000000" w:rsidRDefault="00000000"/>
    <w:p w:rsidR="00000000" w:rsidRDefault="00000000">
      <w:r>
        <w:t>230.</w:t>
      </w:r>
      <w:r>
        <w:tab/>
        <w:t>Организации, защищающие интересы инвалидов, подвергают критике как терминологию, используемую в законах, так и меры, принимаемые с целью содействия трудоустройству инвалидов.  По их мнению, эти меры являются недостаточными, включая Закон о социальных предприятиях, который, как они считают, в частности, не расширил возможности трудоустройства инвалидов в частном секторе.  По мнению Национального совета по делам инвалидов, в законах должно прямо говориться об инвалидах, ищущих работу.</w:t>
      </w:r>
    </w:p>
    <w:p w:rsidR="00000000" w:rsidRDefault="00000000"/>
    <w:p w:rsidR="00000000" w:rsidRDefault="00000000">
      <w:r>
        <w:t>231.</w:t>
      </w:r>
      <w:r>
        <w:tab/>
      </w:r>
      <w:r>
        <w:rPr>
          <w:i/>
          <w:iCs/>
        </w:rPr>
        <w:t>Различия между регионами.</w:t>
      </w:r>
      <w:r>
        <w:t xml:space="preserve">  Динамика занятости по регионам в последние несколько лет отличалась от обычной.  Когда в экономике прослеживалась тенденция к понижению, наихудшие показатели в сфере трудоустройства наблюдались в Южной Финляндии.  Кроме того, за последние два года безработица в южной Финляндии даже возросла.  Мировой спад также затронул южные районы страны, равно как и другие быстро развивающиеся области, которые в наибольшей степени зависят от экспорта и развития сектора информационных технологий.  С другой стороны, безработица продолжает сокращаться стабильными темпами в восточных и северных районах Финляндии.  В период понижательной тенденции в экономике региональные различия в сфере занятости уменьшились, поскольку периоды высокой активности обычно благотворно сказываются на южных и центральных районах.  По статистическим данным министерства труда, в 2004 году по сравнению с предыдущим годом численность безработных, ищущих работу, возросла в южных и западных районах страны.  </w:t>
      </w:r>
    </w:p>
    <w:p w:rsidR="00000000" w:rsidRDefault="00000000"/>
    <w:p w:rsidR="00000000" w:rsidRDefault="00000000">
      <w:r>
        <w:t>232.</w:t>
      </w:r>
      <w:r>
        <w:tab/>
        <w:t>В 2004 году самые высокие уровни занятости по</w:t>
      </w:r>
      <w:r>
        <w:noBreakHyphen/>
        <w:t>прежнему наблюдались в южной Финляндии (73,2%), западной Финляндии (68,9%) и юго-западной части Финляндии (68,3%), тогда как они были самыми низкими в восточных районах страны (54,3% в районе возвышенности Кайнуунселькя и 57,4% в Северной Карелии) и Лапландии (60,2%).  В 2004 году наиболее значительное сокращение безработицы по сравнению с предыдущим годом наблюдалось в юго-западной и центральной части Финляндии, а также в районе Пори, а ее самый существенный рост имел место в Лапландии и районе Тампере.</w:t>
      </w:r>
    </w:p>
    <w:p w:rsidR="00000000" w:rsidRDefault="00000000">
      <w:pPr>
        <w:rPr>
          <w:sz w:val="16"/>
        </w:rPr>
      </w:pPr>
    </w:p>
    <w:p w:rsidR="00000000" w:rsidRDefault="00000000">
      <w:pPr>
        <w:jc w:val="center"/>
        <w:rPr>
          <w:b/>
          <w:bCs/>
        </w:rPr>
      </w:pPr>
      <w:r>
        <w:rPr>
          <w:b/>
          <w:bCs/>
        </w:rPr>
        <w:t xml:space="preserve">2 </w:t>
      </w:r>
      <w:r>
        <w:rPr>
          <w:b/>
          <w:bCs/>
          <w:lang w:val="en-US"/>
        </w:rPr>
        <w:t>b</w:t>
      </w:r>
      <w:r>
        <w:rPr>
          <w:b/>
          <w:bCs/>
        </w:rPr>
        <w:t>)  Стратегии и меры</w:t>
      </w:r>
    </w:p>
    <w:p w:rsidR="00000000" w:rsidRDefault="00000000">
      <w:pPr>
        <w:rPr>
          <w:sz w:val="16"/>
        </w:rPr>
      </w:pPr>
    </w:p>
    <w:p w:rsidR="00000000" w:rsidRDefault="00000000">
      <w:r>
        <w:t>233.</w:t>
      </w:r>
      <w:r>
        <w:tab/>
        <w:t xml:space="preserve">1 января 2003 года в силу вступил новый </w:t>
      </w:r>
      <w:r>
        <w:rPr>
          <w:i/>
          <w:iCs/>
        </w:rPr>
        <w:t>Закон о государственной службе трудоустройства</w:t>
      </w:r>
      <w:r>
        <w:t xml:space="preserve"> (1295/2002).  Закон повлек за собой общую реформу законодательства, применяемого по отношению к услугам, предоставляемым или обеспечиваемым органами по вопросам труда, а также соответствующим субсидиям и пособиям.  Реформа носит в основном технический характер, и ее цель заключается в том, чтобы сделать законодательные положения более четкими с точки зрения как структуры, так и формулировок.  Главная задача государственной службы трудоустройства заключается в улучшении функционирования рынка труда.  В соответствии с целями Конституции и принципами, принятыми в связи с реформой трудовой политики, права и обязанности потребителей теперь изложены в одном Законе.  Закон о государственной службе трудоустройства содержит положения прежних:  Закона о службе трудоустройства (1005/1993), Закона о трудоустройстве (275/1987) и Закона об организации подготовки по вопросам трудовой политики (763/1990).</w:t>
      </w:r>
    </w:p>
    <w:p w:rsidR="00000000" w:rsidRDefault="00000000">
      <w:pPr>
        <w:rPr>
          <w:sz w:val="16"/>
        </w:rPr>
      </w:pPr>
    </w:p>
    <w:p w:rsidR="00000000" w:rsidRDefault="00000000">
      <w:r>
        <w:t>234.</w:t>
      </w:r>
      <w:r>
        <w:tab/>
        <w:t>Согласно положениям Закона о государственной службе трудоустройства, лицам, ищущим работу, должна сначала предлагаться работа или профессиональная подготовка в рамках служб по трудоустройству, деятельность которых в соответствии с Законом предполагает услуги агентств по трудоустройству, профессиональную ориентацию, изучение совершеннолетними трудовой политики, предоставление информации о профессиональной подготовке и специальностях, а также восстановление трудоспособности.  Вышеуказанные услуги могут также дополняться самыми различными другими услугами или проектами, обслуживающими потребности всей страны или конкретных районов.</w:t>
      </w:r>
    </w:p>
    <w:p w:rsidR="00000000" w:rsidRDefault="00000000">
      <w:pPr>
        <w:rPr>
          <w:sz w:val="16"/>
        </w:rPr>
      </w:pPr>
    </w:p>
    <w:p w:rsidR="00000000" w:rsidRDefault="00000000">
      <w:r>
        <w:t>235.</w:t>
      </w:r>
      <w:r>
        <w:tab/>
      </w:r>
      <w:r>
        <w:rPr>
          <w:i/>
          <w:iCs/>
        </w:rPr>
        <w:t>Политическая программа правительства.</w:t>
      </w:r>
      <w:r>
        <w:t xml:space="preserve">  Важнейшей целью нынешней экономической политики правительства является увеличение к концу срока его пребывания у власти численности занятых, по меньшей мере, на 100 000 человек.  Задача заключается в достижении такого экономического роста и такого увеличения занятости, чтобы к концу 2011 года можно было выйти на 75-процентный уровень занятости.  В правительственной политической программе поставлена задача по обеспечению с помощью экономического роста финской модели успеха, основанной на ноу-хау и новаторстве, на базе которой можно добиться устойчивой производительности и занятости.  Поиск новых форм производства, основанных на ноу-хау, осуществляется за счет выделения дополнительных ресурсов на обучение и государственного финансирования научно-исследовательских и опытно-конструкторских разработок.  Для достижения положительных результатов в сфере занятости также необходимо принимать меры, содействующие созданию рабочих мест в секторах, которые требуют меньше профессиональной подготовки.  Еще одним средством содействия занятости является налоговая политика правительства.</w:t>
      </w:r>
    </w:p>
    <w:p w:rsidR="00000000" w:rsidRDefault="00000000">
      <w:pPr>
        <w:rPr>
          <w:sz w:val="16"/>
        </w:rPr>
      </w:pPr>
    </w:p>
    <w:p w:rsidR="00000000" w:rsidRDefault="00000000">
      <w:r>
        <w:t>236.</w:t>
      </w:r>
      <w:r>
        <w:tab/>
        <w:t>В 2003 году правительство приступило к осуществлению четырех межсекторальных программ (занятость, деловая инициатива, информационное общество и участие гражданского общества) для обеспечения эффективного достижения поставленных целей с помощью принятия последовательных мер в различных секторах управления.</w:t>
      </w:r>
    </w:p>
    <w:p w:rsidR="00000000" w:rsidRDefault="00000000">
      <w:pPr>
        <w:rPr>
          <w:sz w:val="16"/>
        </w:rPr>
      </w:pPr>
    </w:p>
    <w:p w:rsidR="00000000" w:rsidRDefault="00000000">
      <w:r>
        <w:t>237.</w:t>
      </w:r>
      <w:r>
        <w:tab/>
        <w:t>Программа трудоустройства ориентирована на сокращение структурной безработицы и рост трудовых ресурсов.  Основными целями программы являются, помимо сокращения структурной безработицы, предотвращение социальной изоляции, обеспечение квалифицированных кадров, подготовка к сокращению трудовых ресурсов в связи с изменением возрастной структуры населения, сохранение работников на рынке труда в течение более длительного времени, чем ранее, повышение производительности труда, а также улучшение организации и повышение содержательности труда.</w:t>
      </w:r>
    </w:p>
    <w:p w:rsidR="00000000" w:rsidRDefault="00000000">
      <w:pPr>
        <w:rPr>
          <w:sz w:val="16"/>
        </w:rPr>
      </w:pPr>
    </w:p>
    <w:p w:rsidR="00000000" w:rsidRDefault="00000000">
      <w:r>
        <w:t>238.</w:t>
      </w:r>
      <w:r>
        <w:tab/>
      </w:r>
      <w:r>
        <w:rPr>
          <w:i/>
          <w:iCs/>
        </w:rPr>
        <w:t>Реформа системы государственной службы трудоустройства.</w:t>
      </w:r>
      <w:r>
        <w:t xml:space="preserve">  Как отмечалось выше, цель вышеуказанной программы трудоустройства заключается в сокращении структурной безработицы и обеспечении наличия трудовых ресурсов.  Осуществление реформы государственной службы трудоустройства началось в 2004 году.  Реформа предполагает создание центров трудоустройства для тех безработных, которым труднее всего найти работу.  Таким образом местные агентства по трудоустройству смогут сосредоточить свое внимание на оказании обычных услуг по трудоустройству и быстром трудоустройстве лиц, ищущих работу, на открытом рынке труда, а также обеспечении трудовых ресурсов для частных компаний.</w:t>
      </w:r>
    </w:p>
    <w:p w:rsidR="00000000" w:rsidRDefault="00000000">
      <w:pPr>
        <w:jc w:val="center"/>
        <w:rPr>
          <w:sz w:val="16"/>
        </w:rPr>
      </w:pPr>
    </w:p>
    <w:p w:rsidR="00000000" w:rsidRDefault="00000000">
      <w:r>
        <w:t>239.</w:t>
      </w:r>
      <w:r>
        <w:tab/>
        <w:t>Центры трудоустройства и объединенные пункты обслуживания представляют собой целостную систему услуг, предоставляемых местными органами власти, включая агентства по трудоустройству, другие местные органы и Институт социального страхования.  Первые центры трудоустройства были созданы в январе 2004 года.  В 2005 году</w:t>
      </w:r>
      <w:r>
        <w:rPr>
          <w:lang w:val="en-US"/>
        </w:rPr>
        <w:t xml:space="preserve"> </w:t>
      </w:r>
      <w:r>
        <w:t>число центров трудоустройства и объединенных пунктов обслуживания увеличится, и их количество составит 23 центра и 11 пунктов.  Речь идет о региональных центрах и отделениях, или центрах и отделениях, созданных совместно несколькими муниципалитетами.  Их услуги распространяются на районы деятельности 57 агентств по трудоустройству и 130 муниципалитетов.  Дальнейшие планы предполагают увеличение в 2006 году числа центров трудоустройства до 40.</w:t>
      </w:r>
    </w:p>
    <w:p w:rsidR="00000000" w:rsidRDefault="00000000">
      <w:pPr>
        <w:jc w:val="center"/>
        <w:rPr>
          <w:sz w:val="16"/>
        </w:rPr>
      </w:pPr>
    </w:p>
    <w:p w:rsidR="00000000" w:rsidRDefault="00000000">
      <w:r>
        <w:t>240.</w:t>
      </w:r>
      <w:r>
        <w:tab/>
        <w:t>Услуги предоставляются множеством специалистов в различных областях.  К</w:t>
      </w:r>
      <w:r>
        <w:rPr>
          <w:lang w:val="en-US"/>
        </w:rPr>
        <w:t> </w:t>
      </w:r>
      <w:r>
        <w:t>категории таких специалистов относятся, в частности, медсестры, врачи, психологи по вопросам реабилитации, работники социальной сферы, социальные инструкторы, финансовые консультанты, должностные лица, работающие с алкоголиками, наркоманами и токсикоманами, инструкторы по реабилитационной работе, консультанты по вопросам образования и профессиональной подготовки, лица, оказывающие услуги по планированию карьеры, и консультанты по вопросам трудоустройства.  В тех случаях, когда, например, нельзя воспользоваться услугами медсестры, клиенту советуют воспользоваться услугами так называемых дежурных служб.  По мере необходимости используются также внешние службы, например, с целью установления возможности получения клиентом пенсии.  С точки зрения клиента, особую важность имеет скоординированное оказание услуг, тогда как для органов, задействованных в предоставлении услуг, важно, чтобы они использовались оптимальным образом.</w:t>
      </w:r>
    </w:p>
    <w:p w:rsidR="00000000" w:rsidRDefault="00000000">
      <w:pPr>
        <w:jc w:val="center"/>
        <w:rPr>
          <w:sz w:val="16"/>
        </w:rPr>
      </w:pPr>
    </w:p>
    <w:p w:rsidR="00000000" w:rsidRDefault="00000000">
      <w:r>
        <w:t>241.</w:t>
      </w:r>
      <w:r>
        <w:tab/>
        <w:t>Система агентств по вопросам трудоустройства разработана с целью решения существующих проблем, связанных с упорядочением спроса и предложения в сфере труда.  Реформа системы была начала в 2004 году в 16 агентствах по трудоустройству, действующих в крупных районах.  Основная задача реформы заключается в быстром трудоустройстве лиц, ищущих работу, на открытом рынке труда и обеспечении наличия трудовых ресурсов.  Особая задача заключается в повышении активности самих лиц, ищущих работу, посредством создания специальных центров поиска рабочих мест, имеющих выход в Интернет и помещений для проведения встреч лиц, ищущих работу, с работодателями.  Еще одна задача заключается в том, чтобы стараться в максимальной степени предупреждать длительную безработицу.  Реформированная система будет внедрена во всех агентствах по трудоустройству к концу 2006 года.</w:t>
      </w:r>
    </w:p>
    <w:p w:rsidR="00000000" w:rsidRDefault="00000000">
      <w:pPr>
        <w:jc w:val="center"/>
        <w:rPr>
          <w:sz w:val="16"/>
        </w:rPr>
      </w:pPr>
    </w:p>
    <w:p w:rsidR="00000000" w:rsidRDefault="00000000">
      <w:r>
        <w:t>242.</w:t>
      </w:r>
      <w:r>
        <w:tab/>
      </w:r>
      <w:r>
        <w:rPr>
          <w:i/>
          <w:iCs/>
        </w:rPr>
        <w:t xml:space="preserve">Реформа субсидии для выхода на рынок труда.  </w:t>
      </w:r>
      <w:r>
        <w:t>Цель субсидии для выхода на рынок труда заключается в обеспечении, в качестве активной меры, возможностей найти работу для лиц, вступающих на рынок труда, и лиц, длительное время являющихся безработными.  Однако субсидия для выхода на рынок труда на практике использовалась как постоянный источник надежного дохода лицами, долгое время являющимися безработными.  В конце 2003 года насчитывалось более 160 000 лиц, имевших право на получение субсидии для выхода на рынок труда, из которых 45% составляли женщины и 55% - мужчины.  В январе 2005 года рабочая группа по оценке средств активизации получателей субсидии для выхода на рынок труда завершила свою работу.  Субсидия для выхода на рынок труда будет шире использоваться в качестве активной меры, позволяющей расширить возможности безработных найти работу.  Кроме того, будут изучены различные модели финансирования с целью оказания поддержки местным органам власти в деле эффективного решения проблемы безработицы во взаимодействии с государственной службой трудоустройства.</w:t>
      </w:r>
    </w:p>
    <w:p w:rsidR="00000000" w:rsidRDefault="00000000">
      <w:pPr>
        <w:jc w:val="center"/>
        <w:rPr>
          <w:sz w:val="16"/>
        </w:rPr>
      </w:pPr>
    </w:p>
    <w:p w:rsidR="00000000" w:rsidRDefault="00000000">
      <w:r>
        <w:t>243.</w:t>
      </w:r>
      <w:r>
        <w:tab/>
      </w:r>
      <w:r>
        <w:rPr>
          <w:i/>
          <w:iCs/>
        </w:rPr>
        <w:t>Молодежь.</w:t>
      </w:r>
      <w:r>
        <w:t xml:space="preserve">  Задача правительства по сокращению безработицы среди молодежи заключается в предоставлении каждому выпускнику общеобразовательной школы гарантий продолжения учебы и обеспечении того, чтобы безработная молодежь младше 25 лет имела возможность пройти либо профессиональную подготовку, либо стажировку или подготовку на производстве после трех месяцев безработицы.</w:t>
      </w:r>
    </w:p>
    <w:p w:rsidR="00000000" w:rsidRDefault="00000000">
      <w:pPr>
        <w:jc w:val="center"/>
        <w:rPr>
          <w:sz w:val="16"/>
        </w:rPr>
      </w:pPr>
    </w:p>
    <w:p w:rsidR="00000000" w:rsidRDefault="00000000">
      <w:r>
        <w:t>244.</w:t>
      </w:r>
      <w:r>
        <w:tab/>
        <w:t xml:space="preserve">Осуществление </w:t>
      </w:r>
      <w:r>
        <w:rPr>
          <w:i/>
          <w:iCs/>
        </w:rPr>
        <w:t>социальных гарантий для молодежи</w:t>
      </w:r>
      <w:r>
        <w:t xml:space="preserve"> началось в январе 2005 года.  Социальные гарантии распространяются на ищущих работу безработных в возрасте 17</w:t>
      </w:r>
      <w:r>
        <w:noBreakHyphen/>
        <w:t>25 лет, о которых говорится в Законе о государственной службе трудоустройства.  После трех месяцев непрерывной безработицы с безработным лицом, ищущим работу, составляется подробный поисковый план.  Социальные гарантии означают, что в подробном плане поиска работы молодому человеку дается обещание в отношении предоставления одной из следующих государственных услуг, связанных с трудоустройством:  обучения методам поиска работы, подготовительной работы или освоения профессии, рабочего эксперимента, стажировки, подготовки к трудовой жизни, целевой дотации или работы при оказании поддержки.  В том случае, если молодой человек не может воспользоваться помощью государственных служб трудоустройства по причине ограниченности своей трудоспособности или возможности заниматься конкретной деятельностью, то агентство по трудоустройству, вместе с такими другими соответствующими органами, как местные службы социального обеспечения и здравоохранения, стремится обеспечить, чтобы молодой человек имел возможность воспользоваться такими службами, которые позволят ему улучшить свои способности и воспользоваться услугами служб трудоустройства на более позднем этапе.  Агентства по трудоустройству обязаны следить за результатами, получаемыми в процессе использования соответствующих служб молодым человеком, достижением целей, согласованных в плане поиска работы, и осуществлением намеченных мер.  Молодой человек не может пассивно ждать окончания вышеуказанного трехмесячного срока, а должен с самого начала активно искать работу.</w:t>
      </w:r>
    </w:p>
    <w:p w:rsidR="00000000" w:rsidRDefault="00000000">
      <w:pPr>
        <w:jc w:val="center"/>
        <w:rPr>
          <w:sz w:val="16"/>
        </w:rPr>
      </w:pPr>
    </w:p>
    <w:p w:rsidR="00000000" w:rsidRDefault="00000000">
      <w:r>
        <w:t>245.</w:t>
      </w:r>
      <w:r>
        <w:tab/>
      </w:r>
      <w:r>
        <w:rPr>
          <w:i/>
          <w:iCs/>
        </w:rPr>
        <w:t>Лица, долгое время являющиеся безработными, и лица с ограниченной трудоспособностью.</w:t>
      </w:r>
      <w:r>
        <w:t xml:space="preserve">  К этой группе, находящейся в уязвимом положении на рынке труда, относятся лица, долгое время являющиеся безработными, пожилые лица, лица с низким образованием и профессиональной квалификацией, а также лица с ограниченной трудоспособностью.  Такие лица часто являются либо постоянными безработными в течение длительного периода времени, либо периоды безработицы у них чередуются с периодами краткосрочной занятости, либо на них распространяются меры в рамках трудовой политики.  К этой группе, подверженной структурной безработице, относится примерно 170 000 человек, которым трудно трудоустроиться на открытом рынке труда. </w:t>
      </w:r>
    </w:p>
    <w:p w:rsidR="00000000" w:rsidRDefault="00000000">
      <w:pPr>
        <w:jc w:val="center"/>
        <w:rPr>
          <w:sz w:val="16"/>
        </w:rPr>
      </w:pPr>
    </w:p>
    <w:p w:rsidR="00000000" w:rsidRDefault="00000000">
      <w:r>
        <w:t>246.</w:t>
      </w:r>
      <w:r>
        <w:tab/>
        <w:t>Среди безработных, ищущих работу, доля лиц с ограниченной трудоспособностью значительно возросла в конце 90</w:t>
      </w:r>
      <w:r>
        <w:noBreakHyphen/>
        <w:t>х годов, и в последние несколько лет их численность остается неизменной.  Уровень безработицы среди проживающих в Финляндии иностранцев более чем в три раза превышает общий уровень безработицы.  Если говорить об иностранных гражданах, то самые высокие уровни безработицы наблюдаются среди граждан стран, не являющихся членами Европейского союза.  Наилучшие возможности трудоустроиться на открытом рынке труда имеют иностранцы, которые живут в Финляндии самое длительное время.</w:t>
      </w:r>
    </w:p>
    <w:p w:rsidR="00000000" w:rsidRDefault="00000000">
      <w:pPr>
        <w:jc w:val="center"/>
        <w:rPr>
          <w:sz w:val="16"/>
        </w:rPr>
      </w:pPr>
    </w:p>
    <w:p w:rsidR="00000000" w:rsidRDefault="00000000">
      <w:pPr>
        <w:jc w:val="center"/>
        <w:rPr>
          <w:b/>
          <w:bCs/>
        </w:rPr>
      </w:pPr>
      <w:r>
        <w:rPr>
          <w:b/>
          <w:bCs/>
        </w:rPr>
        <w:t>Таблица 6</w:t>
      </w:r>
    </w:p>
    <w:p w:rsidR="00000000" w:rsidRDefault="00000000">
      <w:pPr>
        <w:jc w:val="center"/>
        <w:rPr>
          <w:sz w:val="16"/>
        </w:rPr>
      </w:pPr>
    </w:p>
    <w:p w:rsidR="00000000" w:rsidRDefault="00000000">
      <w:pPr>
        <w:jc w:val="center"/>
        <w:rPr>
          <w:b/>
          <w:bCs/>
        </w:rPr>
      </w:pPr>
      <w:r>
        <w:rPr>
          <w:b/>
          <w:bCs/>
        </w:rPr>
        <w:t>Безработные, ищущие работу, по категориям в 1994, 1999 и 2004 годах</w:t>
      </w:r>
    </w:p>
    <w:p w:rsidR="00000000" w:rsidRDefault="00000000">
      <w:pPr>
        <w:jc w:val="cente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63"/>
        <w:gridCol w:w="1309"/>
        <w:gridCol w:w="1309"/>
        <w:gridCol w:w="1309"/>
        <w:gridCol w:w="1122"/>
        <w:gridCol w:w="1870"/>
        <w:gridCol w:w="1529"/>
      </w:tblGrid>
      <w:tr w:rsidR="00000000">
        <w:tblPrEx>
          <w:tblCellMar>
            <w:top w:w="0" w:type="dxa"/>
            <w:bottom w:w="0" w:type="dxa"/>
          </w:tblCellMar>
        </w:tblPrEx>
        <w:trPr>
          <w:cantSplit/>
        </w:trPr>
        <w:tc>
          <w:tcPr>
            <w:tcW w:w="963" w:type="dxa"/>
          </w:tcPr>
          <w:p w:rsidR="00000000" w:rsidRDefault="00000000">
            <w:pPr>
              <w:autoSpaceDE w:val="0"/>
              <w:autoSpaceDN w:val="0"/>
              <w:adjustRightInd w:val="0"/>
              <w:spacing w:line="240" w:lineRule="auto"/>
              <w:jc w:val="center"/>
            </w:pPr>
            <w:r>
              <w:t>Всего</w:t>
            </w:r>
          </w:p>
        </w:tc>
        <w:tc>
          <w:tcPr>
            <w:tcW w:w="1309" w:type="dxa"/>
          </w:tcPr>
          <w:p w:rsidR="00000000" w:rsidRDefault="00000000">
            <w:pPr>
              <w:autoSpaceDE w:val="0"/>
              <w:autoSpaceDN w:val="0"/>
              <w:adjustRightInd w:val="0"/>
              <w:spacing w:line="240" w:lineRule="auto"/>
              <w:jc w:val="center"/>
            </w:pPr>
            <w:r>
              <w:t>Мужчины</w:t>
            </w:r>
          </w:p>
        </w:tc>
        <w:tc>
          <w:tcPr>
            <w:tcW w:w="1309" w:type="dxa"/>
          </w:tcPr>
          <w:p w:rsidR="00000000" w:rsidRDefault="00000000">
            <w:pPr>
              <w:autoSpaceDE w:val="0"/>
              <w:autoSpaceDN w:val="0"/>
              <w:adjustRightInd w:val="0"/>
              <w:spacing w:line="240" w:lineRule="auto"/>
              <w:jc w:val="center"/>
              <w:rPr>
                <w:lang w:val="en-US"/>
              </w:rPr>
            </w:pPr>
            <w:r>
              <w:t>Женщины</w:t>
            </w:r>
          </w:p>
        </w:tc>
        <w:tc>
          <w:tcPr>
            <w:tcW w:w="1309" w:type="dxa"/>
          </w:tcPr>
          <w:p w:rsidR="00000000" w:rsidRDefault="00000000">
            <w:pPr>
              <w:autoSpaceDE w:val="0"/>
              <w:autoSpaceDN w:val="0"/>
              <w:adjustRightInd w:val="0"/>
              <w:spacing w:line="240" w:lineRule="auto"/>
              <w:jc w:val="center"/>
            </w:pPr>
            <w:r>
              <w:t>Молодежь</w:t>
            </w:r>
            <w:r>
              <w:rPr>
                <w:rStyle w:val="FootnoteReference"/>
              </w:rPr>
              <w:footnoteReference w:id="7"/>
            </w:r>
          </w:p>
        </w:tc>
        <w:tc>
          <w:tcPr>
            <w:tcW w:w="1122" w:type="dxa"/>
          </w:tcPr>
          <w:p w:rsidR="00000000" w:rsidRDefault="00000000">
            <w:pPr>
              <w:autoSpaceDE w:val="0"/>
              <w:autoSpaceDN w:val="0"/>
              <w:adjustRightInd w:val="0"/>
              <w:spacing w:line="240" w:lineRule="auto"/>
              <w:jc w:val="center"/>
            </w:pPr>
            <w:r>
              <w:t>Лица старше 50 лет</w:t>
            </w:r>
          </w:p>
        </w:tc>
        <w:tc>
          <w:tcPr>
            <w:tcW w:w="1870" w:type="dxa"/>
          </w:tcPr>
          <w:p w:rsidR="00000000" w:rsidRDefault="00000000">
            <w:pPr>
              <w:autoSpaceDE w:val="0"/>
              <w:autoSpaceDN w:val="0"/>
              <w:adjustRightInd w:val="0"/>
              <w:spacing w:line="240" w:lineRule="auto"/>
              <w:jc w:val="center"/>
            </w:pPr>
            <w:r>
              <w:t>Лица, долгое время являющиеся безработными</w:t>
            </w:r>
            <w:r>
              <w:rPr>
                <w:rStyle w:val="FootnoteReference"/>
              </w:rPr>
              <w:footnoteReference w:id="8"/>
            </w:r>
          </w:p>
        </w:tc>
        <w:tc>
          <w:tcPr>
            <w:tcW w:w="1529" w:type="dxa"/>
          </w:tcPr>
          <w:p w:rsidR="00000000" w:rsidRDefault="00000000">
            <w:pPr>
              <w:autoSpaceDE w:val="0"/>
              <w:autoSpaceDN w:val="0"/>
              <w:adjustRightInd w:val="0"/>
              <w:spacing w:line="240" w:lineRule="auto"/>
              <w:jc w:val="center"/>
            </w:pPr>
            <w:r>
              <w:t>Лица с ограничен-ной трудоспо-собностью</w:t>
            </w:r>
            <w:r>
              <w:rPr>
                <w:rStyle w:val="FootnoteReference"/>
              </w:rPr>
              <w:footnoteReference w:id="9"/>
            </w:r>
          </w:p>
        </w:tc>
      </w:tr>
      <w:tr w:rsidR="00000000">
        <w:tblPrEx>
          <w:tblCellMar>
            <w:top w:w="0" w:type="dxa"/>
            <w:bottom w:w="0" w:type="dxa"/>
          </w:tblCellMar>
        </w:tblPrEx>
        <w:trPr>
          <w:cantSplit/>
        </w:trPr>
        <w:tc>
          <w:tcPr>
            <w:tcW w:w="963" w:type="dxa"/>
          </w:tcPr>
          <w:p w:rsidR="00000000" w:rsidRDefault="00000000">
            <w:pPr>
              <w:autoSpaceDE w:val="0"/>
              <w:autoSpaceDN w:val="0"/>
              <w:adjustRightInd w:val="0"/>
              <w:jc w:val="center"/>
            </w:pPr>
            <w:r>
              <w:t>494 247</w:t>
            </w:r>
          </w:p>
        </w:tc>
        <w:tc>
          <w:tcPr>
            <w:tcW w:w="1309" w:type="dxa"/>
          </w:tcPr>
          <w:p w:rsidR="00000000" w:rsidRDefault="00000000">
            <w:pPr>
              <w:autoSpaceDE w:val="0"/>
              <w:autoSpaceDN w:val="0"/>
              <w:adjustRightInd w:val="0"/>
              <w:jc w:val="center"/>
            </w:pPr>
            <w:r>
              <w:t>276 896</w:t>
            </w:r>
          </w:p>
        </w:tc>
        <w:tc>
          <w:tcPr>
            <w:tcW w:w="1309" w:type="dxa"/>
          </w:tcPr>
          <w:p w:rsidR="00000000" w:rsidRDefault="00000000">
            <w:pPr>
              <w:autoSpaceDE w:val="0"/>
              <w:autoSpaceDN w:val="0"/>
              <w:adjustRightInd w:val="0"/>
              <w:jc w:val="center"/>
            </w:pPr>
            <w:r>
              <w:t>217 351</w:t>
            </w:r>
          </w:p>
        </w:tc>
        <w:tc>
          <w:tcPr>
            <w:tcW w:w="1309" w:type="dxa"/>
          </w:tcPr>
          <w:p w:rsidR="00000000" w:rsidRDefault="00000000">
            <w:pPr>
              <w:autoSpaceDE w:val="0"/>
              <w:autoSpaceDN w:val="0"/>
              <w:adjustRightInd w:val="0"/>
              <w:jc w:val="center"/>
            </w:pPr>
            <w:r>
              <w:t>92 213</w:t>
            </w:r>
          </w:p>
        </w:tc>
        <w:tc>
          <w:tcPr>
            <w:tcW w:w="1122" w:type="dxa"/>
          </w:tcPr>
          <w:p w:rsidR="00000000" w:rsidRDefault="00000000">
            <w:pPr>
              <w:autoSpaceDE w:val="0"/>
              <w:autoSpaceDN w:val="0"/>
              <w:adjustRightInd w:val="0"/>
              <w:jc w:val="center"/>
            </w:pPr>
            <w:r>
              <w:t xml:space="preserve">  86 400</w:t>
            </w:r>
          </w:p>
        </w:tc>
        <w:tc>
          <w:tcPr>
            <w:tcW w:w="1870" w:type="dxa"/>
          </w:tcPr>
          <w:p w:rsidR="00000000" w:rsidRDefault="00000000">
            <w:pPr>
              <w:autoSpaceDE w:val="0"/>
              <w:autoSpaceDN w:val="0"/>
              <w:adjustRightInd w:val="0"/>
              <w:jc w:val="center"/>
            </w:pPr>
            <w:r>
              <w:t>133 561</w:t>
            </w:r>
          </w:p>
        </w:tc>
        <w:tc>
          <w:tcPr>
            <w:tcW w:w="1529" w:type="dxa"/>
          </w:tcPr>
          <w:p w:rsidR="00000000" w:rsidRDefault="00000000">
            <w:pPr>
              <w:autoSpaceDE w:val="0"/>
              <w:autoSpaceDN w:val="0"/>
              <w:adjustRightInd w:val="0"/>
              <w:jc w:val="center"/>
            </w:pPr>
            <w:r>
              <w:t>31 490</w:t>
            </w:r>
          </w:p>
        </w:tc>
      </w:tr>
      <w:tr w:rsidR="00000000">
        <w:tblPrEx>
          <w:tblCellMar>
            <w:top w:w="0" w:type="dxa"/>
            <w:bottom w:w="0" w:type="dxa"/>
          </w:tblCellMar>
        </w:tblPrEx>
        <w:trPr>
          <w:cantSplit/>
        </w:trPr>
        <w:tc>
          <w:tcPr>
            <w:tcW w:w="963" w:type="dxa"/>
          </w:tcPr>
          <w:p w:rsidR="00000000" w:rsidRDefault="00000000">
            <w:pPr>
              <w:autoSpaceDE w:val="0"/>
              <w:autoSpaceDN w:val="0"/>
              <w:adjustRightInd w:val="0"/>
              <w:jc w:val="center"/>
            </w:pPr>
            <w:r>
              <w:t>348 140</w:t>
            </w:r>
          </w:p>
        </w:tc>
        <w:tc>
          <w:tcPr>
            <w:tcW w:w="1309" w:type="dxa"/>
          </w:tcPr>
          <w:p w:rsidR="00000000" w:rsidRDefault="00000000">
            <w:pPr>
              <w:autoSpaceDE w:val="0"/>
              <w:autoSpaceDN w:val="0"/>
              <w:adjustRightInd w:val="0"/>
              <w:jc w:val="center"/>
            </w:pPr>
            <w:r>
              <w:t>177 190</w:t>
            </w:r>
          </w:p>
        </w:tc>
        <w:tc>
          <w:tcPr>
            <w:tcW w:w="1309" w:type="dxa"/>
          </w:tcPr>
          <w:p w:rsidR="00000000" w:rsidRDefault="00000000">
            <w:pPr>
              <w:autoSpaceDE w:val="0"/>
              <w:autoSpaceDN w:val="0"/>
              <w:adjustRightInd w:val="0"/>
              <w:jc w:val="center"/>
            </w:pPr>
            <w:r>
              <w:t>170 950</w:t>
            </w:r>
          </w:p>
        </w:tc>
        <w:tc>
          <w:tcPr>
            <w:tcW w:w="1309" w:type="dxa"/>
          </w:tcPr>
          <w:p w:rsidR="00000000" w:rsidRDefault="00000000">
            <w:pPr>
              <w:autoSpaceDE w:val="0"/>
              <w:autoSpaceDN w:val="0"/>
              <w:adjustRightInd w:val="0"/>
              <w:jc w:val="center"/>
            </w:pPr>
            <w:r>
              <w:t>44 267</w:t>
            </w:r>
          </w:p>
        </w:tc>
        <w:tc>
          <w:tcPr>
            <w:tcW w:w="1122" w:type="dxa"/>
          </w:tcPr>
          <w:p w:rsidR="00000000" w:rsidRDefault="00000000">
            <w:pPr>
              <w:autoSpaceDE w:val="0"/>
              <w:autoSpaceDN w:val="0"/>
              <w:adjustRightInd w:val="0"/>
              <w:jc w:val="center"/>
            </w:pPr>
            <w:r>
              <w:t>105 477</w:t>
            </w:r>
          </w:p>
        </w:tc>
        <w:tc>
          <w:tcPr>
            <w:tcW w:w="1870" w:type="dxa"/>
          </w:tcPr>
          <w:p w:rsidR="00000000" w:rsidRDefault="00000000">
            <w:pPr>
              <w:autoSpaceDE w:val="0"/>
              <w:autoSpaceDN w:val="0"/>
              <w:adjustRightInd w:val="0"/>
              <w:jc w:val="center"/>
            </w:pPr>
            <w:r>
              <w:t xml:space="preserve">  97 981</w:t>
            </w:r>
          </w:p>
        </w:tc>
        <w:tc>
          <w:tcPr>
            <w:tcW w:w="1529" w:type="dxa"/>
          </w:tcPr>
          <w:p w:rsidR="00000000" w:rsidRDefault="00000000">
            <w:pPr>
              <w:autoSpaceDE w:val="0"/>
              <w:autoSpaceDN w:val="0"/>
              <w:adjustRightInd w:val="0"/>
              <w:jc w:val="center"/>
            </w:pPr>
            <w:r>
              <w:t>38 819</w:t>
            </w:r>
          </w:p>
        </w:tc>
      </w:tr>
      <w:tr w:rsidR="00000000">
        <w:tblPrEx>
          <w:tblCellMar>
            <w:top w:w="0" w:type="dxa"/>
            <w:bottom w:w="0" w:type="dxa"/>
          </w:tblCellMar>
        </w:tblPrEx>
        <w:trPr>
          <w:cantSplit/>
        </w:trPr>
        <w:tc>
          <w:tcPr>
            <w:tcW w:w="963" w:type="dxa"/>
          </w:tcPr>
          <w:p w:rsidR="00000000" w:rsidRDefault="00000000">
            <w:pPr>
              <w:autoSpaceDE w:val="0"/>
              <w:autoSpaceDN w:val="0"/>
              <w:adjustRightInd w:val="0"/>
              <w:jc w:val="center"/>
            </w:pPr>
            <w:r>
              <w:t>288 402</w:t>
            </w:r>
          </w:p>
        </w:tc>
        <w:tc>
          <w:tcPr>
            <w:tcW w:w="1309" w:type="dxa"/>
          </w:tcPr>
          <w:p w:rsidR="00000000" w:rsidRDefault="00000000">
            <w:pPr>
              <w:autoSpaceDE w:val="0"/>
              <w:autoSpaceDN w:val="0"/>
              <w:adjustRightInd w:val="0"/>
              <w:jc w:val="center"/>
            </w:pPr>
            <w:r>
              <w:t>152 179</w:t>
            </w:r>
          </w:p>
        </w:tc>
        <w:tc>
          <w:tcPr>
            <w:tcW w:w="1309" w:type="dxa"/>
          </w:tcPr>
          <w:p w:rsidR="00000000" w:rsidRDefault="00000000">
            <w:pPr>
              <w:autoSpaceDE w:val="0"/>
              <w:autoSpaceDN w:val="0"/>
              <w:adjustRightInd w:val="0"/>
              <w:jc w:val="center"/>
            </w:pPr>
            <w:r>
              <w:t>136 223</w:t>
            </w:r>
          </w:p>
        </w:tc>
        <w:tc>
          <w:tcPr>
            <w:tcW w:w="1309" w:type="dxa"/>
          </w:tcPr>
          <w:p w:rsidR="00000000" w:rsidRDefault="00000000">
            <w:pPr>
              <w:autoSpaceDE w:val="0"/>
              <w:autoSpaceDN w:val="0"/>
              <w:adjustRightInd w:val="0"/>
              <w:jc w:val="center"/>
            </w:pPr>
            <w:r>
              <w:t>34 933</w:t>
            </w:r>
          </w:p>
        </w:tc>
        <w:tc>
          <w:tcPr>
            <w:tcW w:w="1122" w:type="dxa"/>
          </w:tcPr>
          <w:p w:rsidR="00000000" w:rsidRDefault="00000000">
            <w:pPr>
              <w:autoSpaceDE w:val="0"/>
              <w:autoSpaceDN w:val="0"/>
              <w:adjustRightInd w:val="0"/>
              <w:jc w:val="center"/>
            </w:pPr>
            <w:r>
              <w:t xml:space="preserve">  98 858</w:t>
            </w:r>
          </w:p>
        </w:tc>
        <w:tc>
          <w:tcPr>
            <w:tcW w:w="1870" w:type="dxa"/>
          </w:tcPr>
          <w:p w:rsidR="00000000" w:rsidRDefault="00000000">
            <w:pPr>
              <w:autoSpaceDE w:val="0"/>
              <w:autoSpaceDN w:val="0"/>
              <w:adjustRightInd w:val="0"/>
              <w:jc w:val="center"/>
            </w:pPr>
            <w:r>
              <w:t xml:space="preserve">  73 040</w:t>
            </w:r>
          </w:p>
        </w:tc>
        <w:tc>
          <w:tcPr>
            <w:tcW w:w="1529" w:type="dxa"/>
          </w:tcPr>
          <w:p w:rsidR="00000000" w:rsidRDefault="00000000">
            <w:pPr>
              <w:autoSpaceDE w:val="0"/>
              <w:autoSpaceDN w:val="0"/>
              <w:adjustRightInd w:val="0"/>
              <w:jc w:val="center"/>
            </w:pPr>
            <w:r>
              <w:t>38 418</w:t>
            </w:r>
          </w:p>
        </w:tc>
      </w:tr>
    </w:tbl>
    <w:p w:rsidR="00000000" w:rsidRDefault="00000000">
      <w:pPr>
        <w:jc w:val="center"/>
      </w:pPr>
    </w:p>
    <w:p w:rsidR="00000000" w:rsidRDefault="00000000">
      <w:r>
        <w:tab/>
      </w:r>
      <w:r>
        <w:rPr>
          <w:i/>
          <w:iCs/>
        </w:rPr>
        <w:t>Источник</w:t>
      </w:r>
      <w:r>
        <w:t>:  Статистические данные министерства труда.</w:t>
      </w:r>
    </w:p>
    <w:p w:rsidR="00000000" w:rsidRDefault="00000000">
      <w:r>
        <w:t>247.</w:t>
      </w:r>
      <w:r>
        <w:tab/>
        <w:t>Общая цель правительственных стратегий по трудоустройству и пенсионному обеспечению заключается в увеличении занятости и повышении возраста выхода на пенсию.  Поэтому первоочередные меры в отношении лиц, долгое время являющихся безработными, также призваны содействовать их занятости, улучшать трудоспособность и профессиональные навыки.</w:t>
      </w:r>
    </w:p>
    <w:p w:rsidR="00000000" w:rsidRDefault="00000000"/>
    <w:p w:rsidR="00000000" w:rsidRDefault="00000000">
      <w:r>
        <w:t>248.</w:t>
      </w:r>
      <w:r>
        <w:tab/>
        <w:t>С 1 января 2003 года государственная служба трудоустройства также занимается восстановлением трудоспособности лиц с ограниченной трудоспособностью с целью улучшения профессионально-технического планирования и развития, трудоустройства таких лиц и сохранения за ними работы.  В рамках программы восстановления трудоспособности лица с ограниченной трудоспособностью проходят профессионально-технический инструктаж и им предоставляются услуги по планированию карьеры, консультирование по вопросам трудоустройства и восстановления трудоспособности, проверке состояния здоровья и пригодности для данной работы, проводятся консультации специалистов, тесты для проверки того, насколько трудоспособность восстановлена, рабочие и учебные эксперименты в профессионально-технических училищах, на рабочих местах, а также рабочие эксперименты и подготовительное обучение в различных служебных подразделениях, оказывающих специализированные услуги.  Кроме того, для целей восстановления трудоспособности может использоваться подготовка совершеннолетних для вступления на рынок труда, предполагающая подготовительное или профессиональное обучение.  Поддержка мер по трудоустройству и сохранению работы за лицами с ограниченной трудоспособностью может также осуществляться с помощью финансовых ресурсов, предоставляемых работодателям за изменение условий работы.</w:t>
      </w:r>
    </w:p>
    <w:p w:rsidR="00000000" w:rsidRDefault="00000000"/>
    <w:p w:rsidR="00000000" w:rsidRDefault="00000000">
      <w:r>
        <w:t>249.</w:t>
      </w:r>
      <w:r>
        <w:tab/>
        <w:t>Финансовая помощь за трудоустройство лиц с ограниченной трудоспособностью, ищущих работу, может предоставляться работодателям в течение 24 месяцев единовременно.  Если задача заключается в том, чтобы принять такое лицо на работу в социальное предприятие, то финансовая помощь предоставляется в течение трех лет, и этот срок может быть продлен еще на три года, если трудоспособность данного работника вновь становится ограниченной.</w:t>
      </w:r>
    </w:p>
    <w:p w:rsidR="00000000" w:rsidRDefault="00000000"/>
    <w:p w:rsidR="00000000" w:rsidRDefault="00000000">
      <w:r>
        <w:t>250.</w:t>
      </w:r>
      <w:r>
        <w:tab/>
      </w:r>
      <w:r>
        <w:rPr>
          <w:i/>
          <w:iCs/>
        </w:rPr>
        <w:t>Закон о реабилитационной работе</w:t>
      </w:r>
      <w:r>
        <w:t xml:space="preserve"> (189/2001) вступил в силу 1 сентября 2001 года.  Цель этого закона заключается в расширении возможностей длительно безработных, с тем чтобы, используя субсидию рынка труда или суточные, они могли найти работу и участвовать в профессиональной подготовке или другой деятельности, способствующей трудоустройству.  Задачи по содействию трудоустройству и предотвращению социальной отчужденности решаются с помощью энергичного сотрудничества между органами, занимающимися вопросами трудоустройства и социального обеспечения, а также принятия обязательных и стимулирующих мер.  Одним из новшеств Закона является активизационный план, который разрабатывается трудовой администрацией и местными органами власти вместе с безработным.  Закон обязывает местные органы власти и агентства по трудоустройству сотрудничать с целью подготовки активизационных планов и предоставления услуг, отвечающих интересам соответствующего лица.</w:t>
      </w:r>
    </w:p>
    <w:p w:rsidR="00000000" w:rsidRDefault="00000000"/>
    <w:p w:rsidR="00000000" w:rsidRDefault="00000000">
      <w:r>
        <w:t>251.</w:t>
      </w:r>
      <w:r>
        <w:tab/>
        <w:t>Активизационный план содержит анализ жизненной ситуации кандидата и предусматривает меры по расширению его возможностей трудоустройства.  Активизационный план может также предполагать участие в реабилитационной работе, задача по организации которой возложена в качестве социальной услуги на местный орган власти.  Участие в подготовке активизационного плана является обязательным для всех безработных, соответствующих критериям активизации, но участие в реабилитационной работе является обязательным лишь для лиц моложе 25 лет.  Соответствующие лица должны привлекаться к реабилитационным работам в тех случаях, когда нет возможности  обеспечить их работой или воспользоваться действующими на ранке труда мерами содействия трудоустройству, спустя три месяца после подготовки активизационного плана.  Реабилитационная работа является последним средством прекращения длительной безработицы.</w:t>
      </w:r>
    </w:p>
    <w:p w:rsidR="00000000" w:rsidRDefault="00000000"/>
    <w:p w:rsidR="00000000" w:rsidRDefault="00000000">
      <w:r>
        <w:t>252.</w:t>
      </w:r>
      <w:r>
        <w:tab/>
        <w:t>Активизационный план подготавливается в тех случаях, когда соответствующему лицу выплачивалась субсидия для выхода на рынок труда на основе безработицы в течение 180 дней за 12 последних календарных месяцев, если оно получало пособие по безработице в течение 500 дней или если основным источником его дохода за последние четыре месяца был прожиточный минимум, который выплачивался в связи с безработицей.  Если молодой безработный безосновательно отказывается составлять активизационный план и принимать согласованные в плане меры, то выплата субсидий для выхода на рынок труда может быть приостановлена на два месяца, а его пособие на проживание сокращено на 20%.  Неоднократные отказы могут привести к тому, что для получения субсидии для выхода на рынок труда будет необходимо работать в течение трех месяцев, а также сокращению пособия на проживание на 40%.</w:t>
      </w:r>
    </w:p>
    <w:p w:rsidR="00000000" w:rsidRDefault="00000000"/>
    <w:p w:rsidR="00000000" w:rsidRDefault="00000000">
      <w:r>
        <w:t>253.</w:t>
      </w:r>
      <w:r>
        <w:tab/>
      </w:r>
      <w:r>
        <w:rPr>
          <w:i/>
          <w:iCs/>
        </w:rPr>
        <w:t>Закон о социальных предприятиях</w:t>
      </w:r>
      <w:r>
        <w:t xml:space="preserve"> (1351/2003) вступил в силу в январе 2004 года.  Цель этого Закона заключается в содействии созданию социальных предприятий.  Такие предприятия отличаются от других компаний тем, что не менее 30% их сотрудников составляют либо лица с ограниченной трудоспособностью, либо такие лица и лица, долгое время являвшиеся безработными.  Закон призван предоставить им более широкие возможности найти работу.  Социальным предприятиям может оказываться поддержка в сфере трудоустройства или комплексная поддержка на менее строгих условиях, чем другим компаниям, и в течение более длительного срока.  Цель такой финансовой поддержки заключается в предоставлении компенсации за меньшую производительность лиц с ограниченной трудоспособностью или лиц,  долгое время являвшихся безработными.</w:t>
      </w:r>
    </w:p>
    <w:p w:rsidR="00000000" w:rsidRDefault="00000000"/>
    <w:p w:rsidR="00000000" w:rsidRDefault="00000000">
      <w:r>
        <w:t>254.</w:t>
      </w:r>
      <w:r>
        <w:tab/>
        <w:t xml:space="preserve">Внедренная в 1998 году </w:t>
      </w:r>
      <w:r>
        <w:rPr>
          <w:i/>
          <w:iCs/>
        </w:rPr>
        <w:t>комбинированная поддержка</w:t>
      </w:r>
      <w:r>
        <w:t xml:space="preserve"> играет важную роль в предотвращении отчуждения от рынка труда лиц, долгое время являющихся безработными.  Комбинированная поддержка включает в себя помощь по трудоустройству и субсидию для выхода на рынок труда.  В январе 2003 года был начат трехлетний эксперимент по оказанию комбинированной поддержки.  В рамках этого эксперимента комбинированная поддержка может предоставляться в виде выплат для целей трудоустройства таких лиц, которые получали субсидию рынка труда в течение не менее 200 дней на том основании, что они являлись безработными.  Вместо комбинированной поддержки в течение двух лет также может выплачиваться полная субсидия для выхода на рынок труда без оказания поддержки по трудоустройству.  В связи с этим экспериментом в январе 2005 года была внедрена система вспомогательных ваучеров.  Цель ваучера заключается в том, чтобы стимулировать получателей к тому, чтобы они сами находили работу.  В то же время работодатели могут ставиться в известность о возможности использования финансовой поддержки для выплаты заработной платы.  Каждый вспомогательный ваучер действителен в течение трех месяцев, но срок его действия по мере необходимости может быть продлен.</w:t>
      </w:r>
    </w:p>
    <w:p w:rsidR="00000000" w:rsidRDefault="00000000"/>
    <w:p w:rsidR="00000000" w:rsidRDefault="00000000">
      <w:r>
        <w:t>255.</w:t>
      </w:r>
      <w:r>
        <w:tab/>
      </w:r>
      <w:r>
        <w:rPr>
          <w:i/>
          <w:iCs/>
        </w:rPr>
        <w:t>Повышение спроса на трудовые ресурсы</w:t>
      </w:r>
      <w:r>
        <w:t>.  В октябре 2003 года министерство труда приняло Стратегию в области трудовой политики на 2003-2007 годы и далее вплоть до 2010 года.  Стратегия реализует принципы, изложенные в политической программе правительства, правительственной стратегии и соответствующих межсекторальных стратегиях, а также Европейской стратегии в области занятости ЕС.  Целевыми годами Стратегии в области трудовой политики являются 2007 и 2010 годы, поскольку положение на рынке труда меняется по мере выхода на пенсию больших возрастных групп.  В Стратегии намечены пять стратегических директив:  1)  сокращение структурной безработицы и недопущение социального отчуждения,  2)  обеспечение наличия квалифицированной рабочей силы,  3)  повышение производительности труда при сохранении высокого качества,  4)  создание предпосылок для активной иммиграционной политики в сфере трудовых ресурсов и  5)  расширение предпринимательства и самостоятельной занятости.</w:t>
      </w:r>
    </w:p>
    <w:p w:rsidR="00000000" w:rsidRDefault="00000000"/>
    <w:p w:rsidR="00000000" w:rsidRDefault="00000000">
      <w:r>
        <w:t>256.</w:t>
      </w:r>
      <w:r>
        <w:tab/>
      </w:r>
      <w:r>
        <w:rPr>
          <w:i/>
          <w:iCs/>
        </w:rPr>
        <w:t>Пособие для начала предпринимательской деятельности</w:t>
      </w:r>
      <w:r>
        <w:t>.  Трудовая администрация может предоставить работнику, вступающему на рынок труда, пособие для начала предпринимательской деятельности.  Это пособие выплачивается не работодателю, а представляет собой одну из форм финансовой поддержки, призванной обеспечить начинающего предпринимателя средствами к существованию.  Такие пособия выплачиваются безработным, начинающим предпринимательскую деятельность, с 1984 года с целью обеспечения их средствами к существованию в тот период, когда компания еще не дает дохода, а соответствующее лицо более не имеет право на пособие по безработице.  Пособия не могут выплачиваться более десяти месяцев.  Условия для получения пособия включают в себя, в частности, требование о представлении оценки ожидаемой производительности компании и степени готовности заявителя заниматься предпринимательской деятельностью.  При рассмотрении заявления учитывается воздействие данного пособия на конкурентоспособность.</w:t>
      </w:r>
    </w:p>
    <w:p w:rsidR="00000000" w:rsidRDefault="00000000"/>
    <w:p w:rsidR="00000000" w:rsidRDefault="00000000">
      <w:r>
        <w:t>257.</w:t>
      </w:r>
      <w:r>
        <w:tab/>
        <w:t xml:space="preserve">В январе 2005 года начался двухгодичный эксперимент по предоставлению пособий для начала предпринимательской деятельности лицам, желающим оставить оплачиваемую работу или другую деятельность за пределами рынка труда и заняться предпринимательством.  Также предусмотрена возможность получения финансовой поддержки на цели начала бизнеса лицами, завершающими свою учебу.  Одна из целей данного эксперимента заключается в увеличении числа лиц, начинающих предпринимательскую деятельность.  </w:t>
      </w:r>
    </w:p>
    <w:p w:rsidR="00000000" w:rsidRDefault="00000000"/>
    <w:p w:rsidR="00000000" w:rsidRDefault="00000000">
      <w:r>
        <w:t>258.</w:t>
      </w:r>
      <w:r>
        <w:tab/>
      </w:r>
      <w:r>
        <w:rPr>
          <w:i/>
          <w:iCs/>
        </w:rPr>
        <w:t>Поддержка пожилых работников для стимулирования их дальнейшей работы</w:t>
      </w:r>
      <w:r>
        <w:t>.  Меры по реформе системы пенсионного обеспечения за выслугу лет вступили в силу в январе 2005 года.  Реформа призвана поощрять работников к тому, чтобы они позже выходили на пенсию, и улучшает порядок финансового обеспечения пенсии.  Причиной осуществления данной реформы в первую очередь является необходимость принятия мер в отношении возникающих перед национальной экономикой и пенсионной системой проблем, обусловленных старением и изменением возрастной структуры населения.  Реформа предполагает, среди прочего, накопление пенсии с 18 до 68 лет, постепенное повышение процента накопления по мере старения работника и предоставление пенсии при выходе в отставку на гибкой основе в возрасте 63-68 лет.</w:t>
      </w:r>
    </w:p>
    <w:p w:rsidR="00000000" w:rsidRDefault="00000000"/>
    <w:p w:rsidR="00000000" w:rsidRDefault="00000000">
      <w:r>
        <w:t>259.</w:t>
      </w:r>
      <w:r>
        <w:tab/>
        <w:t>В 2000-2003 годах в рамках правительственной политической программы осуществлялась программа по улучшению обстановки на рабочих местах.  Цель этой программы заключалась в повышении работоспособности и обеспечении благоприятной обстановки на рабочих местах с целью содействия достижению поставленной в правительственной политической программе задачи по продлению трудоспособного возраста на два-три года.</w:t>
      </w:r>
    </w:p>
    <w:p w:rsidR="00000000" w:rsidRDefault="00000000"/>
    <w:p w:rsidR="00000000" w:rsidRDefault="00000000">
      <w:r>
        <w:t>260.</w:t>
      </w:r>
      <w:r>
        <w:tab/>
      </w:r>
      <w:r>
        <w:rPr>
          <w:i/>
          <w:iCs/>
        </w:rPr>
        <w:t>Закон об отпусках для смены рода занятий</w:t>
      </w:r>
      <w:r>
        <w:t xml:space="preserve"> (1305/2002) вступил в силу в январе 2003 года и будет действовать до конца 2007 года.  Одной из целей системы отпусков для смены рода занятий является улучшение обстановки на рабочих местах.  Лицо, уходящее в такой отпуск, может использовать его по своему усмотрению - например, для целей образования или профессиональной подготовки, ухода за детьми или другими членами семьи, для хобби или отдыха.  Безработным возможность подменить лицо, находящееся в отпуске, предоставляет шанс сохранить и повысить свою квалификацию и расширить возможности впоследствии найти работу, а работодателю эта система открывает новый канал найма работников и возможность обеспечения гибкости и привлечения новых знаний в производственный процесс.</w:t>
      </w:r>
    </w:p>
    <w:p w:rsidR="00000000" w:rsidRDefault="00000000"/>
    <w:p w:rsidR="00000000" w:rsidRDefault="00000000">
      <w:r>
        <w:t>261.</w:t>
      </w:r>
      <w:r>
        <w:tab/>
        <w:t>Отпуск для смены рода занятий представляет собой меру, посредством которой работник, рабочий день которого составляет более 75% рабочего дня работников, работающих на условиях полной занятости в соответствующем секторе, согласно договору о подмене работника, заключаемым с работодателем, освобождается на установленный срок от выполнения работы, охватываемой трудовым соглашением.  Непрерывная продолжительность отпуска для смены рода занятий должна составлять не менее 90 и не более 359 дней.  На тот же срок работодатель обязуется принять на работу лицо, зарегистрированное на бирже труда в качестве ищущего работу безработного.  Принимаемый на работу человек должен в первую очередь быть молодым или лицом, долгое время являвшимся безработным, или лицом, недавно закончившим университет или получившим профессиональное образование.  Лицо, возвращающееся из отпуска для смены рода занятий, имеет право вернуться на свое прежнее или занять адекватное ему рабочее место.</w:t>
      </w:r>
    </w:p>
    <w:p w:rsidR="00000000" w:rsidRDefault="00000000"/>
    <w:p w:rsidR="00000000" w:rsidRDefault="00000000">
      <w:pPr>
        <w:jc w:val="center"/>
        <w:rPr>
          <w:b/>
          <w:bCs/>
        </w:rPr>
      </w:pPr>
      <w:r>
        <w:rPr>
          <w:b/>
          <w:bCs/>
        </w:rPr>
        <w:t>2 с)   Производительность труда</w:t>
      </w:r>
    </w:p>
    <w:p w:rsidR="00000000" w:rsidRDefault="00000000">
      <w:pPr>
        <w:rPr>
          <w:b/>
          <w:bCs/>
        </w:rPr>
      </w:pPr>
    </w:p>
    <w:p w:rsidR="00000000" w:rsidRDefault="00000000">
      <w:r>
        <w:t>262.</w:t>
      </w:r>
      <w:r>
        <w:tab/>
        <w:t>В январе 2004 года министерство труда стало осуществлять программу по улучшению качества и повышению производительности трудовой жизни (ТИКЕС, 2004</w:t>
      </w:r>
      <w:r>
        <w:noBreakHyphen/>
        <w:t xml:space="preserve">2009 годы), объединив и скоординировав прежние программы.  Цель этой программы заключается в содействии повышению производительности компаний и государственных предприятий с помощью таких средств, которые одновременно расширяют имеющиеся в распоряжении работников возможности повышения своей квалификации и оказания влияния на свою работу, создания благоприятного климата на рабочих местах, а также проведения совместных консультативных совещаний и укрепления взаимного доверия на работе.  </w:t>
      </w:r>
    </w:p>
    <w:p w:rsidR="00000000" w:rsidRDefault="00000000"/>
    <w:p w:rsidR="00000000" w:rsidRDefault="00000000">
      <w:r>
        <w:t>263.</w:t>
      </w:r>
      <w:r>
        <w:tab/>
        <w:t xml:space="preserve">В рамках программы ТИКЕС предусматривается поддержка различных проектов в области развития, которые должны приниматься по инициативе работников, экспериментов, связанных с практикой организации и управления, разработки методов, использования полученных в рамках проектов результатов, а также повышения роли научных исследований и опытно-конструкторских разработок в трудовой жизни.  </w:t>
      </w:r>
    </w:p>
    <w:p w:rsidR="00000000" w:rsidRDefault="00000000">
      <w:r>
        <w:t>264.</w:t>
      </w:r>
      <w:r>
        <w:tab/>
        <w:t>Министерство социального обеспечения и здравоохранения осуществляет программу, призванную сделать трудовую жизнь более привлекательной (ВЕТО, 2003</w:t>
      </w:r>
      <w:r>
        <w:noBreakHyphen/>
        <w:t>2007 годы), а министерство образования </w:t>
      </w:r>
      <w:r>
        <w:noBreakHyphen/>
        <w:t xml:space="preserve"> программу повышения уровня образования взрослых (НОСТЕ, 2003</w:t>
      </w:r>
      <w:r>
        <w:noBreakHyphen/>
        <w:t xml:space="preserve">2007 годы).  Программа ВЕТО продолжает национальную программу обеспечения интересов лиц пожилого возраста и вышеупомянутую программу создания благоприятной обстановки на рабочих местах.  Ее цель заключается в том, чтобы сделать трудовую жизнь более привлекательной и повысить трудоспособность работников при одновременном осуществлении стратегий социального обеспечения и здравоохранения.  </w:t>
      </w:r>
    </w:p>
    <w:p w:rsidR="00000000" w:rsidRDefault="00000000"/>
    <w:p w:rsidR="00000000" w:rsidRDefault="00000000">
      <w:r>
        <w:t>265.</w:t>
      </w:r>
      <w:r>
        <w:tab/>
        <w:t>Программа ВЕТО направлена на обеспечение полноценного участия граждан в трудовой жизни, содействие тому, чтобы они могли дольше работать, лучшего сочетания трудовой и семейной жизни и обеспечение равенства между мужчинами и женщинами, а также повышение привлекательности работы с точки зрения других альтернатив.  Программа состоит из четырех частей и касается соответственно качества и безопасности труда, эффективных служб охраны здоровья и реабилитации на работе, разнообразия и равенства на работе, а также содействия постоянству доходов и сохранению рабочих мест.  Данная программа осуществляется во взаимодействии с другими министерствами и профсоюзами, а также ассоциациями частных предприятий, научно-исследовательскими институтами, страховыми и пенсионными учреждениями и организациями, предоставляющими реабилитационные услуги.  Для наблюдения за осуществлением программы и координации соответствующей деятельности, сбора поступающей от участвующих образований информации о мерах, принимаемых в рамках программы, и ходом их осуществления, создания представления об использовании необходимых средств и знаний, а также обеспечения деятельного сотрудничества между различными сторонами учреждена руководящая группа.</w:t>
      </w:r>
    </w:p>
    <w:p w:rsidR="00000000" w:rsidRDefault="00000000"/>
    <w:p w:rsidR="00000000" w:rsidRDefault="00000000">
      <w:r>
        <w:t>266.</w:t>
      </w:r>
      <w:r>
        <w:tab/>
        <w:t>Программа ВЕТО на 2003</w:t>
      </w:r>
      <w:r>
        <w:noBreakHyphen/>
        <w:t>2007 годы министерства социального обеспечения и здравоохранения представлена в приложении к настоящему докладу (</w:t>
      </w:r>
      <w:r>
        <w:rPr>
          <w:i/>
          <w:iCs/>
        </w:rPr>
        <w:t>Приложение 32</w:t>
      </w:r>
      <w:r>
        <w:t>).</w:t>
      </w:r>
    </w:p>
    <w:p w:rsidR="00000000" w:rsidRDefault="00000000"/>
    <w:p w:rsidR="00000000" w:rsidRDefault="00000000">
      <w:pPr>
        <w:jc w:val="center"/>
        <w:rPr>
          <w:b/>
          <w:bCs/>
        </w:rPr>
      </w:pPr>
      <w:r>
        <w:rPr>
          <w:b/>
          <w:bCs/>
        </w:rPr>
        <w:t xml:space="preserve">2 </w:t>
      </w:r>
      <w:r>
        <w:rPr>
          <w:b/>
          <w:bCs/>
          <w:lang w:val="en-US"/>
        </w:rPr>
        <w:t>d</w:t>
      </w:r>
      <w:r>
        <w:rPr>
          <w:b/>
          <w:bCs/>
        </w:rPr>
        <w:t>)   Свободный выбор работы</w:t>
      </w:r>
    </w:p>
    <w:p w:rsidR="00000000" w:rsidRDefault="00000000">
      <w:pPr>
        <w:rPr>
          <w:b/>
          <w:bCs/>
        </w:rPr>
      </w:pPr>
    </w:p>
    <w:p w:rsidR="00000000" w:rsidRDefault="00000000">
      <w:r>
        <w:t>267.</w:t>
      </w:r>
      <w:r>
        <w:tab/>
        <w:t>1 мая 2004 года в силу вступил новый Закон об иностранных гражданах (301/2004), который также содержит положения, касающиеся работы лиц, приезжающих из стран, не входящих в Европейский союз и Европейскую экономическую зону.  В большинстве случаев гражданам государств, не относящихся к Европейской экономической зоне, необходим рабочий вид на жительство.  Цель системы рабочих видов на жительство заключается в обеспечении наличия трудовых ресурсов на скоординированной, оперативной и гибкой основе с учетом юридических прав работодателей и иностранных рабочих, а также в расширении перспектив в области занятости для тех работников, которые уже вступили на рынок труда.  Новым Законом об иностранных гражданах была создана система единых рабочих видов на жительство, которая заменила прежнюю систему, предполагавшую два разрешения (разрешение на работу и отдельный вид на жительство).  Как только агентство по трудоустройству заявляет, что для заполнения той или иной вакансии на рынке труда нет подходящего работника, Иммиграционный директорат выдает соответствующему работнику первый вид на жительство, который может быть продлен окружной полицией в том случае, если соображения, связанные с поддержанием общественного порядка и безопасности, не препятствуют его выдаче.</w:t>
      </w:r>
    </w:p>
    <w:p w:rsidR="00000000" w:rsidRDefault="00000000">
      <w:pPr>
        <w:rPr>
          <w:sz w:val="16"/>
        </w:rPr>
      </w:pPr>
    </w:p>
    <w:p w:rsidR="00000000" w:rsidRDefault="00000000">
      <w:r>
        <w:t>268.</w:t>
      </w:r>
      <w:r>
        <w:tab/>
        <w:t>Право иностранных граждан на работу без проведения органами трудоустройства соответствующей оценки предоставляется, в частности, иностранцам, которые уже проживают в Финляндии, таким, как члены семей иностранных рабочих и специалисты в конкретных областях (например, наука, искусство и культура).  Кроме того, иностранным гражданам предоставляется право выполнять работы, в отношении которых нет смысла в каждом конкретном случае производить оценку наличия работников на рынке труда, таких, как сбор ягод, фруктов, овощей и определенных культур, а также пушное звероводство.</w:t>
      </w:r>
    </w:p>
    <w:p w:rsidR="00000000" w:rsidRDefault="00000000">
      <w:pPr>
        <w:rPr>
          <w:sz w:val="16"/>
        </w:rPr>
      </w:pPr>
    </w:p>
    <w:p w:rsidR="00000000" w:rsidRDefault="00000000">
      <w:r>
        <w:t>269.</w:t>
      </w:r>
      <w:r>
        <w:tab/>
        <w:t>После расширения Европейского союза 1 мая 2004 года в Финляндии вступил в силу Закон о переходном периоде (309/2004), который составляет два года.  Цель этого Закона заключается в ограничении доступа на рынок труда в Финляндии граждан новых государств-участников.  Закон о переходном периоде применяется вместе с положениями других законов, касающихся иностранных граждан, с учетом внесенных в них поправок.</w:t>
      </w:r>
    </w:p>
    <w:p w:rsidR="00000000" w:rsidRDefault="00000000">
      <w:pPr>
        <w:rPr>
          <w:sz w:val="16"/>
        </w:rPr>
      </w:pPr>
    </w:p>
    <w:p w:rsidR="00000000" w:rsidRDefault="00000000">
      <w:r>
        <w:t>270.</w:t>
      </w:r>
      <w:r>
        <w:tab/>
        <w:t>Переходный период продолжительностью два года распространяется на восемь новых государств-членов, которые присоединились к Европейскому союзу 1 мая 2004 года:  Чешская Республика, Эстония, Латвия, Литва, Венгрия, Польша, Словения и Словакия.  Гражданам этих стран в течение переходного периода необходимо иметь рабочий вид на жительство.</w:t>
      </w:r>
    </w:p>
    <w:p w:rsidR="00000000" w:rsidRDefault="00000000">
      <w:pPr>
        <w:rPr>
          <w:sz w:val="16"/>
        </w:rPr>
      </w:pPr>
    </w:p>
    <w:p w:rsidR="00000000" w:rsidRDefault="00000000">
      <w:r>
        <w:t>271.</w:t>
      </w:r>
      <w:r>
        <w:tab/>
        <w:t>После 1 мая 2004 года роль агентств по трудоустройству в обработке заявлений на получение вида на жительство от граждан вышеуказанных стран явно уменьшилась.  В частности, это объясняется тем фактом, что на все ситуации, в которых иностранный гражданин имеет право на работу без рабочего вида на жительство, о чем говорится в Законе об иностранных гражданах, также распространяются положения Закона о переходном периоде.  Положения Закона о переходном периоде не распространяются на тех граждан новых государств-членов, которые проживают в Финляндии не менее 12 месяцев или имеют право на проживание в Финляндии на другом основании, помимо работы, поскольку являются, например, членами семей граждан ЕС.  На практике наиболее существенное исключение, предусматриваемое Законом о переходном периоде, обусловлено положением, содержащимся в Договоре о присоединении, в соответствии с которым принимаемые в Финляндии национальные переходные меры не могут распространяться на работников, перемещающихся в пределах территории, охватываемой системой свободного предоставления услуг.</w:t>
      </w:r>
    </w:p>
    <w:p w:rsidR="00000000" w:rsidRDefault="00000000">
      <w:pPr>
        <w:rPr>
          <w:sz w:val="16"/>
        </w:rPr>
      </w:pPr>
    </w:p>
    <w:p w:rsidR="00000000" w:rsidRDefault="00000000">
      <w:pPr>
        <w:jc w:val="center"/>
      </w:pPr>
      <w:r>
        <w:rPr>
          <w:b/>
          <w:bCs/>
        </w:rPr>
        <w:t>2 е)  Программы технической и профессиональной подготовки</w:t>
      </w:r>
    </w:p>
    <w:p w:rsidR="00000000" w:rsidRDefault="00000000"/>
    <w:p w:rsidR="00000000" w:rsidRDefault="00000000">
      <w:r>
        <w:t>272.</w:t>
      </w:r>
      <w:r>
        <w:tab/>
        <w:t>Подготовка взрослых для вступления на рынок труда проводится в соответствии с положениями Закона (1295/2002) и Декрета (1344/2002) о государственной службе трудоустройства.  Задача такой подготовки заключается в повышении квалификации совершеннолетних и расширении их возможностей нахождения или сохранения за собой рабочих мест, а также увеличении численности квалифицированных работников.  Подготовка для вступления на рынок труда в первую очередь проводится для совершеннолетних лиц, являющихся безработными или находящихся под угрозой потери работы.  Обучение представляет собой в основном профессионально-техническую подготовку для взрослых, которая организуется центрами продолжения образования, другими профессионально-техническими училищами, университетами или другими поставщиками услуг в сфере образования, органами, занимающимися трудовыми вопросами.</w:t>
      </w:r>
    </w:p>
    <w:p w:rsidR="00000000" w:rsidRDefault="00000000">
      <w:pPr>
        <w:jc w:val="center"/>
        <w:rPr>
          <w:b/>
          <w:bCs/>
          <w:sz w:val="16"/>
        </w:rPr>
      </w:pPr>
    </w:p>
    <w:p w:rsidR="00000000" w:rsidRDefault="00000000">
      <w:r>
        <w:t>273.</w:t>
      </w:r>
      <w:r>
        <w:tab/>
        <w:t>Подготовка для вступления на рынок труда проводится также с целью сокращения длительной безработицы и ограничения социального отчуждения лиц, длительное время являвшихся безработными, лиц с ограниченной трудоспособностью и пожилых лиц.  За последние несколько лет наблюдается устойчивое увеличение доли иностранцев, охваченных такой подготовкой.  В 1999 году иностранцы составляли 9,5% лиц, охваченных подготовкой для вступления на рынок труда, а в 2003 году их доля составляла уже 16,6%.</w:t>
      </w:r>
    </w:p>
    <w:p w:rsidR="00000000" w:rsidRDefault="00000000">
      <w:pPr>
        <w:jc w:val="center"/>
        <w:rPr>
          <w:b/>
          <w:bCs/>
          <w:sz w:val="16"/>
        </w:rPr>
      </w:pPr>
    </w:p>
    <w:p w:rsidR="00000000" w:rsidRDefault="00000000">
      <w:r>
        <w:t>274.</w:t>
      </w:r>
      <w:r>
        <w:tab/>
        <w:t>В 2004 году доля профессионально-технического обучения составляла 70%, а доля непрофессиональной подготовки, т.е. подготовительного обучения, составляла 30%.  За последние несколько лет, которые рассматриваются в настоящем докладе, сферы, охваченные первичной профессионально-технической подготовкой, в некоторой степени изменились.  Такая подготовка для молодежи и взрослых проводится в различных секторах, в том числе в сфере искусства и гуманитарных наук, по педагогике, культуре, социальным наукам, экономике и управлению предпринимательской деятельностью, естественным наукам, технике и транспорту, природным ресурсам и окружающей среде, социальному обеспечению, здравоохранению и спорту, а также туризму и общественному питанию.</w:t>
      </w:r>
    </w:p>
    <w:p w:rsidR="00000000" w:rsidRDefault="00000000">
      <w:pPr>
        <w:jc w:val="center"/>
        <w:rPr>
          <w:b/>
          <w:bCs/>
          <w:sz w:val="16"/>
        </w:rPr>
      </w:pPr>
    </w:p>
    <w:p w:rsidR="00000000" w:rsidRDefault="00000000">
      <w:r>
        <w:t>275.</w:t>
      </w:r>
      <w:r>
        <w:tab/>
        <w:t>В 1999 году в рамках системы начальной профессионально-технической подготовки (профессионально-технические училища, политехнические институты и университеты) всего обучалось 138 765 учащихся, в 2000 году - 136 684, в 2001 году - 137 631, в 2002 году - 142 690, а в 2003 году - 146 147.</w:t>
      </w:r>
    </w:p>
    <w:p w:rsidR="00000000" w:rsidRDefault="00000000">
      <w:pPr>
        <w:jc w:val="center"/>
        <w:rPr>
          <w:b/>
          <w:bCs/>
          <w:sz w:val="16"/>
        </w:rPr>
      </w:pPr>
    </w:p>
    <w:p w:rsidR="00000000" w:rsidRDefault="00000000">
      <w:pPr>
        <w:tabs>
          <w:tab w:val="clear" w:pos="1134"/>
          <w:tab w:val="clear" w:pos="1701"/>
          <w:tab w:val="left" w:pos="1400"/>
        </w:tabs>
        <w:jc w:val="center"/>
        <w:rPr>
          <w:b/>
          <w:bCs/>
        </w:rPr>
      </w:pPr>
      <w:r>
        <w:rPr>
          <w:b/>
          <w:bCs/>
        </w:rPr>
        <w:t>Таблица 7</w:t>
      </w:r>
    </w:p>
    <w:p w:rsidR="00000000" w:rsidRDefault="00000000">
      <w:pPr>
        <w:jc w:val="center"/>
        <w:rPr>
          <w:b/>
          <w:bCs/>
          <w:sz w:val="16"/>
        </w:rPr>
      </w:pPr>
    </w:p>
    <w:p w:rsidR="00000000" w:rsidRDefault="00000000">
      <w:pPr>
        <w:tabs>
          <w:tab w:val="clear" w:pos="1134"/>
          <w:tab w:val="clear" w:pos="1701"/>
          <w:tab w:val="left" w:pos="1400"/>
        </w:tabs>
        <w:jc w:val="center"/>
        <w:rPr>
          <w:b/>
          <w:bCs/>
        </w:rPr>
      </w:pPr>
      <w:r>
        <w:rPr>
          <w:b/>
          <w:bCs/>
        </w:rPr>
        <w:t>Показатели подготовки для вступления на рынок труда в 1999-2002 годах</w:t>
      </w:r>
    </w:p>
    <w:p w:rsidR="00000000" w:rsidRDefault="00000000">
      <w:pPr>
        <w:jc w:val="center"/>
        <w:rPr>
          <w:b/>
          <w:bCs/>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22"/>
        <w:gridCol w:w="1397"/>
        <w:gridCol w:w="1397"/>
        <w:gridCol w:w="1397"/>
        <w:gridCol w:w="1398"/>
      </w:tblGrid>
      <w:tr w:rsidR="00000000">
        <w:tblPrEx>
          <w:tblCellMar>
            <w:top w:w="0" w:type="dxa"/>
            <w:bottom w:w="0" w:type="dxa"/>
          </w:tblCellMar>
        </w:tblPrEx>
        <w:trPr>
          <w:cantSplit/>
        </w:trPr>
        <w:tc>
          <w:tcPr>
            <w:tcW w:w="3822" w:type="dxa"/>
            <w:tcBorders>
              <w:bottom w:val="single" w:sz="4" w:space="0" w:color="auto"/>
            </w:tcBorders>
          </w:tcPr>
          <w:p w:rsidR="00000000" w:rsidRDefault="00000000">
            <w:pPr>
              <w:autoSpaceDE w:val="0"/>
              <w:autoSpaceDN w:val="0"/>
              <w:adjustRightInd w:val="0"/>
            </w:pPr>
          </w:p>
        </w:tc>
        <w:tc>
          <w:tcPr>
            <w:tcW w:w="1397" w:type="dxa"/>
            <w:tcBorders>
              <w:bottom w:val="single" w:sz="4" w:space="0" w:color="auto"/>
            </w:tcBorders>
          </w:tcPr>
          <w:p w:rsidR="00000000" w:rsidRDefault="00000000">
            <w:pPr>
              <w:autoSpaceDE w:val="0"/>
              <w:autoSpaceDN w:val="0"/>
              <w:adjustRightInd w:val="0"/>
              <w:jc w:val="center"/>
            </w:pPr>
            <w:r>
              <w:t>1999</w:t>
            </w:r>
          </w:p>
        </w:tc>
        <w:tc>
          <w:tcPr>
            <w:tcW w:w="1397" w:type="dxa"/>
            <w:tcBorders>
              <w:bottom w:val="single" w:sz="4" w:space="0" w:color="auto"/>
            </w:tcBorders>
          </w:tcPr>
          <w:p w:rsidR="00000000" w:rsidRDefault="00000000">
            <w:pPr>
              <w:autoSpaceDE w:val="0"/>
              <w:autoSpaceDN w:val="0"/>
              <w:adjustRightInd w:val="0"/>
              <w:jc w:val="center"/>
            </w:pPr>
            <w:r>
              <w:t>2000</w:t>
            </w:r>
          </w:p>
        </w:tc>
        <w:tc>
          <w:tcPr>
            <w:tcW w:w="1397" w:type="dxa"/>
            <w:tcBorders>
              <w:bottom w:val="single" w:sz="4" w:space="0" w:color="auto"/>
            </w:tcBorders>
          </w:tcPr>
          <w:p w:rsidR="00000000" w:rsidRDefault="00000000">
            <w:pPr>
              <w:autoSpaceDE w:val="0"/>
              <w:autoSpaceDN w:val="0"/>
              <w:adjustRightInd w:val="0"/>
              <w:jc w:val="center"/>
            </w:pPr>
            <w:r>
              <w:t>2001</w:t>
            </w:r>
          </w:p>
        </w:tc>
        <w:tc>
          <w:tcPr>
            <w:tcW w:w="1398" w:type="dxa"/>
            <w:tcBorders>
              <w:bottom w:val="single" w:sz="4" w:space="0" w:color="auto"/>
            </w:tcBorders>
          </w:tcPr>
          <w:p w:rsidR="00000000" w:rsidRDefault="00000000">
            <w:pPr>
              <w:autoSpaceDE w:val="0"/>
              <w:autoSpaceDN w:val="0"/>
              <w:adjustRightInd w:val="0"/>
              <w:jc w:val="center"/>
            </w:pPr>
            <w:r>
              <w:t>2002</w:t>
            </w:r>
          </w:p>
        </w:tc>
      </w:tr>
      <w:tr w:rsidR="00000000">
        <w:tblPrEx>
          <w:tblCellMar>
            <w:top w:w="0" w:type="dxa"/>
            <w:bottom w:w="0" w:type="dxa"/>
          </w:tblCellMar>
        </w:tblPrEx>
        <w:trPr>
          <w:cantSplit/>
        </w:trPr>
        <w:tc>
          <w:tcPr>
            <w:tcW w:w="3822" w:type="dxa"/>
            <w:tcBorders>
              <w:bottom w:val="nil"/>
            </w:tcBorders>
          </w:tcPr>
          <w:p w:rsidR="00000000" w:rsidRDefault="00000000">
            <w:pPr>
              <w:autoSpaceDE w:val="0"/>
              <w:autoSpaceDN w:val="0"/>
              <w:adjustRightInd w:val="0"/>
            </w:pPr>
            <w:r>
              <w:t>Заявления</w:t>
            </w:r>
          </w:p>
        </w:tc>
        <w:tc>
          <w:tcPr>
            <w:tcW w:w="1397" w:type="dxa"/>
            <w:tcBorders>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229 585</w:t>
            </w:r>
          </w:p>
        </w:tc>
        <w:tc>
          <w:tcPr>
            <w:tcW w:w="1397" w:type="dxa"/>
            <w:tcBorders>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201 705</w:t>
            </w:r>
          </w:p>
        </w:tc>
        <w:tc>
          <w:tcPr>
            <w:tcW w:w="1397" w:type="dxa"/>
            <w:tcBorders>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170 086</w:t>
            </w:r>
          </w:p>
        </w:tc>
        <w:tc>
          <w:tcPr>
            <w:tcW w:w="1398" w:type="dxa"/>
            <w:tcBorders>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167 854</w:t>
            </w:r>
          </w:p>
        </w:tc>
      </w:tr>
      <w:tr w:rsidR="00000000">
        <w:tblPrEx>
          <w:tblCellMar>
            <w:top w:w="0" w:type="dxa"/>
            <w:bottom w:w="0" w:type="dxa"/>
          </w:tblCellMar>
        </w:tblPrEx>
        <w:trPr>
          <w:cantSplit/>
        </w:trPr>
        <w:tc>
          <w:tcPr>
            <w:tcW w:w="3822" w:type="dxa"/>
            <w:tcBorders>
              <w:top w:val="nil"/>
              <w:bottom w:val="nil"/>
            </w:tcBorders>
          </w:tcPr>
          <w:p w:rsidR="00000000" w:rsidRDefault="00000000">
            <w:pPr>
              <w:autoSpaceDE w:val="0"/>
              <w:autoSpaceDN w:val="0"/>
              <w:adjustRightInd w:val="0"/>
            </w:pPr>
            <w:r>
              <w:t>Заявители</w:t>
            </w:r>
          </w:p>
        </w:tc>
        <w:tc>
          <w:tcPr>
            <w:tcW w:w="1397"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160 988</w:t>
            </w:r>
          </w:p>
        </w:tc>
        <w:tc>
          <w:tcPr>
            <w:tcW w:w="1397"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138 581</w:t>
            </w:r>
          </w:p>
        </w:tc>
        <w:tc>
          <w:tcPr>
            <w:tcW w:w="1397"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118 198</w:t>
            </w:r>
          </w:p>
        </w:tc>
        <w:tc>
          <w:tcPr>
            <w:tcW w:w="139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114 648</w:t>
            </w:r>
          </w:p>
        </w:tc>
      </w:tr>
      <w:tr w:rsidR="00000000">
        <w:tblPrEx>
          <w:tblCellMar>
            <w:top w:w="0" w:type="dxa"/>
            <w:bottom w:w="0" w:type="dxa"/>
          </w:tblCellMar>
        </w:tblPrEx>
        <w:trPr>
          <w:cantSplit/>
        </w:trPr>
        <w:tc>
          <w:tcPr>
            <w:tcW w:w="3822" w:type="dxa"/>
            <w:tcBorders>
              <w:top w:val="nil"/>
              <w:bottom w:val="nil"/>
            </w:tcBorders>
          </w:tcPr>
          <w:p w:rsidR="00000000" w:rsidRDefault="00000000">
            <w:pPr>
              <w:autoSpaceDE w:val="0"/>
              <w:autoSpaceDN w:val="0"/>
              <w:adjustRightInd w:val="0"/>
            </w:pPr>
            <w:r>
              <w:t>Новые учащиеся</w:t>
            </w:r>
          </w:p>
        </w:tc>
        <w:tc>
          <w:tcPr>
            <w:tcW w:w="1397"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119 208</w:t>
            </w:r>
          </w:p>
        </w:tc>
        <w:tc>
          <w:tcPr>
            <w:tcW w:w="1397"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89 059</w:t>
            </w:r>
          </w:p>
        </w:tc>
        <w:tc>
          <w:tcPr>
            <w:tcW w:w="1397"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76 947</w:t>
            </w:r>
          </w:p>
        </w:tc>
        <w:tc>
          <w:tcPr>
            <w:tcW w:w="139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79 376</w:t>
            </w:r>
          </w:p>
        </w:tc>
      </w:tr>
      <w:tr w:rsidR="00000000">
        <w:tblPrEx>
          <w:tblCellMar>
            <w:top w:w="0" w:type="dxa"/>
            <w:bottom w:w="0" w:type="dxa"/>
          </w:tblCellMar>
        </w:tblPrEx>
        <w:trPr>
          <w:cantSplit/>
        </w:trPr>
        <w:tc>
          <w:tcPr>
            <w:tcW w:w="3822" w:type="dxa"/>
            <w:tcBorders>
              <w:top w:val="nil"/>
              <w:bottom w:val="nil"/>
            </w:tcBorders>
          </w:tcPr>
          <w:p w:rsidR="00000000" w:rsidRDefault="00000000">
            <w:pPr>
              <w:autoSpaceDE w:val="0"/>
              <w:autoSpaceDN w:val="0"/>
              <w:adjustRightInd w:val="0"/>
            </w:pPr>
            <w:r>
              <w:t>Лица, закончившие обучение</w:t>
            </w:r>
          </w:p>
        </w:tc>
        <w:tc>
          <w:tcPr>
            <w:tcW w:w="1397"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93 872</w:t>
            </w:r>
          </w:p>
        </w:tc>
        <w:tc>
          <w:tcPr>
            <w:tcW w:w="1397"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78 486</w:t>
            </w:r>
          </w:p>
        </w:tc>
        <w:tc>
          <w:tcPr>
            <w:tcW w:w="1397"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64 852</w:t>
            </w:r>
          </w:p>
        </w:tc>
        <w:tc>
          <w:tcPr>
            <w:tcW w:w="139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58 247</w:t>
            </w:r>
          </w:p>
        </w:tc>
      </w:tr>
      <w:tr w:rsidR="00000000">
        <w:tblPrEx>
          <w:tblCellMar>
            <w:top w:w="0" w:type="dxa"/>
            <w:bottom w:w="0" w:type="dxa"/>
          </w:tblCellMar>
        </w:tblPrEx>
        <w:trPr>
          <w:cantSplit/>
        </w:trPr>
        <w:tc>
          <w:tcPr>
            <w:tcW w:w="3822" w:type="dxa"/>
            <w:tcBorders>
              <w:top w:val="nil"/>
            </w:tcBorders>
          </w:tcPr>
          <w:p w:rsidR="00000000" w:rsidRDefault="00000000">
            <w:pPr>
              <w:autoSpaceDE w:val="0"/>
              <w:autoSpaceDN w:val="0"/>
              <w:adjustRightInd w:val="0"/>
            </w:pPr>
            <w:r>
              <w:t>Среднее число участников</w:t>
            </w:r>
          </w:p>
        </w:tc>
        <w:tc>
          <w:tcPr>
            <w:tcW w:w="1397" w:type="dxa"/>
            <w:tcBorders>
              <w:top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38 100</w:t>
            </w:r>
          </w:p>
        </w:tc>
        <w:tc>
          <w:tcPr>
            <w:tcW w:w="1397" w:type="dxa"/>
            <w:tcBorders>
              <w:top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30 900</w:t>
            </w:r>
          </w:p>
        </w:tc>
        <w:tc>
          <w:tcPr>
            <w:tcW w:w="1397" w:type="dxa"/>
            <w:tcBorders>
              <w:top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26 100</w:t>
            </w:r>
          </w:p>
        </w:tc>
        <w:tc>
          <w:tcPr>
            <w:tcW w:w="1398" w:type="dxa"/>
            <w:tcBorders>
              <w:top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26 300</w:t>
            </w:r>
          </w:p>
        </w:tc>
      </w:tr>
    </w:tbl>
    <w:p w:rsidR="00000000" w:rsidRDefault="00000000">
      <w:pPr>
        <w:jc w:val="center"/>
        <w:rPr>
          <w:b/>
          <w:bCs/>
          <w:sz w:val="16"/>
        </w:rPr>
      </w:pPr>
    </w:p>
    <w:p w:rsidR="00000000" w:rsidRDefault="00000000">
      <w:pPr>
        <w:tabs>
          <w:tab w:val="clear" w:pos="1134"/>
          <w:tab w:val="clear" w:pos="1701"/>
          <w:tab w:val="left" w:pos="1400"/>
        </w:tabs>
        <w:autoSpaceDE w:val="0"/>
        <w:autoSpaceDN w:val="0"/>
        <w:adjustRightInd w:val="0"/>
        <w:jc w:val="center"/>
        <w:rPr>
          <w:b/>
          <w:bCs/>
        </w:rPr>
      </w:pPr>
      <w:r>
        <w:rPr>
          <w:b/>
          <w:bCs/>
        </w:rPr>
        <w:t>Таблица 8</w:t>
      </w:r>
    </w:p>
    <w:p w:rsidR="00000000" w:rsidRDefault="00000000">
      <w:pPr>
        <w:jc w:val="center"/>
        <w:rPr>
          <w:b/>
          <w:bCs/>
          <w:sz w:val="16"/>
        </w:rPr>
      </w:pPr>
    </w:p>
    <w:p w:rsidR="00000000" w:rsidRDefault="00000000">
      <w:pPr>
        <w:tabs>
          <w:tab w:val="clear" w:pos="1134"/>
          <w:tab w:val="clear" w:pos="1701"/>
          <w:tab w:val="left" w:pos="1400"/>
        </w:tabs>
        <w:autoSpaceDE w:val="0"/>
        <w:autoSpaceDN w:val="0"/>
        <w:adjustRightInd w:val="0"/>
        <w:jc w:val="center"/>
        <w:rPr>
          <w:b/>
          <w:bCs/>
        </w:rPr>
      </w:pPr>
      <w:r>
        <w:rPr>
          <w:b/>
          <w:bCs/>
        </w:rPr>
        <w:t xml:space="preserve">Положение на рынке труда лиц, охваченных подготовкой для вступления </w:t>
      </w:r>
      <w:r>
        <w:rPr>
          <w:b/>
          <w:bCs/>
        </w:rPr>
        <w:br/>
        <w:t xml:space="preserve">на рынок труда, которая финансировалась государством </w:t>
      </w:r>
      <w:r>
        <w:rPr>
          <w:b/>
          <w:bCs/>
        </w:rPr>
        <w:br/>
        <w:t>в 2002 и 2003 годах, до начала обучения</w:t>
      </w:r>
    </w:p>
    <w:p w:rsidR="00000000" w:rsidRDefault="00000000">
      <w:pPr>
        <w:tabs>
          <w:tab w:val="clear" w:pos="1134"/>
          <w:tab w:val="clear" w:pos="1701"/>
          <w:tab w:val="left" w:pos="1400"/>
        </w:tabs>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292"/>
        <w:gridCol w:w="1385"/>
        <w:gridCol w:w="686"/>
        <w:gridCol w:w="1358"/>
        <w:gridCol w:w="690"/>
      </w:tblGrid>
      <w:tr w:rsidR="00000000">
        <w:tblPrEx>
          <w:tblCellMar>
            <w:top w:w="0" w:type="dxa"/>
            <w:bottom w:w="0" w:type="dxa"/>
          </w:tblCellMar>
        </w:tblPrEx>
        <w:trPr>
          <w:cantSplit/>
        </w:trPr>
        <w:tc>
          <w:tcPr>
            <w:tcW w:w="5292" w:type="dxa"/>
            <w:tcBorders>
              <w:bottom w:val="single" w:sz="4" w:space="0" w:color="auto"/>
            </w:tcBorders>
          </w:tcPr>
          <w:p w:rsidR="00000000" w:rsidRDefault="00000000">
            <w:pPr>
              <w:autoSpaceDE w:val="0"/>
              <w:autoSpaceDN w:val="0"/>
              <w:adjustRightInd w:val="0"/>
              <w:spacing w:line="240" w:lineRule="auto"/>
              <w:jc w:val="center"/>
            </w:pPr>
            <w:r>
              <w:t>Новые учащиеся</w:t>
            </w:r>
          </w:p>
        </w:tc>
        <w:tc>
          <w:tcPr>
            <w:tcW w:w="1385" w:type="dxa"/>
            <w:tcBorders>
              <w:bottom w:val="single" w:sz="4" w:space="0" w:color="auto"/>
            </w:tcBorders>
          </w:tcPr>
          <w:p w:rsidR="00000000" w:rsidRDefault="00000000">
            <w:pPr>
              <w:autoSpaceDE w:val="0"/>
              <w:autoSpaceDN w:val="0"/>
              <w:adjustRightInd w:val="0"/>
              <w:spacing w:line="240" w:lineRule="auto"/>
              <w:jc w:val="center"/>
            </w:pPr>
            <w:r>
              <w:t>Количество человек в 2002 году</w:t>
            </w:r>
          </w:p>
        </w:tc>
        <w:tc>
          <w:tcPr>
            <w:tcW w:w="686" w:type="dxa"/>
            <w:tcBorders>
              <w:bottom w:val="single" w:sz="4" w:space="0" w:color="auto"/>
            </w:tcBorders>
          </w:tcPr>
          <w:p w:rsidR="00000000" w:rsidRDefault="00000000">
            <w:pPr>
              <w:autoSpaceDE w:val="0"/>
              <w:autoSpaceDN w:val="0"/>
              <w:adjustRightInd w:val="0"/>
              <w:spacing w:line="240" w:lineRule="auto"/>
              <w:jc w:val="center"/>
            </w:pPr>
            <w:r>
              <w:t>%</w:t>
            </w:r>
          </w:p>
        </w:tc>
        <w:tc>
          <w:tcPr>
            <w:tcW w:w="1358" w:type="dxa"/>
            <w:tcBorders>
              <w:bottom w:val="single" w:sz="4" w:space="0" w:color="auto"/>
            </w:tcBorders>
          </w:tcPr>
          <w:p w:rsidR="00000000" w:rsidRDefault="00000000">
            <w:pPr>
              <w:autoSpaceDE w:val="0"/>
              <w:autoSpaceDN w:val="0"/>
              <w:adjustRightInd w:val="0"/>
              <w:spacing w:line="240" w:lineRule="auto"/>
              <w:jc w:val="center"/>
            </w:pPr>
            <w:r>
              <w:t>Количество человек в 2003 году</w:t>
            </w:r>
          </w:p>
        </w:tc>
        <w:tc>
          <w:tcPr>
            <w:tcW w:w="690" w:type="dxa"/>
            <w:tcBorders>
              <w:bottom w:val="single" w:sz="4" w:space="0" w:color="auto"/>
            </w:tcBorders>
          </w:tcPr>
          <w:p w:rsidR="00000000" w:rsidRDefault="00000000">
            <w:pPr>
              <w:autoSpaceDE w:val="0"/>
              <w:autoSpaceDN w:val="0"/>
              <w:adjustRightInd w:val="0"/>
              <w:spacing w:line="240" w:lineRule="auto"/>
              <w:jc w:val="center"/>
            </w:pPr>
            <w:r>
              <w:t>%</w:t>
            </w:r>
          </w:p>
        </w:tc>
      </w:tr>
      <w:tr w:rsidR="00000000">
        <w:tblPrEx>
          <w:tblCellMar>
            <w:top w:w="0" w:type="dxa"/>
            <w:bottom w:w="0" w:type="dxa"/>
          </w:tblCellMar>
        </w:tblPrEx>
        <w:trPr>
          <w:cantSplit/>
        </w:trPr>
        <w:tc>
          <w:tcPr>
            <w:tcW w:w="5292" w:type="dxa"/>
            <w:tcBorders>
              <w:bottom w:val="nil"/>
            </w:tcBorders>
          </w:tcPr>
          <w:p w:rsidR="00000000" w:rsidRDefault="00000000">
            <w:pPr>
              <w:autoSpaceDE w:val="0"/>
              <w:autoSpaceDN w:val="0"/>
              <w:adjustRightInd w:val="0"/>
              <w:rPr>
                <w:lang w:val="en-US"/>
              </w:rPr>
            </w:pPr>
            <w:r>
              <w:t>Безработные</w:t>
            </w:r>
          </w:p>
        </w:tc>
        <w:tc>
          <w:tcPr>
            <w:tcW w:w="1385" w:type="dxa"/>
            <w:tcBorders>
              <w:bottom w:val="nil"/>
            </w:tcBorders>
          </w:tcPr>
          <w:p w:rsidR="00000000" w:rsidRDefault="00000000">
            <w:pPr>
              <w:tabs>
                <w:tab w:val="clear" w:pos="567"/>
                <w:tab w:val="clear" w:pos="1134"/>
                <w:tab w:val="clear" w:pos="1701"/>
                <w:tab w:val="clear" w:pos="2268"/>
                <w:tab w:val="clear" w:pos="6237"/>
                <w:tab w:val="decimal" w:pos="993"/>
              </w:tabs>
              <w:autoSpaceDE w:val="0"/>
              <w:autoSpaceDN w:val="0"/>
              <w:adjustRightInd w:val="0"/>
              <w:rPr>
                <w:lang w:val="en-US"/>
              </w:rPr>
            </w:pPr>
            <w:r>
              <w:rPr>
                <w:lang w:val="en-US"/>
              </w:rPr>
              <w:t>52 542</w:t>
            </w:r>
          </w:p>
        </w:tc>
        <w:tc>
          <w:tcPr>
            <w:tcW w:w="686" w:type="dxa"/>
            <w:tcBorders>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81,6</w:t>
            </w:r>
          </w:p>
        </w:tc>
        <w:tc>
          <w:tcPr>
            <w:tcW w:w="1358" w:type="dxa"/>
            <w:tcBorders>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50 321</w:t>
            </w:r>
          </w:p>
        </w:tc>
        <w:tc>
          <w:tcPr>
            <w:tcW w:w="690" w:type="dxa"/>
            <w:tcBorders>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78,5</w:t>
            </w:r>
          </w:p>
        </w:tc>
      </w:tr>
      <w:tr w:rsidR="00000000">
        <w:tblPrEx>
          <w:tblCellMar>
            <w:top w:w="0" w:type="dxa"/>
            <w:bottom w:w="0" w:type="dxa"/>
          </w:tblCellMar>
        </w:tblPrEx>
        <w:trPr>
          <w:cantSplit/>
        </w:trPr>
        <w:tc>
          <w:tcPr>
            <w:tcW w:w="5292" w:type="dxa"/>
            <w:tcBorders>
              <w:top w:val="nil"/>
              <w:bottom w:val="nil"/>
            </w:tcBorders>
          </w:tcPr>
          <w:p w:rsidR="00000000" w:rsidRDefault="00000000">
            <w:pPr>
              <w:autoSpaceDE w:val="0"/>
              <w:autoSpaceDN w:val="0"/>
              <w:adjustRightInd w:val="0"/>
            </w:pPr>
            <w:r>
              <w:t>Уволенные из-за отсутствия работы</w:t>
            </w:r>
          </w:p>
        </w:tc>
        <w:tc>
          <w:tcPr>
            <w:tcW w:w="1385" w:type="dxa"/>
            <w:tcBorders>
              <w:top w:val="nil"/>
              <w:bottom w:val="nil"/>
            </w:tcBorders>
          </w:tcPr>
          <w:p w:rsidR="00000000" w:rsidRDefault="00000000">
            <w:pPr>
              <w:tabs>
                <w:tab w:val="clear" w:pos="567"/>
                <w:tab w:val="clear" w:pos="1134"/>
                <w:tab w:val="clear" w:pos="1701"/>
                <w:tab w:val="clear" w:pos="2268"/>
                <w:tab w:val="clear" w:pos="6237"/>
                <w:tab w:val="decimal" w:pos="993"/>
              </w:tabs>
              <w:autoSpaceDE w:val="0"/>
              <w:autoSpaceDN w:val="0"/>
              <w:adjustRightInd w:val="0"/>
            </w:pPr>
            <w:r>
              <w:t>1 528</w:t>
            </w:r>
          </w:p>
        </w:tc>
        <w:tc>
          <w:tcPr>
            <w:tcW w:w="686"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2,4</w:t>
            </w:r>
          </w:p>
        </w:tc>
        <w:tc>
          <w:tcPr>
            <w:tcW w:w="135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1 786</w:t>
            </w:r>
          </w:p>
        </w:tc>
        <w:tc>
          <w:tcPr>
            <w:tcW w:w="690"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2,8</w:t>
            </w:r>
          </w:p>
        </w:tc>
      </w:tr>
      <w:tr w:rsidR="00000000">
        <w:tblPrEx>
          <w:tblCellMar>
            <w:top w:w="0" w:type="dxa"/>
            <w:bottom w:w="0" w:type="dxa"/>
          </w:tblCellMar>
        </w:tblPrEx>
        <w:trPr>
          <w:cantSplit/>
        </w:trPr>
        <w:tc>
          <w:tcPr>
            <w:tcW w:w="5292" w:type="dxa"/>
            <w:tcBorders>
              <w:top w:val="nil"/>
              <w:bottom w:val="nil"/>
            </w:tcBorders>
          </w:tcPr>
          <w:p w:rsidR="00000000" w:rsidRDefault="00000000">
            <w:pPr>
              <w:autoSpaceDE w:val="0"/>
              <w:autoSpaceDN w:val="0"/>
              <w:adjustRightInd w:val="0"/>
            </w:pPr>
            <w:r>
              <w:t>Лица, находящиеся под угрозой потери работы</w:t>
            </w:r>
          </w:p>
        </w:tc>
        <w:tc>
          <w:tcPr>
            <w:tcW w:w="1385" w:type="dxa"/>
            <w:tcBorders>
              <w:top w:val="nil"/>
              <w:bottom w:val="nil"/>
            </w:tcBorders>
          </w:tcPr>
          <w:p w:rsidR="00000000" w:rsidRDefault="00000000">
            <w:pPr>
              <w:tabs>
                <w:tab w:val="clear" w:pos="567"/>
                <w:tab w:val="clear" w:pos="1134"/>
                <w:tab w:val="clear" w:pos="1701"/>
                <w:tab w:val="clear" w:pos="2268"/>
                <w:tab w:val="clear" w:pos="6237"/>
                <w:tab w:val="decimal" w:pos="993"/>
              </w:tabs>
              <w:autoSpaceDE w:val="0"/>
              <w:autoSpaceDN w:val="0"/>
              <w:adjustRightInd w:val="0"/>
            </w:pPr>
            <w:r>
              <w:t>2 819</w:t>
            </w:r>
          </w:p>
        </w:tc>
        <w:tc>
          <w:tcPr>
            <w:tcW w:w="686"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4,4</w:t>
            </w:r>
          </w:p>
        </w:tc>
        <w:tc>
          <w:tcPr>
            <w:tcW w:w="135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3 135</w:t>
            </w:r>
          </w:p>
        </w:tc>
        <w:tc>
          <w:tcPr>
            <w:tcW w:w="690"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4,9</w:t>
            </w:r>
          </w:p>
        </w:tc>
      </w:tr>
      <w:tr w:rsidR="00000000">
        <w:tblPrEx>
          <w:tblCellMar>
            <w:top w:w="0" w:type="dxa"/>
            <w:bottom w:w="0" w:type="dxa"/>
          </w:tblCellMar>
        </w:tblPrEx>
        <w:trPr>
          <w:cantSplit/>
        </w:trPr>
        <w:tc>
          <w:tcPr>
            <w:tcW w:w="5292" w:type="dxa"/>
            <w:tcBorders>
              <w:top w:val="nil"/>
              <w:bottom w:val="nil"/>
            </w:tcBorders>
          </w:tcPr>
          <w:p w:rsidR="00000000" w:rsidRDefault="00000000">
            <w:pPr>
              <w:autoSpaceDE w:val="0"/>
              <w:autoSpaceDN w:val="0"/>
              <w:adjustRightInd w:val="0"/>
            </w:pPr>
            <w:r>
              <w:t>Занятые</w:t>
            </w:r>
          </w:p>
        </w:tc>
        <w:tc>
          <w:tcPr>
            <w:tcW w:w="1385" w:type="dxa"/>
            <w:tcBorders>
              <w:top w:val="nil"/>
              <w:bottom w:val="nil"/>
            </w:tcBorders>
          </w:tcPr>
          <w:p w:rsidR="00000000" w:rsidRDefault="00000000">
            <w:pPr>
              <w:tabs>
                <w:tab w:val="clear" w:pos="567"/>
                <w:tab w:val="clear" w:pos="1134"/>
                <w:tab w:val="clear" w:pos="1701"/>
                <w:tab w:val="clear" w:pos="2268"/>
                <w:tab w:val="clear" w:pos="6237"/>
                <w:tab w:val="decimal" w:pos="993"/>
              </w:tabs>
              <w:autoSpaceDE w:val="0"/>
              <w:autoSpaceDN w:val="0"/>
              <w:adjustRightInd w:val="0"/>
            </w:pPr>
            <w:r>
              <w:t>1 738</w:t>
            </w:r>
          </w:p>
        </w:tc>
        <w:tc>
          <w:tcPr>
            <w:tcW w:w="686"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2,7</w:t>
            </w:r>
          </w:p>
        </w:tc>
        <w:tc>
          <w:tcPr>
            <w:tcW w:w="135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1 682</w:t>
            </w:r>
          </w:p>
        </w:tc>
        <w:tc>
          <w:tcPr>
            <w:tcW w:w="690"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2,6</w:t>
            </w:r>
          </w:p>
        </w:tc>
      </w:tr>
      <w:tr w:rsidR="00000000">
        <w:tblPrEx>
          <w:tblCellMar>
            <w:top w:w="0" w:type="dxa"/>
            <w:bottom w:w="0" w:type="dxa"/>
          </w:tblCellMar>
        </w:tblPrEx>
        <w:trPr>
          <w:cantSplit/>
        </w:trPr>
        <w:tc>
          <w:tcPr>
            <w:tcW w:w="5292" w:type="dxa"/>
            <w:tcBorders>
              <w:top w:val="nil"/>
              <w:bottom w:val="nil"/>
            </w:tcBorders>
          </w:tcPr>
          <w:p w:rsidR="00000000" w:rsidRDefault="00000000">
            <w:pPr>
              <w:autoSpaceDE w:val="0"/>
              <w:autoSpaceDN w:val="0"/>
              <w:adjustRightInd w:val="0"/>
            </w:pPr>
            <w:r>
              <w:t>Лица, не присутствующие на рынке труда</w:t>
            </w:r>
          </w:p>
        </w:tc>
        <w:tc>
          <w:tcPr>
            <w:tcW w:w="1385" w:type="dxa"/>
            <w:tcBorders>
              <w:top w:val="nil"/>
              <w:bottom w:val="nil"/>
            </w:tcBorders>
          </w:tcPr>
          <w:p w:rsidR="00000000" w:rsidRDefault="00000000">
            <w:pPr>
              <w:tabs>
                <w:tab w:val="clear" w:pos="567"/>
                <w:tab w:val="clear" w:pos="1134"/>
                <w:tab w:val="clear" w:pos="1701"/>
                <w:tab w:val="clear" w:pos="2268"/>
                <w:tab w:val="clear" w:pos="6237"/>
                <w:tab w:val="decimal" w:pos="993"/>
              </w:tabs>
              <w:autoSpaceDE w:val="0"/>
              <w:autoSpaceDN w:val="0"/>
              <w:adjustRightInd w:val="0"/>
            </w:pPr>
            <w:r>
              <w:t>4 429</w:t>
            </w:r>
          </w:p>
        </w:tc>
        <w:tc>
          <w:tcPr>
            <w:tcW w:w="686"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6,9</w:t>
            </w:r>
          </w:p>
        </w:tc>
        <w:tc>
          <w:tcPr>
            <w:tcW w:w="135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4 720</w:t>
            </w:r>
          </w:p>
        </w:tc>
        <w:tc>
          <w:tcPr>
            <w:tcW w:w="690"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7,4</w:t>
            </w:r>
          </w:p>
        </w:tc>
      </w:tr>
      <w:tr w:rsidR="00000000">
        <w:tblPrEx>
          <w:tblCellMar>
            <w:top w:w="0" w:type="dxa"/>
            <w:bottom w:w="0" w:type="dxa"/>
          </w:tblCellMar>
        </w:tblPrEx>
        <w:trPr>
          <w:cantSplit/>
        </w:trPr>
        <w:tc>
          <w:tcPr>
            <w:tcW w:w="5292" w:type="dxa"/>
            <w:tcBorders>
              <w:top w:val="nil"/>
              <w:bottom w:val="nil"/>
            </w:tcBorders>
          </w:tcPr>
          <w:p w:rsidR="00000000" w:rsidRDefault="00000000">
            <w:pPr>
              <w:autoSpaceDE w:val="0"/>
              <w:autoSpaceDN w:val="0"/>
              <w:adjustRightInd w:val="0"/>
            </w:pPr>
            <w:r>
              <w:t>Положение не известно</w:t>
            </w:r>
          </w:p>
        </w:tc>
        <w:tc>
          <w:tcPr>
            <w:tcW w:w="1385" w:type="dxa"/>
            <w:tcBorders>
              <w:top w:val="nil"/>
              <w:bottom w:val="nil"/>
            </w:tcBorders>
          </w:tcPr>
          <w:p w:rsidR="00000000" w:rsidRDefault="00000000">
            <w:pPr>
              <w:tabs>
                <w:tab w:val="clear" w:pos="567"/>
                <w:tab w:val="clear" w:pos="1134"/>
                <w:tab w:val="clear" w:pos="1701"/>
                <w:tab w:val="clear" w:pos="2268"/>
                <w:tab w:val="clear" w:pos="6237"/>
                <w:tab w:val="decimal" w:pos="993"/>
              </w:tabs>
              <w:autoSpaceDE w:val="0"/>
              <w:autoSpaceDN w:val="0"/>
              <w:adjustRightInd w:val="0"/>
            </w:pPr>
            <w:r>
              <w:t>1 371</w:t>
            </w:r>
          </w:p>
        </w:tc>
        <w:tc>
          <w:tcPr>
            <w:tcW w:w="686"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2,1</w:t>
            </w:r>
          </w:p>
        </w:tc>
        <w:tc>
          <w:tcPr>
            <w:tcW w:w="135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2 422</w:t>
            </w:r>
          </w:p>
        </w:tc>
        <w:tc>
          <w:tcPr>
            <w:tcW w:w="690"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3,8</w:t>
            </w:r>
          </w:p>
        </w:tc>
      </w:tr>
      <w:tr w:rsidR="00000000">
        <w:tblPrEx>
          <w:tblCellMar>
            <w:top w:w="0" w:type="dxa"/>
            <w:bottom w:w="0" w:type="dxa"/>
          </w:tblCellMar>
        </w:tblPrEx>
        <w:trPr>
          <w:cantSplit/>
        </w:trPr>
        <w:tc>
          <w:tcPr>
            <w:tcW w:w="5292" w:type="dxa"/>
            <w:tcBorders>
              <w:top w:val="nil"/>
              <w:bottom w:val="nil"/>
            </w:tcBorders>
          </w:tcPr>
          <w:p w:rsidR="00000000" w:rsidRDefault="00000000">
            <w:pPr>
              <w:autoSpaceDE w:val="0"/>
              <w:autoSpaceDN w:val="0"/>
              <w:adjustRightInd w:val="0"/>
            </w:pPr>
            <w:r>
              <w:t>Всего посещающих учебу</w:t>
            </w:r>
          </w:p>
        </w:tc>
        <w:tc>
          <w:tcPr>
            <w:tcW w:w="1385" w:type="dxa"/>
            <w:tcBorders>
              <w:top w:val="nil"/>
              <w:bottom w:val="nil"/>
            </w:tcBorders>
          </w:tcPr>
          <w:p w:rsidR="00000000" w:rsidRDefault="00000000">
            <w:pPr>
              <w:tabs>
                <w:tab w:val="clear" w:pos="567"/>
                <w:tab w:val="clear" w:pos="1134"/>
                <w:tab w:val="clear" w:pos="1701"/>
                <w:tab w:val="clear" w:pos="2268"/>
                <w:tab w:val="clear" w:pos="6237"/>
                <w:tab w:val="decimal" w:pos="993"/>
              </w:tabs>
              <w:autoSpaceDE w:val="0"/>
              <w:autoSpaceDN w:val="0"/>
              <w:adjustRightInd w:val="0"/>
            </w:pPr>
            <w:r>
              <w:t>64 427</w:t>
            </w:r>
          </w:p>
        </w:tc>
        <w:tc>
          <w:tcPr>
            <w:tcW w:w="686"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100,0</w:t>
            </w:r>
          </w:p>
        </w:tc>
        <w:tc>
          <w:tcPr>
            <w:tcW w:w="135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64 066</w:t>
            </w:r>
          </w:p>
        </w:tc>
        <w:tc>
          <w:tcPr>
            <w:tcW w:w="690"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100,0</w:t>
            </w:r>
          </w:p>
        </w:tc>
      </w:tr>
      <w:tr w:rsidR="00000000">
        <w:tblPrEx>
          <w:tblCellMar>
            <w:top w:w="0" w:type="dxa"/>
            <w:bottom w:w="0" w:type="dxa"/>
          </w:tblCellMar>
        </w:tblPrEx>
        <w:trPr>
          <w:cantSplit/>
        </w:trPr>
        <w:tc>
          <w:tcPr>
            <w:tcW w:w="5292" w:type="dxa"/>
            <w:tcBorders>
              <w:top w:val="nil"/>
              <w:bottom w:val="nil"/>
            </w:tcBorders>
          </w:tcPr>
          <w:p w:rsidR="00000000" w:rsidRDefault="00000000">
            <w:pPr>
              <w:autoSpaceDE w:val="0"/>
              <w:autoSpaceDN w:val="0"/>
              <w:adjustRightInd w:val="0"/>
            </w:pPr>
          </w:p>
        </w:tc>
        <w:tc>
          <w:tcPr>
            <w:tcW w:w="1385" w:type="dxa"/>
            <w:tcBorders>
              <w:top w:val="nil"/>
              <w:bottom w:val="nil"/>
            </w:tcBorders>
          </w:tcPr>
          <w:p w:rsidR="00000000" w:rsidRDefault="00000000">
            <w:pPr>
              <w:tabs>
                <w:tab w:val="clear" w:pos="567"/>
                <w:tab w:val="clear" w:pos="1134"/>
                <w:tab w:val="clear" w:pos="1701"/>
                <w:tab w:val="clear" w:pos="2268"/>
                <w:tab w:val="clear" w:pos="6237"/>
                <w:tab w:val="decimal" w:pos="993"/>
              </w:tabs>
              <w:autoSpaceDE w:val="0"/>
              <w:autoSpaceDN w:val="0"/>
              <w:adjustRightInd w:val="0"/>
            </w:pPr>
          </w:p>
        </w:tc>
        <w:tc>
          <w:tcPr>
            <w:tcW w:w="686"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p>
        </w:tc>
        <w:tc>
          <w:tcPr>
            <w:tcW w:w="135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p>
        </w:tc>
        <w:tc>
          <w:tcPr>
            <w:tcW w:w="690"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p>
        </w:tc>
      </w:tr>
      <w:tr w:rsidR="00000000">
        <w:tblPrEx>
          <w:tblCellMar>
            <w:top w:w="0" w:type="dxa"/>
            <w:bottom w:w="0" w:type="dxa"/>
          </w:tblCellMar>
        </w:tblPrEx>
        <w:trPr>
          <w:cantSplit/>
        </w:trPr>
        <w:tc>
          <w:tcPr>
            <w:tcW w:w="5292" w:type="dxa"/>
            <w:tcBorders>
              <w:top w:val="nil"/>
              <w:bottom w:val="nil"/>
            </w:tcBorders>
          </w:tcPr>
          <w:p w:rsidR="00000000" w:rsidRDefault="00000000">
            <w:pPr>
              <w:autoSpaceDE w:val="0"/>
              <w:autoSpaceDN w:val="0"/>
              <w:adjustRightInd w:val="0"/>
            </w:pPr>
            <w:r>
              <w:t>Женщины</w:t>
            </w:r>
          </w:p>
        </w:tc>
        <w:tc>
          <w:tcPr>
            <w:tcW w:w="1385" w:type="dxa"/>
            <w:tcBorders>
              <w:top w:val="nil"/>
              <w:bottom w:val="nil"/>
            </w:tcBorders>
          </w:tcPr>
          <w:p w:rsidR="00000000" w:rsidRDefault="00000000">
            <w:pPr>
              <w:tabs>
                <w:tab w:val="clear" w:pos="567"/>
                <w:tab w:val="clear" w:pos="1134"/>
                <w:tab w:val="clear" w:pos="1701"/>
                <w:tab w:val="clear" w:pos="2268"/>
                <w:tab w:val="clear" w:pos="6237"/>
                <w:tab w:val="decimal" w:pos="993"/>
              </w:tabs>
              <w:autoSpaceDE w:val="0"/>
              <w:autoSpaceDN w:val="0"/>
              <w:adjustRightInd w:val="0"/>
            </w:pPr>
            <w:r>
              <w:t>33 684</w:t>
            </w:r>
          </w:p>
        </w:tc>
        <w:tc>
          <w:tcPr>
            <w:tcW w:w="686"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52,3</w:t>
            </w:r>
          </w:p>
        </w:tc>
        <w:tc>
          <w:tcPr>
            <w:tcW w:w="135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33 162</w:t>
            </w:r>
          </w:p>
        </w:tc>
        <w:tc>
          <w:tcPr>
            <w:tcW w:w="690"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51,8</w:t>
            </w:r>
          </w:p>
        </w:tc>
      </w:tr>
      <w:tr w:rsidR="00000000">
        <w:tblPrEx>
          <w:tblCellMar>
            <w:top w:w="0" w:type="dxa"/>
            <w:bottom w:w="0" w:type="dxa"/>
          </w:tblCellMar>
        </w:tblPrEx>
        <w:trPr>
          <w:cantSplit/>
        </w:trPr>
        <w:tc>
          <w:tcPr>
            <w:tcW w:w="5292" w:type="dxa"/>
            <w:tcBorders>
              <w:top w:val="nil"/>
              <w:bottom w:val="nil"/>
            </w:tcBorders>
          </w:tcPr>
          <w:p w:rsidR="00000000" w:rsidRDefault="00000000">
            <w:pPr>
              <w:autoSpaceDE w:val="0"/>
              <w:autoSpaceDN w:val="0"/>
              <w:adjustRightInd w:val="0"/>
            </w:pPr>
          </w:p>
        </w:tc>
        <w:tc>
          <w:tcPr>
            <w:tcW w:w="1385" w:type="dxa"/>
            <w:tcBorders>
              <w:top w:val="nil"/>
              <w:bottom w:val="nil"/>
            </w:tcBorders>
          </w:tcPr>
          <w:p w:rsidR="00000000" w:rsidRDefault="00000000">
            <w:pPr>
              <w:tabs>
                <w:tab w:val="clear" w:pos="567"/>
                <w:tab w:val="clear" w:pos="1134"/>
                <w:tab w:val="clear" w:pos="1701"/>
                <w:tab w:val="clear" w:pos="2268"/>
                <w:tab w:val="clear" w:pos="6237"/>
                <w:tab w:val="decimal" w:pos="993"/>
              </w:tabs>
              <w:autoSpaceDE w:val="0"/>
              <w:autoSpaceDN w:val="0"/>
              <w:adjustRightInd w:val="0"/>
            </w:pPr>
          </w:p>
        </w:tc>
        <w:tc>
          <w:tcPr>
            <w:tcW w:w="686"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p>
        </w:tc>
        <w:tc>
          <w:tcPr>
            <w:tcW w:w="135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p>
        </w:tc>
        <w:tc>
          <w:tcPr>
            <w:tcW w:w="690"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p>
        </w:tc>
      </w:tr>
      <w:tr w:rsidR="00000000">
        <w:tblPrEx>
          <w:tblCellMar>
            <w:top w:w="0" w:type="dxa"/>
            <w:bottom w:w="0" w:type="dxa"/>
          </w:tblCellMar>
        </w:tblPrEx>
        <w:trPr>
          <w:cantSplit/>
        </w:trPr>
        <w:tc>
          <w:tcPr>
            <w:tcW w:w="5292" w:type="dxa"/>
            <w:tcBorders>
              <w:top w:val="nil"/>
              <w:bottom w:val="nil"/>
            </w:tcBorders>
          </w:tcPr>
          <w:p w:rsidR="00000000" w:rsidRDefault="00000000">
            <w:pPr>
              <w:autoSpaceDE w:val="0"/>
              <w:autoSpaceDN w:val="0"/>
              <w:adjustRightInd w:val="0"/>
            </w:pPr>
            <w:r>
              <w:t>Лица, долгое время являвшиеся безработными</w:t>
            </w:r>
          </w:p>
        </w:tc>
        <w:tc>
          <w:tcPr>
            <w:tcW w:w="1385" w:type="dxa"/>
            <w:tcBorders>
              <w:top w:val="nil"/>
              <w:bottom w:val="nil"/>
            </w:tcBorders>
          </w:tcPr>
          <w:p w:rsidR="00000000" w:rsidRDefault="00000000">
            <w:pPr>
              <w:tabs>
                <w:tab w:val="clear" w:pos="567"/>
                <w:tab w:val="clear" w:pos="1134"/>
                <w:tab w:val="clear" w:pos="1701"/>
                <w:tab w:val="clear" w:pos="2268"/>
                <w:tab w:val="clear" w:pos="6237"/>
                <w:tab w:val="decimal" w:pos="993"/>
              </w:tabs>
              <w:autoSpaceDE w:val="0"/>
              <w:autoSpaceDN w:val="0"/>
              <w:adjustRightInd w:val="0"/>
            </w:pPr>
            <w:r>
              <w:t>7 701</w:t>
            </w:r>
          </w:p>
        </w:tc>
        <w:tc>
          <w:tcPr>
            <w:tcW w:w="686"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12,0</w:t>
            </w:r>
          </w:p>
        </w:tc>
        <w:tc>
          <w:tcPr>
            <w:tcW w:w="135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6 835</w:t>
            </w:r>
          </w:p>
        </w:tc>
        <w:tc>
          <w:tcPr>
            <w:tcW w:w="690"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10,7</w:t>
            </w:r>
          </w:p>
        </w:tc>
      </w:tr>
      <w:tr w:rsidR="00000000">
        <w:tblPrEx>
          <w:tblCellMar>
            <w:top w:w="0" w:type="dxa"/>
            <w:bottom w:w="0" w:type="dxa"/>
          </w:tblCellMar>
        </w:tblPrEx>
        <w:trPr>
          <w:cantSplit/>
        </w:trPr>
        <w:tc>
          <w:tcPr>
            <w:tcW w:w="5292" w:type="dxa"/>
            <w:tcBorders>
              <w:top w:val="nil"/>
              <w:bottom w:val="nil"/>
            </w:tcBorders>
          </w:tcPr>
          <w:p w:rsidR="00000000" w:rsidRDefault="00000000">
            <w:pPr>
              <w:autoSpaceDE w:val="0"/>
              <w:autoSpaceDN w:val="0"/>
              <w:adjustRightInd w:val="0"/>
            </w:pPr>
            <w:r>
              <w:t>Лица с ограниченной трудоспособностью</w:t>
            </w:r>
          </w:p>
        </w:tc>
        <w:tc>
          <w:tcPr>
            <w:tcW w:w="1385" w:type="dxa"/>
            <w:tcBorders>
              <w:top w:val="nil"/>
              <w:bottom w:val="nil"/>
            </w:tcBorders>
          </w:tcPr>
          <w:p w:rsidR="00000000" w:rsidRDefault="00000000">
            <w:pPr>
              <w:tabs>
                <w:tab w:val="clear" w:pos="567"/>
                <w:tab w:val="clear" w:pos="1134"/>
                <w:tab w:val="clear" w:pos="1701"/>
                <w:tab w:val="clear" w:pos="2268"/>
                <w:tab w:val="clear" w:pos="6237"/>
                <w:tab w:val="decimal" w:pos="993"/>
              </w:tabs>
              <w:autoSpaceDE w:val="0"/>
              <w:autoSpaceDN w:val="0"/>
              <w:adjustRightInd w:val="0"/>
            </w:pPr>
            <w:r>
              <w:t>6 055</w:t>
            </w:r>
          </w:p>
        </w:tc>
        <w:tc>
          <w:tcPr>
            <w:tcW w:w="686"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9,4</w:t>
            </w:r>
          </w:p>
        </w:tc>
        <w:tc>
          <w:tcPr>
            <w:tcW w:w="135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5 721</w:t>
            </w:r>
          </w:p>
        </w:tc>
        <w:tc>
          <w:tcPr>
            <w:tcW w:w="690"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8,9</w:t>
            </w:r>
          </w:p>
        </w:tc>
      </w:tr>
      <w:tr w:rsidR="00000000">
        <w:tblPrEx>
          <w:tblCellMar>
            <w:top w:w="0" w:type="dxa"/>
            <w:bottom w:w="0" w:type="dxa"/>
          </w:tblCellMar>
        </w:tblPrEx>
        <w:trPr>
          <w:cantSplit/>
        </w:trPr>
        <w:tc>
          <w:tcPr>
            <w:tcW w:w="5292" w:type="dxa"/>
            <w:tcBorders>
              <w:top w:val="nil"/>
              <w:bottom w:val="nil"/>
            </w:tcBorders>
          </w:tcPr>
          <w:p w:rsidR="00000000" w:rsidRDefault="00000000">
            <w:pPr>
              <w:autoSpaceDE w:val="0"/>
              <w:autoSpaceDN w:val="0"/>
              <w:adjustRightInd w:val="0"/>
            </w:pPr>
            <w:r>
              <w:t>Лица старше 50 лет</w:t>
            </w:r>
          </w:p>
        </w:tc>
        <w:tc>
          <w:tcPr>
            <w:tcW w:w="1385" w:type="dxa"/>
            <w:tcBorders>
              <w:top w:val="nil"/>
              <w:bottom w:val="nil"/>
            </w:tcBorders>
          </w:tcPr>
          <w:p w:rsidR="00000000" w:rsidRDefault="00000000">
            <w:pPr>
              <w:tabs>
                <w:tab w:val="clear" w:pos="567"/>
                <w:tab w:val="clear" w:pos="1134"/>
                <w:tab w:val="clear" w:pos="1701"/>
                <w:tab w:val="clear" w:pos="2268"/>
                <w:tab w:val="clear" w:pos="6237"/>
                <w:tab w:val="decimal" w:pos="993"/>
              </w:tabs>
              <w:autoSpaceDE w:val="0"/>
              <w:autoSpaceDN w:val="0"/>
              <w:adjustRightInd w:val="0"/>
            </w:pPr>
            <w:r>
              <w:t>8 817</w:t>
            </w:r>
          </w:p>
        </w:tc>
        <w:tc>
          <w:tcPr>
            <w:tcW w:w="686"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13,7</w:t>
            </w:r>
          </w:p>
        </w:tc>
        <w:tc>
          <w:tcPr>
            <w:tcW w:w="1358" w:type="dxa"/>
            <w:tcBorders>
              <w:top w:val="nil"/>
              <w:bottom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8 889</w:t>
            </w:r>
          </w:p>
        </w:tc>
        <w:tc>
          <w:tcPr>
            <w:tcW w:w="690" w:type="dxa"/>
            <w:tcBorders>
              <w:top w:val="nil"/>
              <w:bottom w:val="nil"/>
            </w:tcBorders>
          </w:tcPr>
          <w:p w:rsidR="00000000" w:rsidRDefault="00000000">
            <w:pPr>
              <w:tabs>
                <w:tab w:val="clear" w:pos="1134"/>
                <w:tab w:val="clear" w:pos="1701"/>
                <w:tab w:val="clear" w:pos="2268"/>
                <w:tab w:val="clear" w:pos="6237"/>
                <w:tab w:val="decimal" w:pos="567"/>
              </w:tabs>
              <w:autoSpaceDE w:val="0"/>
              <w:autoSpaceDN w:val="0"/>
              <w:adjustRightInd w:val="0"/>
            </w:pPr>
            <w:r>
              <w:t>13,9</w:t>
            </w:r>
          </w:p>
        </w:tc>
      </w:tr>
      <w:tr w:rsidR="00000000">
        <w:tblPrEx>
          <w:tblCellMar>
            <w:top w:w="0" w:type="dxa"/>
            <w:bottom w:w="0" w:type="dxa"/>
          </w:tblCellMar>
        </w:tblPrEx>
        <w:trPr>
          <w:cantSplit/>
        </w:trPr>
        <w:tc>
          <w:tcPr>
            <w:tcW w:w="5292" w:type="dxa"/>
            <w:tcBorders>
              <w:top w:val="nil"/>
            </w:tcBorders>
          </w:tcPr>
          <w:p w:rsidR="00000000" w:rsidRDefault="00000000">
            <w:pPr>
              <w:autoSpaceDE w:val="0"/>
              <w:autoSpaceDN w:val="0"/>
              <w:adjustRightInd w:val="0"/>
            </w:pPr>
            <w:r>
              <w:t>Иностранцы (включая финансирование ЕСФ)</w:t>
            </w:r>
          </w:p>
        </w:tc>
        <w:tc>
          <w:tcPr>
            <w:tcW w:w="1385" w:type="dxa"/>
            <w:tcBorders>
              <w:top w:val="nil"/>
            </w:tcBorders>
          </w:tcPr>
          <w:p w:rsidR="00000000" w:rsidRDefault="00000000">
            <w:pPr>
              <w:tabs>
                <w:tab w:val="clear" w:pos="567"/>
                <w:tab w:val="clear" w:pos="1134"/>
                <w:tab w:val="clear" w:pos="1701"/>
                <w:tab w:val="clear" w:pos="2268"/>
                <w:tab w:val="clear" w:pos="6237"/>
                <w:tab w:val="decimal" w:pos="993"/>
              </w:tabs>
              <w:autoSpaceDE w:val="0"/>
              <w:autoSpaceDN w:val="0"/>
              <w:adjustRightInd w:val="0"/>
            </w:pPr>
            <w:r>
              <w:t>11 814</w:t>
            </w:r>
          </w:p>
        </w:tc>
        <w:tc>
          <w:tcPr>
            <w:tcW w:w="686" w:type="dxa"/>
            <w:tcBorders>
              <w:top w:val="nil"/>
            </w:tcBorders>
          </w:tcPr>
          <w:p w:rsidR="00000000" w:rsidRDefault="00000000">
            <w:pPr>
              <w:tabs>
                <w:tab w:val="clear" w:pos="1134"/>
                <w:tab w:val="clear" w:pos="1701"/>
                <w:tab w:val="clear" w:pos="2268"/>
                <w:tab w:val="clear" w:pos="6237"/>
                <w:tab w:val="decimal" w:pos="567"/>
              </w:tabs>
              <w:autoSpaceDE w:val="0"/>
              <w:autoSpaceDN w:val="0"/>
              <w:adjustRightInd w:val="0"/>
            </w:pPr>
            <w:r>
              <w:t>15,5</w:t>
            </w:r>
          </w:p>
        </w:tc>
        <w:tc>
          <w:tcPr>
            <w:tcW w:w="1358" w:type="dxa"/>
            <w:tcBorders>
              <w:top w:val="nil"/>
            </w:tcBorders>
          </w:tcPr>
          <w:p w:rsidR="00000000" w:rsidRDefault="00000000">
            <w:pPr>
              <w:tabs>
                <w:tab w:val="clear" w:pos="567"/>
                <w:tab w:val="clear" w:pos="1134"/>
                <w:tab w:val="clear" w:pos="1701"/>
                <w:tab w:val="clear" w:pos="2268"/>
                <w:tab w:val="clear" w:pos="6237"/>
                <w:tab w:val="decimal" w:pos="1008"/>
              </w:tabs>
              <w:autoSpaceDE w:val="0"/>
              <w:autoSpaceDN w:val="0"/>
              <w:adjustRightInd w:val="0"/>
            </w:pPr>
            <w:r>
              <w:t>12 380</w:t>
            </w:r>
          </w:p>
        </w:tc>
        <w:tc>
          <w:tcPr>
            <w:tcW w:w="690" w:type="dxa"/>
            <w:tcBorders>
              <w:top w:val="nil"/>
            </w:tcBorders>
          </w:tcPr>
          <w:p w:rsidR="00000000" w:rsidRDefault="00000000">
            <w:pPr>
              <w:tabs>
                <w:tab w:val="clear" w:pos="1134"/>
                <w:tab w:val="clear" w:pos="1701"/>
                <w:tab w:val="clear" w:pos="2268"/>
                <w:tab w:val="clear" w:pos="6237"/>
                <w:tab w:val="decimal" w:pos="567"/>
              </w:tabs>
              <w:autoSpaceDE w:val="0"/>
              <w:autoSpaceDN w:val="0"/>
              <w:adjustRightInd w:val="0"/>
            </w:pPr>
            <w:r>
              <w:t>16,6</w:t>
            </w:r>
          </w:p>
        </w:tc>
      </w:tr>
    </w:tbl>
    <w:p w:rsidR="00000000" w:rsidRDefault="00000000">
      <w:pPr>
        <w:autoSpaceDE w:val="0"/>
        <w:autoSpaceDN w:val="0"/>
        <w:adjustRightInd w:val="0"/>
      </w:pPr>
    </w:p>
    <w:p w:rsidR="00000000" w:rsidRDefault="00000000">
      <w:r>
        <w:t>276.</w:t>
      </w:r>
      <w:r>
        <w:tab/>
        <w:t>Подготовка для вступления на рынок труда может также проводиться для уже трудоустроенных лиц, если для этого имеется обоснованная причина в рамках проводимой трудовой политики.  Например, такая подготовка осуществляется в рамках проекта, призванного обеспечить пожилым лицам возможности продолжения работы.  Сотрудники частных компаний обучаются в рамках проектов, содействующих ротации.  Существует также система, в соответствии с которой работники могут уходить в учебные отпуска, а на их места принимаются безработные для выполнения тех же или других функций.  Подготовка персонала также используется в качестве альтернативы временному увольнению или в ситуациях, когда на рабочих местах устанавливается новая техника.</w:t>
      </w:r>
    </w:p>
    <w:p w:rsidR="00000000" w:rsidRDefault="00000000"/>
    <w:p w:rsidR="00000000" w:rsidRDefault="00000000">
      <w:r>
        <w:t>277.</w:t>
      </w:r>
      <w:r>
        <w:tab/>
        <w:t>Цель состоит в придании учебным программам максимально конкретного характера, с тем чтобы они соответствовали потребностям трудовой жизни, и эти программы почти всегда предполагают один или несколько периодов стажировки.  Программы проводятся с учетом потребностей участников.  Для участников составляются личные учебные планы и планы стажировки с учетом их прежнего образования и квалификации.  Если это необходимо, то программа подготовки может предполагать обучение по специальному курсу для лиц, которые испытывают трудности с учебой.  Программы профессионально-технического обучения обычно проводятся таким образом, чтобы они могли являться составной частью соответствующего диплома или даже предполагать получение диплома там, где это считается целесообразным.  Такое обучение в последние несколько лет тоже используется все шире.  В 2003 году уже было выдано 4 200 дипломов, тогда как этот показатель в 2001 году составлял 2 900.  Кроме того, проводится большое число других курсов и программ, составляющих часть дипломов, по которым нет статистических данных.</w:t>
      </w:r>
    </w:p>
    <w:p w:rsidR="00000000" w:rsidRDefault="00000000"/>
    <w:p w:rsidR="00000000" w:rsidRDefault="00000000">
      <w:r>
        <w:t>278.</w:t>
      </w:r>
      <w:r>
        <w:tab/>
        <w:t>Была создана рабочая группа для поиска путей ограничения сегрегации на работе.  В начале 2004 года эта рабочая группа представила свой доклад.  В состав рабочей группы входили представители министерства образования и министерства труда, учебных заведений, университетов и профсоюзов.  В докладе предлагается несколько мер, касающихся содержания образования и подготовки, подготовки преподавателей, профессиональной ориентации и развития трудовой жизни.</w:t>
      </w:r>
    </w:p>
    <w:p w:rsidR="00000000" w:rsidRDefault="00000000"/>
    <w:p w:rsidR="00000000" w:rsidRDefault="00000000">
      <w:r>
        <w:t>279.</w:t>
      </w:r>
      <w:r>
        <w:tab/>
        <w:t>При поддержке Европейского социального фонда осуществляются некоторые проекты взаимодействия, в которых участвуют органы по вопросам труда и которые ориентированы на консультирование с учетом гендерных факторов с целью предоставления услуг в сфере образования и трудоустройства для удовлетворения конкретных потребностей женщин.  В 2002 году министерство труда опубликовало "Руководство в поддержку выбора женщинами не типичных для себя профессий".  Это руководство было распространено среди всех агентств по трудоустройству, а также используется на учебных курсах для персонала.  Министерство труда также готовит другие учебные материалы (в частности, руководящие принципы консультирования с учетом гендерного фактора), которые будут использоваться в процессе профессиональной ориентации.</w:t>
      </w:r>
    </w:p>
    <w:p w:rsidR="00000000" w:rsidRDefault="00000000"/>
    <w:p w:rsidR="00000000" w:rsidRDefault="00000000">
      <w:r>
        <w:t>280.</w:t>
      </w:r>
      <w:r>
        <w:tab/>
        <w:t>О профессионально-технической подготовке также рассказывалось в периодических докладах об осуществлении Конвенции МОТ № 122, которые представлялись в 2000, 2002 и 2003 годах (</w:t>
      </w:r>
      <w:r>
        <w:rPr>
          <w:i/>
          <w:iCs/>
        </w:rPr>
        <w:t>приложения 4</w:t>
      </w:r>
      <w:r>
        <w:rPr>
          <w:i/>
          <w:iCs/>
        </w:rPr>
        <w:noBreakHyphen/>
        <w:t>6</w:t>
      </w:r>
      <w:r>
        <w:t>).</w:t>
      </w:r>
    </w:p>
    <w:p w:rsidR="00000000" w:rsidRDefault="00000000"/>
    <w:p w:rsidR="00000000" w:rsidRDefault="00000000">
      <w:pPr>
        <w:jc w:val="center"/>
        <w:rPr>
          <w:b/>
          <w:bCs/>
        </w:rPr>
      </w:pPr>
      <w:r>
        <w:rPr>
          <w:b/>
          <w:bCs/>
        </w:rPr>
        <w:t xml:space="preserve">2 </w:t>
      </w:r>
      <w:r>
        <w:rPr>
          <w:b/>
          <w:bCs/>
          <w:lang w:val="en-US"/>
        </w:rPr>
        <w:t>f</w:t>
      </w:r>
      <w:r>
        <w:rPr>
          <w:b/>
          <w:bCs/>
        </w:rPr>
        <w:t>)</w:t>
      </w:r>
      <w:r>
        <w:rPr>
          <w:b/>
          <w:bCs/>
        </w:rPr>
        <w:tab/>
        <w:t>Трудности с обеспечением полной занятости</w:t>
      </w:r>
    </w:p>
    <w:p w:rsidR="00000000" w:rsidRDefault="00000000">
      <w:pPr>
        <w:rPr>
          <w:b/>
          <w:bCs/>
        </w:rPr>
      </w:pPr>
    </w:p>
    <w:p w:rsidR="00000000" w:rsidRDefault="00000000">
      <w:r>
        <w:t>281.</w:t>
      </w:r>
      <w:r>
        <w:tab/>
        <w:t xml:space="preserve"> Наиболее важная задача, поставленная в нынешней политической программе правительства, в том что касается экономической политики, заключается в увеличении численности занятых на 100 000 человек за период 2003</w:t>
      </w:r>
      <w:r>
        <w:noBreakHyphen/>
        <w:t>2007 годов.  В правительственной программе также говорится, что к концу срока пребывания у власти следующего правительства (2011 год) можно поставить в качестве цели достижение уровня занятости в 75%.  Цель, поставленная ЕС на 2010 год, составляет 70%.  Поэтому в финской трудовой политической стратегии в качестве задач на 2007 год предполагается достижение уровней занятости в 69</w:t>
      </w:r>
      <w:r>
        <w:noBreakHyphen/>
        <w:t>71% и безработицы в 6</w:t>
      </w:r>
      <w:r>
        <w:noBreakHyphen/>
        <w:t>7%, а в 2010 году уровень занятости должен составлять 71</w:t>
      </w:r>
      <w:r>
        <w:noBreakHyphen/>
        <w:t>75%, а уровень безработицы - 3</w:t>
      </w:r>
      <w:r>
        <w:noBreakHyphen/>
        <w:t>5%.  Если эти задачи будут выполнены, то это будет означать полную занятость к концу следующего десятилетия.</w:t>
      </w:r>
    </w:p>
    <w:p w:rsidR="00000000" w:rsidRDefault="00000000"/>
    <w:p w:rsidR="00000000" w:rsidRDefault="00000000">
      <w:r>
        <w:t>282.</w:t>
      </w:r>
      <w:r>
        <w:tab/>
        <w:t>На самом деле за первые 12 месяцев деятельности нынешнего правительства число занятых сократилось на 14 000 человек.  Такие низкие показатели можно отчасти объяснить слабым экономическим ростом в ЕС и меньшими, чем прогнозировалось, темпами роста финского экспорта.  Однако существуют и такие структурные факторы, как глобализация экономики, которые частично повлияли на замедление темпов улучшения экономического положения.  Кроме того, сокращение числа рабочих мест в промышленности за примерно 18 месяцев после конца 2002 года является тревожным сигналом.</w:t>
      </w:r>
    </w:p>
    <w:p w:rsidR="00000000" w:rsidRDefault="00000000"/>
    <w:p w:rsidR="00000000" w:rsidRDefault="00000000">
      <w:r>
        <w:t>283.</w:t>
      </w:r>
      <w:r>
        <w:tab/>
        <w:t>В ближайшем будущем новые проблемы в плане улучшения экономического положения возникнут также в связи со старением работников.  Воздействие этого явления будет наиболее заметно в конце десятилетия, когда численность лиц в наиболее продуктивном возрасте (между 25 и 54 годами) будет, согласно расчетам Статистического управления Финляндии, примерно на 80 000 человек меньше, чем в настоящее время, а число работников предпенсионного и пенсионного возраста увеличится примерно на 100 000 человек.  В 2010 году почти 800 000 человек из всего населения будут находиться в возрастной группе 55</w:t>
      </w:r>
      <w:r>
        <w:noBreakHyphen/>
        <w:t>64 лет.</w:t>
      </w:r>
    </w:p>
    <w:p w:rsidR="00000000" w:rsidRDefault="00000000"/>
    <w:p w:rsidR="00000000" w:rsidRDefault="00000000">
      <w:r>
        <w:t>284.</w:t>
      </w:r>
      <w:r>
        <w:tab/>
        <w:t>Задача достижения к концу десятилетия уровня занятости в 75% требует огромных перемен не только в отношении спроса на труд, но также и в том, что касается наличия трудовых ресурсов.  Необходимо увеличить процент занятости всех возрастных групп, но особенно важно принять меры в отношении стареющего населения.  С целью достижения высокого процента занятости необходимо, чтобы люди посвящали работе более длительную часть своей жизни, чем раньше, что обусловлено старением населения.  На практике это будет означать повышение пенсионного возраста, но также важно, чтобы молодежь раньше, чем прежде, завершала свою учебу и появлялась на рынке труда.</w:t>
      </w:r>
    </w:p>
    <w:p w:rsidR="00000000" w:rsidRDefault="00000000"/>
    <w:p w:rsidR="00000000" w:rsidRDefault="00000000">
      <w:pPr>
        <w:jc w:val="center"/>
        <w:rPr>
          <w:b/>
          <w:bCs/>
        </w:rPr>
      </w:pPr>
      <w:r>
        <w:rPr>
          <w:b/>
          <w:bCs/>
        </w:rPr>
        <w:t>3 а)</w:t>
      </w:r>
      <w:r>
        <w:rPr>
          <w:b/>
          <w:bCs/>
        </w:rPr>
        <w:tab/>
        <w:t>Запрещение дискриминации</w:t>
      </w:r>
    </w:p>
    <w:p w:rsidR="00000000" w:rsidRDefault="00000000">
      <w:pPr>
        <w:rPr>
          <w:b/>
          <w:bCs/>
        </w:rPr>
      </w:pPr>
    </w:p>
    <w:p w:rsidR="00000000" w:rsidRDefault="00000000">
      <w:r>
        <w:t>285.</w:t>
      </w:r>
      <w:r>
        <w:tab/>
        <w:t xml:space="preserve">Что касается законов, применяемых с целью запрещения дискриминации на работе, то правительство ссылается на информацию, представленную в ответ на высказанное Комитетом замечание </w:t>
      </w:r>
      <w:r>
        <w:rPr>
          <w:lang w:val="en-US"/>
        </w:rPr>
        <w:t>D</w:t>
      </w:r>
      <w:r>
        <w:t> 14, а также периодические доклады об осуществлении Конвенции № 111 МОТ, которые были представлены в 1999, 2001 и 2003 годах (</w:t>
      </w:r>
      <w:r>
        <w:rPr>
          <w:i/>
          <w:iCs/>
        </w:rPr>
        <w:t>приложения 1</w:t>
      </w:r>
      <w:r>
        <w:rPr>
          <w:i/>
          <w:iCs/>
        </w:rPr>
        <w:noBreakHyphen/>
        <w:t>3</w:t>
      </w:r>
      <w:r>
        <w:t>).</w:t>
      </w:r>
    </w:p>
    <w:p w:rsidR="00000000" w:rsidRDefault="00000000"/>
    <w:p w:rsidR="00000000" w:rsidRDefault="00000000">
      <w:r>
        <w:t>286.</w:t>
      </w:r>
      <w:r>
        <w:tab/>
        <w:t>За период времени, охватываемый настоящим докладом, запреты в отношении дискриминации по признаку этнического происхождения и гражданства в законодательстве и надзор за соблюдением этих запретов стали более эффективными.  Несмотря на это, работающие в Финляндии иностранные граждане в среднем по</w:t>
      </w:r>
      <w:r>
        <w:noBreakHyphen/>
        <w:t>прежнему находятся в значительно менее благоприятном положении, чем финские трудящиеся.  Это обусловлено, по крайней мере в том что касается недавно прибывших иностранных работников, их недостаточным знанием языка, что затрудняет понимание прав и обязанностей, связанных с работой по найму.  Иностранные работники часто недостаточно знают, как на практике функционирует финский рынок труда и как действует широко распространенная система коллективных договоров.  Кроме того, трудящиеся-иностранцы не всегда знают о своем основанном на коллективных договорах праве на повышение зарплаты.</w:t>
      </w:r>
    </w:p>
    <w:p w:rsidR="00000000" w:rsidRDefault="00000000"/>
    <w:p w:rsidR="00000000" w:rsidRDefault="00000000">
      <w:r>
        <w:t>287.</w:t>
      </w:r>
      <w:r>
        <w:tab/>
        <w:t>ФКС придает первоочередное значение тому, чтобы органы по охране труда стали осуществлять более активный контроль за продолжительностью рабочего дня и соблюдением техники безопасности, особенно в тех секторах, где все более широкую практику приобретает использование труда иностранцев, например работников из стран Восточной Европы (в частности, медсестер в секторе здравоохранения).</w:t>
      </w:r>
    </w:p>
    <w:p w:rsidR="00000000" w:rsidRDefault="00000000"/>
    <w:p w:rsidR="00000000" w:rsidRDefault="00000000">
      <w:r>
        <w:t>288.</w:t>
      </w:r>
      <w:r>
        <w:tab/>
        <w:t>Профсоюзы защищают прежде всего права своих финских и иностранных членов.  Это означает контроль за соблюдением условий труда, особенно в том, что касается вознаграждения.  Если говорить о положениях законодательства, то профсоюзы также следят за равным распределением рабочих смен и обеспечением требования о равноправии рабочих в других отношениях и помогают своим членам в тех случаях, когда они были безосновательно уволены.</w:t>
      </w:r>
    </w:p>
    <w:p w:rsidR="00000000" w:rsidRDefault="00000000"/>
    <w:p w:rsidR="00000000" w:rsidRDefault="00000000">
      <w:r>
        <w:t>289.</w:t>
      </w:r>
      <w:r>
        <w:tab/>
        <w:t>По мнению омбудсмена по делам меньшинств, неравноправие на работе в значительной степени связано со случаями дискриминации при приеме на работу.  В частности, к нему обращались в случаях дискриминации, связанной с объявлениями о вакансиях.  В 2003 году омбудсмен по делам меньшинств просил министерство труда посоветовать агентствам по трудоустройству воздерживаться от размещения на вебсайте министерства объявлений о вакансиях, которые содержат явно необоснованные требования.</w:t>
      </w:r>
    </w:p>
    <w:p w:rsidR="00000000" w:rsidRDefault="00000000"/>
    <w:p w:rsidR="00000000" w:rsidRDefault="00000000">
      <w:r>
        <w:t>290.</w:t>
      </w:r>
      <w:r>
        <w:tab/>
      </w:r>
      <w:r>
        <w:rPr>
          <w:i/>
          <w:iCs/>
        </w:rPr>
        <w:t>Дискриминация по возрастному признаку.</w:t>
      </w:r>
      <w:r>
        <w:t xml:space="preserve">  Комитет выразил свое удовлетворение тем, что Конституция Финляндии запрещает дискриминацию по возрастному признаку.  </w:t>
      </w:r>
    </w:p>
    <w:p w:rsidR="00000000" w:rsidRDefault="00000000"/>
    <w:p w:rsidR="00000000" w:rsidRDefault="00000000">
      <w:r>
        <w:t>291.</w:t>
      </w:r>
      <w:r>
        <w:tab/>
        <w:t>Положения о запрещении дискриминации по возрастному признаку также содержатся и в других законодательных актах.  В соответствии с подпунктом 1 пункта 2 главы 2 Закона о договорах найма, подпунктом 1 пункта 12 Закона о гражданских служащих местных органов власти и пунктом 11 Закона о государственных гражданских служащих работодатель не может переводить кого-либо на другую должность без обоснованной причины - например, в силу возраста соответствующего лица.  В статье 6 Закона о недопущении дискриминации также есть положение о запрещении дискриминации.</w:t>
      </w:r>
    </w:p>
    <w:p w:rsidR="00000000" w:rsidRDefault="00000000"/>
    <w:p w:rsidR="00000000" w:rsidRDefault="00000000">
      <w:r>
        <w:t>292.</w:t>
      </w:r>
      <w:r>
        <w:tab/>
        <w:t>Несмотря на сильную защиту со стороны закона, можно говорить о некотором нежелании принимать пожилых лиц на работу.  Возможно, это объясняется распространенным мнением о том, что профессиональные навыки пожилых лиц не соответствуют требованиям современности и что дополнительная подготовка, предоставляемая работодателем, не является столь же продуктивной в силу меньшей способности пожилых лиц воспринимать новшества.  Также распространено мнение о том, что пожилые лица не обладают такой же гибкостью, как их молодые коллеги, в том что касается требований работодателя.</w:t>
      </w:r>
    </w:p>
    <w:p w:rsidR="00000000" w:rsidRDefault="00000000"/>
    <w:p w:rsidR="00000000" w:rsidRDefault="00000000">
      <w:r>
        <w:t>293.</w:t>
      </w:r>
      <w:r>
        <w:tab/>
        <w:t>Другой темой дискуссии, особенно в последние несколько лет, было положение женщин моложе 30 лет, которые часто работают по временным контрактам.  Общепризнанным является тот факт, что по постоянным контрактам работает меньше женщин, чем мужчин того же возраста, и это в основном обусловлено их полом.  С точки зрения работодателя, отпуск по беременности и родам продолжительностью 105 рабочих дней является существенно более обременительным по своим финансовым и организационным последствиям, чем отпуск по уходу за ребенком, предоставляемый отцам, который в любом случае не превышает 30 рабочих дней.</w:t>
      </w:r>
    </w:p>
    <w:p w:rsidR="00000000" w:rsidRDefault="00000000"/>
    <w:p w:rsidR="00000000" w:rsidRDefault="00000000">
      <w:r>
        <w:t>294.</w:t>
      </w:r>
      <w:r>
        <w:tab/>
      </w:r>
      <w:r>
        <w:rPr>
          <w:i/>
          <w:iCs/>
        </w:rPr>
        <w:t>Равноправие между мужчинами и женщинами.</w:t>
      </w:r>
      <w:r>
        <w:t xml:space="preserve">  Предполагается, что принцип равной оплаты будет усилен за счет принятия запланированной поправки к Закону о равноправии.  Ставки заработной платы мужчин и женщин станут частью планов обеспечения равноправия.  Посредством политики в отношении семьи и развития скоординированности между семейной жизнью и работой будут предприниматься усилия с целью обеспечения того, чтобы финансовые соображения или соображения, связанные с работой, не откладывали семейные планы.  Для женщин особую важность имеет возможность возвращения из отпуска по семейным обстоятельствам по гибкому графику.</w:t>
      </w:r>
    </w:p>
    <w:p w:rsidR="00000000" w:rsidRDefault="00000000"/>
    <w:p w:rsidR="00000000" w:rsidRDefault="00000000">
      <w:r>
        <w:t>295.</w:t>
      </w:r>
      <w:r>
        <w:tab/>
        <w:t>Национальный совет по делам женщин отмечает, что один из факторов, существенно ослабляющих положение женщин в трудовой жизни, связан с издержками, которые несут при предоставлении отпусков по семейным обстоятельствам работодатели в силу того, что более 95% отпусков по семейным обстоятельствам берут женщины.  Это часто мешает женщинам получить постоянную работу и тем самым иметь возможности для развития своей карьеры.  1 марта 2005 года министерство труда создало рабочую группу с целью проведения обзора законодательных положений, касающихся обеспечения согласованности между работой и семейной жизнью.  Рабочая группа стремится представить к 31 октября 2005 года законодательное предложение, позволяющее обоим родителям лучше использовать свое право на отпуск по семейным обстоятельствам, а также более равномерно распределять отпуска по семейным обстоятельствам между мужчинами и женщинами.</w:t>
      </w:r>
    </w:p>
    <w:p w:rsidR="00000000" w:rsidRDefault="00000000"/>
    <w:p w:rsidR="00000000" w:rsidRDefault="00000000">
      <w:r>
        <w:t>296.</w:t>
      </w:r>
      <w:r>
        <w:tab/>
        <w:t>Министерство социального обеспечения и здравоохранения осуществляет проект, направленный на более сбалансированное сочетание работы с семейной жизнью посредством изменения взглядов на семью и детей, бытующих среди работодателей и в обществе в целом.  Так называемая программа ВЕТО изучает связи между отпусками по семейным обстоятельствам и положением на рынке труда.</w:t>
      </w:r>
    </w:p>
    <w:p w:rsidR="00000000" w:rsidRDefault="00000000"/>
    <w:p w:rsidR="00000000" w:rsidRDefault="00000000">
      <w:r>
        <w:t>297.</w:t>
      </w:r>
      <w:r>
        <w:tab/>
        <w:t>За счет расширения работы открытых яслей и семейных поликлиник оказывается поддержка интеграции семей иммигрантов.</w:t>
      </w:r>
    </w:p>
    <w:p w:rsidR="00000000" w:rsidRDefault="00000000"/>
    <w:p w:rsidR="00000000" w:rsidRDefault="00000000">
      <w:r>
        <w:t>298.</w:t>
      </w:r>
      <w:r>
        <w:tab/>
        <w:t>Расходы, связанные с отпусками по семейным обстоятельствам, являются более обременительными в секторах, где преобладают женщины, что может ослабить позиции женщин на рынке труда.  Это обусловлено тем фактом, что мужчины и женщины работают в различных секторах и в разной степени пользуются отпусками по семейным обстоятельствам, поскольку отпусками чаще пользуются женщины.  Издержки работодателей, связанные с отпусками по семейным обстоятельствам, были скорректированы, с тем чтобы работодатели, выплачивающие заработную плату в полном объеме во время отпуска по беременности и уходу за ребенком, имели право на компенсацию, соответствующую величине пособия по болезни.  Работодатели также получают компенсацию за расходы на ежегодные отпуска, накапливающиеся за время нахождения работника в отпуске по семейным обстоятельствам.  Процедура подачи заявления на такую компенсацию была упрощена с января 2003 года, после чего работодатели стали чаще за ней обращаться.  Весной 2004 года одна рабочая группа рассмотрела альтернативные пути корректировки расходов, связанных с отпусками по семейным обстоятельствам.  Было принято решение о значительном увеличении с января 2005 года объема компенсации, предоставляемой за расходы по ежегодным отпускам.  Тем не менее в министерстве социального обеспечения и здравоохранения продолжается работа по изучению дополнительных возможностей такой корректировки.</w:t>
      </w:r>
    </w:p>
    <w:p w:rsidR="00000000" w:rsidRDefault="00000000"/>
    <w:p w:rsidR="00000000" w:rsidRDefault="00000000">
      <w:r>
        <w:t>299.</w:t>
      </w:r>
      <w:r>
        <w:tab/>
        <w:t xml:space="preserve">Система отпусков и пособий по уходу за ребенком была расширена, с тем чтобы она также распространялась на родителей школьников, обучающихся в первых или вторых классах общеобразовательных школ.  Увеличение объема утренних и дневных мероприятий для школьников сократит объем времени, которое детям приходится проводить без присмотра взрослых, и будет содействовать большей скоординированности работы или учебы с семейной жизнью.  </w:t>
      </w:r>
    </w:p>
    <w:p w:rsidR="00000000" w:rsidRDefault="00000000"/>
    <w:p w:rsidR="00000000" w:rsidRDefault="00000000">
      <w:r>
        <w:t>300.</w:t>
      </w:r>
      <w:r>
        <w:tab/>
      </w:r>
      <w:r>
        <w:rPr>
          <w:i/>
          <w:iCs/>
        </w:rPr>
        <w:t>Барометр равноправия</w:t>
      </w:r>
      <w:r>
        <w:t>.  В 1998, 2001 и 2004 годах в Финляндии публиковался барометр равноправия, в котором давалась оценка распределения работы и ролей между мужчинами и женщинами на основе их отношений и опыта, а также оценка того, насколько такая ситуация считается приемлемой в различных областях жизни в разное время.</w:t>
      </w:r>
    </w:p>
    <w:p w:rsidR="00000000" w:rsidRDefault="00000000"/>
    <w:p w:rsidR="00000000" w:rsidRDefault="00000000">
      <w:pPr>
        <w:keepNext/>
        <w:jc w:val="center"/>
        <w:rPr>
          <w:b/>
          <w:bCs/>
        </w:rPr>
      </w:pPr>
      <w:r>
        <w:rPr>
          <w:b/>
          <w:bCs/>
        </w:rPr>
        <w:t xml:space="preserve">3 </w:t>
      </w:r>
      <w:r>
        <w:rPr>
          <w:b/>
          <w:bCs/>
          <w:lang w:val="en-US"/>
        </w:rPr>
        <w:t>b</w:t>
      </w:r>
      <w:r>
        <w:rPr>
          <w:b/>
          <w:bCs/>
        </w:rPr>
        <w:t>)</w:t>
      </w:r>
      <w:r>
        <w:rPr>
          <w:b/>
          <w:bCs/>
        </w:rPr>
        <w:tab/>
        <w:t>Профессиональная ориентация и подготовка особых групп</w:t>
      </w:r>
      <w:r>
        <w:rPr>
          <w:b/>
          <w:bCs/>
        </w:rPr>
        <w:br/>
        <w:t>(например, иммигрантов, рома и саами)</w:t>
      </w:r>
    </w:p>
    <w:p w:rsidR="00000000" w:rsidRDefault="00000000">
      <w:pPr>
        <w:keepNext/>
        <w:rPr>
          <w:b/>
          <w:bCs/>
        </w:rPr>
      </w:pPr>
    </w:p>
    <w:p w:rsidR="00000000" w:rsidRDefault="00000000">
      <w:r>
        <w:t>301.</w:t>
      </w:r>
      <w:r>
        <w:tab/>
        <w:t>О подготовке, проводимой специально для рома, рассказывается в ответе на рекомендацию Е 26 Комитета.</w:t>
      </w:r>
    </w:p>
    <w:p w:rsidR="00000000" w:rsidRDefault="00000000"/>
    <w:p w:rsidR="00000000" w:rsidRDefault="00000000">
      <w:r>
        <w:t>302.</w:t>
      </w:r>
      <w:r>
        <w:tab/>
      </w:r>
      <w:r>
        <w:rPr>
          <w:i/>
          <w:iCs/>
        </w:rPr>
        <w:t>Иммигранты</w:t>
      </w:r>
      <w:r>
        <w:t xml:space="preserve">.  В 2004 году в Финляндию прибыло в общей сложности 19 800 иммигрантов, из которых 6 900 человек составляли граждане других государств-членов ЕС, а 12 900 человек прибыли из других стран.  Численность лиц, прибывших из других Скандинавских стран, составила 4 600 человек.  Количество лиц, выехавших за границу, составило 13 500 человек.  Следовательно, чистая иммиграция составила 6 300 человек.  В конце 2004 года в Финляндии постоянно проживало 108 300 иностранных граждан, которые составляли примерно 2% населения страны.  Около 47% из них, т.е. 50 100 человек, присутствовали на рынке труда.  </w:t>
      </w:r>
    </w:p>
    <w:p w:rsidR="00000000" w:rsidRDefault="00000000"/>
    <w:p w:rsidR="00000000" w:rsidRDefault="00000000">
      <w:r>
        <w:t>303.</w:t>
      </w:r>
      <w:r>
        <w:tab/>
        <w:t>В 2004 году в агентствах по трудоустройству было зафиксировано в общей сложности 37 600 иностранных граждан, искавших работу, в том числе 16 800 мужчин и 20 800 женщин.  Средняя продолжительность безработицы составляла 15 недель </w:t>
      </w:r>
      <w:r>
        <w:noBreakHyphen/>
        <w:t xml:space="preserve"> для мужчин она в среднем равнялась 17 неделям, а для женщин </w:t>
      </w:r>
      <w:r>
        <w:noBreakHyphen/>
        <w:t xml:space="preserve"> 14 неделям.  </w:t>
      </w:r>
    </w:p>
    <w:p w:rsidR="00000000" w:rsidRDefault="00000000"/>
    <w:p w:rsidR="00000000" w:rsidRDefault="00000000">
      <w:r>
        <w:t>304.</w:t>
      </w:r>
      <w:r>
        <w:tab/>
        <w:t>Показатели среди трудоустроенных или проходящих подготовку иностранцев выглядели следующим образом:</w:t>
      </w:r>
    </w:p>
    <w:p w:rsidR="00000000" w:rsidRDefault="00000000"/>
    <w:p w:rsidR="00000000" w:rsidRDefault="00000000">
      <w:pPr>
        <w:keepNext/>
        <w:tabs>
          <w:tab w:val="clear" w:pos="1134"/>
          <w:tab w:val="left" w:pos="1414"/>
        </w:tabs>
        <w:spacing w:line="240" w:lineRule="auto"/>
        <w:ind w:left="1414" w:hanging="1414"/>
        <w:jc w:val="center"/>
        <w:rPr>
          <w:b/>
          <w:bCs/>
          <w:lang w:val="en-US"/>
        </w:rPr>
      </w:pPr>
      <w:r>
        <w:rPr>
          <w:b/>
          <w:bCs/>
        </w:rPr>
        <w:t>Таблица 9</w:t>
      </w:r>
    </w:p>
    <w:p w:rsidR="00000000" w:rsidRDefault="00000000">
      <w:pPr>
        <w:keepNext/>
        <w:tabs>
          <w:tab w:val="clear" w:pos="1134"/>
          <w:tab w:val="left" w:pos="1414"/>
        </w:tabs>
        <w:spacing w:line="240" w:lineRule="auto"/>
        <w:ind w:left="1414" w:hanging="1414"/>
        <w:jc w:val="center"/>
        <w:rPr>
          <w:b/>
          <w:bCs/>
          <w:lang w:val="en-US"/>
        </w:rPr>
      </w:pPr>
    </w:p>
    <w:p w:rsidR="00000000" w:rsidRDefault="00000000">
      <w:pPr>
        <w:keepNext/>
        <w:tabs>
          <w:tab w:val="clear" w:pos="1134"/>
          <w:tab w:val="left" w:pos="1414"/>
        </w:tabs>
        <w:spacing w:line="240" w:lineRule="auto"/>
        <w:ind w:left="1414" w:hanging="1414"/>
        <w:jc w:val="center"/>
        <w:rPr>
          <w:b/>
          <w:bCs/>
        </w:rPr>
      </w:pPr>
      <w:r>
        <w:rPr>
          <w:b/>
          <w:bCs/>
        </w:rPr>
        <w:t>Трудоустроенные или проходящие подготовку иностранцы</w:t>
      </w:r>
    </w:p>
    <w:p w:rsidR="00000000" w:rsidRDefault="00000000">
      <w:pPr>
        <w:keepNext/>
        <w:spacing w:line="240" w:lineRule="auto"/>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13" w:type="dxa"/>
          <w:bottom w:w="57" w:type="dxa"/>
          <w:right w:w="113" w:type="dxa"/>
        </w:tblCellMar>
        <w:tblLook w:val="0000" w:firstRow="0" w:lastRow="0" w:firstColumn="0" w:lastColumn="0" w:noHBand="0" w:noVBand="0"/>
      </w:tblPr>
      <w:tblGrid>
        <w:gridCol w:w="6201"/>
        <w:gridCol w:w="3136"/>
      </w:tblGrid>
      <w:tr w:rsidR="00000000">
        <w:trPr>
          <w:cantSplit/>
        </w:trPr>
        <w:tc>
          <w:tcPr>
            <w:tcW w:w="6201" w:type="dxa"/>
          </w:tcPr>
          <w:p w:rsidR="00000000" w:rsidRDefault="00000000">
            <w:pPr>
              <w:spacing w:line="240" w:lineRule="auto"/>
            </w:pPr>
            <w:r>
              <w:t>Трудоустроенные на открытом рынке труда</w:t>
            </w:r>
          </w:p>
        </w:tc>
        <w:tc>
          <w:tcPr>
            <w:tcW w:w="3136" w:type="dxa"/>
          </w:tcPr>
          <w:p w:rsidR="00000000" w:rsidRDefault="00000000">
            <w:pPr>
              <w:spacing w:line="240" w:lineRule="auto"/>
              <w:jc w:val="center"/>
            </w:pPr>
            <w:r>
              <w:t>12 700</w:t>
            </w:r>
          </w:p>
        </w:tc>
      </w:tr>
      <w:tr w:rsidR="00000000">
        <w:trPr>
          <w:cantSplit/>
        </w:trPr>
        <w:tc>
          <w:tcPr>
            <w:tcW w:w="6201" w:type="dxa"/>
          </w:tcPr>
          <w:p w:rsidR="00000000" w:rsidRDefault="00000000">
            <w:pPr>
              <w:spacing w:line="240" w:lineRule="auto"/>
            </w:pPr>
            <w:r>
              <w:t>Трудоустроенные с помощью вспомогательных мер</w:t>
            </w:r>
          </w:p>
        </w:tc>
        <w:tc>
          <w:tcPr>
            <w:tcW w:w="3136" w:type="dxa"/>
          </w:tcPr>
          <w:p w:rsidR="00000000" w:rsidRDefault="00000000">
            <w:pPr>
              <w:spacing w:line="240" w:lineRule="auto"/>
              <w:jc w:val="center"/>
            </w:pPr>
            <w:r>
              <w:t>10 900</w:t>
            </w:r>
          </w:p>
        </w:tc>
      </w:tr>
      <w:tr w:rsidR="00000000">
        <w:trPr>
          <w:cantSplit/>
        </w:trPr>
        <w:tc>
          <w:tcPr>
            <w:tcW w:w="6201" w:type="dxa"/>
          </w:tcPr>
          <w:p w:rsidR="00000000" w:rsidRDefault="00000000">
            <w:pPr>
              <w:spacing w:line="240" w:lineRule="auto"/>
            </w:pPr>
            <w:r>
              <w:t>Проходили подготовку для вступления на рынок труда</w:t>
            </w:r>
          </w:p>
        </w:tc>
        <w:tc>
          <w:tcPr>
            <w:tcW w:w="3136" w:type="dxa"/>
          </w:tcPr>
          <w:p w:rsidR="00000000" w:rsidRDefault="00000000">
            <w:pPr>
              <w:spacing w:line="240" w:lineRule="auto"/>
              <w:jc w:val="center"/>
            </w:pPr>
            <w:r>
              <w:t>14 000</w:t>
            </w:r>
          </w:p>
        </w:tc>
      </w:tr>
      <w:tr w:rsidR="00000000">
        <w:trPr>
          <w:cantSplit/>
        </w:trPr>
        <w:tc>
          <w:tcPr>
            <w:tcW w:w="6201" w:type="dxa"/>
          </w:tcPr>
          <w:p w:rsidR="00000000" w:rsidRDefault="00000000">
            <w:pPr>
              <w:spacing w:line="240" w:lineRule="auto"/>
            </w:pPr>
            <w:r>
              <w:t>Проходили другую подготовку</w:t>
            </w:r>
          </w:p>
        </w:tc>
        <w:tc>
          <w:tcPr>
            <w:tcW w:w="3136" w:type="dxa"/>
          </w:tcPr>
          <w:p w:rsidR="00000000" w:rsidRDefault="00000000">
            <w:pPr>
              <w:spacing w:line="240" w:lineRule="auto"/>
              <w:jc w:val="center"/>
            </w:pPr>
            <w:r>
              <w:t xml:space="preserve">  2 200</w:t>
            </w:r>
          </w:p>
        </w:tc>
      </w:tr>
    </w:tbl>
    <w:p w:rsidR="00000000" w:rsidRDefault="00000000"/>
    <w:p w:rsidR="00000000" w:rsidRDefault="00000000">
      <w:r>
        <w:t>305.</w:t>
      </w:r>
      <w:r>
        <w:tab/>
        <w:t xml:space="preserve">Среднее число иностранцев, искавших работу на конец каждого месяца, составляло 27 500 человек, из которых 14 400 человек были безработными.  Самые крупные национальные группы среди лиц, искавших работу, составляли граждане России и Эстонии, на долю которых вместе приходилось около 43% всех иностранцев, искавших работу, за ними следовали граждане Ирака, Ирана и Сомали, а также иммигранты из зоны бывшей Республики Югославии, Турции, Вьетнама и Швеции.  </w:t>
      </w:r>
    </w:p>
    <w:p w:rsidR="00000000" w:rsidRDefault="00000000"/>
    <w:p w:rsidR="00000000" w:rsidRDefault="00000000">
      <w:r>
        <w:t>306.</w:t>
      </w:r>
      <w:r>
        <w:tab/>
        <w:t xml:space="preserve">Согласно расчетам, уровень безработицы среди иммигрантов в конце 2004 года составлял около 28%.  В южной части Финляндии иммигранты обычно находят работу в таких секторах, как сектор услуг, строительство, транспорт и здравоохранение.  </w:t>
      </w:r>
    </w:p>
    <w:p w:rsidR="00000000" w:rsidRDefault="00000000"/>
    <w:p w:rsidR="00000000" w:rsidRDefault="00000000">
      <w:r>
        <w:t>307.</w:t>
      </w:r>
      <w:r>
        <w:tab/>
        <w:t>В 2004 году на рынок труда вступило всего 10 354 иммигранта.  Если говорить о предварительной подготовке, то в 2002 и 2003 годах примерно на треть она была ориентирована на иммигрантов.  Доля иммигрантов увеличивается с 2000 года.  В соответствии с рекомендацией, высказанной Национальным советом образования, органы по вопросам труда обеспечивают специальную подготовку иммигрантов, имеющих право на участие в интеграционных планах, и находящихся в аналогичном положении безработных в объеме до 40 аттестационных пунктов.  После завершения иммигрантом курса обучения ему/ей рекомендуется принять участие в экзаменах промежуточного уровня на знание финского языка.  В 2004 году в сдаче этого экзамена приняли участие 740 иммигрантов, из которых 84% его сдали.</w:t>
      </w:r>
    </w:p>
    <w:p w:rsidR="00000000" w:rsidRDefault="00000000"/>
    <w:p w:rsidR="00000000" w:rsidRDefault="00000000">
      <w:r>
        <w:t>308.</w:t>
      </w:r>
      <w:r>
        <w:tab/>
        <w:t xml:space="preserve">Содержащиеся в интеграционных планах меры активации явно улучшили доступ иммигрантов, охваченных этими планами, на открытый рынок труда.  </w:t>
      </w:r>
    </w:p>
    <w:p w:rsidR="00000000" w:rsidRDefault="00000000"/>
    <w:p w:rsidR="00000000" w:rsidRDefault="00000000">
      <w:pPr>
        <w:keepNext/>
        <w:tabs>
          <w:tab w:val="clear" w:pos="1134"/>
          <w:tab w:val="left" w:pos="1414"/>
          <w:tab w:val="left" w:pos="2730"/>
        </w:tabs>
        <w:spacing w:line="240" w:lineRule="auto"/>
        <w:ind w:left="1414" w:hanging="1414"/>
        <w:jc w:val="center"/>
        <w:rPr>
          <w:b/>
          <w:bCs/>
          <w:lang w:val="en-US"/>
        </w:rPr>
      </w:pPr>
      <w:r>
        <w:rPr>
          <w:b/>
          <w:bCs/>
        </w:rPr>
        <w:t>Таблица 10</w:t>
      </w:r>
    </w:p>
    <w:p w:rsidR="00000000" w:rsidRDefault="00000000">
      <w:pPr>
        <w:keepNext/>
        <w:tabs>
          <w:tab w:val="clear" w:pos="1134"/>
          <w:tab w:val="left" w:pos="1414"/>
          <w:tab w:val="left" w:pos="2730"/>
        </w:tabs>
        <w:spacing w:line="240" w:lineRule="auto"/>
        <w:ind w:left="1414" w:hanging="1414"/>
        <w:jc w:val="center"/>
        <w:rPr>
          <w:b/>
          <w:bCs/>
          <w:lang w:val="en-US"/>
        </w:rPr>
      </w:pPr>
    </w:p>
    <w:p w:rsidR="00000000" w:rsidRDefault="00000000">
      <w:pPr>
        <w:keepNext/>
        <w:tabs>
          <w:tab w:val="clear" w:pos="1134"/>
          <w:tab w:val="left" w:pos="2730"/>
        </w:tabs>
        <w:spacing w:line="240" w:lineRule="auto"/>
        <w:jc w:val="center"/>
        <w:rPr>
          <w:b/>
          <w:bCs/>
        </w:rPr>
      </w:pPr>
      <w:r>
        <w:rPr>
          <w:b/>
          <w:bCs/>
        </w:rPr>
        <w:t>Иммигранты, имеющие право на получение интеграционного пособия, и их возможности воспользоваться мерами, существующими на рынке труда, и трудоустроиться на открытом рынке труда в 2000</w:t>
      </w:r>
      <w:r>
        <w:rPr>
          <w:b/>
          <w:bCs/>
        </w:rPr>
        <w:noBreakHyphen/>
        <w:t>2004 годах</w:t>
      </w:r>
    </w:p>
    <w:p w:rsidR="00000000" w:rsidRDefault="00000000">
      <w:pPr>
        <w:keepNext/>
        <w:tabs>
          <w:tab w:val="clear" w:pos="1134"/>
          <w:tab w:val="left" w:pos="1414"/>
          <w:tab w:val="left" w:pos="2730"/>
        </w:tabs>
        <w:spacing w:line="240" w:lineRule="auto"/>
        <w:ind w:left="1414" w:hanging="1414"/>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000" w:firstRow="0" w:lastRow="0" w:firstColumn="0" w:lastColumn="0" w:noHBand="0" w:noVBand="0"/>
      </w:tblPr>
      <w:tblGrid>
        <w:gridCol w:w="5322"/>
        <w:gridCol w:w="817"/>
        <w:gridCol w:w="818"/>
        <w:gridCol w:w="818"/>
        <w:gridCol w:w="818"/>
        <w:gridCol w:w="818"/>
      </w:tblGrid>
      <w:tr w:rsidR="00000000">
        <w:trPr>
          <w:cantSplit/>
        </w:trPr>
        <w:tc>
          <w:tcPr>
            <w:tcW w:w="53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p>
        </w:tc>
        <w:tc>
          <w:tcPr>
            <w:tcW w:w="81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2000</w:t>
            </w:r>
          </w:p>
        </w:tc>
        <w:tc>
          <w:tcPr>
            <w:tcW w:w="81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2001</w:t>
            </w:r>
          </w:p>
        </w:tc>
        <w:tc>
          <w:tcPr>
            <w:tcW w:w="81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2002</w:t>
            </w:r>
          </w:p>
        </w:tc>
        <w:tc>
          <w:tcPr>
            <w:tcW w:w="81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2003</w:t>
            </w:r>
          </w:p>
        </w:tc>
        <w:tc>
          <w:tcPr>
            <w:tcW w:w="81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2004</w:t>
            </w:r>
          </w:p>
        </w:tc>
      </w:tr>
      <w:tr w:rsidR="00000000">
        <w:trPr>
          <w:cantSplit/>
        </w:trPr>
        <w:tc>
          <w:tcPr>
            <w:tcW w:w="5322" w:type="dxa"/>
            <w:tcBorders>
              <w:top w:val="single" w:sz="4" w:space="0" w:color="auto"/>
              <w:left w:val="single" w:sz="4" w:space="0" w:color="auto"/>
              <w:bottom w:val="nil"/>
              <w:right w:val="single" w:sz="4" w:space="0" w:color="auto"/>
            </w:tcBorders>
            <w:vAlign w:val="center"/>
          </w:tcPr>
          <w:p w:rsidR="00000000" w:rsidRDefault="00000000">
            <w:pPr>
              <w:spacing w:line="240" w:lineRule="auto"/>
            </w:pPr>
            <w:r>
              <w:t>Интеграционное пособие</w:t>
            </w:r>
          </w:p>
        </w:tc>
        <w:tc>
          <w:tcPr>
            <w:tcW w:w="817" w:type="dxa"/>
            <w:tcBorders>
              <w:top w:val="single" w:sz="4" w:space="0" w:color="auto"/>
              <w:left w:val="single" w:sz="4" w:space="0" w:color="auto"/>
              <w:bottom w:val="nil"/>
              <w:right w:val="single" w:sz="4" w:space="0" w:color="auto"/>
            </w:tcBorders>
            <w:vAlign w:val="center"/>
          </w:tcPr>
          <w:p w:rsidR="00000000" w:rsidRDefault="00000000">
            <w:pPr>
              <w:spacing w:line="240" w:lineRule="auto"/>
              <w:jc w:val="right"/>
            </w:pPr>
            <w:r>
              <w:t>7 799</w:t>
            </w:r>
          </w:p>
        </w:tc>
        <w:tc>
          <w:tcPr>
            <w:tcW w:w="818" w:type="dxa"/>
            <w:tcBorders>
              <w:top w:val="single" w:sz="4" w:space="0" w:color="auto"/>
              <w:left w:val="single" w:sz="4" w:space="0" w:color="auto"/>
              <w:bottom w:val="nil"/>
              <w:right w:val="single" w:sz="4" w:space="0" w:color="auto"/>
            </w:tcBorders>
            <w:vAlign w:val="center"/>
          </w:tcPr>
          <w:p w:rsidR="00000000" w:rsidRDefault="00000000">
            <w:pPr>
              <w:spacing w:line="240" w:lineRule="auto"/>
              <w:jc w:val="right"/>
            </w:pPr>
            <w:r>
              <w:t>8 601</w:t>
            </w:r>
          </w:p>
        </w:tc>
        <w:tc>
          <w:tcPr>
            <w:tcW w:w="818" w:type="dxa"/>
            <w:tcBorders>
              <w:top w:val="single" w:sz="4" w:space="0" w:color="auto"/>
              <w:left w:val="single" w:sz="4" w:space="0" w:color="auto"/>
              <w:bottom w:val="nil"/>
              <w:right w:val="single" w:sz="4" w:space="0" w:color="auto"/>
            </w:tcBorders>
            <w:vAlign w:val="center"/>
          </w:tcPr>
          <w:p w:rsidR="00000000" w:rsidRDefault="00000000">
            <w:pPr>
              <w:spacing w:line="240" w:lineRule="auto"/>
              <w:jc w:val="right"/>
            </w:pPr>
            <w:r>
              <w:t>9 096</w:t>
            </w:r>
          </w:p>
        </w:tc>
        <w:tc>
          <w:tcPr>
            <w:tcW w:w="818" w:type="dxa"/>
            <w:tcBorders>
              <w:top w:val="single" w:sz="4" w:space="0" w:color="auto"/>
              <w:left w:val="single" w:sz="4" w:space="0" w:color="auto"/>
              <w:bottom w:val="nil"/>
              <w:right w:val="single" w:sz="4" w:space="0" w:color="auto"/>
            </w:tcBorders>
            <w:vAlign w:val="center"/>
          </w:tcPr>
          <w:p w:rsidR="00000000" w:rsidRDefault="00000000">
            <w:pPr>
              <w:spacing w:line="240" w:lineRule="auto"/>
              <w:jc w:val="right"/>
            </w:pPr>
            <w:r>
              <w:t>10 000</w:t>
            </w:r>
          </w:p>
        </w:tc>
        <w:tc>
          <w:tcPr>
            <w:tcW w:w="818" w:type="dxa"/>
            <w:tcBorders>
              <w:top w:val="single" w:sz="4" w:space="0" w:color="auto"/>
              <w:left w:val="single" w:sz="4" w:space="0" w:color="auto"/>
              <w:bottom w:val="nil"/>
              <w:right w:val="single" w:sz="4" w:space="0" w:color="auto"/>
            </w:tcBorders>
            <w:vAlign w:val="center"/>
          </w:tcPr>
          <w:p w:rsidR="00000000" w:rsidRDefault="00000000">
            <w:pPr>
              <w:spacing w:line="240" w:lineRule="auto"/>
              <w:jc w:val="right"/>
            </w:pPr>
            <w:r>
              <w:t>10 445</w:t>
            </w:r>
          </w:p>
        </w:tc>
      </w:tr>
      <w:tr w:rsidR="00000000">
        <w:trPr>
          <w:cantSplit/>
        </w:trPr>
        <w:tc>
          <w:tcPr>
            <w:tcW w:w="5322" w:type="dxa"/>
            <w:tcBorders>
              <w:top w:val="nil"/>
              <w:left w:val="single" w:sz="4" w:space="0" w:color="auto"/>
              <w:bottom w:val="nil"/>
              <w:right w:val="single" w:sz="4" w:space="0" w:color="auto"/>
            </w:tcBorders>
            <w:vAlign w:val="center"/>
          </w:tcPr>
          <w:p w:rsidR="00000000" w:rsidRDefault="00000000">
            <w:pPr>
              <w:spacing w:line="240" w:lineRule="auto"/>
            </w:pPr>
            <w:r>
              <w:t>Первоначальные интеграционные планы</w:t>
            </w:r>
          </w:p>
        </w:tc>
        <w:tc>
          <w:tcPr>
            <w:tcW w:w="817" w:type="dxa"/>
            <w:tcBorders>
              <w:top w:val="nil"/>
              <w:left w:val="single" w:sz="4" w:space="0" w:color="auto"/>
              <w:bottom w:val="nil"/>
              <w:right w:val="single" w:sz="4" w:space="0" w:color="auto"/>
            </w:tcBorders>
            <w:vAlign w:val="center"/>
          </w:tcPr>
          <w:p w:rsidR="00000000" w:rsidRDefault="00000000">
            <w:pPr>
              <w:spacing w:line="240" w:lineRule="auto"/>
              <w:jc w:val="right"/>
            </w:pPr>
            <w:r>
              <w:t>3 748</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5 871</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3 807</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3 058</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3 048</w:t>
            </w:r>
          </w:p>
        </w:tc>
      </w:tr>
      <w:tr w:rsidR="00000000">
        <w:trPr>
          <w:cantSplit/>
        </w:trPr>
        <w:tc>
          <w:tcPr>
            <w:tcW w:w="5322" w:type="dxa"/>
            <w:tcBorders>
              <w:top w:val="nil"/>
              <w:left w:val="single" w:sz="4" w:space="0" w:color="auto"/>
              <w:bottom w:val="nil"/>
              <w:right w:val="single" w:sz="4" w:space="0" w:color="auto"/>
            </w:tcBorders>
            <w:vAlign w:val="center"/>
          </w:tcPr>
          <w:p w:rsidR="00000000" w:rsidRDefault="00000000">
            <w:pPr>
              <w:spacing w:line="240" w:lineRule="auto"/>
            </w:pPr>
            <w:r>
              <w:t>Меры рынка труда (всего), в том числе:</w:t>
            </w:r>
          </w:p>
        </w:tc>
        <w:tc>
          <w:tcPr>
            <w:tcW w:w="817" w:type="dxa"/>
            <w:tcBorders>
              <w:top w:val="nil"/>
              <w:left w:val="single" w:sz="4" w:space="0" w:color="auto"/>
              <w:bottom w:val="nil"/>
              <w:right w:val="single" w:sz="4" w:space="0" w:color="auto"/>
            </w:tcBorders>
            <w:vAlign w:val="center"/>
          </w:tcPr>
          <w:p w:rsidR="00000000" w:rsidRDefault="00000000">
            <w:pPr>
              <w:spacing w:line="240" w:lineRule="auto"/>
              <w:jc w:val="right"/>
            </w:pPr>
            <w:r>
              <w:t>5 896</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6 463</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7 152</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8 248</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8 727</w:t>
            </w:r>
          </w:p>
        </w:tc>
      </w:tr>
      <w:tr w:rsidR="00000000">
        <w:trPr>
          <w:cantSplit/>
        </w:trPr>
        <w:tc>
          <w:tcPr>
            <w:tcW w:w="5322" w:type="dxa"/>
            <w:tcBorders>
              <w:top w:val="nil"/>
              <w:left w:val="single" w:sz="4" w:space="0" w:color="auto"/>
              <w:bottom w:val="nil"/>
              <w:right w:val="single" w:sz="4" w:space="0" w:color="auto"/>
            </w:tcBorders>
            <w:vAlign w:val="center"/>
          </w:tcPr>
          <w:p w:rsidR="00000000" w:rsidRDefault="00000000">
            <w:pPr>
              <w:spacing w:line="240" w:lineRule="auto"/>
            </w:pPr>
            <w:r>
              <w:t xml:space="preserve">   подготовка для вступления на рынок труда</w:t>
            </w:r>
          </w:p>
        </w:tc>
        <w:tc>
          <w:tcPr>
            <w:tcW w:w="817" w:type="dxa"/>
            <w:tcBorders>
              <w:top w:val="nil"/>
              <w:left w:val="single" w:sz="4" w:space="0" w:color="auto"/>
              <w:bottom w:val="nil"/>
              <w:right w:val="single" w:sz="4" w:space="0" w:color="auto"/>
            </w:tcBorders>
            <w:vAlign w:val="center"/>
          </w:tcPr>
          <w:p w:rsidR="00000000" w:rsidRDefault="00000000">
            <w:pPr>
              <w:spacing w:line="240" w:lineRule="auto"/>
              <w:jc w:val="right"/>
            </w:pPr>
            <w:r>
              <w:t>5 413</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5 871</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6 610</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6 589</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7 978</w:t>
            </w:r>
          </w:p>
        </w:tc>
      </w:tr>
      <w:tr w:rsidR="00000000">
        <w:trPr>
          <w:cantSplit/>
        </w:trPr>
        <w:tc>
          <w:tcPr>
            <w:tcW w:w="5322" w:type="dxa"/>
            <w:tcBorders>
              <w:top w:val="nil"/>
              <w:left w:val="single" w:sz="4" w:space="0" w:color="auto"/>
              <w:bottom w:val="nil"/>
              <w:right w:val="single" w:sz="4" w:space="0" w:color="auto"/>
            </w:tcBorders>
            <w:vAlign w:val="center"/>
          </w:tcPr>
          <w:p w:rsidR="00000000" w:rsidRDefault="00000000">
            <w:pPr>
              <w:spacing w:line="240" w:lineRule="auto"/>
            </w:pPr>
            <w:r>
              <w:t xml:space="preserve">   прочая аналогичная подготовка</w:t>
            </w:r>
          </w:p>
        </w:tc>
        <w:tc>
          <w:tcPr>
            <w:tcW w:w="817" w:type="dxa"/>
            <w:tcBorders>
              <w:top w:val="nil"/>
              <w:left w:val="single" w:sz="4" w:space="0" w:color="auto"/>
              <w:bottom w:val="nil"/>
              <w:right w:val="single" w:sz="4" w:space="0" w:color="auto"/>
            </w:tcBorders>
            <w:vAlign w:val="center"/>
          </w:tcPr>
          <w:p w:rsidR="00000000" w:rsidRDefault="00000000">
            <w:pPr>
              <w:spacing w:line="240" w:lineRule="auto"/>
              <w:jc w:val="right"/>
            </w:pPr>
            <w:r>
              <w:t>813</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1 344</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1 526</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2 522</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3571</w:t>
            </w:r>
          </w:p>
        </w:tc>
      </w:tr>
      <w:tr w:rsidR="00000000">
        <w:trPr>
          <w:cantSplit/>
        </w:trPr>
        <w:tc>
          <w:tcPr>
            <w:tcW w:w="5322" w:type="dxa"/>
            <w:tcBorders>
              <w:top w:val="nil"/>
              <w:left w:val="single" w:sz="4" w:space="0" w:color="auto"/>
              <w:bottom w:val="nil"/>
              <w:right w:val="single" w:sz="4" w:space="0" w:color="auto"/>
            </w:tcBorders>
            <w:vAlign w:val="center"/>
          </w:tcPr>
          <w:p w:rsidR="00000000" w:rsidRDefault="00000000">
            <w:pPr>
              <w:spacing w:line="240" w:lineRule="auto"/>
              <w:rPr>
                <w:spacing w:val="-2"/>
              </w:rPr>
            </w:pPr>
            <w:r>
              <w:rPr>
                <w:spacing w:val="-2"/>
              </w:rPr>
              <w:t xml:space="preserve">   меры ЕСФ (подготовка, реабилитация, </w:t>
            </w:r>
          </w:p>
          <w:p w:rsidR="00000000" w:rsidRDefault="00000000">
            <w:pPr>
              <w:spacing w:line="240" w:lineRule="auto"/>
              <w:rPr>
                <w:spacing w:val="-2"/>
              </w:rPr>
            </w:pPr>
            <w:r>
              <w:rPr>
                <w:spacing w:val="-2"/>
                <w:lang w:val="en-US"/>
              </w:rPr>
              <w:t xml:space="preserve">   </w:t>
            </w:r>
            <w:r>
              <w:rPr>
                <w:spacing w:val="-2"/>
              </w:rPr>
              <w:t>стажировка)</w:t>
            </w:r>
          </w:p>
        </w:tc>
        <w:tc>
          <w:tcPr>
            <w:tcW w:w="817" w:type="dxa"/>
            <w:tcBorders>
              <w:top w:val="nil"/>
              <w:left w:val="single" w:sz="4" w:space="0" w:color="auto"/>
              <w:bottom w:val="nil"/>
              <w:right w:val="single" w:sz="4" w:space="0" w:color="auto"/>
            </w:tcBorders>
            <w:vAlign w:val="center"/>
          </w:tcPr>
          <w:p w:rsidR="00000000" w:rsidRDefault="00000000">
            <w:pPr>
              <w:spacing w:line="240" w:lineRule="auto"/>
              <w:jc w:val="right"/>
            </w:pPr>
            <w:r>
              <w:t>628</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671</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712</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617</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416</w:t>
            </w:r>
          </w:p>
        </w:tc>
      </w:tr>
      <w:tr w:rsidR="00000000">
        <w:trPr>
          <w:cantSplit/>
        </w:trPr>
        <w:tc>
          <w:tcPr>
            <w:tcW w:w="5322" w:type="dxa"/>
            <w:tcBorders>
              <w:top w:val="nil"/>
              <w:left w:val="single" w:sz="4" w:space="0" w:color="auto"/>
              <w:bottom w:val="nil"/>
              <w:right w:val="single" w:sz="4" w:space="0" w:color="auto"/>
            </w:tcBorders>
            <w:vAlign w:val="center"/>
          </w:tcPr>
          <w:p w:rsidR="00000000" w:rsidRDefault="00000000">
            <w:pPr>
              <w:spacing w:line="240" w:lineRule="auto"/>
            </w:pPr>
            <w:r>
              <w:t xml:space="preserve">   стажировка или предварительная подготовка</w:t>
            </w:r>
          </w:p>
        </w:tc>
        <w:tc>
          <w:tcPr>
            <w:tcW w:w="817" w:type="dxa"/>
            <w:tcBorders>
              <w:top w:val="nil"/>
              <w:left w:val="single" w:sz="4" w:space="0" w:color="auto"/>
              <w:bottom w:val="nil"/>
              <w:right w:val="single" w:sz="4" w:space="0" w:color="auto"/>
            </w:tcBorders>
            <w:vAlign w:val="center"/>
          </w:tcPr>
          <w:p w:rsidR="00000000" w:rsidRDefault="00000000">
            <w:pPr>
              <w:spacing w:line="240" w:lineRule="auto"/>
              <w:jc w:val="right"/>
            </w:pPr>
            <w:r>
              <w:t>1 038</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1 185</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1 478</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1 743</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2 166</w:t>
            </w:r>
          </w:p>
        </w:tc>
      </w:tr>
      <w:tr w:rsidR="00000000">
        <w:trPr>
          <w:cantSplit/>
        </w:trPr>
        <w:tc>
          <w:tcPr>
            <w:tcW w:w="5322" w:type="dxa"/>
            <w:tcBorders>
              <w:top w:val="nil"/>
              <w:left w:val="single" w:sz="4" w:space="0" w:color="auto"/>
              <w:bottom w:val="nil"/>
              <w:right w:val="single" w:sz="4" w:space="0" w:color="auto"/>
            </w:tcBorders>
            <w:vAlign w:val="center"/>
          </w:tcPr>
          <w:p w:rsidR="00000000" w:rsidRDefault="00000000">
            <w:pPr>
              <w:spacing w:line="240" w:lineRule="auto"/>
            </w:pPr>
            <w:r>
              <w:t xml:space="preserve">   профессиональная ориентация или реабилитация</w:t>
            </w:r>
          </w:p>
        </w:tc>
        <w:tc>
          <w:tcPr>
            <w:tcW w:w="817" w:type="dxa"/>
            <w:tcBorders>
              <w:top w:val="nil"/>
              <w:left w:val="single" w:sz="4" w:space="0" w:color="auto"/>
              <w:bottom w:val="nil"/>
              <w:right w:val="single" w:sz="4" w:space="0" w:color="auto"/>
            </w:tcBorders>
            <w:vAlign w:val="center"/>
          </w:tcPr>
          <w:p w:rsidR="00000000" w:rsidRDefault="00000000">
            <w:pPr>
              <w:spacing w:line="240" w:lineRule="auto"/>
              <w:jc w:val="right"/>
            </w:pPr>
            <w:r>
              <w:t>63</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73</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78</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54</w:t>
            </w:r>
          </w:p>
        </w:tc>
        <w:tc>
          <w:tcPr>
            <w:tcW w:w="818" w:type="dxa"/>
            <w:tcBorders>
              <w:top w:val="nil"/>
              <w:left w:val="single" w:sz="4" w:space="0" w:color="auto"/>
              <w:bottom w:val="nil"/>
              <w:right w:val="single" w:sz="4" w:space="0" w:color="auto"/>
            </w:tcBorders>
            <w:vAlign w:val="center"/>
          </w:tcPr>
          <w:p w:rsidR="00000000" w:rsidRDefault="00000000">
            <w:pPr>
              <w:spacing w:line="240" w:lineRule="auto"/>
              <w:jc w:val="right"/>
            </w:pPr>
            <w:r>
              <w:t>42</w:t>
            </w:r>
          </w:p>
        </w:tc>
      </w:tr>
      <w:tr w:rsidR="00000000">
        <w:trPr>
          <w:cantSplit/>
        </w:trPr>
        <w:tc>
          <w:tcPr>
            <w:tcW w:w="5322" w:type="dxa"/>
            <w:tcBorders>
              <w:top w:val="nil"/>
              <w:left w:val="single" w:sz="4" w:space="0" w:color="auto"/>
              <w:bottom w:val="single" w:sz="4" w:space="0" w:color="auto"/>
              <w:right w:val="single" w:sz="4" w:space="0" w:color="auto"/>
            </w:tcBorders>
            <w:vAlign w:val="center"/>
          </w:tcPr>
          <w:p w:rsidR="00000000" w:rsidRDefault="00000000">
            <w:pPr>
              <w:spacing w:line="240" w:lineRule="auto"/>
            </w:pPr>
            <w:r>
              <w:t>Трудоустроено на открытом рынке труда</w:t>
            </w:r>
          </w:p>
        </w:tc>
        <w:tc>
          <w:tcPr>
            <w:tcW w:w="817" w:type="dxa"/>
            <w:tcBorders>
              <w:top w:val="nil"/>
              <w:left w:val="single" w:sz="4" w:space="0" w:color="auto"/>
              <w:bottom w:val="single" w:sz="4" w:space="0" w:color="auto"/>
              <w:right w:val="single" w:sz="4" w:space="0" w:color="auto"/>
            </w:tcBorders>
            <w:vAlign w:val="center"/>
          </w:tcPr>
          <w:p w:rsidR="00000000" w:rsidRDefault="00000000">
            <w:pPr>
              <w:spacing w:line="240" w:lineRule="auto"/>
              <w:jc w:val="right"/>
            </w:pPr>
            <w:r>
              <w:t>3 077</w:t>
            </w:r>
          </w:p>
        </w:tc>
        <w:tc>
          <w:tcPr>
            <w:tcW w:w="818" w:type="dxa"/>
            <w:tcBorders>
              <w:top w:val="nil"/>
              <w:left w:val="single" w:sz="4" w:space="0" w:color="auto"/>
              <w:bottom w:val="single" w:sz="4" w:space="0" w:color="auto"/>
              <w:right w:val="single" w:sz="4" w:space="0" w:color="auto"/>
            </w:tcBorders>
            <w:vAlign w:val="center"/>
          </w:tcPr>
          <w:p w:rsidR="00000000" w:rsidRDefault="00000000">
            <w:pPr>
              <w:spacing w:line="240" w:lineRule="auto"/>
              <w:jc w:val="right"/>
            </w:pPr>
            <w:r>
              <w:t>3 311</w:t>
            </w:r>
          </w:p>
        </w:tc>
        <w:tc>
          <w:tcPr>
            <w:tcW w:w="818" w:type="dxa"/>
            <w:tcBorders>
              <w:top w:val="nil"/>
              <w:left w:val="single" w:sz="4" w:space="0" w:color="auto"/>
              <w:bottom w:val="single" w:sz="4" w:space="0" w:color="auto"/>
              <w:right w:val="single" w:sz="4" w:space="0" w:color="auto"/>
            </w:tcBorders>
            <w:vAlign w:val="center"/>
          </w:tcPr>
          <w:p w:rsidR="00000000" w:rsidRDefault="00000000">
            <w:pPr>
              <w:spacing w:line="240" w:lineRule="auto"/>
              <w:jc w:val="right"/>
            </w:pPr>
            <w:r>
              <w:t>4 046</w:t>
            </w:r>
          </w:p>
        </w:tc>
        <w:tc>
          <w:tcPr>
            <w:tcW w:w="818" w:type="dxa"/>
            <w:tcBorders>
              <w:top w:val="nil"/>
              <w:left w:val="single" w:sz="4" w:space="0" w:color="auto"/>
              <w:bottom w:val="single" w:sz="4" w:space="0" w:color="auto"/>
              <w:right w:val="single" w:sz="4" w:space="0" w:color="auto"/>
            </w:tcBorders>
            <w:vAlign w:val="center"/>
          </w:tcPr>
          <w:p w:rsidR="00000000" w:rsidRDefault="00000000">
            <w:pPr>
              <w:spacing w:line="240" w:lineRule="auto"/>
              <w:jc w:val="right"/>
            </w:pPr>
            <w:r>
              <w:t>5 033</w:t>
            </w:r>
          </w:p>
        </w:tc>
        <w:tc>
          <w:tcPr>
            <w:tcW w:w="818" w:type="dxa"/>
            <w:tcBorders>
              <w:top w:val="nil"/>
              <w:left w:val="single" w:sz="4" w:space="0" w:color="auto"/>
              <w:bottom w:val="single" w:sz="4" w:space="0" w:color="auto"/>
              <w:right w:val="single" w:sz="4" w:space="0" w:color="auto"/>
            </w:tcBorders>
            <w:vAlign w:val="center"/>
          </w:tcPr>
          <w:p w:rsidR="00000000" w:rsidRDefault="00000000">
            <w:pPr>
              <w:spacing w:line="240" w:lineRule="auto"/>
              <w:jc w:val="right"/>
            </w:pPr>
            <w:r>
              <w:t>5 504</w:t>
            </w:r>
          </w:p>
        </w:tc>
      </w:tr>
    </w:tbl>
    <w:p w:rsidR="00000000" w:rsidRDefault="00000000">
      <w:pPr>
        <w:rPr>
          <w:i/>
          <w:iCs/>
        </w:rPr>
      </w:pPr>
    </w:p>
    <w:p w:rsidR="00000000" w:rsidRDefault="00000000">
      <w:r>
        <w:t>309.</w:t>
      </w:r>
      <w:r>
        <w:tab/>
        <w:t xml:space="preserve">Самые различные проекты, частично финансируемые в рамках Европейского социального фонда, содействуют за счет различных видов подготовки расширению имеющихся у иммигрантов возможностей найти работу на открытом рынке труда.  Например, проект под названием СПЕСИМА позволяет иммигрантам с высоким уровнем образования пройти дополнительную подготовку, что дает им возможность получить квалификацию для выполнения функций, соответствующих их образованию.  Это также позволяет удовлетворять потребности некоторых районов, в которых в определенных секторах ощущается нехватка квалифицированных работников.  Подготовка проводится также для преподавателей-культурологов и устных переводчиков.  Кроме того, расширяется практика обучения без отрыва от производства, когда иммигрант на первых порах работает вместе с работником, оказывающим ему поддержку.  Языковые и компьютерные курсы являются частью более всесторонней подготовки, осуществляемой в рамках самых различных проектов.  </w:t>
      </w:r>
    </w:p>
    <w:p w:rsidR="00000000" w:rsidRDefault="00000000"/>
    <w:p w:rsidR="00000000" w:rsidRDefault="00000000">
      <w:r>
        <w:t>310.</w:t>
      </w:r>
      <w:r>
        <w:tab/>
        <w:t>Инициатива Европейского сообщества "</w:t>
      </w:r>
      <w:r>
        <w:rPr>
          <w:lang w:val="en-US"/>
        </w:rPr>
        <w:t>EQUAL</w:t>
      </w:r>
      <w:r>
        <w:t>", финансируемая в рамках Европейского социального фонда, стала осуществляться в Финляндии в 2001 году.  Первые пять проектов, на которые были предоставлены финансовые средства на первом этапе осуществления программы, ориентированной на предупреждение расизма и ксенофобии, направлены на обеспечение прав иммигрантов и расширение их возможностей получить работу, разработку методов приема на работу и развитие культурного разнообразия на рабочих местах, а также разработку методов обучения, учитывающих культурные особенности.  Проекты осуществляются как в рамках взаимодействия двух партнеров, так и систем многостороннего партнерства.  Помимо иммигрантов, приоритетными целевыми группами и бенефициарами этих проектов являются также преподаватели, работодатели, социальные партнеры, компании и органы власти.  Эффективность проектов определяется участием в их осуществлении иммигрантов и других партнеров, а также сотрудничеством с иммигрантскими организациями.</w:t>
      </w:r>
    </w:p>
    <w:p w:rsidR="00000000" w:rsidRDefault="00000000"/>
    <w:p w:rsidR="00000000" w:rsidRDefault="00000000">
      <w:r>
        <w:t>311.</w:t>
      </w:r>
      <w:r>
        <w:tab/>
        <w:t>Все иммигрантские проекты, включенные в первую фазу "</w:t>
      </w:r>
      <w:r>
        <w:rPr>
          <w:lang w:val="en-US"/>
        </w:rPr>
        <w:t>EQUAL</w:t>
      </w:r>
      <w:r>
        <w:t>", также являлись частью тематического проекта "Общий голос", осуществляемого в рамках другого проекта под названием "ЭТМО - культурное многообразие как ресурс на рабочих местах".  Помимо пяти проектов "</w:t>
      </w:r>
      <w:r>
        <w:rPr>
          <w:lang w:val="en-US"/>
        </w:rPr>
        <w:t>EQUAL</w:t>
      </w:r>
      <w:r>
        <w:t>", в рамках тематического сотрудничества осуществлялся проект для просителей убежища ("Равенство становится явью"), входящий в комплекс мер по содействию трудоустройству ("</w:t>
      </w:r>
      <w:r>
        <w:rPr>
          <w:lang w:val="en-US"/>
        </w:rPr>
        <w:t>A</w:t>
      </w:r>
      <w:r>
        <w:t>В</w:t>
      </w:r>
      <w:r>
        <w:rPr>
          <w:lang w:val="en-US"/>
        </w:rPr>
        <w:t>OAVITA</w:t>
      </w:r>
      <w:r>
        <w:t>"), и проект Программы Леонардо да Винчи, направленный на улучшение языковой и общественной интеграции иммигрантов (АИТО).  Проект, осуществляемый в рамках тематического сотрудничества, ориентирован на пропаганду надлежащей практики и общих методов работы, разработанных в рамках различных проектов, с уделением особого внимания вопросам равноправия.</w:t>
      </w:r>
    </w:p>
    <w:p w:rsidR="00000000" w:rsidRDefault="00000000"/>
    <w:p w:rsidR="00000000" w:rsidRDefault="00000000">
      <w:r>
        <w:t>312.</w:t>
      </w:r>
      <w:r>
        <w:tab/>
        <w:t>Подготовка проектов, финансовые средства на осуществление которых были предоставлены на втором этапе "</w:t>
      </w:r>
      <w:r>
        <w:rPr>
          <w:lang w:val="en-US"/>
        </w:rPr>
        <w:t>EQUAL</w:t>
      </w:r>
      <w:r>
        <w:t>", началась в ноябре 2004 года.  Эти проекты стали осуществляться в мае 2005 года, и они будут продолжены до 2007 года.  Финансовые средства были выделены на восемь проектов по предупреждению расизма и ксенофобии, шесть из которых ориентированы, главным образом, на иммигрантов.  Меры, которые принимаются в рамках этих проектов, направлены на содействие культурному многообразию, изменение взглядов, распространение информации для общественности, обучение и профессиональную подготовку, а также развитие культуры и трудоустройство лиц, принадлежащих к этой целевой группе.  Осуществляемые в интересах иммигрантов проекты содержат различные меры по развитию культурного многообразия на рабочих местах и понижению нижнего порога, устанавливаемого работодателями в отношении найма работников, имеющих иммигрантское происхождение.  Особое внимание в рамках большинства осуществляемых в интересах иммигрантов проектов уделяется мерам, предполагающим достижение того, чтобы люди в целом были хозяевами своей жизни, и предотвращению социального отчуждения.  В рамках проекта "Променио" проводится профессиональная подготовка иммигрантов, с тем чтобы впоследствии они могли оказывать поддержку другим иммигрантам на своих рабочих местах.  Еще один проект учитывает интересы всей семьи, а другой ориентирован на иммигранток.  Одной из приоритетных задач проектов, финансируемых на втором этапе, является профессиональная подготовка.  Проект "МАНУ" направлен на расширение возможностей получения иммигрантами профессионально-технической подготовки, ремесленного обучения и сдачи аттестационных экзаменов после предварительной подготовки.  Еще одна важная задача заключается в изменении бытующих стереотипов с помощью средств массовой информации ("Мундо", "Монита").</w:t>
      </w:r>
    </w:p>
    <w:p w:rsidR="00000000" w:rsidRDefault="00000000"/>
    <w:p w:rsidR="00000000" w:rsidRDefault="00000000">
      <w:r>
        <w:t>313.</w:t>
      </w:r>
      <w:r>
        <w:tab/>
        <w:t>Принятый в 2001 году правительственный план действий по борьбе с этнической дискриминацией и расизмом нуждается в пересмотре путем создания надежной системы мониторинга.  Обеспечение большей терпимости - например, в том, что касается приема на работу, - должно быть весомой частью иммиграционной политики правительства, включающей в себя всесторонние и конкретные меры.  Уровень безработицы среди иммигрантов по</w:t>
      </w:r>
      <w:r>
        <w:noBreakHyphen/>
        <w:t>прежнему существенно выше, чем среди финнов.  Представители меньшинств часто сталкиваются с расистскими взглядами и предрассудками на работе как со стороны других работников, так и со стороны клиентов.</w:t>
      </w:r>
    </w:p>
    <w:p w:rsidR="00000000" w:rsidRDefault="00000000"/>
    <w:p w:rsidR="00000000" w:rsidRDefault="00000000">
      <w:r>
        <w:t>314.</w:t>
      </w:r>
      <w:r>
        <w:tab/>
        <w:t>По информации омбудсмена по делам меньшинств, недавние исследования указывают на то, что иностранцы и представители этнических меньшинств по</w:t>
      </w:r>
      <w:r>
        <w:noBreakHyphen/>
        <w:t>прежнему испытывают значительные трудности с нахождением работы в Финляндии.  По его мнению, следует провести общую оценку положения рома в обществе.  Они сталкиваются с трудностями в самых различных секторах общества, а также с дискриминацией.  Эти проблемы следует решать на путях осуществления комплексной программы.</w:t>
      </w:r>
    </w:p>
    <w:p w:rsidR="00000000" w:rsidRDefault="00000000"/>
    <w:p w:rsidR="00000000" w:rsidRDefault="00000000">
      <w:r>
        <w:t>315.</w:t>
      </w:r>
      <w:r>
        <w:tab/>
        <w:t>В феврале 2005 года омбудсмен по делам меньшинств выдвинул инициативу (35/65/2005ТМ), адресованную министерству труда и министерству социального обеспечения и здравоохранения и касающуюся влияния добровольной языковой подготовки и других услуг и мер по трудоустройству на защиту иммигрантов от безработицы.  В инициативе обращалось внимание на трудности и препятствия на пути реализации возможностей иммигрантов добиться адекватного значения финского или шведского языка, а также на факторы, препятствующие участи иммигрантов-инвалидов в предварительной подготовке, которая необходима для трудоустройства.  Например, подготовка иммигрантов-инвалидов обычно рассматривается как подготовка для выхода на рынок труда, при этом считается, что безработный не присутствует на рынке труда на этапе предварительной подготовки, даже если предварительная подготовка в основном сосредоточена на ознакомлении с различными аспектами трудовой жизни, навыками составления заявлений о приеме на работу и прохождения интервью с работодателем.  Вместе с тем иммигранты-инвалиды нуждаются в особой поддержке и консультативной помощи при поиске работы.</w:t>
      </w:r>
    </w:p>
    <w:p w:rsidR="00000000" w:rsidRDefault="00000000"/>
    <w:p w:rsidR="00000000" w:rsidRDefault="00000000">
      <w:pPr>
        <w:ind w:left="567" w:hanging="567"/>
        <w:jc w:val="center"/>
        <w:rPr>
          <w:b/>
          <w:bCs/>
          <w:lang w:val="en-US"/>
        </w:rPr>
      </w:pPr>
      <w:r>
        <w:rPr>
          <w:b/>
          <w:bCs/>
        </w:rPr>
        <w:t>3 с)</w:t>
      </w:r>
      <w:r>
        <w:rPr>
          <w:b/>
          <w:bCs/>
        </w:rPr>
        <w:tab/>
        <w:t>Случаи, в которых различие, исключение или предпочтение</w:t>
      </w:r>
    </w:p>
    <w:p w:rsidR="00000000" w:rsidRDefault="00000000">
      <w:pPr>
        <w:ind w:left="567" w:hanging="567"/>
        <w:jc w:val="center"/>
        <w:rPr>
          <w:b/>
          <w:bCs/>
        </w:rPr>
      </w:pPr>
      <w:r>
        <w:rPr>
          <w:b/>
          <w:bCs/>
        </w:rPr>
        <w:t>не считаются дискриминацией</w:t>
      </w:r>
    </w:p>
    <w:p w:rsidR="00000000" w:rsidRDefault="00000000">
      <w:pPr>
        <w:ind w:left="567" w:hanging="567"/>
        <w:rPr>
          <w:b/>
          <w:bCs/>
        </w:rPr>
      </w:pPr>
    </w:p>
    <w:p w:rsidR="00000000" w:rsidRDefault="00000000">
      <w:r>
        <w:t>316.</w:t>
      </w:r>
      <w:r>
        <w:tab/>
        <w:t>В соответствии со статьей 2 главы 2 Закона о трудовых договорах (55/2001) работодатель должен обеспечивать работникам одинаковое обращение.  Это требование должно учитываться при предоставлении льгот и пособий, связанных с занятостью, и при установлении обязанностей работников.  От требования по обеспечению равного обращения можно отходить только в случае наличия приемлемого основания, обусловленного обязанностями и положением работников.  Требование равного обращения и запрещения дискриминации действует применительно к найму на работу, в процессе работы и при прекращении трудовых отношений.  Согласно Закону о трудовых договорах условия труда, устанавливаемые для работы по срочному контракту или на условиях частичной занятости, не должны быть менее благоприятными по сравнению с условиями, устанавливаемыми для других видов занятости, просто по причине продолжительности трудового договора или рабочего времени, когда отсутствуют надлежащие разумные основания для различий.  В статье 2 также сказано, что определение дискриминации, запрет санкций и бремя доказывания в случаях, касающихся дискриминации, предусмотрены Законом о недискриминации (21/2004).</w:t>
      </w:r>
    </w:p>
    <w:p w:rsidR="00000000" w:rsidRDefault="00000000"/>
    <w:p w:rsidR="00000000" w:rsidRDefault="00000000">
      <w:r>
        <w:t>317.</w:t>
      </w:r>
      <w:r>
        <w:tab/>
        <w:t>Согласно статье 7 Закона о недискриминации, дискриминацией не считается следующее:</w:t>
      </w:r>
    </w:p>
    <w:p w:rsidR="00000000" w:rsidRDefault="00000000"/>
    <w:p w:rsidR="00000000" w:rsidRDefault="00000000">
      <w:pPr>
        <w:ind w:left="1134" w:hanging="1134"/>
      </w:pPr>
      <w:r>
        <w:rPr>
          <w:lang w:val="en-US"/>
        </w:rPr>
        <w:tab/>
      </w:r>
      <w:r>
        <w:t>1)</w:t>
      </w:r>
      <w:r>
        <w:tab/>
        <w:t>меры, в основе которых лежит план обеспечения равенства и которые направлены на осуществление целей этого закона на практике;  и</w:t>
      </w:r>
    </w:p>
    <w:p w:rsidR="00000000" w:rsidRDefault="00000000"/>
    <w:p w:rsidR="00000000" w:rsidRDefault="00000000">
      <w:pPr>
        <w:ind w:left="1134" w:hanging="1134"/>
      </w:pPr>
      <w:r>
        <w:rPr>
          <w:lang w:val="en-US"/>
        </w:rPr>
        <w:tab/>
      </w:r>
      <w:r>
        <w:t>2)</w:t>
      </w:r>
      <w:r>
        <w:tab/>
        <w:t>различное обращение с учетом факторов дискриминации, указанных в статье</w:t>
      </w:r>
      <w:r>
        <w:rPr>
          <w:lang w:val="en-US"/>
        </w:rPr>
        <w:t> </w:t>
      </w:r>
      <w:r>
        <w:t>6</w:t>
      </w:r>
      <w:r>
        <w:rPr>
          <w:lang w:val="en-US"/>
        </w:rPr>
        <w:t> </w:t>
      </w:r>
      <w:r>
        <w:t>(1), в основе которых лежит реальное и обоснованное требование, касающееся специфики конкретного вида профессиональной деятельности и порядка выполнения этой деятельности;</w:t>
      </w:r>
    </w:p>
    <w:p w:rsidR="00000000" w:rsidRDefault="00000000"/>
    <w:p w:rsidR="00000000" w:rsidRDefault="00000000">
      <w:pPr>
        <w:ind w:left="1134" w:hanging="1134"/>
      </w:pPr>
      <w:r>
        <w:tab/>
        <w:t>3)</w:t>
      </w:r>
      <w:r>
        <w:tab/>
        <w:t xml:space="preserve">различное обращение по признаку возраста, когда таковое имеет объективное и надлежащее обоснование и обусловлено политикой занятости, состоянием рынка труда или требованиями профессиональной подготовки, или какую-либо другую обоснованную цель, либо когда различное обращение мотивируется возрастными ограничениями, связанными с требованиями выхода на пенсию, а также пособиями по инвалидности, установленными в рамках системы социального обеспечения.  </w:t>
      </w:r>
    </w:p>
    <w:p w:rsidR="00000000" w:rsidRDefault="00000000"/>
    <w:p w:rsidR="00000000" w:rsidRDefault="00000000">
      <w:r>
        <w:t>318.</w:t>
      </w:r>
      <w:r>
        <w:tab/>
        <w:t>Закон о недискриминации не исключает возможность принятия конкретных мер, направленных на достижение подлинного равенства в порядке предотвращения или сглаживания отрицательных последствий, вызванных формами дискриминации, указанными в статье 6 (1) (</w:t>
      </w:r>
      <w:r>
        <w:rPr>
          <w:i/>
          <w:iCs/>
        </w:rPr>
        <w:t>позитивные действия</w:t>
      </w:r>
      <w:r>
        <w:t>).  Позитивные действия должны быть соразмерны своей цели.</w:t>
      </w:r>
    </w:p>
    <w:p w:rsidR="00000000" w:rsidRDefault="00000000"/>
    <w:p w:rsidR="00000000" w:rsidRDefault="00000000">
      <w:pPr>
        <w:ind w:left="567" w:hanging="567"/>
        <w:jc w:val="center"/>
        <w:rPr>
          <w:b/>
          <w:bCs/>
        </w:rPr>
      </w:pPr>
      <w:r>
        <w:rPr>
          <w:b/>
          <w:bCs/>
        </w:rPr>
        <w:t>4.</w:t>
      </w:r>
      <w:r>
        <w:rPr>
          <w:b/>
          <w:bCs/>
        </w:rPr>
        <w:tab/>
        <w:t>Работники, занятые на двух или более работах на полной ставке</w:t>
      </w:r>
    </w:p>
    <w:p w:rsidR="00000000" w:rsidRDefault="00000000">
      <w:pPr>
        <w:ind w:left="567" w:hanging="567"/>
        <w:rPr>
          <w:b/>
          <w:bCs/>
        </w:rPr>
      </w:pPr>
    </w:p>
    <w:p w:rsidR="00000000" w:rsidRDefault="00000000">
      <w:r>
        <w:t>319.</w:t>
      </w:r>
      <w:r>
        <w:tab/>
        <w:t>В соответствии с обследованием рабочей силы, проведенным Статистическим управлением Финляндии, в 2004 году в стране насчитывалось 3 935 300 человек трудоспособного возраста (15-74 года).  2 593 500 человек из этого общего числа были зарегистрированы на рынке труда, хотя количество занятых было несколько меньшим:  2 364 700 человек.  Таким образом, в 2004 году насчитывалось примерно 228 800 безработных.  Численность лиц, не зарегистрированных на рынке труда, составляла 1 341 800 человек.</w:t>
      </w:r>
    </w:p>
    <w:p w:rsidR="00000000" w:rsidRDefault="00000000"/>
    <w:p w:rsidR="00000000" w:rsidRDefault="00000000">
      <w:r>
        <w:t>320.</w:t>
      </w:r>
      <w:r>
        <w:tab/>
        <w:t>По данным обследования рабочей силы, в 2004 году насчитывалось 75 400 человек, имеющих более одной работы.  В их число входят все занятые лица, которые в дополнение к своей основной работе в качестве частного предпринимателя или лица наемного труда, получающего заработную плату, выполняли определенную дополнительную работу в течение недели, охваченной обследованием, независимо от того, была ли их основная работа работой на полной или неполной ставке.  Соответственно в 2004 году 3,2% всех занятых лиц имели дополнительную работу.  По сравнению с концом 90-х годов их доля осталась практически неизменной.  В 1994 году, когда численность безработных из-за экономической депрессии была на пиковом уровне, в стране насчитывалось свыше 96 000 лиц, занятых на дополнительной работе, что явно превышает цифру 2004 года (их доля в общем количестве занятых составляла 5%).</w:t>
      </w:r>
    </w:p>
    <w:p w:rsidR="00000000" w:rsidRDefault="00000000"/>
    <w:p w:rsidR="00000000" w:rsidRDefault="00000000">
      <w:r>
        <w:t>321.</w:t>
      </w:r>
      <w:r>
        <w:tab/>
        <w:t>Согласно обследованию рабочей силы, примерно для 7 300 человек из тех, кто в 2004 году трудился на дополнительной работе, эта дополнительная занятость была работой на полной ставке, т.е. по меньшей мере 30 часов в неделю.  Таким образом, приблизительно 10% занятых лиц, имеющих дополнительную работу, трудились полный рабочий день.  Доля таких лиц в общей численности занятых в 2004 году составляла 0,3%, а их доля в численности населения трудоспособного возраста - лишь 0,19%.</w:t>
      </w:r>
    </w:p>
    <w:p w:rsidR="00000000" w:rsidRDefault="00000000"/>
    <w:p w:rsidR="00000000" w:rsidRDefault="00000000">
      <w:r>
        <w:t>322.</w:t>
      </w:r>
      <w:r>
        <w:tab/>
        <w:t>В свете вышесказанного можно сделать вывод о том, что наличие еще одной работы на полной ставке в дополнение к основной работе является крайне редким явлением.</w:t>
      </w:r>
    </w:p>
    <w:p w:rsidR="00000000" w:rsidRDefault="00000000"/>
    <w:p w:rsidR="00000000" w:rsidRDefault="00000000">
      <w:pPr>
        <w:jc w:val="center"/>
        <w:rPr>
          <w:b/>
          <w:bCs/>
        </w:rPr>
      </w:pPr>
      <w:r>
        <w:rPr>
          <w:b/>
          <w:bCs/>
        </w:rPr>
        <w:t>5.</w:t>
      </w:r>
      <w:r>
        <w:rPr>
          <w:b/>
          <w:bCs/>
        </w:rPr>
        <w:tab/>
        <w:t>Другие изменения в национальном законодательстве</w:t>
      </w:r>
    </w:p>
    <w:p w:rsidR="00000000" w:rsidRDefault="00000000">
      <w:pPr>
        <w:rPr>
          <w:b/>
          <w:bCs/>
        </w:rPr>
      </w:pPr>
    </w:p>
    <w:p w:rsidR="00000000" w:rsidRDefault="00000000">
      <w:r>
        <w:t>323.</w:t>
      </w:r>
      <w:r>
        <w:tab/>
        <w:t>В 2003 году вступил в силу Закон о гражданских служащих органов местного самоуправления (304/203), связанный с ранее осуществленной реформой положений, касающихся основных прав.  Этот закон заменил Закон о гарантиях занятости муниципальных служащих (484/1996) и местные нормативные положения, регулировавшие условия занятости.  Новый закон включает в себя общие положения, касающиеся правового статуса муниципальных служащих, порядка установления и изменения трудовых отношений, отпусков, увольнений, оснований для прекращения трудового договора, отстранения от занимаемой должности и процедур обжалования.  Статус других лиц, работающих по найму в местных органах власти, регулируется на основе Закона о трудовых договорах.</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jc w:val="center"/>
        <w:rPr>
          <w:b/>
          <w:bCs/>
        </w:rPr>
      </w:pPr>
      <w:r>
        <w:rPr>
          <w:b/>
          <w:bCs/>
        </w:rPr>
        <w:t>1.</w:t>
      </w:r>
      <w:r>
        <w:rPr>
          <w:b/>
          <w:bCs/>
        </w:rPr>
        <w:tab/>
        <w:t>Конвенции МОТ, ратифицированные Финляндией</w:t>
      </w:r>
    </w:p>
    <w:p w:rsidR="00000000" w:rsidRDefault="00000000">
      <w:pPr>
        <w:rPr>
          <w:b/>
          <w:bCs/>
        </w:rPr>
      </w:pPr>
    </w:p>
    <w:p w:rsidR="00000000" w:rsidRDefault="00000000">
      <w:r>
        <w:t>324.</w:t>
      </w:r>
      <w:r>
        <w:tab/>
        <w:t>Финляндией ратифицированы следующие из конвенций МОТ, упомянутые в разделе Общих руководящих принципов, посвященном статье 7:</w:t>
      </w:r>
    </w:p>
    <w:p w:rsidR="00000000" w:rsidRDefault="00000000"/>
    <w:p w:rsidR="00000000" w:rsidRDefault="00000000">
      <w:r>
        <w:tab/>
        <w:t>Конвенция 1951 года о равном вознаграждении (№ 100);</w:t>
      </w:r>
    </w:p>
    <w:p w:rsidR="00000000" w:rsidRDefault="00000000"/>
    <w:p w:rsidR="00000000" w:rsidRDefault="00000000">
      <w:pPr>
        <w:ind w:left="561" w:hanging="561"/>
      </w:pPr>
      <w:r>
        <w:tab/>
        <w:t>Конвенция 1921 года о еженедельном отдыхе на промышленных предприятиях (№ 14);</w:t>
      </w:r>
    </w:p>
    <w:p w:rsidR="00000000" w:rsidRDefault="00000000">
      <w:pPr>
        <w:ind w:left="561" w:hanging="561"/>
      </w:pPr>
    </w:p>
    <w:p w:rsidR="00000000" w:rsidRDefault="00000000">
      <w:pPr>
        <w:ind w:left="561" w:hanging="561"/>
      </w:pPr>
      <w:r>
        <w:tab/>
        <w:t>Конвенция (пересмотренная) 1970 года об оплачиваемых отпусках (№ 132);</w:t>
      </w:r>
    </w:p>
    <w:p w:rsidR="00000000" w:rsidRDefault="00000000">
      <w:pPr>
        <w:ind w:left="561" w:hanging="561"/>
      </w:pPr>
    </w:p>
    <w:p w:rsidR="00000000" w:rsidRDefault="00000000">
      <w:pPr>
        <w:ind w:left="561" w:hanging="561"/>
      </w:pPr>
      <w:r>
        <w:tab/>
        <w:t>Конвенция 1947 года об инспекции труда (№ 81);</w:t>
      </w:r>
    </w:p>
    <w:p w:rsidR="00000000" w:rsidRDefault="00000000">
      <w:pPr>
        <w:ind w:left="561" w:hanging="561"/>
      </w:pPr>
    </w:p>
    <w:p w:rsidR="00000000" w:rsidRDefault="00000000">
      <w:pPr>
        <w:ind w:left="561" w:hanging="561"/>
      </w:pPr>
      <w:r>
        <w:tab/>
        <w:t>Конвенция 1969 года об инспекции труда в сельском хозяйстве (№ 129); и</w:t>
      </w:r>
    </w:p>
    <w:p w:rsidR="00000000" w:rsidRDefault="00000000">
      <w:pPr>
        <w:ind w:left="561" w:hanging="561"/>
      </w:pPr>
    </w:p>
    <w:p w:rsidR="00000000" w:rsidRDefault="00000000">
      <w:pPr>
        <w:ind w:left="561" w:hanging="561"/>
      </w:pPr>
      <w:r>
        <w:tab/>
        <w:t>Конвенция 1981 года о безопасности и гигиене труда (№ 155).</w:t>
      </w:r>
    </w:p>
    <w:p w:rsidR="00000000" w:rsidRDefault="00000000">
      <w:pPr>
        <w:ind w:left="561" w:hanging="561"/>
      </w:pPr>
    </w:p>
    <w:p w:rsidR="00000000" w:rsidRDefault="00000000">
      <w:pPr>
        <w:keepNext/>
        <w:tabs>
          <w:tab w:val="clear" w:pos="567"/>
          <w:tab w:val="left" w:pos="561"/>
        </w:tabs>
        <w:jc w:val="center"/>
        <w:rPr>
          <w:b/>
          <w:bCs/>
        </w:rPr>
      </w:pPr>
      <w:r>
        <w:rPr>
          <w:b/>
          <w:bCs/>
        </w:rPr>
        <w:t>2 а)</w:t>
      </w:r>
      <w:r>
        <w:rPr>
          <w:b/>
          <w:bCs/>
        </w:rPr>
        <w:tab/>
        <w:t>Основные методы, используемые для установления заработной платы</w:t>
      </w:r>
    </w:p>
    <w:p w:rsidR="00000000" w:rsidRDefault="00000000">
      <w:pPr>
        <w:keepNext/>
        <w:tabs>
          <w:tab w:val="clear" w:pos="567"/>
          <w:tab w:val="left" w:pos="561"/>
        </w:tabs>
        <w:rPr>
          <w:b/>
          <w:bCs/>
        </w:rPr>
      </w:pPr>
    </w:p>
    <w:p w:rsidR="00000000" w:rsidRDefault="00000000">
      <w:pPr>
        <w:tabs>
          <w:tab w:val="clear" w:pos="567"/>
          <w:tab w:val="left" w:pos="561"/>
        </w:tabs>
      </w:pPr>
      <w:r>
        <w:t>325.</w:t>
      </w:r>
      <w:r>
        <w:tab/>
        <w:t>См. информацию, содержащуюся в ответах по пункту 29 раздела Е заключительных замечаний Комитета, касающегося предложений и рекомендаций.</w:t>
      </w:r>
    </w:p>
    <w:p w:rsidR="00000000" w:rsidRDefault="00000000">
      <w:pPr>
        <w:tabs>
          <w:tab w:val="clear" w:pos="567"/>
          <w:tab w:val="left" w:pos="561"/>
        </w:tabs>
      </w:pPr>
    </w:p>
    <w:p w:rsidR="00000000" w:rsidRDefault="00000000">
      <w:pPr>
        <w:tabs>
          <w:tab w:val="clear" w:pos="567"/>
          <w:tab w:val="left" w:pos="561"/>
        </w:tabs>
        <w:jc w:val="center"/>
        <w:rPr>
          <w:b/>
          <w:bCs/>
        </w:rPr>
      </w:pPr>
      <w:r>
        <w:rPr>
          <w:b/>
          <w:bCs/>
        </w:rPr>
        <w:t xml:space="preserve">2 </w:t>
      </w:r>
      <w:r>
        <w:rPr>
          <w:b/>
          <w:bCs/>
          <w:lang w:val="en-US"/>
        </w:rPr>
        <w:t>b</w:t>
      </w:r>
      <w:r>
        <w:rPr>
          <w:b/>
          <w:bCs/>
        </w:rPr>
        <w:t>)</w:t>
      </w:r>
      <w:r>
        <w:rPr>
          <w:b/>
          <w:bCs/>
        </w:rPr>
        <w:tab/>
        <w:t>Система минимальной заработной платы</w:t>
      </w:r>
    </w:p>
    <w:p w:rsidR="00000000" w:rsidRDefault="00000000">
      <w:pPr>
        <w:tabs>
          <w:tab w:val="clear" w:pos="567"/>
          <w:tab w:val="left" w:pos="561"/>
        </w:tabs>
        <w:rPr>
          <w:b/>
          <w:bCs/>
        </w:rPr>
      </w:pPr>
    </w:p>
    <w:p w:rsidR="00000000" w:rsidRDefault="00000000">
      <w:pPr>
        <w:tabs>
          <w:tab w:val="clear" w:pos="567"/>
          <w:tab w:val="left" w:pos="561"/>
        </w:tabs>
      </w:pPr>
      <w:r>
        <w:t>326.</w:t>
      </w:r>
      <w:r>
        <w:tab/>
        <w:t>См. информацию, содержащуюся в ответах по пункту 29 раздела Е заключительных замечаний Комитета, касающегося предложений и рекомендаций.</w:t>
      </w:r>
    </w:p>
    <w:p w:rsidR="00000000" w:rsidRDefault="00000000">
      <w:pPr>
        <w:tabs>
          <w:tab w:val="clear" w:pos="567"/>
          <w:tab w:val="left" w:pos="561"/>
        </w:tabs>
      </w:pPr>
      <w:r>
        <w:t xml:space="preserve"> </w:t>
      </w:r>
    </w:p>
    <w:p w:rsidR="00000000" w:rsidRDefault="00000000">
      <w:pPr>
        <w:tabs>
          <w:tab w:val="clear" w:pos="567"/>
          <w:tab w:val="left" w:pos="561"/>
        </w:tabs>
        <w:jc w:val="center"/>
        <w:rPr>
          <w:b/>
          <w:bCs/>
        </w:rPr>
      </w:pPr>
      <w:r>
        <w:rPr>
          <w:b/>
          <w:bCs/>
        </w:rPr>
        <w:t>2 с)</w:t>
      </w:r>
      <w:r>
        <w:rPr>
          <w:b/>
          <w:bCs/>
        </w:rPr>
        <w:tab/>
        <w:t>Равная плата за равный труд</w:t>
      </w:r>
    </w:p>
    <w:p w:rsidR="00000000" w:rsidRDefault="00000000">
      <w:pPr>
        <w:tabs>
          <w:tab w:val="clear" w:pos="567"/>
          <w:tab w:val="left" w:pos="561"/>
        </w:tabs>
        <w:rPr>
          <w:b/>
          <w:bCs/>
        </w:rPr>
      </w:pPr>
    </w:p>
    <w:p w:rsidR="00000000" w:rsidRDefault="00000000">
      <w:pPr>
        <w:tabs>
          <w:tab w:val="clear" w:pos="567"/>
          <w:tab w:val="left" w:pos="561"/>
        </w:tabs>
      </w:pPr>
      <w:r>
        <w:t>327.</w:t>
      </w:r>
      <w:r>
        <w:tab/>
        <w:t>По мнению правительства, неоправданные различия в заработной плате мужчин и женщин, являются одной из наиболее актуальных проблем обеспечения равенства в сфере труда.  Согласно имеющимся статистическим данным, средние различия в заработной плате довольно длительное время оставались неизменными, хотя с конца 90-х годов они начали увеличиваться.  В период с начала 90</w:t>
      </w:r>
      <w:r>
        <w:noBreakHyphen/>
        <w:t>х годов средняя заработная плата женщин за обычное рабочее время составляла приблизительно 80-82% от средней заработной платы мужчин, а в 2003 году этот показатель повысился до 83%.  Некоторые различия в заработной плате можно объяснить сегрегацией рабочих мест или другими схожими причинами, тогда как другие остаются без объяснений.</w:t>
      </w:r>
    </w:p>
    <w:p w:rsidR="00000000" w:rsidRDefault="00000000">
      <w:pPr>
        <w:tabs>
          <w:tab w:val="clear" w:pos="567"/>
          <w:tab w:val="left" w:pos="561"/>
        </w:tabs>
      </w:pPr>
    </w:p>
    <w:p w:rsidR="00000000" w:rsidRDefault="00000000">
      <w:pPr>
        <w:tabs>
          <w:tab w:val="clear" w:pos="567"/>
          <w:tab w:val="left" w:pos="561"/>
        </w:tabs>
      </w:pPr>
      <w:r>
        <w:t>328.</w:t>
      </w:r>
      <w:r>
        <w:tab/>
        <w:t>На поощрение принципа равной оплаты труда направлена, в частности, поправка к Закону о равенстве, которая вскоре должна быть принята.  Как уже упоминалось, планы обеспечения равенства будут предусматривать составление сеток заработной платы, чтобы проанализировать различия в заработной плате на рабочих местах независимо от системы коллективных договоров.</w:t>
      </w:r>
    </w:p>
    <w:p w:rsidR="00000000" w:rsidRDefault="00000000">
      <w:pPr>
        <w:tabs>
          <w:tab w:val="clear" w:pos="567"/>
          <w:tab w:val="left" w:pos="561"/>
        </w:tabs>
      </w:pPr>
    </w:p>
    <w:p w:rsidR="00000000" w:rsidRDefault="00000000">
      <w:pPr>
        <w:tabs>
          <w:tab w:val="clear" w:pos="567"/>
          <w:tab w:val="left" w:pos="561"/>
        </w:tabs>
      </w:pPr>
      <w:r>
        <w:t>329.</w:t>
      </w:r>
      <w:r>
        <w:tab/>
        <w:t>Летом 2004 года было завершено исследование проблемы обеспечения равной оплаты труда, проводившейся министерством социальных дел и здравоохранения.  По результатам этого исследования 16 ноября 2004 года министерство учредило рабочую группу в составе представителей правительства и профсоюзов, призванную подготовить проект программы, содействующей реализации принципа равной оплаты труда.  В мае 2005 года рабочая группа представила свое предложение, содержащее проект этой программы.  Общая цель, заложенная в проекте программы, заключается в том, чтобы сократить различия в заработной плате мужчин и женщин, рассчитанные на основе среднемесячного вознаграждения за обычное рабочее время, с нынешних 20% по крайней мере до 15% к 2015 году.  Рабочая группа предложила министерству социальных дел и здравоохранения учредить рабочую группу для контроля за осуществлением программы.</w:t>
      </w:r>
    </w:p>
    <w:p w:rsidR="00000000" w:rsidRDefault="00000000">
      <w:pPr>
        <w:tabs>
          <w:tab w:val="clear" w:pos="567"/>
          <w:tab w:val="left" w:pos="561"/>
        </w:tabs>
      </w:pPr>
      <w:r>
        <w:t>330.</w:t>
      </w:r>
      <w:r>
        <w:tab/>
        <w:t>Правительство также считает целесообразным сослаться на периодические доклады об осуществлении Конвенции МОТ № 100, представленные в 2000, 2002 и 2003 годах (</w:t>
      </w:r>
      <w:r>
        <w:rPr>
          <w:i/>
          <w:iCs/>
        </w:rPr>
        <w:t>приложения 7-9)</w:t>
      </w:r>
      <w:r>
        <w:t>.</w:t>
      </w:r>
    </w:p>
    <w:p w:rsidR="00000000" w:rsidRDefault="00000000">
      <w:pPr>
        <w:tabs>
          <w:tab w:val="clear" w:pos="567"/>
          <w:tab w:val="left" w:pos="561"/>
        </w:tabs>
      </w:pPr>
    </w:p>
    <w:p w:rsidR="00000000" w:rsidRDefault="00000000">
      <w:pPr>
        <w:tabs>
          <w:tab w:val="clear" w:pos="567"/>
          <w:tab w:val="left" w:pos="561"/>
        </w:tabs>
        <w:jc w:val="center"/>
        <w:rPr>
          <w:b/>
          <w:bCs/>
        </w:rPr>
      </w:pPr>
      <w:r>
        <w:rPr>
          <w:b/>
          <w:bCs/>
        </w:rPr>
        <w:t>3.</w:t>
      </w:r>
      <w:r>
        <w:rPr>
          <w:b/>
          <w:bCs/>
        </w:rPr>
        <w:tab/>
        <w:t>Положения о гигиене и безопасности труда</w:t>
      </w:r>
    </w:p>
    <w:p w:rsidR="00000000" w:rsidRDefault="00000000">
      <w:pPr>
        <w:tabs>
          <w:tab w:val="clear" w:pos="567"/>
          <w:tab w:val="left" w:pos="561"/>
        </w:tabs>
        <w:rPr>
          <w:b/>
          <w:bCs/>
        </w:rPr>
      </w:pPr>
    </w:p>
    <w:p w:rsidR="00000000" w:rsidRDefault="00000000">
      <w:pPr>
        <w:tabs>
          <w:tab w:val="clear" w:pos="567"/>
          <w:tab w:val="left" w:pos="561"/>
        </w:tabs>
      </w:pPr>
      <w:r>
        <w:t>331.</w:t>
      </w:r>
      <w:r>
        <w:tab/>
        <w:t>Контроль за соблюдением положений, касающихся безопасности труда, осуществляется органами по надзору за безопасностью и гигиеной труда, включая министерство социальных дел и здравоохранения и окружные управления по надзору за безопасностью и гигиеной труда.  Система деления на соответствующие округа для целей обеспечения безопасности и гигиены труда была изменена на основании указа, вступившего в силу в январе 2004 года.  Законодательство, предусматривающее контроль за безопасностью труда и средства правовой защиты на случай нарушения норм безопасности труда, было принято в 1973 году.  Внесенные в это законодательство поправки рассматриваются в периодическом докладе об осуществлении Конвенции МОТ № 81, представленном в 2004 году (</w:t>
      </w:r>
      <w:r>
        <w:rPr>
          <w:i/>
          <w:iCs/>
        </w:rPr>
        <w:t>приложение 12).</w:t>
      </w:r>
    </w:p>
    <w:p w:rsidR="00000000" w:rsidRDefault="00000000">
      <w:pPr>
        <w:tabs>
          <w:tab w:val="clear" w:pos="567"/>
          <w:tab w:val="left" w:pos="561"/>
        </w:tabs>
      </w:pPr>
    </w:p>
    <w:p w:rsidR="00000000" w:rsidRDefault="00000000">
      <w:pPr>
        <w:tabs>
          <w:tab w:val="clear" w:pos="567"/>
          <w:tab w:val="left" w:pos="561"/>
        </w:tabs>
      </w:pPr>
      <w:r>
        <w:t>332.</w:t>
      </w:r>
      <w:r>
        <w:tab/>
        <w:t>В 2001 году одновременно вступили в силу новый Закон о трудовых договорах и Закон о санкционировании общего применения коллективных договоров (56/2001), где определяется национальный орган, отвечающий за решение вопросов общего применения конкретных коллективных договоров, а также состав этого органа.</w:t>
      </w:r>
    </w:p>
    <w:p w:rsidR="00000000" w:rsidRDefault="00000000">
      <w:pPr>
        <w:tabs>
          <w:tab w:val="clear" w:pos="567"/>
          <w:tab w:val="left" w:pos="561"/>
        </w:tabs>
      </w:pPr>
    </w:p>
    <w:p w:rsidR="00000000" w:rsidRDefault="00000000">
      <w:pPr>
        <w:tabs>
          <w:tab w:val="clear" w:pos="567"/>
          <w:tab w:val="left" w:pos="561"/>
        </w:tabs>
      </w:pPr>
      <w:r>
        <w:t>333.</w:t>
      </w:r>
      <w:r>
        <w:tab/>
        <w:t>В январе 2002 года вступил в силу новый Закон об обеспечении гигиены труда (1383/2001).  В нем более точно, чем прежде регулируются общие принципы, характер и порядок осуществления мероприятий по поддержанию производственной гигиены.  Основное внимание в новых положениях уделяется укреплению факторов гигиены и поддержания работоспособности на производстве, а также улучшению условий труда.  После того как 1 октября 2004 года вступил в силу Закон об охране частной жизни в сфере труда, были изменены положения Закона об обеспечении гигиены труда, касающиеся плана мероприятий по поддержанию гигиены труда и плана мероприятий по предупреждению злоупотребления токсическими веществами.</w:t>
      </w:r>
    </w:p>
    <w:p w:rsidR="00000000" w:rsidRDefault="00000000">
      <w:pPr>
        <w:tabs>
          <w:tab w:val="clear" w:pos="567"/>
          <w:tab w:val="left" w:pos="561"/>
        </w:tabs>
      </w:pPr>
    </w:p>
    <w:p w:rsidR="00000000" w:rsidRDefault="00000000">
      <w:pPr>
        <w:tabs>
          <w:tab w:val="clear" w:pos="567"/>
          <w:tab w:val="left" w:pos="561"/>
        </w:tabs>
      </w:pPr>
      <w:r>
        <w:t>334.</w:t>
      </w:r>
      <w:r>
        <w:tab/>
        <w:t>В январе 2003 года вступил в силу новый Закон о безопасности и гигиене труда (787/2002), заменивший закон 1958 года.  Закон применяется как к крупным, так и к малым предприятиям в государственном и частном секторе. В нем содержатся основные положения о безопасности и гигиене труда и устанавливаются общие цели соответствующей деятельности с особым акцентом на проведение мероприятий по поддержанию безопасности труда на производстве по инициативе самого предприятия.  Закон включает в себя ряд новых положений, в том числе положения, касающиеся рабочей нагрузки, угрозы применения насилия и работы в одиночку.</w:t>
      </w:r>
    </w:p>
    <w:p w:rsidR="00000000" w:rsidRDefault="00000000">
      <w:pPr>
        <w:tabs>
          <w:tab w:val="clear" w:pos="567"/>
          <w:tab w:val="left" w:pos="561"/>
        </w:tabs>
      </w:pPr>
    </w:p>
    <w:p w:rsidR="00000000" w:rsidRDefault="00000000">
      <w:pPr>
        <w:tabs>
          <w:tab w:val="clear" w:pos="567"/>
          <w:tab w:val="left" w:pos="561"/>
        </w:tabs>
      </w:pPr>
      <w:r>
        <w:t>335.</w:t>
      </w:r>
      <w:r>
        <w:tab/>
        <w:t>15 мая 2003 года министерство социальных дел и здравоохранения учредило комитет для подготовки предложения в отношении внесения поправок в Закон о надзоре за безопасностью и гигиеной труда и процедуре обжалования по вопросам, относящимся к безопасности и гигиене труда.  В июне 2005 года на рассмотрение парламента был внесен законопроект, подготовленный правительством на основе предложения этого комитета вместе с профсоюзами.</w:t>
      </w:r>
    </w:p>
    <w:p w:rsidR="00000000" w:rsidRDefault="00000000"/>
    <w:p w:rsidR="00000000" w:rsidRDefault="00000000">
      <w:r>
        <w:t>336.</w:t>
      </w:r>
      <w:r>
        <w:tab/>
        <w:t xml:space="preserve">Динамика несчастных случаев на производстве и профессиональных заболеваний за последние десять лет представлена в приложении 24, в котором содержится информация о мерах контроля, принятых органами по надзору за безопасностью и гигиеной труда, а также о потребностях в соответствующих услугах.  </w:t>
      </w:r>
    </w:p>
    <w:p w:rsidR="00000000" w:rsidRDefault="00000000"/>
    <w:p w:rsidR="00000000" w:rsidRDefault="00000000">
      <w:r>
        <w:t>337.</w:t>
      </w:r>
      <w:r>
        <w:tab/>
        <w:t xml:space="preserve">В 2001 году вступил в силу Закон об охране частной жизни в сфере труда.  Однако этот закон был вскоре пересмотрен посредством добавления положений, касающихся защиты сообщений, направляемых по электронной почте, наблюдения с помощью камер и обработки информации об использовании наркотических веществ.  Пересмотренный закон (759/2004) вступил в силу 1 октября 2004 года.  Этот закон преследует цель обеспечить охрану частной жизни в производственной среде и других основополагающих прав, связанных с частной жизнью, и повысить эффективность соблюдения требований, касающихся обработки личных данных.  Действие этого закона распространяется на лиц, работающих в частном секторе, на государственных служащих и лиц, ищущих работу.  </w:t>
      </w:r>
    </w:p>
    <w:p w:rsidR="00000000" w:rsidRDefault="00000000"/>
    <w:p w:rsidR="00000000" w:rsidRDefault="00000000">
      <w:r>
        <w:t>338.</w:t>
      </w:r>
      <w:r>
        <w:tab/>
        <w:t xml:space="preserve">Работодателю разрешается обрабатывать только такие личные данные, которые непосредственно необходимы для осуществления прав и обязательств сторон по трудовому договору, касаются льгот и пособий, предоставляемых нанимателем работнику, или требуются в силу особого характера соответствующей работы.  Из этого требования, касающегося наличия необходимости, не должно делаться никаких исключений даже с согласия работника.  </w:t>
      </w:r>
    </w:p>
    <w:p w:rsidR="00000000" w:rsidRDefault="00000000"/>
    <w:p w:rsidR="00000000" w:rsidRDefault="00000000">
      <w:r>
        <w:t>339.</w:t>
      </w:r>
      <w:r>
        <w:tab/>
        <w:t xml:space="preserve">Закон устанавливает процедуры, которые должны использоваться работодателем при сборе или обработке данных, имеющих отношение к занятости.  Предусмотренные в законе меры направлены на то, чтобы повысить объективность оценки личных качеств и профессиональной пригодности, а также укрепить защиту лиц, ищущих работу, согласно действующим правовым нормам.  Право работодателя применительно к обработке данных, касающихся состояния здоровья работников, было регламентировано.  Работодатель вообще не может использовать данные, полученные в ходе генетического анализа.  </w:t>
      </w:r>
    </w:p>
    <w:p w:rsidR="00000000" w:rsidRDefault="00000000"/>
    <w:p w:rsidR="00000000" w:rsidRDefault="00000000">
      <w:r>
        <w:t>340.</w:t>
      </w:r>
      <w:r>
        <w:tab/>
        <w:t xml:space="preserve">В соответствии с этим законом расширяется круг вопросов, подлежащих решению в порядке сотрудничества или консультаций на производстве.  К числу новых вопросов относится, в частности, сбор данных при приеме на работу и в процессе работы, а также техническое наблюдение и использование Интернета и электронной почты.  Однако к этим мерам также применяется требование наличия необходимости.  </w:t>
      </w:r>
    </w:p>
    <w:p w:rsidR="00000000" w:rsidRDefault="00000000"/>
    <w:p w:rsidR="00000000" w:rsidRDefault="00000000">
      <w:r>
        <w:t>341.</w:t>
      </w:r>
      <w:r>
        <w:tab/>
        <w:t xml:space="preserve">С работодателя или его представителя, сознательно или по халатности нарушающего положения этого закона, может быть взыскан штраф.  </w:t>
      </w:r>
    </w:p>
    <w:p w:rsidR="00000000" w:rsidRDefault="00000000"/>
    <w:p w:rsidR="00000000" w:rsidRDefault="00000000">
      <w:pPr>
        <w:jc w:val="center"/>
        <w:rPr>
          <w:b/>
          <w:bCs/>
        </w:rPr>
      </w:pPr>
      <w:r>
        <w:rPr>
          <w:b/>
          <w:bCs/>
        </w:rPr>
        <w:t>4.</w:t>
      </w:r>
      <w:r>
        <w:rPr>
          <w:b/>
          <w:bCs/>
        </w:rPr>
        <w:tab/>
        <w:t>Фактическое осуществление принципа равенства возможностей</w:t>
      </w:r>
    </w:p>
    <w:p w:rsidR="00000000" w:rsidRDefault="00000000">
      <w:pPr>
        <w:jc w:val="center"/>
        <w:rPr>
          <w:b/>
          <w:bCs/>
        </w:rPr>
      </w:pPr>
      <w:r>
        <w:rPr>
          <w:b/>
          <w:bCs/>
        </w:rPr>
        <w:t>служебного роста</w:t>
      </w:r>
    </w:p>
    <w:p w:rsidR="00000000" w:rsidRDefault="00000000">
      <w:pPr>
        <w:rPr>
          <w:b/>
          <w:bCs/>
        </w:rPr>
      </w:pPr>
    </w:p>
    <w:p w:rsidR="00000000" w:rsidRDefault="00000000">
      <w:r>
        <w:t>342.</w:t>
      </w:r>
      <w:r>
        <w:tab/>
        <w:t xml:space="preserve">Статья 1 главы 2 Закона о трудовых договорах (55/2001) предусматривает, что работодатель обязан принимать всевозможные меры с целью улучшения отношений между ним и работниками, а также отношений между работниками.  Работодатель должен прилагать усилия с целью расширения имеющихся у работников возможностей в плане самосовершенствования с учетом их способностей, чтобы они могли продвигаться по службе.  </w:t>
      </w:r>
    </w:p>
    <w:p w:rsidR="00000000" w:rsidRDefault="00000000"/>
    <w:p w:rsidR="00000000" w:rsidRDefault="00000000">
      <w:r>
        <w:t>343.</w:t>
      </w:r>
      <w:r>
        <w:tab/>
        <w:t xml:space="preserve">В целях стимулирования профессионального роста директоров-женщин, работающих в системе государственного управления, в 2002 году министерство финансов создало ассоциацию директоров-женщин.  В эту ассоциацию входят примерно 300 директоров, представляющих различные сферы государственного управления.  В 2004 и 2005 годах директора, работающие по линии различных министерств, поочередно организовывают директорские совещания.  В конце 2005 года намечено провести оценку результатов такого сотрудничества, чтобы принять решение о целесообразности его продолжения в будущем.  </w:t>
      </w:r>
    </w:p>
    <w:p w:rsidR="00000000" w:rsidRDefault="00000000"/>
    <w:p w:rsidR="00000000" w:rsidRDefault="00000000">
      <w:r>
        <w:t>344.</w:t>
      </w:r>
      <w:r>
        <w:tab/>
        <w:t>Правительство считает целесообразным также сослаться на периодические доклады об осуществлении Конвенции МОТ № 111, представленные в 1999, 2001 и 2003 годах (</w:t>
      </w:r>
      <w:r>
        <w:rPr>
          <w:i/>
          <w:iCs/>
        </w:rPr>
        <w:t>приложения 1</w:t>
      </w:r>
      <w:r>
        <w:rPr>
          <w:i/>
          <w:iCs/>
        </w:rPr>
        <w:noBreakHyphen/>
        <w:t>3</w:t>
      </w:r>
      <w:r>
        <w:t xml:space="preserve">).  </w:t>
      </w:r>
    </w:p>
    <w:p w:rsidR="00000000" w:rsidRDefault="00000000"/>
    <w:p w:rsidR="00000000" w:rsidRDefault="00000000">
      <w:pPr>
        <w:keepNext/>
        <w:jc w:val="center"/>
        <w:rPr>
          <w:b/>
          <w:bCs/>
        </w:rPr>
      </w:pPr>
      <w:r>
        <w:rPr>
          <w:b/>
          <w:bCs/>
        </w:rPr>
        <w:t>5.</w:t>
      </w:r>
      <w:r>
        <w:rPr>
          <w:b/>
          <w:bCs/>
        </w:rPr>
        <w:tab/>
        <w:t>Рабочее время, оплачиваемый периодический отпуск и вознаграждение за праздничные дни</w:t>
      </w:r>
    </w:p>
    <w:p w:rsidR="00000000" w:rsidRDefault="00000000">
      <w:pPr>
        <w:keepNext/>
        <w:rPr>
          <w:b/>
          <w:bCs/>
        </w:rPr>
      </w:pPr>
    </w:p>
    <w:p w:rsidR="00000000" w:rsidRDefault="00000000">
      <w:r>
        <w:t>345.</w:t>
      </w:r>
      <w:r>
        <w:tab/>
        <w:t xml:space="preserve">Поправки, внесенные в Закон о рабочем времени (605/1996), носят главным образом технический характер, будучи следствием поправок, внесенных в другое законодательство, касающееся рабочего времени.  </w:t>
      </w:r>
    </w:p>
    <w:p w:rsidR="00000000" w:rsidRDefault="00000000"/>
    <w:p w:rsidR="00000000" w:rsidRDefault="00000000">
      <w:r>
        <w:t>346.</w:t>
      </w:r>
      <w:r>
        <w:tab/>
        <w:t xml:space="preserve">1 апреля 2005 года вступил в силу новый </w:t>
      </w:r>
      <w:r>
        <w:rPr>
          <w:i/>
          <w:iCs/>
        </w:rPr>
        <w:t>Закон о ежегодных отпусках</w:t>
      </w:r>
      <w:r>
        <w:t xml:space="preserve"> (162/2005), заменивший прежний закон 1973 года и нормативные положения, регулировавшие вопросы ежегодных отпусков государственных служащих.  Этот закон предусматривает увеличение отпускных пособий лиц, имеющих временную или частичную занятость, и более гибкие сроки отпусков.  Он гарантирует каждому трудящемуся оплачиваемый ежегодный отпуск и предполагает более широкие возможности гармоничной увязки работы с семейной жизнью.  Кроме того, закон предусматривает защиту от ущемления прав на отпуск при длительном отсутствии работников по болезни и увольнениях.  Новый закон о ежегодных отпусках распространяется на все сферы занятости работников частного сектора и государственных служащих.  </w:t>
      </w:r>
    </w:p>
    <w:p w:rsidR="00000000" w:rsidRDefault="00000000"/>
    <w:p w:rsidR="00000000" w:rsidRDefault="00000000">
      <w:r>
        <w:t>347.</w:t>
      </w:r>
      <w:r>
        <w:tab/>
        <w:t>Продолжительность ежегодных отпусков определяется теми же принципами, что и в отмененном законе.  Статус частично занятых улучшен благодаря тому, что в отличие от отмененного закона положения о сроках, эквивалентных отработанному времени, теперь как таковые применяются к лицам, охватываемым правилом 35 часов.  Полным месяцем, за который начисляется отпуск, считается календарный месяц, в течение которого работник отработал по меньшей мере 35 часов или эквивалентное рабочее время.  Соответственно указанные лица пользуются таким же обращением, как и полностью занятые лица, например в случаях отпуска по болезни или увольнения.</w:t>
      </w:r>
    </w:p>
    <w:p w:rsidR="00000000" w:rsidRDefault="00000000"/>
    <w:p w:rsidR="00000000" w:rsidRDefault="00000000">
      <w:r>
        <w:t>348.</w:t>
      </w:r>
      <w:r>
        <w:tab/>
        <w:t>Положение тех лиц, которые ранее не имели права на отпуск, улучшилось, поскольку они получили возможность брать отпускные дни.  Работник может взять два отпускных дня в течение месяца, в течение которого он работает.  В случаях, когда стаж работы составляет не менее одного года, работник имеет право на четыре недели отпуска, за которые он также может получать отпускное пособие.  Это также касается домашней прислуги и членов семей трудящихся, в которых работает только один человек.  Ранее они не имели право на отпуска, предоставляемые исходя из указанных расчетных сроков.</w:t>
      </w:r>
    </w:p>
    <w:p w:rsidR="00000000" w:rsidRDefault="00000000"/>
    <w:p w:rsidR="00000000" w:rsidRDefault="00000000">
      <w:r>
        <w:t>349.</w:t>
      </w:r>
      <w:r>
        <w:tab/>
        <w:t>Право на отпускные дни имеют трудящиеся, проработавшие на одного и того же нанимателя по нескольким трудовым договорам без перерыва или лишь при коротких перерывах в работе.  В этих случаях максимальная продолжительность времени их отдыха устанавливается таким же образом, как и продолжительность ежегодного отпуска.</w:t>
      </w:r>
    </w:p>
    <w:p w:rsidR="00000000" w:rsidRDefault="00000000">
      <w:r>
        <w:t>350.</w:t>
      </w:r>
      <w:r>
        <w:tab/>
        <w:t>Положение временных работников также улучшено вследствие того, что в случае многократного продления их контрактов они могут выбирать:  либо получить денежную компенсацию за причитающиеся им отпускные дни по окончании конкретного периода работы, либо перенести свой отпуск на следующий период занятости.</w:t>
      </w:r>
    </w:p>
    <w:p w:rsidR="00000000" w:rsidRDefault="00000000"/>
    <w:p w:rsidR="00000000" w:rsidRDefault="00000000">
      <w:r>
        <w:t>351.</w:t>
      </w:r>
      <w:r>
        <w:tab/>
        <w:t>Работодатель вправе по-прежнему устанавливать сроки отпусков на той же основе, как это было в соответствии с прежним законодательством  Однако данный вопрос может также решаться по обоюдному согласию сторон.  Трудящийся, от которого исходит инициатива, и работодатель могут согласовать то, какая часть отпуска сверх 24 рабочих дней будет использована в счет работы сокращенное рабочее время, например таким образом, чтобы в течение двух недель работать по сокращенному графику, например лишь полдня.  Это может быть интересным, в частности, для родителей с малолетними детьми школьного возраста.</w:t>
      </w:r>
    </w:p>
    <w:p w:rsidR="00000000" w:rsidRDefault="00000000"/>
    <w:p w:rsidR="00000000" w:rsidRDefault="00000000">
      <w:r>
        <w:t>352.</w:t>
      </w:r>
      <w:r>
        <w:tab/>
        <w:t>Пересмотренный Закон о ежегодных отпусках предусматривает более широкие возможности в плане отхода от своих обязательных положений на основе коллективных договоров при условии, что достигнутые договоренности будут гарантировать предоставление трудящимся законных ежегодных отпусков.  Это позволяет принимать во внимание конкретные отраслевые нужды при согласовании графика ежегодных отпусков.</w:t>
      </w:r>
    </w:p>
    <w:p w:rsidR="00000000" w:rsidRDefault="00000000"/>
    <w:p w:rsidR="00000000" w:rsidRDefault="00000000">
      <w:r>
        <w:t>353.</w:t>
      </w:r>
      <w:r>
        <w:tab/>
        <w:t>Правительство считает целесообразным также сослаться на периодические доклады об осуществлении Конвенции  МОТ № 132, представленные в 2000 и 2003 годах (</w:t>
      </w:r>
      <w:r>
        <w:rPr>
          <w:i/>
          <w:iCs/>
        </w:rPr>
        <w:t>приложения 10 и 11</w:t>
      </w:r>
      <w:r>
        <w:t>).</w:t>
      </w:r>
    </w:p>
    <w:p w:rsidR="00000000" w:rsidRDefault="00000000"/>
    <w:p w:rsidR="00000000" w:rsidRDefault="00000000">
      <w:pPr>
        <w:jc w:val="center"/>
      </w:pPr>
      <w:r>
        <w:rPr>
          <w:b/>
          <w:bCs/>
        </w:rPr>
        <w:t>5 a)</w:t>
      </w:r>
      <w:r>
        <w:rPr>
          <w:b/>
          <w:bCs/>
        </w:rPr>
        <w:tab/>
        <w:t>Факторы и трудности, отражающиеся на степени осуществления вышеупомянутых прав</w:t>
      </w:r>
    </w:p>
    <w:p w:rsidR="00000000" w:rsidRDefault="00000000"/>
    <w:p w:rsidR="00000000" w:rsidRDefault="00000000">
      <w:r>
        <w:t>354.</w:t>
      </w:r>
      <w:r>
        <w:tab/>
        <w:t>Согласно обследованию, результаты которого были опубликованы Конфедерацией профсоюзов работников учебных заведений Финляндии весной 2005 года, общая продолжительность рабочего времени ее членов сократилась в 1999</w:t>
      </w:r>
      <w:r>
        <w:noBreakHyphen/>
        <w:t>2004 годах приблизительно на 1,8 часа в неделю.  В 2004 году средняя общая продолжительность рабочего времени составляла 41,2 часа, но при этом между различными секторами наблюдались существенные колебания.  59% членов Конфедерации в среднем по</w:t>
      </w:r>
      <w:r>
        <w:noBreakHyphen/>
        <w:t>прежнему работают сверхурочно 6,7 часа в неделю.  Объем сверхурочной работы, выполнявшейся без выплаты компенсации, по сравнению с 1999 годом сократился, однако 41% членов все еще работают сверхурочное время, не получая компенсации.</w:t>
      </w:r>
    </w:p>
    <w:p w:rsidR="00000000" w:rsidRDefault="00000000"/>
    <w:p w:rsidR="00000000" w:rsidRDefault="00000000">
      <w:pPr>
        <w:keepNext/>
        <w:jc w:val="center"/>
        <w:rPr>
          <w:b/>
          <w:bCs/>
        </w:rPr>
      </w:pPr>
      <w:r>
        <w:rPr>
          <w:b/>
          <w:bCs/>
        </w:rPr>
        <w:t xml:space="preserve">5 </w:t>
      </w:r>
      <w:r>
        <w:rPr>
          <w:b/>
          <w:bCs/>
          <w:lang w:val="en-US"/>
        </w:rPr>
        <w:t>b</w:t>
      </w:r>
      <w:r>
        <w:rPr>
          <w:b/>
          <w:bCs/>
        </w:rPr>
        <w:t>)</w:t>
      </w:r>
      <w:r>
        <w:rPr>
          <w:b/>
          <w:bCs/>
        </w:rPr>
        <w:tab/>
        <w:t>Категория трудящихся, которые лишены возможности пользования вышеупомянутыми правами</w:t>
      </w:r>
    </w:p>
    <w:p w:rsidR="00000000" w:rsidRDefault="00000000">
      <w:pPr>
        <w:rPr>
          <w:b/>
          <w:bCs/>
        </w:rPr>
      </w:pPr>
    </w:p>
    <w:p w:rsidR="00000000" w:rsidRDefault="00000000">
      <w:r>
        <w:t>355.</w:t>
      </w:r>
      <w:r>
        <w:tab/>
        <w:t>Правительство считает целесообразным сослаться на приведенную выше информацию в отношении пересмотра Закона о ежегодных отпусках.</w:t>
      </w:r>
    </w:p>
    <w:p w:rsidR="00000000" w:rsidRDefault="00000000"/>
    <w:p w:rsidR="00000000" w:rsidRDefault="00000000">
      <w:pPr>
        <w:jc w:val="center"/>
        <w:rPr>
          <w:b/>
          <w:bCs/>
        </w:rPr>
      </w:pPr>
      <w:r>
        <w:rPr>
          <w:b/>
          <w:bCs/>
        </w:rPr>
        <w:t>6.</w:t>
      </w:r>
      <w:r>
        <w:rPr>
          <w:b/>
          <w:bCs/>
        </w:rPr>
        <w:tab/>
        <w:t>Изменения в национальном законодательстве</w:t>
      </w:r>
    </w:p>
    <w:p w:rsidR="00000000" w:rsidRDefault="00000000">
      <w:pPr>
        <w:rPr>
          <w:b/>
          <w:bCs/>
        </w:rPr>
      </w:pPr>
    </w:p>
    <w:p w:rsidR="00000000" w:rsidRDefault="00000000">
      <w:r>
        <w:t>356.</w:t>
      </w:r>
      <w:r>
        <w:tab/>
        <w:t>В отношении равенства в сфере трудовой деятельности правительство считает целесообразным сослаться на информацию, которая приводится в тексте к статье 3 и статье 7 (раздел 2 с)).</w:t>
      </w:r>
    </w:p>
    <w:p w:rsidR="00000000" w:rsidRDefault="00000000"/>
    <w:p w:rsidR="00000000" w:rsidRDefault="00000000">
      <w:r>
        <w:t>357.</w:t>
      </w:r>
      <w:r>
        <w:tab/>
        <w:t>Поправки к законодательству, касающемуся безопасности и гигиены труда и деятельности соответствующих компетентных органов, рассматриваются в разделе 3 выше.  Периодический доклад об осуществлении Конвенции МОТ № 81, представленный в 2004 году, и периодические доклады об осуществлении Конвенции МОТ № 129, представленные в 2000, 2002 и 2004 годах, прилагаются к настоящему докладу (</w:t>
      </w:r>
      <w:r>
        <w:rPr>
          <w:i/>
          <w:iCs/>
        </w:rPr>
        <w:t>приложения 12-15</w:t>
      </w:r>
      <w:r>
        <w:t>).</w:t>
      </w:r>
    </w:p>
    <w:p w:rsidR="00000000" w:rsidRDefault="00000000"/>
    <w:p w:rsidR="00000000" w:rsidRDefault="00000000">
      <w:pPr>
        <w:keepNext/>
        <w:jc w:val="center"/>
        <w:rPr>
          <w:b/>
          <w:bCs/>
        </w:rPr>
      </w:pPr>
      <w:r>
        <w:rPr>
          <w:b/>
          <w:bCs/>
        </w:rPr>
        <w:t>Статья 8</w:t>
      </w:r>
    </w:p>
    <w:p w:rsidR="00000000" w:rsidRDefault="00000000">
      <w:pPr>
        <w:rPr>
          <w:b/>
          <w:bCs/>
        </w:rPr>
      </w:pPr>
    </w:p>
    <w:p w:rsidR="00000000" w:rsidRDefault="00000000">
      <w:pPr>
        <w:jc w:val="center"/>
        <w:rPr>
          <w:b/>
          <w:bCs/>
        </w:rPr>
      </w:pPr>
      <w:r>
        <w:rPr>
          <w:b/>
          <w:bCs/>
        </w:rPr>
        <w:t>1.</w:t>
      </w:r>
      <w:r>
        <w:rPr>
          <w:b/>
          <w:bCs/>
        </w:rPr>
        <w:tab/>
        <w:t>Международные конвенции</w:t>
      </w:r>
    </w:p>
    <w:p w:rsidR="00000000" w:rsidRDefault="00000000">
      <w:pPr>
        <w:rPr>
          <w:b/>
          <w:bCs/>
        </w:rPr>
      </w:pPr>
    </w:p>
    <w:p w:rsidR="00000000" w:rsidRDefault="00000000">
      <w:r>
        <w:t>358.</w:t>
      </w:r>
      <w:r>
        <w:tab/>
        <w:t>Финляндия ратифицировала все конвенции, упомянутые в Общих руководящих принципах.</w:t>
      </w:r>
    </w:p>
    <w:p w:rsidR="00000000" w:rsidRDefault="00000000"/>
    <w:p w:rsidR="00000000" w:rsidRDefault="00000000">
      <w:r>
        <w:t>359.</w:t>
      </w:r>
      <w:r>
        <w:tab/>
        <w:t>В период, охватываемый настоящим докладом, в национальное законодательство, регулирующее вопросы членства в профсоюзах, и в Закон о посредничестве в разрешении трудовых споров (420/1962) не было внесено никаких соответствующих поправок.</w:t>
      </w:r>
    </w:p>
    <w:p w:rsidR="00000000" w:rsidRDefault="00000000"/>
    <w:p w:rsidR="00000000" w:rsidRDefault="00000000">
      <w:r>
        <w:t>360.</w:t>
      </w:r>
      <w:r>
        <w:tab/>
        <w:t>Информация о членстве в профсоюзах включена в периодические доклады об осуществлении Конвенции МОТ № 87, представленные в 2000, 2002 и 2003 годах (</w:t>
      </w:r>
      <w:r>
        <w:rPr>
          <w:i/>
          <w:iCs/>
        </w:rPr>
        <w:t>приложения 16-18</w:t>
      </w:r>
      <w:r>
        <w:t>).</w:t>
      </w:r>
    </w:p>
    <w:p w:rsidR="00000000" w:rsidRDefault="00000000"/>
    <w:p w:rsidR="00000000" w:rsidRDefault="00000000">
      <w:pPr>
        <w:jc w:val="center"/>
        <w:rPr>
          <w:b/>
          <w:bCs/>
        </w:rPr>
      </w:pPr>
      <w:r>
        <w:rPr>
          <w:b/>
          <w:bCs/>
        </w:rPr>
        <w:t>2 е)</w:t>
      </w:r>
      <w:r>
        <w:rPr>
          <w:b/>
          <w:bCs/>
        </w:rPr>
        <w:tab/>
        <w:t>Данные о численности и структуре профсоюзных организаций</w:t>
      </w:r>
    </w:p>
    <w:p w:rsidR="00000000" w:rsidRDefault="00000000">
      <w:pPr>
        <w:jc w:val="center"/>
        <w:rPr>
          <w:b/>
          <w:bCs/>
        </w:rPr>
      </w:pPr>
      <w:r>
        <w:rPr>
          <w:b/>
          <w:bCs/>
        </w:rPr>
        <w:t>и об их членском составе</w:t>
      </w:r>
    </w:p>
    <w:p w:rsidR="00000000" w:rsidRDefault="00000000">
      <w:pPr>
        <w:rPr>
          <w:b/>
          <w:bCs/>
        </w:rPr>
      </w:pPr>
    </w:p>
    <w:p w:rsidR="00000000" w:rsidRDefault="00000000">
      <w:r>
        <w:t>361.</w:t>
      </w:r>
      <w:r>
        <w:tab/>
        <w:t>Одним из центральных профсоюзов в Финляндии является Конфедерация профсоюзов работников учебных заведений (</w:t>
      </w:r>
      <w:r>
        <w:rPr>
          <w:lang w:val="en-US"/>
        </w:rPr>
        <w:t>AKAVA</w:t>
      </w:r>
      <w:r>
        <w:t xml:space="preserve">), в состав которой входят профсоюзные организации, представляющие лиц соответствующего круга профессий или имеющих университетское образование.  60% ее членов имеют высшее университетское образование.  Конфедерация объединяет 32 профсоюза общей численностью 448 000 членов (по состоянию на 1 января 2005 года).  Среди ее членов, занятых полный рабочий день, 13% приходятся на долю сотрудников органов государственной власти, 37% </w:t>
      </w:r>
      <w:r>
        <w:noBreakHyphen/>
        <w:t xml:space="preserve"> сотрудников органов местного самоуправления, 45% работают в частном секторе и 5% </w:t>
      </w:r>
      <w:r>
        <w:noBreakHyphen/>
        <w:t xml:space="preserve"> в других областях.  За период с 1999</w:t>
      </w:r>
      <w:r>
        <w:rPr>
          <w:lang w:val="en-US"/>
        </w:rPr>
        <w:t> </w:t>
      </w:r>
      <w:r>
        <w:t>года доля членов Конфедерации, занятых в частном секторе, возросла примерно на 6%.</w:t>
      </w:r>
    </w:p>
    <w:p w:rsidR="00000000" w:rsidRDefault="00000000"/>
    <w:p w:rsidR="00000000" w:rsidRDefault="00000000">
      <w:r>
        <w:t>362.</w:t>
      </w:r>
      <w:r>
        <w:tab/>
        <w:t>Финская конфедерация наемных работников (STTK) объединяет 20 профсоюзов, насчитывающих в общей сложности 650 000 членов.  Согласно статистическим данным за 2003 год, 17% ее членов работали в государственных организациях или учреждениях или в государственных компаниях, 37% - в местных органах власти или объединенных муниципальных советах, 3% - в церковных приходах или других религиозных общинах, 2% работали на других нанимателей в государственном секторе и 41% - в частном секторе, причем наибольшая доля приходилась на промышленность и строительство (16%) и сектор услуг (16%).</w:t>
      </w:r>
    </w:p>
    <w:p w:rsidR="00000000" w:rsidRDefault="00000000"/>
    <w:p w:rsidR="00000000" w:rsidRDefault="00000000">
      <w:pPr>
        <w:jc w:val="center"/>
        <w:rPr>
          <w:b/>
          <w:bCs/>
        </w:rPr>
      </w:pPr>
      <w:r>
        <w:rPr>
          <w:b/>
          <w:bCs/>
        </w:rPr>
        <w:t>3.</w:t>
      </w:r>
      <w:r>
        <w:rPr>
          <w:b/>
          <w:bCs/>
        </w:rPr>
        <w:tab/>
        <w:t>Право на забастовку</w:t>
      </w:r>
    </w:p>
    <w:p w:rsidR="00000000" w:rsidRDefault="00000000">
      <w:pPr>
        <w:rPr>
          <w:b/>
          <w:bCs/>
        </w:rPr>
      </w:pPr>
    </w:p>
    <w:p w:rsidR="00000000" w:rsidRDefault="00000000">
      <w:r>
        <w:t>363.</w:t>
      </w:r>
      <w:r>
        <w:tab/>
        <w:t>Право на забастовку охраняется пунктом 1 d) статьи 8 Пакта, который предусматривает, что оно осуществляется в соответствии с законами конкретной страны.  Свобода создания профсоюзов и организаций в целях отстаивания других интересов гарантируется Конституцией.  Более подробные положения об осуществлении свободы собраний и свободы ассоциации закрепляются соответствующим законодательством.  Применительно к этим правам Финляндия также связана обязательствами по ряду других международных договоров, включая Конвенции МОТ № 87, 98 и 151, а также Европейскую социальную хартию.</w:t>
      </w:r>
    </w:p>
    <w:p w:rsidR="00000000" w:rsidRDefault="00000000"/>
    <w:p w:rsidR="00000000" w:rsidRDefault="00000000">
      <w:r>
        <w:t>364.</w:t>
      </w:r>
      <w:r>
        <w:tab/>
        <w:t>Центральная организация профсоюзов Финляндии (SAK) считает, что положения пункта 1 d) статьи 8 Пакта следует толковать с учетом обязательств, обусловленных Конвенциями МОТ и пунктом 4 статьи 6 Европейской социальной хартии.  По ее мнению, охрана права государственных служащих (сотрудников государственных органов власти, местных органов самоуправления и церковных организаций) на забастовку является неадекватной.  Европейский комитет по социальным правам фактически уже отмечал, что финское законодательство противоречит пункту 4 статьи 6 Европейской социальной хартии, ссылаясь на то, что ограничения, согласно которым на практике гражданские служащие могут принимать коллективные меры лишь в целях заключения коллективного договора, идут вразрез с положениями Хартии.  Замечания Комитета экспертов МОТ по данному вопросу пока еще не получены.</w:t>
      </w:r>
    </w:p>
    <w:p w:rsidR="00000000" w:rsidRDefault="00000000"/>
    <w:p w:rsidR="00000000" w:rsidRDefault="00000000">
      <w:r>
        <w:t>365.</w:t>
      </w:r>
      <w:r>
        <w:tab/>
        <w:t>Пункт 1 статьи 8 Закона о коллективных договорах в отношении государственных гражданских служащих (664/1970) предусматривает, что государственный служащий не может принимать коллективных действий, помимо локаута или забастовки, если коллективные действия призваны затронуть существующие условия занятости.  По истечении срока действия коллективного договора забастовку разрешается проводить только в целях поддержки таких требований, которые можно, согласно указанному закону, урегулировать посредством коллективных договоров.  В течение срока действия коллективного договора не разрешается принимать никаких коллективных действий, затрагивающих его характер и условия.  Забастовки, проводимые в целях, отличных от тех целей, которые предусматриваются коллективным договором, также запрещаются.  Таким образом, с учетом этих ограничений посредством забастовки можно добиваться целей, предусмотренных коллективным договором, при условии, если забастовка не направлена на заключение нового коллективного договора.</w:t>
      </w:r>
    </w:p>
    <w:p w:rsidR="00000000" w:rsidRDefault="00000000"/>
    <w:p w:rsidR="00000000" w:rsidRDefault="00000000">
      <w:r>
        <w:t>366.</w:t>
      </w:r>
      <w:r>
        <w:tab/>
        <w:t>В соответствии с пунктом 4 статьи 8 вышеупомянутого закона государственный служащий может принимать участие в забастовке только по решению того профсоюза трудящихся, который объявил забастовку.  Однако это не подразумевает ограничения права на забастовку, а цель данного положения заключается в обеспечении непрерывности оказания общественных услуг.</w:t>
      </w:r>
    </w:p>
    <w:p w:rsidR="00000000" w:rsidRDefault="00000000"/>
    <w:p w:rsidR="00000000" w:rsidRDefault="00000000">
      <w:pPr>
        <w:jc w:val="center"/>
        <w:rPr>
          <w:b/>
          <w:bCs/>
        </w:rPr>
      </w:pPr>
      <w:r>
        <w:rPr>
          <w:b/>
          <w:bCs/>
        </w:rPr>
        <w:t>Статья 9</w:t>
      </w:r>
    </w:p>
    <w:p w:rsidR="00000000" w:rsidRDefault="00000000">
      <w:pPr>
        <w:rPr>
          <w:b/>
          <w:bCs/>
        </w:rPr>
      </w:pPr>
    </w:p>
    <w:p w:rsidR="00000000" w:rsidRDefault="00000000">
      <w:pPr>
        <w:jc w:val="center"/>
        <w:rPr>
          <w:b/>
          <w:bCs/>
        </w:rPr>
      </w:pPr>
      <w:r>
        <w:rPr>
          <w:b/>
          <w:bCs/>
        </w:rPr>
        <w:t>1.</w:t>
      </w:r>
      <w:r>
        <w:rPr>
          <w:b/>
          <w:bCs/>
        </w:rPr>
        <w:tab/>
        <w:t>Конвенции МОТ, ратифицированные Финляндией</w:t>
      </w:r>
    </w:p>
    <w:p w:rsidR="00000000" w:rsidRDefault="00000000">
      <w:pPr>
        <w:rPr>
          <w:b/>
          <w:bCs/>
        </w:rPr>
      </w:pPr>
    </w:p>
    <w:p w:rsidR="00000000" w:rsidRDefault="00000000">
      <w:r>
        <w:t>367.</w:t>
      </w:r>
      <w:r>
        <w:tab/>
        <w:t>Финляндия ратифицировала все Конвенции МОТ, упомянутые в Общих руководящих принципах.  В последнее время периодические доклады были представлены по линии следующих конвенций:</w:t>
      </w:r>
    </w:p>
    <w:p w:rsidR="00000000" w:rsidRDefault="00000000"/>
    <w:p w:rsidR="00000000" w:rsidRDefault="00000000">
      <w:pPr>
        <w:ind w:left="567" w:hanging="567"/>
      </w:pPr>
      <w:r>
        <w:tab/>
        <w:t>Конвенция № 121 (Пособия в случаях производственного травматизма, 1964 год), последний доклад представлен в 1999 году;</w:t>
      </w:r>
    </w:p>
    <w:p w:rsidR="00000000" w:rsidRDefault="00000000"/>
    <w:p w:rsidR="00000000" w:rsidRDefault="00000000">
      <w:pPr>
        <w:ind w:left="567" w:hanging="567"/>
      </w:pPr>
      <w:r>
        <w:tab/>
        <w:t>Конвенция № 128 (Пособия по инвалидности, по старости и по случаю потери кормильца, 1967 год), последний доклад представлен в 2001 году;</w:t>
      </w:r>
    </w:p>
    <w:p w:rsidR="00000000" w:rsidRDefault="00000000"/>
    <w:p w:rsidR="00000000" w:rsidRDefault="00000000">
      <w:pPr>
        <w:ind w:left="567" w:hanging="567"/>
      </w:pPr>
      <w:r>
        <w:tab/>
        <w:t>Конвенция № 130 (Медицинская помощь и пособия по болезни, 1969 год), последний доклад представлен в 1998 году;</w:t>
      </w:r>
    </w:p>
    <w:p w:rsidR="00000000" w:rsidRDefault="00000000">
      <w:pPr>
        <w:ind w:left="567" w:hanging="567"/>
      </w:pPr>
      <w:r>
        <w:tab/>
        <w:t>Конвенция № 168 (Содействие занятости и защита от безработицы, 1988 год), последний доклад представлен в 1998 году.</w:t>
      </w:r>
    </w:p>
    <w:p w:rsidR="00000000" w:rsidRDefault="00000000"/>
    <w:p w:rsidR="00000000" w:rsidRDefault="00000000">
      <w:pPr>
        <w:jc w:val="center"/>
        <w:rPr>
          <w:b/>
          <w:bCs/>
        </w:rPr>
      </w:pPr>
      <w:r>
        <w:rPr>
          <w:b/>
          <w:bCs/>
        </w:rPr>
        <w:t>2.</w:t>
      </w:r>
      <w:r>
        <w:rPr>
          <w:b/>
          <w:bCs/>
        </w:rPr>
        <w:tab/>
        <w:t>Сферы социального обеспечения</w:t>
      </w:r>
    </w:p>
    <w:p w:rsidR="00000000" w:rsidRDefault="00000000">
      <w:pPr>
        <w:rPr>
          <w:b/>
          <w:bCs/>
        </w:rPr>
      </w:pPr>
    </w:p>
    <w:p w:rsidR="00000000" w:rsidRDefault="00000000">
      <w:r>
        <w:t>368.</w:t>
      </w:r>
      <w:r>
        <w:tab/>
        <w:t>К настоящему докладу прилагается публикация министерства социальных дел и здравоохранения, озаглавленная "Тенденции в области социальной защиты в Финляндии в 2003 году" (</w:t>
      </w:r>
      <w:r>
        <w:rPr>
          <w:i/>
          <w:iCs/>
        </w:rPr>
        <w:t>приложение 25).</w:t>
      </w:r>
    </w:p>
    <w:p w:rsidR="00000000" w:rsidRDefault="00000000"/>
    <w:p w:rsidR="00000000" w:rsidRDefault="00000000">
      <w:r>
        <w:t>369.</w:t>
      </w:r>
      <w:r>
        <w:tab/>
        <w:t>1 января 2001 года вступил в силу новый Закон о статусе и правах участников системы социального обеспечения (812/2000).  Цель этого закона заключается в более эффективном обеспечении процесса оказания услуг с учетом пожеланий участников, взаимного доверия при оказании услуг и права участника на хорошее обслуживание и обращение в сфере социального обеспечения без дискриминации.</w:t>
      </w:r>
    </w:p>
    <w:p w:rsidR="00000000" w:rsidRDefault="00000000"/>
    <w:p w:rsidR="00000000" w:rsidRDefault="00000000">
      <w:r>
        <w:t>370.</w:t>
      </w:r>
      <w:r>
        <w:tab/>
        <w:t>Самое большое число жалоб было подано на имя парламентского омбудсмена по поводу социального обеспечения и социального страхования.  По ее утверждениям, отмечались недостатки в области надлежащего управления и отправления правосудия, включая проблемы, касающиеся чрезмерной продолжительности разбирательства, недостаточной обоснованности решений, а также права клиентов на уважительное и достойное обращение, консультативную и информационную помощь.</w:t>
      </w:r>
    </w:p>
    <w:p w:rsidR="00000000" w:rsidRDefault="00000000"/>
    <w:p w:rsidR="00000000" w:rsidRDefault="00000000">
      <w:r>
        <w:t>371.</w:t>
      </w:r>
      <w:r>
        <w:tab/>
        <w:t>Европейский суд по правам человека в ряде своих решений констатировал нарушения, связанные с недостаточной обоснованностью решений апелляционных органов и ненаправлением ими соответствующих документов заявителям для их сведения и представления возможных замечаний.</w:t>
      </w:r>
    </w:p>
    <w:p w:rsidR="00000000" w:rsidRDefault="00000000"/>
    <w:p w:rsidR="00000000" w:rsidRDefault="00000000">
      <w:r>
        <w:t>372.</w:t>
      </w:r>
      <w:r>
        <w:tab/>
        <w:t>Парламентский омбудсмен подчеркивала важное значение оперативных процедур разбирательства в случаях, касающихся основополагающих условий жизни отдельных людей.  В рамках системы обжалования решений в случаях, когда речь идет о пособиях, обеспечивающих прожиточный минимум, должны предусматриваться достаточные ресурсы, позволяющие добиться соблюдения требования о разумной продолжительности разбирательства и других требований, связанных со справедливым судебным процессом.  Независимость и беспристрастность членов апелляционных органов также имеет важное значение для обеспечения того, чтобы заявители верили в эффективность системы.</w:t>
      </w:r>
    </w:p>
    <w:p w:rsidR="00000000" w:rsidRDefault="00000000"/>
    <w:p w:rsidR="00000000" w:rsidRDefault="00000000">
      <w:pPr>
        <w:keepNext/>
        <w:jc w:val="center"/>
        <w:rPr>
          <w:b/>
          <w:bCs/>
        </w:rPr>
      </w:pPr>
      <w:r>
        <w:rPr>
          <w:b/>
          <w:bCs/>
        </w:rPr>
        <w:t>2 а)</w:t>
      </w:r>
      <w:r>
        <w:rPr>
          <w:b/>
          <w:bCs/>
        </w:rPr>
        <w:tab/>
        <w:t>Медицинская помощь</w:t>
      </w:r>
    </w:p>
    <w:p w:rsidR="00000000" w:rsidRDefault="00000000">
      <w:pPr>
        <w:keepNext/>
        <w:rPr>
          <w:b/>
          <w:bCs/>
        </w:rPr>
      </w:pPr>
    </w:p>
    <w:p w:rsidR="00000000" w:rsidRDefault="00000000">
      <w:r>
        <w:t>373.</w:t>
      </w:r>
      <w:r>
        <w:tab/>
      </w:r>
      <w:r>
        <w:rPr>
          <w:i/>
          <w:iCs/>
        </w:rPr>
        <w:t xml:space="preserve">Зубоврачебная помощь.  </w:t>
      </w:r>
      <w:r>
        <w:t>В 2001 и 2002 годах система стоматологического обслуживания была реформирована и был расширен доступ к зубоврачебной помощи.  На первом этапе в 2001 году в обязанность местных властей вменено обеспечение зубоврачебной помощи для лиц, родившихся в 1946 году или позднее.  В 2002 году действие этого обязательства было распространено на все население.  В то же время было расширено право на возмещение расходов, связанных с оказанием зубоврачебной помощи, в рамках системы страхования по болезни.  Закон о страховании по болезни был изменен таким образом, чтобы начиная с 1 декабря 2002 года право на возмещение соответствующих расходов имели все граждане независимо от их возраста.</w:t>
      </w:r>
    </w:p>
    <w:p w:rsidR="00000000" w:rsidRDefault="00000000"/>
    <w:p w:rsidR="00000000" w:rsidRDefault="00000000">
      <w:r>
        <w:t>374.</w:t>
      </w:r>
      <w:r>
        <w:tab/>
        <w:t>В 2003-2004 годах насчитывалось приблизительно 1,8 млн. человек, пользующихся стоматологическими услугами государственных центров охраны здоровья.  В общей сложности было зарегистрировано примерно 5 млн. посещений стоматологов.  В 2001</w:t>
      </w:r>
      <w:r>
        <w:noBreakHyphen/>
        <w:t>2002 годах численность пациентов, пользующихся этими услугами, возросла приблизительно на 20 000 человек (таблица 11), тогда как в 2003 году она сократилась примерно на 15 000 человек.  Объем услуг, обеспеченных за счет других поставщиков услуг, главным образом частных стоматологов, увеличился в 2003 году примерно на 40% по сравнению с 2002 годом и почти в два раза по сравнению с 2001 годом.  Местные власти финансировали услуг, оказанные населению частными стоматологами, следующим образом:  в 2001 году было оплачено 36 000 приемов у стоматолога, в 2002 году - 57 000 и в 2003 году </w:t>
      </w:r>
      <w:r>
        <w:noBreakHyphen/>
        <w:t xml:space="preserve"> 79 500 приемов.</w:t>
      </w:r>
    </w:p>
    <w:p w:rsidR="00000000" w:rsidRDefault="00000000"/>
    <w:p w:rsidR="00000000" w:rsidRDefault="00000000">
      <w:r>
        <w:t>375.</w:t>
      </w:r>
      <w:r>
        <w:tab/>
        <w:t xml:space="preserve">В государственном секторе работает примерно 2 300 стоматологов, из которых примерно 150 оказывают специализированные медицинские услуги (часть из них заняты неполный рабочий день).  Кроме того, в государственном секторе работают 2 730 медсестер по оказанию стоматологической помощи и 555 ассистентов стоматологов, в том числе 289 медсестер по оказанию стоматологической помощи и 76 ассистентов-стоматологов, которые заняты неполный рабочий день. </w:t>
      </w:r>
    </w:p>
    <w:p w:rsidR="00000000" w:rsidRDefault="00000000"/>
    <w:p w:rsidR="00000000" w:rsidRDefault="00000000">
      <w:pPr>
        <w:pStyle w:val="BodyText2"/>
        <w:keepNext/>
        <w:spacing w:line="288" w:lineRule="auto"/>
        <w:jc w:val="center"/>
        <w:rPr>
          <w:b/>
          <w:bCs/>
          <w:color w:val="auto"/>
          <w:sz w:val="24"/>
          <w:szCs w:val="20"/>
          <w:lang w:val="ru-RU"/>
        </w:rPr>
      </w:pPr>
      <w:r>
        <w:rPr>
          <w:b/>
          <w:bCs/>
          <w:color w:val="auto"/>
          <w:sz w:val="24"/>
          <w:szCs w:val="20"/>
          <w:lang w:val="ru-RU"/>
        </w:rPr>
        <w:t>Таблица 11</w:t>
      </w:r>
    </w:p>
    <w:p w:rsidR="00000000" w:rsidRDefault="00000000">
      <w:pPr>
        <w:pStyle w:val="BodyText2"/>
        <w:keepNext/>
        <w:spacing w:line="288" w:lineRule="auto"/>
        <w:jc w:val="center"/>
        <w:rPr>
          <w:b/>
          <w:bCs/>
          <w:color w:val="auto"/>
          <w:sz w:val="24"/>
          <w:szCs w:val="20"/>
          <w:lang w:val="ru-RU"/>
        </w:rPr>
      </w:pPr>
    </w:p>
    <w:p w:rsidR="00000000" w:rsidRDefault="00000000">
      <w:pPr>
        <w:pStyle w:val="BodyText2"/>
        <w:keepNext/>
        <w:spacing w:line="288" w:lineRule="auto"/>
        <w:jc w:val="center"/>
        <w:rPr>
          <w:b/>
          <w:bCs/>
          <w:sz w:val="24"/>
          <w:lang w:val="ru-RU"/>
        </w:rPr>
      </w:pPr>
      <w:r>
        <w:rPr>
          <w:b/>
          <w:bCs/>
          <w:color w:val="auto"/>
          <w:sz w:val="24"/>
          <w:szCs w:val="20"/>
          <w:lang w:val="ru-RU"/>
        </w:rPr>
        <w:t>Пациенты, обращавшиеся за стоматологической помощью в центры охраны здоровья, в 2001, 2002 и 2003 годах</w:t>
      </w:r>
    </w:p>
    <w:p w:rsidR="00000000" w:rsidRDefault="00000000">
      <w:pPr>
        <w:pStyle w:val="BodyText2"/>
        <w:keepNext/>
        <w:spacing w:line="288" w:lineRule="auto"/>
        <w:jc w:val="center"/>
        <w:rPr>
          <w:i/>
          <w:iCs/>
          <w:sz w:val="24"/>
          <w:lang w:val="ru-RU"/>
        </w:rPr>
      </w:pPr>
    </w:p>
    <w:p w:rsidR="00000000" w:rsidRDefault="00000000">
      <w:pPr>
        <w:pStyle w:val="BodyText2"/>
        <w:keepNext/>
        <w:spacing w:line="288" w:lineRule="auto"/>
        <w:jc w:val="center"/>
        <w:rPr>
          <w:b/>
          <w:bCs/>
          <w:sz w:val="24"/>
          <w:lang w:val="ru-RU"/>
        </w:rPr>
      </w:pPr>
      <w:r>
        <w:rPr>
          <w:b/>
          <w:bCs/>
          <w:sz w:val="24"/>
          <w:lang w:val="ru-RU"/>
        </w:rPr>
        <w:t>Пациенты, прошедшие лечение в 2001 и 2002 годах</w:t>
      </w:r>
    </w:p>
    <w:p w:rsidR="00000000" w:rsidRDefault="00000000">
      <w:pPr>
        <w:pStyle w:val="BodyText2"/>
        <w:keepNext/>
        <w:spacing w:line="288" w:lineRule="auto"/>
        <w:rPr>
          <w:i/>
          <w:iCs/>
          <w:sz w:val="24"/>
          <w:lang w:val="ru-RU"/>
        </w:rPr>
      </w:pPr>
    </w:p>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000" w:firstRow="0" w:lastRow="0" w:firstColumn="0" w:lastColumn="0" w:noHBand="0" w:noVBand="0"/>
      </w:tblPr>
      <w:tblGrid>
        <w:gridCol w:w="4541"/>
        <w:gridCol w:w="1701"/>
        <w:gridCol w:w="1415"/>
        <w:gridCol w:w="1755"/>
      </w:tblGrid>
      <w:tr w:rsidR="00000000">
        <w:tblPrEx>
          <w:tblCellMar>
            <w:top w:w="0" w:type="dxa"/>
            <w:bottom w:w="0" w:type="dxa"/>
          </w:tblCellMar>
        </w:tblPrEx>
        <w:trPr>
          <w:cantSplit/>
        </w:trPr>
        <w:tc>
          <w:tcPr>
            <w:tcW w:w="4541" w:type="dxa"/>
            <w:tcBorders>
              <w:bottom w:val="single" w:sz="4" w:space="0" w:color="auto"/>
            </w:tcBorders>
          </w:tcPr>
          <w:p w:rsidR="00000000" w:rsidRDefault="00000000">
            <w:pPr>
              <w:keepNext/>
              <w:jc w:val="center"/>
              <w:rPr>
                <w:bCs/>
                <w:noProof/>
              </w:rPr>
            </w:pPr>
            <w:r>
              <w:rPr>
                <w:bCs/>
                <w:noProof/>
              </w:rPr>
              <w:t>Возрастная группа</w:t>
            </w:r>
          </w:p>
        </w:tc>
        <w:tc>
          <w:tcPr>
            <w:tcW w:w="1701" w:type="dxa"/>
            <w:tcBorders>
              <w:bottom w:val="single" w:sz="4" w:space="0" w:color="auto"/>
            </w:tcBorders>
          </w:tcPr>
          <w:p w:rsidR="00000000" w:rsidRDefault="00000000">
            <w:pPr>
              <w:keepNext/>
              <w:jc w:val="center"/>
              <w:rPr>
                <w:bCs/>
                <w:noProof/>
              </w:rPr>
            </w:pPr>
            <w:r>
              <w:rPr>
                <w:bCs/>
                <w:noProof/>
              </w:rPr>
              <w:t>2001</w:t>
            </w:r>
          </w:p>
        </w:tc>
        <w:tc>
          <w:tcPr>
            <w:tcW w:w="1415" w:type="dxa"/>
            <w:tcBorders>
              <w:bottom w:val="single" w:sz="4" w:space="0" w:color="auto"/>
            </w:tcBorders>
          </w:tcPr>
          <w:p w:rsidR="00000000" w:rsidRDefault="00000000">
            <w:pPr>
              <w:keepNext/>
              <w:jc w:val="center"/>
              <w:rPr>
                <w:bCs/>
                <w:noProof/>
              </w:rPr>
            </w:pPr>
            <w:r>
              <w:rPr>
                <w:bCs/>
                <w:noProof/>
              </w:rPr>
              <w:t>2002</w:t>
            </w:r>
          </w:p>
        </w:tc>
        <w:tc>
          <w:tcPr>
            <w:tcW w:w="1755" w:type="dxa"/>
            <w:tcBorders>
              <w:bottom w:val="single" w:sz="4" w:space="0" w:color="auto"/>
            </w:tcBorders>
          </w:tcPr>
          <w:p w:rsidR="00000000" w:rsidRDefault="00000000">
            <w:pPr>
              <w:keepNext/>
              <w:jc w:val="center"/>
              <w:rPr>
                <w:bCs/>
                <w:noProof/>
              </w:rPr>
            </w:pPr>
            <w:r>
              <w:rPr>
                <w:bCs/>
                <w:noProof/>
              </w:rPr>
              <w:t>Изменение в 2002 году по сравнению с 2001 годом</w:t>
            </w:r>
          </w:p>
        </w:tc>
      </w:tr>
      <w:tr w:rsidR="00000000">
        <w:tblPrEx>
          <w:tblCellMar>
            <w:top w:w="0" w:type="dxa"/>
            <w:bottom w:w="0" w:type="dxa"/>
          </w:tblCellMar>
        </w:tblPrEx>
        <w:trPr>
          <w:cantSplit/>
        </w:trPr>
        <w:tc>
          <w:tcPr>
            <w:tcW w:w="4541" w:type="dxa"/>
            <w:tcBorders>
              <w:bottom w:val="nil"/>
            </w:tcBorders>
          </w:tcPr>
          <w:p w:rsidR="00000000" w:rsidRDefault="00000000">
            <w:pPr>
              <w:keepNext/>
              <w:rPr>
                <w:bCs/>
                <w:noProof/>
              </w:rPr>
            </w:pPr>
            <w:r>
              <w:rPr>
                <w:bCs/>
                <w:noProof/>
              </w:rPr>
              <w:t>Лица, родившиеся в 1946 году или позднее</w:t>
            </w:r>
          </w:p>
        </w:tc>
        <w:tc>
          <w:tcPr>
            <w:tcW w:w="1701" w:type="dxa"/>
            <w:tcBorders>
              <w:bottom w:val="nil"/>
            </w:tcBorders>
          </w:tcPr>
          <w:p w:rsidR="00000000" w:rsidRDefault="00000000">
            <w:pPr>
              <w:keepNext/>
              <w:tabs>
                <w:tab w:val="clear" w:pos="567"/>
                <w:tab w:val="clear" w:pos="1701"/>
                <w:tab w:val="clear" w:pos="2268"/>
              </w:tabs>
              <w:ind w:right="256"/>
              <w:jc w:val="right"/>
              <w:rPr>
                <w:bCs/>
                <w:noProof/>
              </w:rPr>
            </w:pPr>
            <w:r>
              <w:rPr>
                <w:bCs/>
                <w:noProof/>
              </w:rPr>
              <w:t>1</w:t>
            </w:r>
            <w:r>
              <w:rPr>
                <w:bCs/>
                <w:noProof/>
                <w:lang w:val="en-GB"/>
              </w:rPr>
              <w:t> </w:t>
            </w:r>
            <w:r>
              <w:rPr>
                <w:bCs/>
                <w:noProof/>
              </w:rPr>
              <w:t>487</w:t>
            </w:r>
            <w:r>
              <w:rPr>
                <w:bCs/>
                <w:noProof/>
                <w:lang w:val="en-GB"/>
              </w:rPr>
              <w:t> </w:t>
            </w:r>
            <w:r>
              <w:rPr>
                <w:bCs/>
                <w:noProof/>
              </w:rPr>
              <w:t>779</w:t>
            </w:r>
          </w:p>
        </w:tc>
        <w:tc>
          <w:tcPr>
            <w:tcW w:w="1415" w:type="dxa"/>
            <w:tcBorders>
              <w:bottom w:val="nil"/>
            </w:tcBorders>
          </w:tcPr>
          <w:p w:rsidR="00000000" w:rsidRDefault="00000000">
            <w:pPr>
              <w:keepNext/>
              <w:tabs>
                <w:tab w:val="clear" w:pos="1134"/>
                <w:tab w:val="clear" w:pos="1701"/>
                <w:tab w:val="clear" w:pos="2268"/>
                <w:tab w:val="left" w:pos="2060"/>
              </w:tabs>
              <w:ind w:right="111"/>
              <w:jc w:val="right"/>
              <w:rPr>
                <w:bCs/>
                <w:noProof/>
              </w:rPr>
            </w:pPr>
            <w:r>
              <w:rPr>
                <w:bCs/>
                <w:noProof/>
              </w:rPr>
              <w:t>1</w:t>
            </w:r>
            <w:r>
              <w:rPr>
                <w:bCs/>
                <w:noProof/>
                <w:lang w:val="en-GB"/>
              </w:rPr>
              <w:t> </w:t>
            </w:r>
            <w:r>
              <w:rPr>
                <w:bCs/>
                <w:noProof/>
              </w:rPr>
              <w:t>593</w:t>
            </w:r>
            <w:r>
              <w:rPr>
                <w:bCs/>
                <w:noProof/>
                <w:lang w:val="en-GB"/>
              </w:rPr>
              <w:t> </w:t>
            </w:r>
            <w:r>
              <w:rPr>
                <w:bCs/>
                <w:noProof/>
              </w:rPr>
              <w:t>427</w:t>
            </w:r>
          </w:p>
        </w:tc>
        <w:tc>
          <w:tcPr>
            <w:tcW w:w="1755" w:type="dxa"/>
            <w:tcBorders>
              <w:bottom w:val="nil"/>
            </w:tcBorders>
          </w:tcPr>
          <w:p w:rsidR="00000000" w:rsidRDefault="00000000">
            <w:pPr>
              <w:keepNext/>
              <w:tabs>
                <w:tab w:val="clear" w:pos="567"/>
                <w:tab w:val="clear" w:pos="1701"/>
                <w:tab w:val="clear" w:pos="2268"/>
                <w:tab w:val="left" w:pos="2176"/>
              </w:tabs>
              <w:ind w:right="306"/>
              <w:jc w:val="right"/>
              <w:rPr>
                <w:bCs/>
                <w:noProof/>
              </w:rPr>
            </w:pPr>
            <w:r>
              <w:rPr>
                <w:bCs/>
                <w:noProof/>
              </w:rPr>
              <w:t>105</w:t>
            </w:r>
            <w:r>
              <w:rPr>
                <w:bCs/>
                <w:noProof/>
                <w:lang w:val="en-GB"/>
              </w:rPr>
              <w:t> </w:t>
            </w:r>
            <w:r>
              <w:rPr>
                <w:bCs/>
                <w:noProof/>
              </w:rPr>
              <w:t>648</w:t>
            </w:r>
          </w:p>
        </w:tc>
      </w:tr>
      <w:tr w:rsidR="00000000">
        <w:tblPrEx>
          <w:tblCellMar>
            <w:top w:w="0" w:type="dxa"/>
            <w:bottom w:w="0" w:type="dxa"/>
          </w:tblCellMar>
        </w:tblPrEx>
        <w:trPr>
          <w:cantSplit/>
        </w:trPr>
        <w:tc>
          <w:tcPr>
            <w:tcW w:w="4541" w:type="dxa"/>
            <w:tcBorders>
              <w:top w:val="nil"/>
              <w:bottom w:val="nil"/>
            </w:tcBorders>
          </w:tcPr>
          <w:p w:rsidR="00000000" w:rsidRDefault="00000000">
            <w:pPr>
              <w:keepNext/>
              <w:jc w:val="both"/>
              <w:rPr>
                <w:bCs/>
                <w:smallCaps/>
                <w:noProof/>
              </w:rPr>
            </w:pPr>
            <w:r>
              <w:rPr>
                <w:bCs/>
                <w:noProof/>
              </w:rPr>
              <w:t>Лица в возрасте от 0 до 17 лет</w:t>
            </w:r>
          </w:p>
        </w:tc>
        <w:tc>
          <w:tcPr>
            <w:tcW w:w="1701" w:type="dxa"/>
            <w:tcBorders>
              <w:top w:val="nil"/>
              <w:bottom w:val="nil"/>
            </w:tcBorders>
          </w:tcPr>
          <w:p w:rsidR="00000000" w:rsidRDefault="00000000">
            <w:pPr>
              <w:keepNext/>
              <w:tabs>
                <w:tab w:val="clear" w:pos="567"/>
                <w:tab w:val="clear" w:pos="1701"/>
                <w:tab w:val="clear" w:pos="2268"/>
              </w:tabs>
              <w:ind w:right="255"/>
              <w:rPr>
                <w:bCs/>
                <w:noProof/>
              </w:rPr>
            </w:pPr>
            <w:r>
              <w:rPr>
                <w:bCs/>
                <w:noProof/>
              </w:rPr>
              <w:t xml:space="preserve">        924</w:t>
            </w:r>
            <w:r>
              <w:rPr>
                <w:bCs/>
                <w:noProof/>
                <w:lang w:val="en-GB"/>
              </w:rPr>
              <w:t> </w:t>
            </w:r>
            <w:r>
              <w:rPr>
                <w:bCs/>
                <w:noProof/>
              </w:rPr>
              <w:t>865*</w:t>
            </w:r>
          </w:p>
        </w:tc>
        <w:tc>
          <w:tcPr>
            <w:tcW w:w="1415" w:type="dxa"/>
            <w:tcBorders>
              <w:top w:val="nil"/>
              <w:bottom w:val="nil"/>
            </w:tcBorders>
          </w:tcPr>
          <w:p w:rsidR="00000000" w:rsidRDefault="00000000">
            <w:pPr>
              <w:keepNext/>
              <w:tabs>
                <w:tab w:val="clear" w:pos="1134"/>
                <w:tab w:val="clear" w:pos="1701"/>
                <w:tab w:val="clear" w:pos="2268"/>
                <w:tab w:val="left" w:pos="2060"/>
              </w:tabs>
              <w:ind w:right="111"/>
              <w:jc w:val="right"/>
              <w:rPr>
                <w:bCs/>
                <w:noProof/>
              </w:rPr>
            </w:pPr>
            <w:r>
              <w:rPr>
                <w:bCs/>
                <w:noProof/>
              </w:rPr>
              <w:t>883</w:t>
            </w:r>
            <w:r>
              <w:rPr>
                <w:bCs/>
                <w:noProof/>
                <w:lang w:val="en-GB"/>
              </w:rPr>
              <w:t> </w:t>
            </w:r>
            <w:r>
              <w:rPr>
                <w:bCs/>
                <w:noProof/>
              </w:rPr>
              <w:t>581</w:t>
            </w:r>
          </w:p>
        </w:tc>
        <w:tc>
          <w:tcPr>
            <w:tcW w:w="1755" w:type="dxa"/>
            <w:tcBorders>
              <w:top w:val="nil"/>
              <w:bottom w:val="nil"/>
            </w:tcBorders>
          </w:tcPr>
          <w:p w:rsidR="00000000" w:rsidRDefault="00000000">
            <w:pPr>
              <w:keepNext/>
              <w:tabs>
                <w:tab w:val="clear" w:pos="567"/>
                <w:tab w:val="clear" w:pos="1701"/>
                <w:tab w:val="clear" w:pos="2268"/>
                <w:tab w:val="left" w:pos="2176"/>
              </w:tabs>
              <w:ind w:right="306"/>
              <w:jc w:val="right"/>
              <w:rPr>
                <w:bCs/>
                <w:noProof/>
              </w:rPr>
            </w:pPr>
            <w:r>
              <w:rPr>
                <w:bCs/>
                <w:noProof/>
              </w:rPr>
              <w:t>-41</w:t>
            </w:r>
            <w:r>
              <w:rPr>
                <w:bCs/>
                <w:noProof/>
                <w:lang w:val="en-GB"/>
              </w:rPr>
              <w:t> </w:t>
            </w:r>
            <w:r>
              <w:rPr>
                <w:bCs/>
                <w:noProof/>
              </w:rPr>
              <w:t>284</w:t>
            </w:r>
          </w:p>
        </w:tc>
      </w:tr>
      <w:tr w:rsidR="00000000">
        <w:tblPrEx>
          <w:tblCellMar>
            <w:top w:w="0" w:type="dxa"/>
            <w:bottom w:w="0" w:type="dxa"/>
          </w:tblCellMar>
        </w:tblPrEx>
        <w:trPr>
          <w:cantSplit/>
        </w:trPr>
        <w:tc>
          <w:tcPr>
            <w:tcW w:w="4541" w:type="dxa"/>
            <w:tcBorders>
              <w:top w:val="nil"/>
              <w:bottom w:val="nil"/>
            </w:tcBorders>
          </w:tcPr>
          <w:p w:rsidR="00000000" w:rsidRDefault="00000000">
            <w:pPr>
              <w:keepNext/>
              <w:rPr>
                <w:bCs/>
                <w:noProof/>
              </w:rPr>
            </w:pPr>
            <w:r>
              <w:rPr>
                <w:bCs/>
                <w:noProof/>
              </w:rPr>
              <w:t>Другие лица, имеющие право на получение соответствующей помощи с учетом своего возраста</w:t>
            </w:r>
          </w:p>
        </w:tc>
        <w:tc>
          <w:tcPr>
            <w:tcW w:w="1701" w:type="dxa"/>
            <w:tcBorders>
              <w:top w:val="nil"/>
              <w:bottom w:val="nil"/>
            </w:tcBorders>
          </w:tcPr>
          <w:p w:rsidR="00000000" w:rsidRDefault="00000000">
            <w:pPr>
              <w:keepNext/>
              <w:tabs>
                <w:tab w:val="clear" w:pos="1701"/>
                <w:tab w:val="clear" w:pos="2268"/>
                <w:tab w:val="decimal" w:pos="567"/>
              </w:tabs>
              <w:ind w:right="256"/>
              <w:jc w:val="right"/>
              <w:rPr>
                <w:bCs/>
                <w:noProof/>
              </w:rPr>
            </w:pPr>
            <w:r>
              <w:rPr>
                <w:bCs/>
                <w:noProof/>
              </w:rPr>
              <w:t>562</w:t>
            </w:r>
            <w:r>
              <w:rPr>
                <w:bCs/>
                <w:noProof/>
                <w:lang w:val="en-GB"/>
              </w:rPr>
              <w:t> </w:t>
            </w:r>
            <w:r>
              <w:rPr>
                <w:bCs/>
                <w:noProof/>
              </w:rPr>
              <w:t>914</w:t>
            </w:r>
          </w:p>
        </w:tc>
        <w:tc>
          <w:tcPr>
            <w:tcW w:w="1415" w:type="dxa"/>
            <w:tcBorders>
              <w:top w:val="nil"/>
              <w:bottom w:val="nil"/>
            </w:tcBorders>
          </w:tcPr>
          <w:p w:rsidR="00000000" w:rsidRDefault="00000000">
            <w:pPr>
              <w:keepNext/>
              <w:tabs>
                <w:tab w:val="clear" w:pos="1134"/>
                <w:tab w:val="clear" w:pos="1701"/>
                <w:tab w:val="clear" w:pos="2268"/>
                <w:tab w:val="left" w:pos="2060"/>
              </w:tabs>
              <w:ind w:right="111"/>
              <w:jc w:val="right"/>
              <w:rPr>
                <w:bCs/>
                <w:noProof/>
              </w:rPr>
            </w:pPr>
            <w:r>
              <w:rPr>
                <w:bCs/>
                <w:noProof/>
              </w:rPr>
              <w:t>709 846</w:t>
            </w:r>
          </w:p>
        </w:tc>
        <w:tc>
          <w:tcPr>
            <w:tcW w:w="1755" w:type="dxa"/>
            <w:tcBorders>
              <w:top w:val="nil"/>
              <w:bottom w:val="nil"/>
            </w:tcBorders>
          </w:tcPr>
          <w:p w:rsidR="00000000" w:rsidRDefault="00000000">
            <w:pPr>
              <w:keepNext/>
              <w:tabs>
                <w:tab w:val="clear" w:pos="567"/>
                <w:tab w:val="clear" w:pos="1701"/>
                <w:tab w:val="clear" w:pos="2268"/>
                <w:tab w:val="left" w:pos="2176"/>
              </w:tabs>
              <w:ind w:right="306"/>
              <w:jc w:val="right"/>
              <w:rPr>
                <w:bCs/>
                <w:noProof/>
              </w:rPr>
            </w:pPr>
            <w:r>
              <w:rPr>
                <w:bCs/>
                <w:noProof/>
              </w:rPr>
              <w:t>146</w:t>
            </w:r>
            <w:r>
              <w:rPr>
                <w:bCs/>
                <w:noProof/>
                <w:lang w:val="en-GB"/>
              </w:rPr>
              <w:t> </w:t>
            </w:r>
            <w:r>
              <w:rPr>
                <w:bCs/>
                <w:noProof/>
              </w:rPr>
              <w:t>932</w:t>
            </w:r>
          </w:p>
        </w:tc>
      </w:tr>
      <w:tr w:rsidR="00000000">
        <w:tblPrEx>
          <w:tblCellMar>
            <w:top w:w="0" w:type="dxa"/>
            <w:bottom w:w="0" w:type="dxa"/>
          </w:tblCellMar>
        </w:tblPrEx>
        <w:trPr>
          <w:cantSplit/>
        </w:trPr>
        <w:tc>
          <w:tcPr>
            <w:tcW w:w="4541" w:type="dxa"/>
            <w:tcBorders>
              <w:top w:val="nil"/>
              <w:bottom w:val="nil"/>
            </w:tcBorders>
          </w:tcPr>
          <w:p w:rsidR="00000000" w:rsidRDefault="00000000">
            <w:pPr>
              <w:keepNext/>
              <w:jc w:val="both"/>
              <w:rPr>
                <w:bCs/>
                <w:noProof/>
              </w:rPr>
            </w:pPr>
            <w:r>
              <w:rPr>
                <w:bCs/>
                <w:noProof/>
              </w:rPr>
              <w:t>Прочее население</w:t>
            </w:r>
          </w:p>
        </w:tc>
        <w:tc>
          <w:tcPr>
            <w:tcW w:w="1701" w:type="dxa"/>
            <w:tcBorders>
              <w:top w:val="nil"/>
              <w:bottom w:val="nil"/>
            </w:tcBorders>
          </w:tcPr>
          <w:p w:rsidR="00000000" w:rsidRDefault="00000000">
            <w:pPr>
              <w:keepNext/>
              <w:tabs>
                <w:tab w:val="clear" w:pos="1701"/>
                <w:tab w:val="clear" w:pos="2268"/>
                <w:tab w:val="decimal" w:pos="567"/>
              </w:tabs>
              <w:ind w:right="256"/>
              <w:jc w:val="right"/>
              <w:rPr>
                <w:bCs/>
                <w:noProof/>
              </w:rPr>
            </w:pPr>
            <w:r>
              <w:rPr>
                <w:bCs/>
                <w:noProof/>
              </w:rPr>
              <w:t>304</w:t>
            </w:r>
            <w:r>
              <w:rPr>
                <w:bCs/>
                <w:noProof/>
                <w:lang w:val="en-GB"/>
              </w:rPr>
              <w:t> </w:t>
            </w:r>
            <w:r>
              <w:rPr>
                <w:bCs/>
                <w:noProof/>
              </w:rPr>
              <w:t>959</w:t>
            </w:r>
          </w:p>
        </w:tc>
        <w:tc>
          <w:tcPr>
            <w:tcW w:w="1415" w:type="dxa"/>
            <w:tcBorders>
              <w:top w:val="nil"/>
              <w:bottom w:val="nil"/>
            </w:tcBorders>
          </w:tcPr>
          <w:p w:rsidR="00000000" w:rsidRDefault="00000000">
            <w:pPr>
              <w:keepNext/>
              <w:tabs>
                <w:tab w:val="clear" w:pos="1134"/>
                <w:tab w:val="clear" w:pos="1701"/>
                <w:tab w:val="clear" w:pos="2268"/>
                <w:tab w:val="left" w:pos="2060"/>
              </w:tabs>
              <w:ind w:right="111"/>
              <w:jc w:val="right"/>
              <w:rPr>
                <w:bCs/>
                <w:noProof/>
              </w:rPr>
            </w:pPr>
            <w:r>
              <w:rPr>
                <w:bCs/>
                <w:noProof/>
              </w:rPr>
              <w:t>221</w:t>
            </w:r>
            <w:r>
              <w:rPr>
                <w:bCs/>
                <w:noProof/>
                <w:lang w:val="en-GB"/>
              </w:rPr>
              <w:t> </w:t>
            </w:r>
            <w:r>
              <w:rPr>
                <w:bCs/>
                <w:noProof/>
              </w:rPr>
              <w:t>575</w:t>
            </w:r>
          </w:p>
        </w:tc>
        <w:tc>
          <w:tcPr>
            <w:tcW w:w="1755" w:type="dxa"/>
            <w:tcBorders>
              <w:top w:val="nil"/>
              <w:bottom w:val="nil"/>
            </w:tcBorders>
          </w:tcPr>
          <w:p w:rsidR="00000000" w:rsidRDefault="00000000">
            <w:pPr>
              <w:keepNext/>
              <w:tabs>
                <w:tab w:val="clear" w:pos="567"/>
                <w:tab w:val="clear" w:pos="1701"/>
                <w:tab w:val="clear" w:pos="2268"/>
                <w:tab w:val="left" w:pos="2176"/>
              </w:tabs>
              <w:ind w:right="306"/>
              <w:jc w:val="right"/>
              <w:rPr>
                <w:bCs/>
                <w:noProof/>
              </w:rPr>
            </w:pPr>
            <w:r>
              <w:rPr>
                <w:bCs/>
                <w:noProof/>
              </w:rPr>
              <w:t>-83</w:t>
            </w:r>
            <w:r>
              <w:rPr>
                <w:bCs/>
                <w:noProof/>
                <w:lang w:val="en-GB"/>
              </w:rPr>
              <w:t> </w:t>
            </w:r>
            <w:r>
              <w:rPr>
                <w:bCs/>
                <w:noProof/>
              </w:rPr>
              <w:t>384</w:t>
            </w:r>
          </w:p>
        </w:tc>
      </w:tr>
      <w:tr w:rsidR="00000000">
        <w:tblPrEx>
          <w:tblCellMar>
            <w:top w:w="0" w:type="dxa"/>
            <w:bottom w:w="0" w:type="dxa"/>
          </w:tblCellMar>
        </w:tblPrEx>
        <w:trPr>
          <w:cantSplit/>
        </w:trPr>
        <w:tc>
          <w:tcPr>
            <w:tcW w:w="4541" w:type="dxa"/>
            <w:tcBorders>
              <w:top w:val="nil"/>
            </w:tcBorders>
          </w:tcPr>
          <w:p w:rsidR="00000000" w:rsidRDefault="00000000">
            <w:pPr>
              <w:keepNext/>
              <w:jc w:val="both"/>
              <w:rPr>
                <w:bCs/>
                <w:noProof/>
              </w:rPr>
            </w:pPr>
            <w:r>
              <w:rPr>
                <w:bCs/>
                <w:noProof/>
              </w:rPr>
              <w:tab/>
              <w:t>Всего</w:t>
            </w:r>
          </w:p>
        </w:tc>
        <w:tc>
          <w:tcPr>
            <w:tcW w:w="1701" w:type="dxa"/>
            <w:tcBorders>
              <w:top w:val="nil"/>
            </w:tcBorders>
          </w:tcPr>
          <w:p w:rsidR="00000000" w:rsidRDefault="00000000">
            <w:pPr>
              <w:keepNext/>
              <w:tabs>
                <w:tab w:val="clear" w:pos="1701"/>
                <w:tab w:val="clear" w:pos="2268"/>
                <w:tab w:val="decimal" w:pos="567"/>
              </w:tabs>
              <w:ind w:right="256"/>
              <w:jc w:val="right"/>
              <w:rPr>
                <w:bCs/>
                <w:noProof/>
              </w:rPr>
            </w:pPr>
            <w:r>
              <w:rPr>
                <w:bCs/>
                <w:noProof/>
              </w:rPr>
              <w:t>1</w:t>
            </w:r>
            <w:r>
              <w:rPr>
                <w:bCs/>
                <w:noProof/>
                <w:lang w:val="en-GB"/>
              </w:rPr>
              <w:t> </w:t>
            </w:r>
            <w:r>
              <w:rPr>
                <w:bCs/>
                <w:noProof/>
              </w:rPr>
              <w:t>792 738</w:t>
            </w:r>
          </w:p>
        </w:tc>
        <w:tc>
          <w:tcPr>
            <w:tcW w:w="1415" w:type="dxa"/>
            <w:tcBorders>
              <w:top w:val="nil"/>
            </w:tcBorders>
          </w:tcPr>
          <w:p w:rsidR="00000000" w:rsidRDefault="00000000">
            <w:pPr>
              <w:keepNext/>
              <w:tabs>
                <w:tab w:val="clear" w:pos="1134"/>
                <w:tab w:val="clear" w:pos="1701"/>
                <w:tab w:val="clear" w:pos="2268"/>
                <w:tab w:val="left" w:pos="2060"/>
              </w:tabs>
              <w:ind w:right="111"/>
              <w:jc w:val="right"/>
              <w:rPr>
                <w:bCs/>
                <w:noProof/>
              </w:rPr>
            </w:pPr>
            <w:r>
              <w:rPr>
                <w:bCs/>
                <w:noProof/>
              </w:rPr>
              <w:t>1</w:t>
            </w:r>
            <w:r>
              <w:rPr>
                <w:bCs/>
                <w:noProof/>
                <w:lang w:val="en-GB"/>
              </w:rPr>
              <w:t> </w:t>
            </w:r>
            <w:r>
              <w:rPr>
                <w:bCs/>
                <w:noProof/>
              </w:rPr>
              <w:t>815</w:t>
            </w:r>
            <w:r>
              <w:rPr>
                <w:bCs/>
                <w:noProof/>
                <w:lang w:val="en-GB"/>
              </w:rPr>
              <w:t> </w:t>
            </w:r>
            <w:r>
              <w:rPr>
                <w:bCs/>
                <w:noProof/>
              </w:rPr>
              <w:t>002</w:t>
            </w:r>
          </w:p>
        </w:tc>
        <w:tc>
          <w:tcPr>
            <w:tcW w:w="1755" w:type="dxa"/>
            <w:tcBorders>
              <w:top w:val="nil"/>
            </w:tcBorders>
          </w:tcPr>
          <w:p w:rsidR="00000000" w:rsidRDefault="00000000">
            <w:pPr>
              <w:keepNext/>
              <w:tabs>
                <w:tab w:val="clear" w:pos="567"/>
                <w:tab w:val="clear" w:pos="1701"/>
                <w:tab w:val="clear" w:pos="2268"/>
                <w:tab w:val="left" w:pos="2176"/>
              </w:tabs>
              <w:ind w:right="306"/>
              <w:jc w:val="right"/>
              <w:rPr>
                <w:bCs/>
                <w:noProof/>
              </w:rPr>
            </w:pPr>
            <w:r>
              <w:rPr>
                <w:bCs/>
                <w:noProof/>
              </w:rPr>
              <w:t>22</w:t>
            </w:r>
            <w:r>
              <w:rPr>
                <w:bCs/>
                <w:noProof/>
                <w:lang w:val="en-GB"/>
              </w:rPr>
              <w:t> </w:t>
            </w:r>
            <w:r>
              <w:rPr>
                <w:bCs/>
                <w:noProof/>
              </w:rPr>
              <w:t>264</w:t>
            </w:r>
          </w:p>
        </w:tc>
      </w:tr>
    </w:tbl>
    <w:p w:rsidR="00000000" w:rsidRDefault="00000000">
      <w:pPr>
        <w:jc w:val="both"/>
        <w:rPr>
          <w:bCs/>
          <w:noProof/>
        </w:rPr>
      </w:pPr>
    </w:p>
    <w:p w:rsidR="00000000" w:rsidRDefault="00000000">
      <w:pPr>
        <w:jc w:val="both"/>
        <w:rPr>
          <w:bCs/>
          <w:noProof/>
        </w:rPr>
      </w:pPr>
    </w:p>
    <w:p w:rsidR="00000000" w:rsidRDefault="00000000">
      <w:pPr>
        <w:keepNext/>
        <w:jc w:val="center"/>
        <w:rPr>
          <w:b/>
          <w:noProof/>
        </w:rPr>
      </w:pPr>
      <w:r>
        <w:rPr>
          <w:b/>
          <w:noProof/>
        </w:rPr>
        <w:t>Пациенты, прошедшие лечение в 2003 году</w:t>
      </w:r>
    </w:p>
    <w:p w:rsidR="00000000" w:rsidRDefault="00000000">
      <w:pPr>
        <w:keepNext/>
        <w:jc w:val="both"/>
        <w:rPr>
          <w:bCs/>
          <w:i/>
          <w:iCs/>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68"/>
        <w:gridCol w:w="2246"/>
        <w:gridCol w:w="3397"/>
      </w:tblGrid>
      <w:tr w:rsidR="00000000">
        <w:tblPrEx>
          <w:tblCellMar>
            <w:top w:w="0" w:type="dxa"/>
            <w:bottom w:w="0" w:type="dxa"/>
          </w:tblCellMar>
        </w:tblPrEx>
        <w:trPr>
          <w:cantSplit/>
        </w:trPr>
        <w:tc>
          <w:tcPr>
            <w:tcW w:w="3768" w:type="dxa"/>
            <w:tcBorders>
              <w:bottom w:val="single" w:sz="4" w:space="0" w:color="auto"/>
            </w:tcBorders>
          </w:tcPr>
          <w:p w:rsidR="00000000" w:rsidRDefault="00000000">
            <w:pPr>
              <w:keepNext/>
              <w:jc w:val="center"/>
              <w:rPr>
                <w:bCs/>
                <w:noProof/>
              </w:rPr>
            </w:pPr>
            <w:r>
              <w:rPr>
                <w:bCs/>
                <w:noProof/>
              </w:rPr>
              <w:t>Возрастная группа</w:t>
            </w:r>
          </w:p>
        </w:tc>
        <w:tc>
          <w:tcPr>
            <w:tcW w:w="2246" w:type="dxa"/>
            <w:tcBorders>
              <w:bottom w:val="single" w:sz="4" w:space="0" w:color="auto"/>
            </w:tcBorders>
          </w:tcPr>
          <w:p w:rsidR="00000000" w:rsidRDefault="00000000">
            <w:pPr>
              <w:keepNext/>
              <w:jc w:val="center"/>
              <w:rPr>
                <w:bCs/>
                <w:noProof/>
              </w:rPr>
            </w:pPr>
            <w:r>
              <w:rPr>
                <w:bCs/>
                <w:noProof/>
              </w:rPr>
              <w:t>2003</w:t>
            </w:r>
          </w:p>
        </w:tc>
        <w:tc>
          <w:tcPr>
            <w:tcW w:w="3397" w:type="dxa"/>
            <w:tcBorders>
              <w:bottom w:val="single" w:sz="4" w:space="0" w:color="auto"/>
            </w:tcBorders>
          </w:tcPr>
          <w:p w:rsidR="00000000" w:rsidRDefault="00000000">
            <w:pPr>
              <w:keepNext/>
              <w:jc w:val="center"/>
              <w:rPr>
                <w:bCs/>
                <w:noProof/>
              </w:rPr>
            </w:pPr>
            <w:r>
              <w:rPr>
                <w:bCs/>
                <w:noProof/>
              </w:rPr>
              <w:t>Изменение в 2003 году по сравнению с 2002 годом</w:t>
            </w:r>
          </w:p>
        </w:tc>
      </w:tr>
      <w:tr w:rsidR="00000000">
        <w:tblPrEx>
          <w:tblCellMar>
            <w:top w:w="0" w:type="dxa"/>
            <w:bottom w:w="0" w:type="dxa"/>
          </w:tblCellMar>
        </w:tblPrEx>
        <w:trPr>
          <w:cantSplit/>
        </w:trPr>
        <w:tc>
          <w:tcPr>
            <w:tcW w:w="3768" w:type="dxa"/>
            <w:tcBorders>
              <w:bottom w:val="nil"/>
            </w:tcBorders>
          </w:tcPr>
          <w:p w:rsidR="00000000" w:rsidRDefault="00000000">
            <w:pPr>
              <w:keepNext/>
              <w:jc w:val="both"/>
              <w:rPr>
                <w:bCs/>
                <w:noProof/>
              </w:rPr>
            </w:pPr>
            <w:r>
              <w:rPr>
                <w:bCs/>
                <w:noProof/>
              </w:rPr>
              <w:t>Лица в возрасте от 0 до 17 лет</w:t>
            </w:r>
          </w:p>
        </w:tc>
        <w:tc>
          <w:tcPr>
            <w:tcW w:w="2246" w:type="dxa"/>
            <w:tcBorders>
              <w:bottom w:val="nil"/>
            </w:tcBorders>
            <w:vAlign w:val="center"/>
          </w:tcPr>
          <w:p w:rsidR="00000000" w:rsidRDefault="00000000">
            <w:pPr>
              <w:keepNext/>
              <w:tabs>
                <w:tab w:val="clear" w:pos="2268"/>
                <w:tab w:val="left" w:pos="2028"/>
              </w:tabs>
              <w:ind w:right="722"/>
              <w:jc w:val="right"/>
              <w:rPr>
                <w:bCs/>
                <w:noProof/>
              </w:rPr>
            </w:pPr>
            <w:r>
              <w:rPr>
                <w:bCs/>
                <w:noProof/>
              </w:rPr>
              <w:t>856</w:t>
            </w:r>
            <w:r>
              <w:rPr>
                <w:bCs/>
                <w:noProof/>
                <w:lang w:val="en-GB"/>
              </w:rPr>
              <w:t> </w:t>
            </w:r>
            <w:r>
              <w:rPr>
                <w:bCs/>
                <w:noProof/>
              </w:rPr>
              <w:t>791</w:t>
            </w:r>
          </w:p>
        </w:tc>
        <w:tc>
          <w:tcPr>
            <w:tcW w:w="3397" w:type="dxa"/>
            <w:tcBorders>
              <w:bottom w:val="nil"/>
            </w:tcBorders>
            <w:vAlign w:val="center"/>
          </w:tcPr>
          <w:p w:rsidR="00000000" w:rsidRDefault="00000000">
            <w:pPr>
              <w:keepNext/>
              <w:ind w:right="1314"/>
              <w:jc w:val="right"/>
              <w:rPr>
                <w:bCs/>
                <w:noProof/>
              </w:rPr>
            </w:pPr>
            <w:r>
              <w:rPr>
                <w:bCs/>
                <w:noProof/>
              </w:rPr>
              <w:t>-27</w:t>
            </w:r>
            <w:r>
              <w:rPr>
                <w:bCs/>
                <w:noProof/>
                <w:lang w:val="en-GB"/>
              </w:rPr>
              <w:t> </w:t>
            </w:r>
            <w:r>
              <w:rPr>
                <w:bCs/>
                <w:noProof/>
              </w:rPr>
              <w:t>015</w:t>
            </w:r>
          </w:p>
        </w:tc>
      </w:tr>
      <w:tr w:rsidR="00000000">
        <w:tblPrEx>
          <w:tblCellMar>
            <w:top w:w="0" w:type="dxa"/>
            <w:bottom w:w="0" w:type="dxa"/>
          </w:tblCellMar>
        </w:tblPrEx>
        <w:trPr>
          <w:cantSplit/>
        </w:trPr>
        <w:tc>
          <w:tcPr>
            <w:tcW w:w="3768" w:type="dxa"/>
            <w:tcBorders>
              <w:top w:val="nil"/>
              <w:bottom w:val="nil"/>
            </w:tcBorders>
          </w:tcPr>
          <w:p w:rsidR="00000000" w:rsidRDefault="00000000">
            <w:pPr>
              <w:keepNext/>
              <w:jc w:val="both"/>
              <w:rPr>
                <w:bCs/>
                <w:noProof/>
              </w:rPr>
            </w:pPr>
            <w:r>
              <w:rPr>
                <w:bCs/>
                <w:noProof/>
              </w:rPr>
              <w:t>Лица старше 17 лет</w:t>
            </w:r>
          </w:p>
        </w:tc>
        <w:tc>
          <w:tcPr>
            <w:tcW w:w="2246" w:type="dxa"/>
            <w:tcBorders>
              <w:top w:val="nil"/>
              <w:bottom w:val="nil"/>
            </w:tcBorders>
            <w:vAlign w:val="center"/>
          </w:tcPr>
          <w:p w:rsidR="00000000" w:rsidRDefault="00000000">
            <w:pPr>
              <w:keepNext/>
              <w:tabs>
                <w:tab w:val="clear" w:pos="2268"/>
                <w:tab w:val="left" w:pos="2028"/>
              </w:tabs>
              <w:ind w:right="722"/>
              <w:jc w:val="right"/>
              <w:rPr>
                <w:bCs/>
                <w:noProof/>
              </w:rPr>
            </w:pPr>
            <w:r>
              <w:rPr>
                <w:bCs/>
                <w:noProof/>
              </w:rPr>
              <w:t>943</w:t>
            </w:r>
            <w:r>
              <w:rPr>
                <w:bCs/>
                <w:noProof/>
                <w:lang w:val="en-GB"/>
              </w:rPr>
              <w:t> </w:t>
            </w:r>
            <w:r>
              <w:rPr>
                <w:bCs/>
                <w:noProof/>
              </w:rPr>
              <w:t>667</w:t>
            </w:r>
          </w:p>
        </w:tc>
        <w:tc>
          <w:tcPr>
            <w:tcW w:w="3397" w:type="dxa"/>
            <w:tcBorders>
              <w:top w:val="nil"/>
              <w:bottom w:val="nil"/>
            </w:tcBorders>
            <w:vAlign w:val="center"/>
          </w:tcPr>
          <w:p w:rsidR="00000000" w:rsidRDefault="00000000">
            <w:pPr>
              <w:keepNext/>
              <w:ind w:right="1314"/>
              <w:jc w:val="right"/>
              <w:rPr>
                <w:bCs/>
                <w:noProof/>
              </w:rPr>
            </w:pPr>
            <w:r>
              <w:rPr>
                <w:bCs/>
                <w:noProof/>
              </w:rPr>
              <w:t>11</w:t>
            </w:r>
            <w:r>
              <w:rPr>
                <w:bCs/>
                <w:noProof/>
                <w:lang w:val="en-GB"/>
              </w:rPr>
              <w:t> </w:t>
            </w:r>
            <w:r>
              <w:rPr>
                <w:bCs/>
                <w:noProof/>
              </w:rPr>
              <w:t>941</w:t>
            </w:r>
          </w:p>
        </w:tc>
      </w:tr>
      <w:tr w:rsidR="00000000">
        <w:tblPrEx>
          <w:tblCellMar>
            <w:top w:w="0" w:type="dxa"/>
            <w:bottom w:w="0" w:type="dxa"/>
          </w:tblCellMar>
        </w:tblPrEx>
        <w:trPr>
          <w:cantSplit/>
        </w:trPr>
        <w:tc>
          <w:tcPr>
            <w:tcW w:w="3768" w:type="dxa"/>
            <w:tcBorders>
              <w:top w:val="nil"/>
              <w:bottom w:val="nil"/>
            </w:tcBorders>
          </w:tcPr>
          <w:p w:rsidR="00000000" w:rsidRDefault="00000000">
            <w:pPr>
              <w:keepNext/>
              <w:jc w:val="both"/>
              <w:rPr>
                <w:bCs/>
                <w:noProof/>
              </w:rPr>
            </w:pPr>
            <w:r>
              <w:rPr>
                <w:bCs/>
                <w:noProof/>
              </w:rPr>
              <w:t xml:space="preserve">     </w:t>
            </w:r>
            <w:r>
              <w:rPr>
                <w:bCs/>
                <w:noProof/>
              </w:rPr>
              <w:noBreakHyphen/>
              <w:t xml:space="preserve"> 18</w:t>
            </w:r>
            <w:r>
              <w:rPr>
                <w:bCs/>
                <w:noProof/>
              </w:rPr>
              <w:noBreakHyphen/>
              <w:t>55 лет</w:t>
            </w:r>
          </w:p>
        </w:tc>
        <w:tc>
          <w:tcPr>
            <w:tcW w:w="2246" w:type="dxa"/>
            <w:tcBorders>
              <w:top w:val="nil"/>
              <w:bottom w:val="nil"/>
            </w:tcBorders>
            <w:vAlign w:val="center"/>
          </w:tcPr>
          <w:p w:rsidR="00000000" w:rsidRDefault="00000000">
            <w:pPr>
              <w:keepNext/>
              <w:tabs>
                <w:tab w:val="clear" w:pos="2268"/>
                <w:tab w:val="left" w:pos="2028"/>
              </w:tabs>
              <w:ind w:right="722"/>
              <w:jc w:val="right"/>
              <w:rPr>
                <w:bCs/>
                <w:noProof/>
              </w:rPr>
            </w:pPr>
            <w:r>
              <w:rPr>
                <w:bCs/>
                <w:noProof/>
              </w:rPr>
              <w:t>712</w:t>
            </w:r>
            <w:r>
              <w:rPr>
                <w:bCs/>
                <w:noProof/>
                <w:lang w:val="en-GB"/>
              </w:rPr>
              <w:t> </w:t>
            </w:r>
            <w:r>
              <w:rPr>
                <w:bCs/>
                <w:noProof/>
              </w:rPr>
              <w:t>547</w:t>
            </w:r>
          </w:p>
        </w:tc>
        <w:tc>
          <w:tcPr>
            <w:tcW w:w="3397" w:type="dxa"/>
            <w:tcBorders>
              <w:top w:val="nil"/>
              <w:bottom w:val="nil"/>
            </w:tcBorders>
            <w:vAlign w:val="center"/>
          </w:tcPr>
          <w:p w:rsidR="00000000" w:rsidRDefault="00000000">
            <w:pPr>
              <w:keepNext/>
              <w:ind w:right="1314"/>
              <w:jc w:val="right"/>
              <w:rPr>
                <w:bCs/>
                <w:noProof/>
              </w:rPr>
            </w:pPr>
            <w:r>
              <w:rPr>
                <w:bCs/>
                <w:noProof/>
              </w:rPr>
              <w:t>540</w:t>
            </w:r>
          </w:p>
        </w:tc>
      </w:tr>
      <w:tr w:rsidR="00000000">
        <w:tblPrEx>
          <w:tblCellMar>
            <w:top w:w="0" w:type="dxa"/>
            <w:bottom w:w="0" w:type="dxa"/>
          </w:tblCellMar>
        </w:tblPrEx>
        <w:trPr>
          <w:cantSplit/>
        </w:trPr>
        <w:tc>
          <w:tcPr>
            <w:tcW w:w="3768" w:type="dxa"/>
            <w:tcBorders>
              <w:top w:val="nil"/>
              <w:bottom w:val="nil"/>
            </w:tcBorders>
          </w:tcPr>
          <w:p w:rsidR="00000000" w:rsidRDefault="00000000">
            <w:pPr>
              <w:keepNext/>
              <w:jc w:val="both"/>
              <w:rPr>
                <w:bCs/>
                <w:noProof/>
              </w:rPr>
            </w:pPr>
            <w:r>
              <w:rPr>
                <w:bCs/>
                <w:noProof/>
              </w:rPr>
              <w:t xml:space="preserve">     </w:t>
            </w:r>
            <w:r>
              <w:rPr>
                <w:bCs/>
                <w:noProof/>
              </w:rPr>
              <w:noBreakHyphen/>
              <w:t xml:space="preserve"> 50 лет или старше</w:t>
            </w:r>
          </w:p>
        </w:tc>
        <w:tc>
          <w:tcPr>
            <w:tcW w:w="2246" w:type="dxa"/>
            <w:tcBorders>
              <w:top w:val="nil"/>
              <w:bottom w:val="nil"/>
            </w:tcBorders>
            <w:vAlign w:val="center"/>
          </w:tcPr>
          <w:p w:rsidR="00000000" w:rsidRDefault="00000000">
            <w:pPr>
              <w:keepNext/>
              <w:tabs>
                <w:tab w:val="clear" w:pos="2268"/>
                <w:tab w:val="left" w:pos="2028"/>
              </w:tabs>
              <w:ind w:right="722"/>
              <w:jc w:val="right"/>
              <w:rPr>
                <w:bCs/>
                <w:noProof/>
              </w:rPr>
            </w:pPr>
            <w:r>
              <w:rPr>
                <w:bCs/>
                <w:noProof/>
              </w:rPr>
              <w:t>231</w:t>
            </w:r>
            <w:r>
              <w:rPr>
                <w:bCs/>
                <w:noProof/>
                <w:lang w:val="en-GB"/>
              </w:rPr>
              <w:t> </w:t>
            </w:r>
            <w:r>
              <w:rPr>
                <w:bCs/>
                <w:noProof/>
              </w:rPr>
              <w:t>120</w:t>
            </w:r>
          </w:p>
        </w:tc>
        <w:tc>
          <w:tcPr>
            <w:tcW w:w="3397" w:type="dxa"/>
            <w:tcBorders>
              <w:top w:val="nil"/>
              <w:bottom w:val="nil"/>
            </w:tcBorders>
            <w:vAlign w:val="center"/>
          </w:tcPr>
          <w:p w:rsidR="00000000" w:rsidRDefault="00000000">
            <w:pPr>
              <w:keepNext/>
              <w:ind w:right="1314"/>
              <w:jc w:val="right"/>
              <w:rPr>
                <w:bCs/>
                <w:noProof/>
              </w:rPr>
            </w:pPr>
            <w:r>
              <w:rPr>
                <w:bCs/>
                <w:noProof/>
              </w:rPr>
              <w:t>11</w:t>
            </w:r>
            <w:r>
              <w:rPr>
                <w:bCs/>
                <w:noProof/>
                <w:lang w:val="en-GB"/>
              </w:rPr>
              <w:t> </w:t>
            </w:r>
            <w:r>
              <w:rPr>
                <w:bCs/>
                <w:noProof/>
              </w:rPr>
              <w:t>401</w:t>
            </w:r>
          </w:p>
        </w:tc>
      </w:tr>
      <w:tr w:rsidR="00000000">
        <w:tblPrEx>
          <w:tblCellMar>
            <w:top w:w="0" w:type="dxa"/>
            <w:bottom w:w="0" w:type="dxa"/>
          </w:tblCellMar>
        </w:tblPrEx>
        <w:trPr>
          <w:cantSplit/>
        </w:trPr>
        <w:tc>
          <w:tcPr>
            <w:tcW w:w="3768" w:type="dxa"/>
            <w:tcBorders>
              <w:top w:val="nil"/>
            </w:tcBorders>
          </w:tcPr>
          <w:p w:rsidR="00000000" w:rsidRDefault="00000000">
            <w:pPr>
              <w:keepNext/>
              <w:jc w:val="both"/>
              <w:rPr>
                <w:bCs/>
                <w:noProof/>
              </w:rPr>
            </w:pPr>
            <w:r>
              <w:rPr>
                <w:bCs/>
                <w:noProof/>
              </w:rPr>
              <w:tab/>
              <w:t>Всего</w:t>
            </w:r>
          </w:p>
        </w:tc>
        <w:tc>
          <w:tcPr>
            <w:tcW w:w="2246" w:type="dxa"/>
            <w:tcBorders>
              <w:top w:val="nil"/>
            </w:tcBorders>
            <w:vAlign w:val="center"/>
          </w:tcPr>
          <w:p w:rsidR="00000000" w:rsidRDefault="00000000">
            <w:pPr>
              <w:keepNext/>
              <w:tabs>
                <w:tab w:val="clear" w:pos="2268"/>
                <w:tab w:val="left" w:pos="2028"/>
              </w:tabs>
              <w:ind w:right="722"/>
              <w:jc w:val="right"/>
              <w:rPr>
                <w:bCs/>
                <w:noProof/>
              </w:rPr>
            </w:pPr>
            <w:r>
              <w:rPr>
                <w:bCs/>
                <w:noProof/>
              </w:rPr>
              <w:t>1</w:t>
            </w:r>
            <w:r>
              <w:rPr>
                <w:bCs/>
                <w:noProof/>
                <w:lang w:val="en-GB"/>
              </w:rPr>
              <w:t> </w:t>
            </w:r>
            <w:r>
              <w:rPr>
                <w:bCs/>
                <w:noProof/>
              </w:rPr>
              <w:t>800</w:t>
            </w:r>
            <w:r>
              <w:rPr>
                <w:bCs/>
                <w:noProof/>
                <w:lang w:val="en-GB"/>
              </w:rPr>
              <w:t> </w:t>
            </w:r>
            <w:r>
              <w:rPr>
                <w:bCs/>
                <w:noProof/>
              </w:rPr>
              <w:t>458</w:t>
            </w:r>
          </w:p>
        </w:tc>
        <w:tc>
          <w:tcPr>
            <w:tcW w:w="3397" w:type="dxa"/>
            <w:tcBorders>
              <w:top w:val="nil"/>
            </w:tcBorders>
            <w:vAlign w:val="center"/>
          </w:tcPr>
          <w:p w:rsidR="00000000" w:rsidRDefault="00000000">
            <w:pPr>
              <w:keepNext/>
              <w:ind w:right="1314"/>
              <w:jc w:val="right"/>
              <w:rPr>
                <w:bCs/>
                <w:noProof/>
              </w:rPr>
            </w:pPr>
            <w:r>
              <w:rPr>
                <w:bCs/>
                <w:noProof/>
              </w:rPr>
              <w:t>-15</w:t>
            </w:r>
            <w:r>
              <w:rPr>
                <w:bCs/>
                <w:noProof/>
                <w:lang w:val="en-GB"/>
              </w:rPr>
              <w:t> </w:t>
            </w:r>
            <w:r>
              <w:rPr>
                <w:bCs/>
                <w:noProof/>
              </w:rPr>
              <w:t>074</w:t>
            </w:r>
          </w:p>
        </w:tc>
      </w:tr>
    </w:tbl>
    <w:p w:rsidR="00000000" w:rsidRDefault="00000000">
      <w:pPr>
        <w:keepNext/>
        <w:jc w:val="both"/>
        <w:rPr>
          <w:b/>
          <w:noProof/>
        </w:rPr>
      </w:pPr>
    </w:p>
    <w:p w:rsidR="00000000" w:rsidRDefault="00000000">
      <w:pPr>
        <w:keepNext/>
        <w:jc w:val="both"/>
        <w:rPr>
          <w:bCs/>
          <w:noProof/>
        </w:rPr>
      </w:pPr>
      <w:r>
        <w:rPr>
          <w:bCs/>
          <w:noProof/>
        </w:rPr>
        <w:t xml:space="preserve">* </w:t>
      </w:r>
      <w:r>
        <w:rPr>
          <w:bCs/>
          <w:noProof/>
        </w:rPr>
        <w:tab/>
        <w:t>0</w:t>
      </w:r>
      <w:r>
        <w:rPr>
          <w:bCs/>
          <w:noProof/>
        </w:rPr>
        <w:noBreakHyphen/>
        <w:t>18 лет.</w:t>
      </w:r>
    </w:p>
    <w:p w:rsidR="00000000" w:rsidRDefault="00000000">
      <w:pPr>
        <w:keepNext/>
        <w:jc w:val="both"/>
        <w:rPr>
          <w:bCs/>
          <w:noProof/>
        </w:rPr>
      </w:pPr>
    </w:p>
    <w:p w:rsidR="00000000" w:rsidRDefault="00000000">
      <w:pPr>
        <w:keepNext/>
        <w:jc w:val="both"/>
        <w:rPr>
          <w:bCs/>
          <w:noProof/>
        </w:rPr>
      </w:pPr>
      <w:r>
        <w:rPr>
          <w:bCs/>
          <w:noProof/>
        </w:rPr>
        <w:tab/>
      </w:r>
      <w:r>
        <w:rPr>
          <w:bCs/>
          <w:i/>
          <w:iCs/>
          <w:noProof/>
        </w:rPr>
        <w:t>Источник</w:t>
      </w:r>
      <w:r>
        <w:rPr>
          <w:bCs/>
          <w:noProof/>
        </w:rPr>
        <w:t xml:space="preserve">:  </w:t>
      </w:r>
      <w:r>
        <w:rPr>
          <w:bCs/>
          <w:noProof/>
          <w:lang w:val="en-GB"/>
        </w:rPr>
        <w:t>Stakes</w:t>
      </w:r>
      <w:r>
        <w:rPr>
          <w:bCs/>
          <w:noProof/>
        </w:rPr>
        <w:t>/</w:t>
      </w:r>
      <w:r>
        <w:rPr>
          <w:bCs/>
          <w:noProof/>
          <w:lang w:val="en-GB"/>
        </w:rPr>
        <w:t>Tieto</w:t>
      </w:r>
      <w:r>
        <w:rPr>
          <w:bCs/>
          <w:noProof/>
        </w:rPr>
        <w:t>, предварительная информация, 2002 год.</w:t>
      </w:r>
    </w:p>
    <w:p w:rsidR="00000000" w:rsidRDefault="00000000">
      <w:pPr>
        <w:jc w:val="both"/>
        <w:rPr>
          <w:bCs/>
          <w:noProof/>
          <w:sz w:val="20"/>
        </w:rPr>
      </w:pPr>
    </w:p>
    <w:p w:rsidR="00000000" w:rsidRDefault="00000000">
      <w:pPr>
        <w:keepNext/>
        <w:jc w:val="center"/>
        <w:rPr>
          <w:b/>
          <w:noProof/>
        </w:rPr>
      </w:pPr>
      <w:r>
        <w:rPr>
          <w:b/>
          <w:noProof/>
        </w:rPr>
        <w:t>Таблица 12</w:t>
      </w:r>
    </w:p>
    <w:p w:rsidR="00000000" w:rsidRDefault="00000000">
      <w:pPr>
        <w:keepNext/>
        <w:jc w:val="center"/>
        <w:rPr>
          <w:b/>
          <w:noProof/>
        </w:rPr>
      </w:pPr>
    </w:p>
    <w:p w:rsidR="00000000" w:rsidRDefault="00000000">
      <w:pPr>
        <w:keepNext/>
        <w:jc w:val="center"/>
        <w:rPr>
          <w:b/>
          <w:noProof/>
        </w:rPr>
      </w:pPr>
      <w:r>
        <w:rPr>
          <w:b/>
          <w:noProof/>
        </w:rPr>
        <w:t>Специалисты в области стоматологии, работавшие в центрах</w:t>
      </w:r>
    </w:p>
    <w:p w:rsidR="00000000" w:rsidRDefault="00000000">
      <w:pPr>
        <w:keepNext/>
        <w:jc w:val="center"/>
        <w:rPr>
          <w:b/>
        </w:rPr>
      </w:pPr>
      <w:r>
        <w:rPr>
          <w:b/>
          <w:noProof/>
        </w:rPr>
        <w:t>охраны здоровья в 2002 году</w:t>
      </w:r>
    </w:p>
    <w:p w:rsidR="00000000" w:rsidRDefault="00000000">
      <w:pPr>
        <w:keepNext/>
        <w:jc w:val="both"/>
        <w:rPr>
          <w:bCs/>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96"/>
        <w:gridCol w:w="1276"/>
        <w:gridCol w:w="1418"/>
        <w:gridCol w:w="1842"/>
        <w:gridCol w:w="1290"/>
        <w:gridCol w:w="1289"/>
      </w:tblGrid>
      <w:tr w:rsidR="00000000">
        <w:tblPrEx>
          <w:tblCellMar>
            <w:top w:w="0" w:type="dxa"/>
            <w:bottom w:w="0" w:type="dxa"/>
          </w:tblCellMar>
        </w:tblPrEx>
        <w:trPr>
          <w:cantSplit/>
        </w:trPr>
        <w:tc>
          <w:tcPr>
            <w:tcW w:w="2296" w:type="dxa"/>
            <w:tcBorders>
              <w:bottom w:val="single" w:sz="4" w:space="0" w:color="auto"/>
            </w:tcBorders>
          </w:tcPr>
          <w:p w:rsidR="00000000" w:rsidRDefault="00000000">
            <w:pPr>
              <w:keepNext/>
              <w:spacing w:line="240" w:lineRule="auto"/>
              <w:jc w:val="center"/>
              <w:rPr>
                <w:bCs/>
                <w:sz w:val="20"/>
              </w:rPr>
            </w:pPr>
            <w:r>
              <w:rPr>
                <w:bCs/>
                <w:sz w:val="20"/>
              </w:rPr>
              <w:t>Профессиональная группа</w:t>
            </w:r>
          </w:p>
        </w:tc>
        <w:tc>
          <w:tcPr>
            <w:tcW w:w="1276" w:type="dxa"/>
            <w:tcBorders>
              <w:bottom w:val="single" w:sz="4" w:space="0" w:color="auto"/>
            </w:tcBorders>
          </w:tcPr>
          <w:p w:rsidR="00000000" w:rsidRDefault="00000000">
            <w:pPr>
              <w:keepNext/>
              <w:spacing w:line="240" w:lineRule="auto"/>
              <w:jc w:val="center"/>
              <w:rPr>
                <w:bCs/>
                <w:sz w:val="20"/>
              </w:rPr>
            </w:pPr>
            <w:r>
              <w:rPr>
                <w:bCs/>
                <w:sz w:val="20"/>
              </w:rPr>
              <w:t>Общая численность занятых</w:t>
            </w:r>
          </w:p>
          <w:p w:rsidR="00000000" w:rsidRDefault="00000000">
            <w:pPr>
              <w:keepNext/>
              <w:spacing w:line="240" w:lineRule="auto"/>
              <w:jc w:val="center"/>
              <w:rPr>
                <w:bCs/>
                <w:sz w:val="20"/>
              </w:rPr>
            </w:pPr>
          </w:p>
        </w:tc>
        <w:tc>
          <w:tcPr>
            <w:tcW w:w="1418" w:type="dxa"/>
            <w:tcBorders>
              <w:bottom w:val="single" w:sz="4" w:space="0" w:color="auto"/>
            </w:tcBorders>
          </w:tcPr>
          <w:p w:rsidR="00000000" w:rsidRDefault="00000000">
            <w:pPr>
              <w:keepNext/>
              <w:spacing w:line="240" w:lineRule="auto"/>
              <w:jc w:val="center"/>
              <w:rPr>
                <w:bCs/>
                <w:sz w:val="20"/>
              </w:rPr>
            </w:pPr>
            <w:r>
              <w:rPr>
                <w:bCs/>
                <w:sz w:val="20"/>
              </w:rPr>
              <w:t>В том числе работающие неполный рабочий день</w:t>
            </w:r>
          </w:p>
        </w:tc>
        <w:tc>
          <w:tcPr>
            <w:tcW w:w="1842" w:type="dxa"/>
            <w:tcBorders>
              <w:bottom w:val="single" w:sz="4" w:space="0" w:color="auto"/>
            </w:tcBorders>
          </w:tcPr>
          <w:p w:rsidR="00000000" w:rsidRDefault="00000000">
            <w:pPr>
              <w:keepNext/>
              <w:spacing w:line="240" w:lineRule="auto"/>
              <w:jc w:val="center"/>
              <w:rPr>
                <w:bCs/>
                <w:sz w:val="20"/>
              </w:rPr>
            </w:pPr>
            <w:r>
              <w:rPr>
                <w:bCs/>
                <w:sz w:val="20"/>
              </w:rPr>
              <w:t>В том числе лица, осуществляющие зубоврачебную практику в качестве дополнительной работы</w:t>
            </w:r>
          </w:p>
        </w:tc>
        <w:tc>
          <w:tcPr>
            <w:tcW w:w="1290" w:type="dxa"/>
            <w:tcBorders>
              <w:bottom w:val="single" w:sz="4" w:space="0" w:color="auto"/>
            </w:tcBorders>
          </w:tcPr>
          <w:p w:rsidR="00000000" w:rsidRDefault="00000000">
            <w:pPr>
              <w:keepNext/>
              <w:spacing w:line="240" w:lineRule="auto"/>
              <w:jc w:val="center"/>
              <w:rPr>
                <w:bCs/>
                <w:sz w:val="20"/>
              </w:rPr>
            </w:pPr>
            <w:r>
              <w:rPr>
                <w:bCs/>
                <w:sz w:val="20"/>
              </w:rPr>
              <w:t>Находились в отпуске</w:t>
            </w:r>
          </w:p>
        </w:tc>
        <w:tc>
          <w:tcPr>
            <w:tcW w:w="1289" w:type="dxa"/>
            <w:tcBorders>
              <w:bottom w:val="single" w:sz="4" w:space="0" w:color="auto"/>
            </w:tcBorders>
          </w:tcPr>
          <w:p w:rsidR="00000000" w:rsidRDefault="00000000">
            <w:pPr>
              <w:keepNext/>
              <w:spacing w:line="240" w:lineRule="auto"/>
              <w:jc w:val="center"/>
              <w:rPr>
                <w:bCs/>
                <w:sz w:val="20"/>
              </w:rPr>
            </w:pPr>
            <w:r>
              <w:rPr>
                <w:bCs/>
                <w:sz w:val="20"/>
              </w:rPr>
              <w:t>Общая численность специалистов в области стоматологии</w:t>
            </w:r>
          </w:p>
        </w:tc>
      </w:tr>
      <w:tr w:rsidR="00000000">
        <w:tblPrEx>
          <w:tblCellMar>
            <w:top w:w="0" w:type="dxa"/>
            <w:bottom w:w="0" w:type="dxa"/>
          </w:tblCellMar>
        </w:tblPrEx>
        <w:trPr>
          <w:cantSplit/>
        </w:trPr>
        <w:tc>
          <w:tcPr>
            <w:tcW w:w="2296" w:type="dxa"/>
            <w:tcBorders>
              <w:bottom w:val="nil"/>
            </w:tcBorders>
          </w:tcPr>
          <w:p w:rsidR="00000000" w:rsidRDefault="00000000">
            <w:pPr>
              <w:keepNext/>
              <w:rPr>
                <w:bCs/>
                <w:sz w:val="20"/>
              </w:rPr>
            </w:pPr>
            <w:r>
              <w:rPr>
                <w:bCs/>
                <w:sz w:val="20"/>
              </w:rPr>
              <w:t>Стоматологи, имеющие</w:t>
            </w:r>
          </w:p>
          <w:p w:rsidR="00000000" w:rsidRDefault="00000000">
            <w:pPr>
              <w:keepNext/>
              <w:rPr>
                <w:bCs/>
                <w:sz w:val="20"/>
              </w:rPr>
            </w:pPr>
            <w:r>
              <w:rPr>
                <w:bCs/>
                <w:sz w:val="20"/>
              </w:rPr>
              <w:t xml:space="preserve">   официальное </w:t>
            </w:r>
          </w:p>
          <w:p w:rsidR="00000000" w:rsidRDefault="00000000">
            <w:pPr>
              <w:keepNext/>
              <w:rPr>
                <w:bCs/>
                <w:sz w:val="20"/>
              </w:rPr>
            </w:pPr>
            <w:r>
              <w:rPr>
                <w:bCs/>
                <w:sz w:val="20"/>
              </w:rPr>
              <w:t xml:space="preserve">   разрешение на </w:t>
            </w:r>
          </w:p>
          <w:p w:rsidR="00000000" w:rsidRDefault="00000000">
            <w:pPr>
              <w:keepNext/>
              <w:rPr>
                <w:bCs/>
                <w:sz w:val="20"/>
              </w:rPr>
            </w:pPr>
            <w:r>
              <w:rPr>
                <w:bCs/>
                <w:sz w:val="20"/>
              </w:rPr>
              <w:t xml:space="preserve">   ведение </w:t>
            </w:r>
          </w:p>
          <w:p w:rsidR="00000000" w:rsidRDefault="00000000">
            <w:pPr>
              <w:keepNext/>
              <w:rPr>
                <w:bCs/>
                <w:sz w:val="20"/>
              </w:rPr>
            </w:pPr>
            <w:r>
              <w:rPr>
                <w:bCs/>
                <w:sz w:val="20"/>
              </w:rPr>
              <w:t xml:space="preserve">   соответствующей </w:t>
            </w:r>
          </w:p>
          <w:p w:rsidR="00000000" w:rsidRDefault="00000000">
            <w:pPr>
              <w:keepNext/>
              <w:rPr>
                <w:bCs/>
                <w:sz w:val="20"/>
              </w:rPr>
            </w:pPr>
            <w:r>
              <w:rPr>
                <w:bCs/>
                <w:sz w:val="20"/>
              </w:rPr>
              <w:t xml:space="preserve">   практики</w:t>
            </w:r>
          </w:p>
        </w:tc>
        <w:tc>
          <w:tcPr>
            <w:tcW w:w="1276" w:type="dxa"/>
            <w:tcBorders>
              <w:bottom w:val="nil"/>
            </w:tcBorders>
          </w:tcPr>
          <w:p w:rsidR="00000000" w:rsidRDefault="00000000">
            <w:pPr>
              <w:keepNext/>
              <w:tabs>
                <w:tab w:val="clear" w:pos="1134"/>
                <w:tab w:val="left" w:pos="822"/>
              </w:tabs>
              <w:ind w:right="396"/>
              <w:jc w:val="right"/>
              <w:rPr>
                <w:bCs/>
                <w:sz w:val="20"/>
              </w:rPr>
            </w:pPr>
            <w:r>
              <w:rPr>
                <w:bCs/>
                <w:sz w:val="20"/>
              </w:rPr>
              <w:t>2 304</w:t>
            </w:r>
          </w:p>
        </w:tc>
        <w:tc>
          <w:tcPr>
            <w:tcW w:w="1418" w:type="dxa"/>
            <w:tcBorders>
              <w:bottom w:val="nil"/>
            </w:tcBorders>
          </w:tcPr>
          <w:p w:rsidR="00000000" w:rsidRDefault="00000000">
            <w:pPr>
              <w:keepNext/>
              <w:ind w:right="476"/>
              <w:jc w:val="right"/>
              <w:rPr>
                <w:bCs/>
                <w:sz w:val="20"/>
              </w:rPr>
            </w:pPr>
            <w:r>
              <w:rPr>
                <w:bCs/>
                <w:sz w:val="20"/>
              </w:rPr>
              <w:t>506</w:t>
            </w:r>
          </w:p>
        </w:tc>
        <w:tc>
          <w:tcPr>
            <w:tcW w:w="1842" w:type="dxa"/>
            <w:tcBorders>
              <w:bottom w:val="nil"/>
            </w:tcBorders>
          </w:tcPr>
          <w:p w:rsidR="00000000" w:rsidRDefault="00000000">
            <w:pPr>
              <w:keepNext/>
              <w:tabs>
                <w:tab w:val="clear" w:pos="1134"/>
              </w:tabs>
              <w:ind w:right="950"/>
              <w:jc w:val="right"/>
              <w:rPr>
                <w:bCs/>
                <w:sz w:val="20"/>
              </w:rPr>
            </w:pPr>
            <w:r>
              <w:rPr>
                <w:bCs/>
                <w:sz w:val="20"/>
              </w:rPr>
              <w:t>58</w:t>
            </w:r>
          </w:p>
        </w:tc>
        <w:tc>
          <w:tcPr>
            <w:tcW w:w="1290" w:type="dxa"/>
            <w:tcBorders>
              <w:bottom w:val="nil"/>
            </w:tcBorders>
          </w:tcPr>
          <w:p w:rsidR="00000000" w:rsidRDefault="00000000">
            <w:pPr>
              <w:keepNext/>
              <w:tabs>
                <w:tab w:val="clear" w:pos="1134"/>
              </w:tabs>
              <w:ind w:right="308"/>
              <w:jc w:val="right"/>
              <w:rPr>
                <w:bCs/>
                <w:sz w:val="20"/>
              </w:rPr>
            </w:pPr>
            <w:r>
              <w:rPr>
                <w:bCs/>
                <w:sz w:val="20"/>
              </w:rPr>
              <w:t>157</w:t>
            </w:r>
          </w:p>
        </w:tc>
        <w:tc>
          <w:tcPr>
            <w:tcW w:w="1289" w:type="dxa"/>
            <w:tcBorders>
              <w:bottom w:val="nil"/>
            </w:tcBorders>
          </w:tcPr>
          <w:p w:rsidR="00000000" w:rsidRDefault="00000000">
            <w:pPr>
              <w:keepNext/>
              <w:ind w:right="379"/>
              <w:jc w:val="right"/>
              <w:rPr>
                <w:bCs/>
                <w:sz w:val="20"/>
              </w:rPr>
            </w:pPr>
            <w:r>
              <w:rPr>
                <w:bCs/>
                <w:sz w:val="20"/>
              </w:rPr>
              <w:t>2 461</w:t>
            </w:r>
          </w:p>
        </w:tc>
      </w:tr>
      <w:tr w:rsidR="00000000">
        <w:tblPrEx>
          <w:tblCellMar>
            <w:top w:w="0" w:type="dxa"/>
            <w:bottom w:w="0" w:type="dxa"/>
          </w:tblCellMar>
        </w:tblPrEx>
        <w:trPr>
          <w:cantSplit/>
        </w:trPr>
        <w:tc>
          <w:tcPr>
            <w:tcW w:w="2296" w:type="dxa"/>
            <w:tcBorders>
              <w:top w:val="nil"/>
              <w:bottom w:val="nil"/>
            </w:tcBorders>
          </w:tcPr>
          <w:p w:rsidR="00000000" w:rsidRDefault="00000000">
            <w:pPr>
              <w:keepNext/>
              <w:rPr>
                <w:bCs/>
                <w:sz w:val="20"/>
              </w:rPr>
            </w:pPr>
            <w:r>
              <w:rPr>
                <w:bCs/>
                <w:sz w:val="20"/>
              </w:rPr>
              <w:t xml:space="preserve">Ассистенты </w:t>
            </w:r>
          </w:p>
          <w:p w:rsidR="00000000" w:rsidRDefault="00000000">
            <w:pPr>
              <w:keepNext/>
              <w:rPr>
                <w:bCs/>
                <w:sz w:val="20"/>
              </w:rPr>
            </w:pPr>
            <w:r>
              <w:rPr>
                <w:bCs/>
                <w:sz w:val="20"/>
              </w:rPr>
              <w:t xml:space="preserve">   стоматологов, </w:t>
            </w:r>
          </w:p>
          <w:p w:rsidR="00000000" w:rsidRDefault="00000000">
            <w:pPr>
              <w:keepNext/>
              <w:rPr>
                <w:bCs/>
                <w:sz w:val="20"/>
              </w:rPr>
            </w:pPr>
            <w:r>
              <w:rPr>
                <w:bCs/>
                <w:sz w:val="20"/>
              </w:rPr>
              <w:t xml:space="preserve">   имеющие </w:t>
            </w:r>
          </w:p>
          <w:p w:rsidR="00000000" w:rsidRDefault="00000000">
            <w:pPr>
              <w:keepNext/>
              <w:rPr>
                <w:bCs/>
                <w:sz w:val="20"/>
              </w:rPr>
            </w:pPr>
            <w:r>
              <w:rPr>
                <w:bCs/>
                <w:sz w:val="20"/>
              </w:rPr>
              <w:t xml:space="preserve">   официальное </w:t>
            </w:r>
          </w:p>
          <w:p w:rsidR="00000000" w:rsidRDefault="00000000">
            <w:pPr>
              <w:keepNext/>
              <w:rPr>
                <w:bCs/>
                <w:sz w:val="20"/>
              </w:rPr>
            </w:pPr>
            <w:r>
              <w:rPr>
                <w:bCs/>
                <w:sz w:val="20"/>
              </w:rPr>
              <w:t xml:space="preserve">   разрешение на ведение </w:t>
            </w:r>
          </w:p>
          <w:p w:rsidR="00000000" w:rsidRDefault="00000000">
            <w:pPr>
              <w:keepNext/>
              <w:rPr>
                <w:bCs/>
                <w:sz w:val="20"/>
              </w:rPr>
            </w:pPr>
            <w:r>
              <w:rPr>
                <w:bCs/>
                <w:sz w:val="20"/>
              </w:rPr>
              <w:t xml:space="preserve">   соответствующей </w:t>
            </w:r>
          </w:p>
          <w:p w:rsidR="00000000" w:rsidRDefault="00000000">
            <w:pPr>
              <w:keepNext/>
              <w:rPr>
                <w:bCs/>
                <w:sz w:val="20"/>
              </w:rPr>
            </w:pPr>
            <w:r>
              <w:rPr>
                <w:bCs/>
                <w:sz w:val="20"/>
              </w:rPr>
              <w:t xml:space="preserve">   практики</w:t>
            </w:r>
          </w:p>
        </w:tc>
        <w:tc>
          <w:tcPr>
            <w:tcW w:w="1276" w:type="dxa"/>
            <w:tcBorders>
              <w:top w:val="nil"/>
              <w:bottom w:val="nil"/>
            </w:tcBorders>
          </w:tcPr>
          <w:p w:rsidR="00000000" w:rsidRDefault="00000000">
            <w:pPr>
              <w:keepNext/>
              <w:tabs>
                <w:tab w:val="clear" w:pos="1134"/>
                <w:tab w:val="left" w:pos="822"/>
              </w:tabs>
              <w:ind w:right="396"/>
              <w:jc w:val="right"/>
              <w:rPr>
                <w:bCs/>
                <w:sz w:val="20"/>
              </w:rPr>
            </w:pPr>
            <w:r>
              <w:rPr>
                <w:bCs/>
                <w:sz w:val="20"/>
              </w:rPr>
              <w:t>555</w:t>
            </w:r>
          </w:p>
        </w:tc>
        <w:tc>
          <w:tcPr>
            <w:tcW w:w="1418" w:type="dxa"/>
            <w:tcBorders>
              <w:top w:val="nil"/>
              <w:bottom w:val="nil"/>
            </w:tcBorders>
          </w:tcPr>
          <w:p w:rsidR="00000000" w:rsidRDefault="00000000">
            <w:pPr>
              <w:keepNext/>
              <w:ind w:right="476"/>
              <w:jc w:val="right"/>
              <w:rPr>
                <w:bCs/>
                <w:sz w:val="20"/>
              </w:rPr>
            </w:pPr>
            <w:r>
              <w:rPr>
                <w:bCs/>
                <w:sz w:val="20"/>
              </w:rPr>
              <w:t>76</w:t>
            </w:r>
          </w:p>
        </w:tc>
        <w:tc>
          <w:tcPr>
            <w:tcW w:w="1842" w:type="dxa"/>
            <w:tcBorders>
              <w:top w:val="nil"/>
              <w:bottom w:val="nil"/>
            </w:tcBorders>
          </w:tcPr>
          <w:p w:rsidR="00000000" w:rsidRDefault="00000000">
            <w:pPr>
              <w:keepNext/>
              <w:tabs>
                <w:tab w:val="clear" w:pos="1134"/>
              </w:tabs>
              <w:ind w:right="950"/>
              <w:jc w:val="right"/>
              <w:rPr>
                <w:bCs/>
                <w:sz w:val="20"/>
              </w:rPr>
            </w:pPr>
            <w:r>
              <w:rPr>
                <w:bCs/>
                <w:sz w:val="20"/>
              </w:rPr>
              <w:t>0</w:t>
            </w:r>
          </w:p>
        </w:tc>
        <w:tc>
          <w:tcPr>
            <w:tcW w:w="1290" w:type="dxa"/>
            <w:tcBorders>
              <w:top w:val="nil"/>
              <w:bottom w:val="nil"/>
            </w:tcBorders>
          </w:tcPr>
          <w:p w:rsidR="00000000" w:rsidRDefault="00000000">
            <w:pPr>
              <w:keepNext/>
              <w:tabs>
                <w:tab w:val="clear" w:pos="1134"/>
              </w:tabs>
              <w:ind w:right="308"/>
              <w:jc w:val="right"/>
              <w:rPr>
                <w:bCs/>
                <w:sz w:val="20"/>
              </w:rPr>
            </w:pPr>
            <w:r>
              <w:rPr>
                <w:bCs/>
                <w:sz w:val="20"/>
              </w:rPr>
              <w:t>51</w:t>
            </w:r>
          </w:p>
        </w:tc>
        <w:tc>
          <w:tcPr>
            <w:tcW w:w="1289" w:type="dxa"/>
            <w:tcBorders>
              <w:top w:val="nil"/>
              <w:bottom w:val="nil"/>
            </w:tcBorders>
          </w:tcPr>
          <w:p w:rsidR="00000000" w:rsidRDefault="00000000">
            <w:pPr>
              <w:keepNext/>
              <w:ind w:right="379"/>
              <w:jc w:val="right"/>
              <w:rPr>
                <w:bCs/>
                <w:sz w:val="20"/>
              </w:rPr>
            </w:pPr>
            <w:r>
              <w:rPr>
                <w:bCs/>
                <w:sz w:val="20"/>
              </w:rPr>
              <w:t>606</w:t>
            </w:r>
          </w:p>
        </w:tc>
      </w:tr>
      <w:tr w:rsidR="00000000">
        <w:tblPrEx>
          <w:tblCellMar>
            <w:top w:w="0" w:type="dxa"/>
            <w:bottom w:w="0" w:type="dxa"/>
          </w:tblCellMar>
        </w:tblPrEx>
        <w:trPr>
          <w:cantSplit/>
        </w:trPr>
        <w:tc>
          <w:tcPr>
            <w:tcW w:w="2296" w:type="dxa"/>
            <w:tcBorders>
              <w:top w:val="nil"/>
              <w:bottom w:val="nil"/>
            </w:tcBorders>
          </w:tcPr>
          <w:p w:rsidR="00000000" w:rsidRDefault="00000000">
            <w:pPr>
              <w:keepNext/>
              <w:rPr>
                <w:bCs/>
                <w:sz w:val="20"/>
              </w:rPr>
            </w:pPr>
            <w:r>
              <w:rPr>
                <w:bCs/>
                <w:sz w:val="20"/>
              </w:rPr>
              <w:t xml:space="preserve">Медсестры по оказанию </w:t>
            </w:r>
          </w:p>
          <w:p w:rsidR="00000000" w:rsidRDefault="00000000">
            <w:pPr>
              <w:keepNext/>
              <w:rPr>
                <w:bCs/>
                <w:sz w:val="20"/>
              </w:rPr>
            </w:pPr>
            <w:r>
              <w:rPr>
                <w:bCs/>
                <w:sz w:val="20"/>
              </w:rPr>
              <w:t xml:space="preserve">   зубоврачебной помощи,</w:t>
            </w:r>
          </w:p>
          <w:p w:rsidR="00000000" w:rsidRDefault="00000000">
            <w:pPr>
              <w:keepNext/>
              <w:rPr>
                <w:bCs/>
                <w:sz w:val="20"/>
              </w:rPr>
            </w:pPr>
            <w:r>
              <w:rPr>
                <w:bCs/>
                <w:sz w:val="20"/>
              </w:rPr>
              <w:t xml:space="preserve">   имеющие официальное </w:t>
            </w:r>
          </w:p>
          <w:p w:rsidR="00000000" w:rsidRDefault="00000000">
            <w:pPr>
              <w:keepNext/>
              <w:rPr>
                <w:bCs/>
                <w:sz w:val="20"/>
              </w:rPr>
            </w:pPr>
            <w:r>
              <w:rPr>
                <w:bCs/>
                <w:sz w:val="20"/>
              </w:rPr>
              <w:t xml:space="preserve">   разрешение на ведение </w:t>
            </w:r>
          </w:p>
          <w:p w:rsidR="00000000" w:rsidRDefault="00000000">
            <w:pPr>
              <w:keepNext/>
              <w:rPr>
                <w:bCs/>
                <w:sz w:val="20"/>
              </w:rPr>
            </w:pPr>
            <w:r>
              <w:rPr>
                <w:bCs/>
                <w:sz w:val="20"/>
              </w:rPr>
              <w:t xml:space="preserve">   соответствующей </w:t>
            </w:r>
          </w:p>
          <w:p w:rsidR="00000000" w:rsidRDefault="00000000">
            <w:pPr>
              <w:keepNext/>
              <w:rPr>
                <w:bCs/>
                <w:sz w:val="20"/>
              </w:rPr>
            </w:pPr>
            <w:r>
              <w:rPr>
                <w:bCs/>
                <w:sz w:val="20"/>
              </w:rPr>
              <w:t xml:space="preserve">   практики</w:t>
            </w:r>
          </w:p>
        </w:tc>
        <w:tc>
          <w:tcPr>
            <w:tcW w:w="1276" w:type="dxa"/>
            <w:tcBorders>
              <w:top w:val="nil"/>
              <w:bottom w:val="nil"/>
            </w:tcBorders>
          </w:tcPr>
          <w:p w:rsidR="00000000" w:rsidRDefault="00000000">
            <w:pPr>
              <w:keepNext/>
              <w:tabs>
                <w:tab w:val="clear" w:pos="1134"/>
                <w:tab w:val="left" w:pos="822"/>
              </w:tabs>
              <w:ind w:right="396"/>
              <w:jc w:val="right"/>
              <w:rPr>
                <w:bCs/>
                <w:sz w:val="20"/>
              </w:rPr>
            </w:pPr>
            <w:r>
              <w:rPr>
                <w:bCs/>
                <w:sz w:val="20"/>
              </w:rPr>
              <w:t>2</w:t>
            </w:r>
            <w:r>
              <w:rPr>
                <w:bCs/>
                <w:sz w:val="20"/>
                <w:lang w:val="en-GB"/>
              </w:rPr>
              <w:t> </w:t>
            </w:r>
            <w:r>
              <w:rPr>
                <w:bCs/>
                <w:sz w:val="20"/>
              </w:rPr>
              <w:t>730</w:t>
            </w:r>
          </w:p>
        </w:tc>
        <w:tc>
          <w:tcPr>
            <w:tcW w:w="1418" w:type="dxa"/>
            <w:tcBorders>
              <w:top w:val="nil"/>
              <w:bottom w:val="nil"/>
            </w:tcBorders>
          </w:tcPr>
          <w:p w:rsidR="00000000" w:rsidRDefault="00000000">
            <w:pPr>
              <w:keepNext/>
              <w:ind w:right="476"/>
              <w:jc w:val="right"/>
              <w:rPr>
                <w:bCs/>
                <w:sz w:val="20"/>
              </w:rPr>
            </w:pPr>
            <w:r>
              <w:rPr>
                <w:bCs/>
                <w:sz w:val="20"/>
              </w:rPr>
              <w:t>289</w:t>
            </w:r>
          </w:p>
        </w:tc>
        <w:tc>
          <w:tcPr>
            <w:tcW w:w="1842" w:type="dxa"/>
            <w:tcBorders>
              <w:top w:val="nil"/>
              <w:bottom w:val="nil"/>
            </w:tcBorders>
          </w:tcPr>
          <w:p w:rsidR="00000000" w:rsidRDefault="00000000">
            <w:pPr>
              <w:keepNext/>
              <w:tabs>
                <w:tab w:val="clear" w:pos="1134"/>
              </w:tabs>
              <w:ind w:right="950"/>
              <w:jc w:val="right"/>
              <w:rPr>
                <w:bCs/>
                <w:sz w:val="20"/>
              </w:rPr>
            </w:pPr>
            <w:r>
              <w:rPr>
                <w:bCs/>
                <w:sz w:val="20"/>
              </w:rPr>
              <w:t>0</w:t>
            </w:r>
          </w:p>
        </w:tc>
        <w:tc>
          <w:tcPr>
            <w:tcW w:w="1290" w:type="dxa"/>
            <w:tcBorders>
              <w:top w:val="nil"/>
              <w:bottom w:val="nil"/>
            </w:tcBorders>
          </w:tcPr>
          <w:p w:rsidR="00000000" w:rsidRDefault="00000000">
            <w:pPr>
              <w:keepNext/>
              <w:tabs>
                <w:tab w:val="clear" w:pos="1134"/>
              </w:tabs>
              <w:ind w:right="308"/>
              <w:jc w:val="right"/>
              <w:rPr>
                <w:bCs/>
                <w:sz w:val="20"/>
              </w:rPr>
            </w:pPr>
            <w:r>
              <w:rPr>
                <w:bCs/>
                <w:sz w:val="20"/>
              </w:rPr>
              <w:t>177</w:t>
            </w:r>
          </w:p>
        </w:tc>
        <w:tc>
          <w:tcPr>
            <w:tcW w:w="1289" w:type="dxa"/>
            <w:tcBorders>
              <w:top w:val="nil"/>
              <w:bottom w:val="nil"/>
            </w:tcBorders>
          </w:tcPr>
          <w:p w:rsidR="00000000" w:rsidRDefault="00000000">
            <w:pPr>
              <w:keepNext/>
              <w:ind w:right="379"/>
              <w:jc w:val="right"/>
              <w:rPr>
                <w:bCs/>
                <w:sz w:val="20"/>
              </w:rPr>
            </w:pPr>
            <w:r>
              <w:rPr>
                <w:bCs/>
                <w:sz w:val="20"/>
              </w:rPr>
              <w:t>2</w:t>
            </w:r>
            <w:r>
              <w:rPr>
                <w:bCs/>
                <w:sz w:val="20"/>
                <w:lang w:val="en-GB"/>
              </w:rPr>
              <w:t> </w:t>
            </w:r>
            <w:r>
              <w:rPr>
                <w:bCs/>
                <w:sz w:val="20"/>
              </w:rPr>
              <w:t>907</w:t>
            </w:r>
          </w:p>
        </w:tc>
      </w:tr>
      <w:tr w:rsidR="00000000">
        <w:tblPrEx>
          <w:tblCellMar>
            <w:top w:w="0" w:type="dxa"/>
            <w:bottom w:w="0" w:type="dxa"/>
          </w:tblCellMar>
        </w:tblPrEx>
        <w:trPr>
          <w:cantSplit/>
        </w:trPr>
        <w:tc>
          <w:tcPr>
            <w:tcW w:w="2296" w:type="dxa"/>
            <w:tcBorders>
              <w:top w:val="nil"/>
              <w:bottom w:val="nil"/>
            </w:tcBorders>
          </w:tcPr>
          <w:p w:rsidR="00000000" w:rsidRDefault="00000000">
            <w:pPr>
              <w:keepNext/>
              <w:rPr>
                <w:bCs/>
                <w:sz w:val="20"/>
              </w:rPr>
            </w:pPr>
            <w:r>
              <w:rPr>
                <w:bCs/>
                <w:sz w:val="20"/>
              </w:rPr>
              <w:t xml:space="preserve">Зубные техники, </w:t>
            </w:r>
          </w:p>
          <w:p w:rsidR="00000000" w:rsidRDefault="00000000">
            <w:pPr>
              <w:keepNext/>
              <w:rPr>
                <w:bCs/>
                <w:sz w:val="20"/>
              </w:rPr>
            </w:pPr>
            <w:r>
              <w:rPr>
                <w:bCs/>
                <w:sz w:val="20"/>
              </w:rPr>
              <w:t xml:space="preserve">   имеющие официальное </w:t>
            </w:r>
          </w:p>
          <w:p w:rsidR="00000000" w:rsidRDefault="00000000">
            <w:pPr>
              <w:keepNext/>
              <w:rPr>
                <w:bCs/>
                <w:sz w:val="20"/>
              </w:rPr>
            </w:pPr>
            <w:r>
              <w:rPr>
                <w:bCs/>
                <w:sz w:val="20"/>
              </w:rPr>
              <w:t xml:space="preserve">   разрешение на ведение </w:t>
            </w:r>
          </w:p>
          <w:p w:rsidR="00000000" w:rsidRDefault="00000000">
            <w:pPr>
              <w:keepNext/>
              <w:rPr>
                <w:bCs/>
                <w:sz w:val="20"/>
              </w:rPr>
            </w:pPr>
            <w:r>
              <w:rPr>
                <w:bCs/>
                <w:sz w:val="20"/>
              </w:rPr>
              <w:t xml:space="preserve">   соответствующей </w:t>
            </w:r>
          </w:p>
          <w:p w:rsidR="00000000" w:rsidRDefault="00000000">
            <w:pPr>
              <w:keepNext/>
              <w:rPr>
                <w:bCs/>
                <w:sz w:val="20"/>
              </w:rPr>
            </w:pPr>
            <w:r>
              <w:rPr>
                <w:bCs/>
                <w:sz w:val="20"/>
              </w:rPr>
              <w:t xml:space="preserve">   практики</w:t>
            </w:r>
          </w:p>
        </w:tc>
        <w:tc>
          <w:tcPr>
            <w:tcW w:w="1276" w:type="dxa"/>
            <w:tcBorders>
              <w:top w:val="nil"/>
              <w:bottom w:val="nil"/>
            </w:tcBorders>
          </w:tcPr>
          <w:p w:rsidR="00000000" w:rsidRDefault="00000000">
            <w:pPr>
              <w:keepNext/>
              <w:tabs>
                <w:tab w:val="clear" w:pos="1134"/>
                <w:tab w:val="left" w:pos="822"/>
              </w:tabs>
              <w:ind w:right="396"/>
              <w:jc w:val="right"/>
              <w:rPr>
                <w:bCs/>
                <w:sz w:val="20"/>
              </w:rPr>
            </w:pPr>
            <w:r>
              <w:rPr>
                <w:bCs/>
                <w:sz w:val="20"/>
              </w:rPr>
              <w:t>5</w:t>
            </w:r>
          </w:p>
        </w:tc>
        <w:tc>
          <w:tcPr>
            <w:tcW w:w="1418" w:type="dxa"/>
            <w:tcBorders>
              <w:top w:val="nil"/>
              <w:bottom w:val="nil"/>
            </w:tcBorders>
          </w:tcPr>
          <w:p w:rsidR="00000000" w:rsidRDefault="00000000">
            <w:pPr>
              <w:keepNext/>
              <w:ind w:right="476"/>
              <w:jc w:val="right"/>
              <w:rPr>
                <w:bCs/>
                <w:sz w:val="20"/>
              </w:rPr>
            </w:pPr>
            <w:r>
              <w:rPr>
                <w:bCs/>
                <w:sz w:val="20"/>
              </w:rPr>
              <w:t>0</w:t>
            </w:r>
          </w:p>
        </w:tc>
        <w:tc>
          <w:tcPr>
            <w:tcW w:w="1842" w:type="dxa"/>
            <w:tcBorders>
              <w:top w:val="nil"/>
              <w:bottom w:val="nil"/>
            </w:tcBorders>
          </w:tcPr>
          <w:p w:rsidR="00000000" w:rsidRDefault="00000000">
            <w:pPr>
              <w:keepNext/>
              <w:tabs>
                <w:tab w:val="clear" w:pos="1134"/>
              </w:tabs>
              <w:ind w:right="950"/>
              <w:jc w:val="right"/>
              <w:rPr>
                <w:bCs/>
                <w:sz w:val="20"/>
              </w:rPr>
            </w:pPr>
            <w:r>
              <w:rPr>
                <w:bCs/>
                <w:sz w:val="20"/>
              </w:rPr>
              <w:t>0</w:t>
            </w:r>
          </w:p>
        </w:tc>
        <w:tc>
          <w:tcPr>
            <w:tcW w:w="1290" w:type="dxa"/>
            <w:tcBorders>
              <w:top w:val="nil"/>
              <w:bottom w:val="nil"/>
            </w:tcBorders>
          </w:tcPr>
          <w:p w:rsidR="00000000" w:rsidRDefault="00000000">
            <w:pPr>
              <w:keepNext/>
              <w:tabs>
                <w:tab w:val="clear" w:pos="1134"/>
              </w:tabs>
              <w:ind w:right="308"/>
              <w:jc w:val="right"/>
              <w:rPr>
                <w:bCs/>
                <w:sz w:val="20"/>
              </w:rPr>
            </w:pPr>
            <w:r>
              <w:rPr>
                <w:bCs/>
                <w:sz w:val="20"/>
              </w:rPr>
              <w:t>0</w:t>
            </w:r>
          </w:p>
        </w:tc>
        <w:tc>
          <w:tcPr>
            <w:tcW w:w="1289" w:type="dxa"/>
            <w:tcBorders>
              <w:top w:val="nil"/>
              <w:bottom w:val="nil"/>
            </w:tcBorders>
          </w:tcPr>
          <w:p w:rsidR="00000000" w:rsidRDefault="00000000">
            <w:pPr>
              <w:keepNext/>
              <w:ind w:right="379"/>
              <w:jc w:val="right"/>
              <w:rPr>
                <w:bCs/>
                <w:sz w:val="20"/>
              </w:rPr>
            </w:pPr>
            <w:r>
              <w:rPr>
                <w:bCs/>
                <w:sz w:val="20"/>
              </w:rPr>
              <w:t>5</w:t>
            </w:r>
          </w:p>
        </w:tc>
      </w:tr>
      <w:tr w:rsidR="00000000">
        <w:tblPrEx>
          <w:tblCellMar>
            <w:top w:w="0" w:type="dxa"/>
            <w:bottom w:w="0" w:type="dxa"/>
          </w:tblCellMar>
        </w:tblPrEx>
        <w:trPr>
          <w:cantSplit/>
        </w:trPr>
        <w:tc>
          <w:tcPr>
            <w:tcW w:w="2296" w:type="dxa"/>
            <w:tcBorders>
              <w:top w:val="nil"/>
            </w:tcBorders>
          </w:tcPr>
          <w:p w:rsidR="00000000" w:rsidRDefault="00000000">
            <w:pPr>
              <w:keepNext/>
              <w:rPr>
                <w:bCs/>
                <w:sz w:val="20"/>
              </w:rPr>
            </w:pPr>
            <w:r>
              <w:rPr>
                <w:bCs/>
                <w:sz w:val="20"/>
              </w:rPr>
              <w:t xml:space="preserve">   Прочий персонал</w:t>
            </w:r>
          </w:p>
        </w:tc>
        <w:tc>
          <w:tcPr>
            <w:tcW w:w="1276" w:type="dxa"/>
            <w:tcBorders>
              <w:top w:val="nil"/>
            </w:tcBorders>
          </w:tcPr>
          <w:p w:rsidR="00000000" w:rsidRDefault="00000000">
            <w:pPr>
              <w:keepNext/>
              <w:tabs>
                <w:tab w:val="clear" w:pos="1134"/>
                <w:tab w:val="left" w:pos="822"/>
              </w:tabs>
              <w:ind w:right="396"/>
              <w:jc w:val="right"/>
              <w:rPr>
                <w:bCs/>
                <w:sz w:val="20"/>
              </w:rPr>
            </w:pPr>
            <w:r>
              <w:rPr>
                <w:bCs/>
                <w:sz w:val="20"/>
              </w:rPr>
              <w:t>4</w:t>
            </w:r>
          </w:p>
        </w:tc>
        <w:tc>
          <w:tcPr>
            <w:tcW w:w="1418" w:type="dxa"/>
            <w:tcBorders>
              <w:top w:val="nil"/>
            </w:tcBorders>
          </w:tcPr>
          <w:p w:rsidR="00000000" w:rsidRDefault="00000000">
            <w:pPr>
              <w:keepNext/>
              <w:ind w:right="476"/>
              <w:jc w:val="right"/>
              <w:rPr>
                <w:bCs/>
                <w:sz w:val="20"/>
              </w:rPr>
            </w:pPr>
            <w:r>
              <w:rPr>
                <w:bCs/>
                <w:sz w:val="20"/>
              </w:rPr>
              <w:t>2</w:t>
            </w:r>
          </w:p>
        </w:tc>
        <w:tc>
          <w:tcPr>
            <w:tcW w:w="1842" w:type="dxa"/>
            <w:tcBorders>
              <w:top w:val="nil"/>
            </w:tcBorders>
          </w:tcPr>
          <w:p w:rsidR="00000000" w:rsidRDefault="00000000">
            <w:pPr>
              <w:keepNext/>
              <w:tabs>
                <w:tab w:val="clear" w:pos="1134"/>
              </w:tabs>
              <w:ind w:right="950"/>
              <w:jc w:val="right"/>
              <w:rPr>
                <w:bCs/>
                <w:sz w:val="20"/>
              </w:rPr>
            </w:pPr>
            <w:r>
              <w:rPr>
                <w:bCs/>
                <w:sz w:val="20"/>
              </w:rPr>
              <w:t>0</w:t>
            </w:r>
          </w:p>
        </w:tc>
        <w:tc>
          <w:tcPr>
            <w:tcW w:w="1290" w:type="dxa"/>
            <w:tcBorders>
              <w:top w:val="nil"/>
            </w:tcBorders>
          </w:tcPr>
          <w:p w:rsidR="00000000" w:rsidRDefault="00000000">
            <w:pPr>
              <w:keepNext/>
              <w:tabs>
                <w:tab w:val="clear" w:pos="1134"/>
              </w:tabs>
              <w:ind w:right="308"/>
              <w:jc w:val="right"/>
              <w:rPr>
                <w:bCs/>
                <w:sz w:val="20"/>
              </w:rPr>
            </w:pPr>
            <w:r>
              <w:rPr>
                <w:bCs/>
                <w:sz w:val="20"/>
              </w:rPr>
              <w:t>1</w:t>
            </w:r>
          </w:p>
        </w:tc>
        <w:tc>
          <w:tcPr>
            <w:tcW w:w="1289" w:type="dxa"/>
            <w:tcBorders>
              <w:top w:val="nil"/>
            </w:tcBorders>
          </w:tcPr>
          <w:p w:rsidR="00000000" w:rsidRDefault="00000000">
            <w:pPr>
              <w:keepNext/>
              <w:ind w:right="379"/>
              <w:jc w:val="right"/>
              <w:rPr>
                <w:bCs/>
                <w:sz w:val="20"/>
              </w:rPr>
            </w:pPr>
            <w:r>
              <w:rPr>
                <w:bCs/>
                <w:sz w:val="20"/>
              </w:rPr>
              <w:t>5</w:t>
            </w:r>
          </w:p>
        </w:tc>
      </w:tr>
    </w:tbl>
    <w:p w:rsidR="00000000" w:rsidRDefault="00000000">
      <w:pPr>
        <w:keepNext/>
        <w:jc w:val="both"/>
        <w:rPr>
          <w:bCs/>
        </w:rPr>
      </w:pPr>
    </w:p>
    <w:p w:rsidR="00000000" w:rsidRDefault="00000000">
      <w:pPr>
        <w:keepNext/>
        <w:jc w:val="both"/>
        <w:rPr>
          <w:bCs/>
          <w:sz w:val="20"/>
        </w:rPr>
      </w:pPr>
      <w:r>
        <w:rPr>
          <w:bCs/>
        </w:rPr>
        <w:tab/>
      </w:r>
      <w:r>
        <w:rPr>
          <w:bCs/>
          <w:i/>
          <w:iCs/>
        </w:rPr>
        <w:t>Источник</w:t>
      </w:r>
      <w:r>
        <w:rPr>
          <w:bCs/>
        </w:rPr>
        <w:t>:  Статистическое управление Финляндии.</w:t>
      </w:r>
    </w:p>
    <w:p w:rsidR="00000000" w:rsidRDefault="00000000">
      <w:pPr>
        <w:jc w:val="both"/>
        <w:rPr>
          <w:bCs/>
        </w:rPr>
      </w:pPr>
    </w:p>
    <w:p w:rsidR="00000000" w:rsidRDefault="00000000">
      <w:pPr>
        <w:keepNext/>
        <w:jc w:val="center"/>
        <w:rPr>
          <w:b/>
          <w:bCs/>
        </w:rPr>
      </w:pPr>
      <w:r>
        <w:rPr>
          <w:b/>
          <w:bCs/>
        </w:rPr>
        <w:t>Таблица 13</w:t>
      </w:r>
    </w:p>
    <w:p w:rsidR="00000000" w:rsidRDefault="00000000">
      <w:pPr>
        <w:keepNext/>
        <w:jc w:val="center"/>
        <w:rPr>
          <w:b/>
          <w:bCs/>
        </w:rPr>
      </w:pPr>
    </w:p>
    <w:p w:rsidR="00000000" w:rsidRDefault="00000000">
      <w:pPr>
        <w:keepNext/>
        <w:jc w:val="center"/>
        <w:rPr>
          <w:b/>
          <w:bCs/>
        </w:rPr>
      </w:pPr>
      <w:r>
        <w:rPr>
          <w:b/>
          <w:bCs/>
        </w:rPr>
        <w:t>Операционные расходы на зубоврачебную помощь (в рамках основного медицинского обслуживания) в 2001 году</w:t>
      </w:r>
    </w:p>
    <w:p w:rsidR="00000000" w:rsidRDefault="00000000">
      <w:pPr>
        <w:keepNext/>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63"/>
        <w:gridCol w:w="1683"/>
        <w:gridCol w:w="2464"/>
      </w:tblGrid>
      <w:tr w:rsidR="00000000">
        <w:tblPrEx>
          <w:tblCellMar>
            <w:top w:w="0" w:type="dxa"/>
            <w:bottom w:w="0" w:type="dxa"/>
          </w:tblCellMar>
        </w:tblPrEx>
        <w:trPr>
          <w:cantSplit/>
        </w:trPr>
        <w:tc>
          <w:tcPr>
            <w:tcW w:w="2797" w:type="pct"/>
            <w:tcBorders>
              <w:bottom w:val="single" w:sz="4" w:space="0" w:color="auto"/>
            </w:tcBorders>
          </w:tcPr>
          <w:p w:rsidR="00000000" w:rsidRDefault="00000000">
            <w:pPr>
              <w:keepNext/>
              <w:jc w:val="center"/>
              <w:rPr>
                <w:bCs/>
              </w:rPr>
            </w:pPr>
            <w:r>
              <w:rPr>
                <w:bCs/>
              </w:rPr>
              <w:t>Муниципалитеты и объединенные муниципальные советы</w:t>
            </w:r>
          </w:p>
        </w:tc>
        <w:tc>
          <w:tcPr>
            <w:tcW w:w="894" w:type="pct"/>
            <w:tcBorders>
              <w:bottom w:val="single" w:sz="4" w:space="0" w:color="auto"/>
            </w:tcBorders>
          </w:tcPr>
          <w:p w:rsidR="00000000" w:rsidRDefault="00000000">
            <w:pPr>
              <w:keepNext/>
              <w:jc w:val="center"/>
              <w:rPr>
                <w:bCs/>
              </w:rPr>
            </w:pPr>
            <w:r>
              <w:rPr>
                <w:bCs/>
              </w:rPr>
              <w:t>1 000 евро</w:t>
            </w:r>
          </w:p>
        </w:tc>
        <w:tc>
          <w:tcPr>
            <w:tcW w:w="1309" w:type="pct"/>
            <w:tcBorders>
              <w:bottom w:val="single" w:sz="4" w:space="0" w:color="auto"/>
            </w:tcBorders>
          </w:tcPr>
          <w:p w:rsidR="00000000" w:rsidRDefault="00000000">
            <w:pPr>
              <w:keepNext/>
              <w:jc w:val="center"/>
              <w:rPr>
                <w:bCs/>
              </w:rPr>
            </w:pPr>
            <w:r>
              <w:rPr>
                <w:bCs/>
              </w:rPr>
              <w:t>Доля операционных расходов (%)</w:t>
            </w:r>
          </w:p>
        </w:tc>
      </w:tr>
      <w:tr w:rsidR="00000000">
        <w:tblPrEx>
          <w:tblCellMar>
            <w:top w:w="0" w:type="dxa"/>
            <w:bottom w:w="0" w:type="dxa"/>
          </w:tblCellMar>
        </w:tblPrEx>
        <w:trPr>
          <w:cantSplit/>
        </w:trPr>
        <w:tc>
          <w:tcPr>
            <w:tcW w:w="2797" w:type="pct"/>
            <w:tcBorders>
              <w:bottom w:val="nil"/>
            </w:tcBorders>
          </w:tcPr>
          <w:p w:rsidR="00000000" w:rsidRDefault="00000000">
            <w:pPr>
              <w:rPr>
                <w:bCs/>
              </w:rPr>
            </w:pPr>
            <w:r>
              <w:rPr>
                <w:bCs/>
              </w:rPr>
              <w:t>Операционные расходы*</w:t>
            </w:r>
          </w:p>
        </w:tc>
        <w:tc>
          <w:tcPr>
            <w:tcW w:w="894" w:type="pct"/>
            <w:tcBorders>
              <w:bottom w:val="nil"/>
            </w:tcBorders>
          </w:tcPr>
          <w:p w:rsidR="00000000" w:rsidRDefault="00000000">
            <w:pPr>
              <w:tabs>
                <w:tab w:val="clear" w:pos="1701"/>
                <w:tab w:val="left" w:pos="1281"/>
              </w:tabs>
              <w:ind w:right="533"/>
              <w:jc w:val="right"/>
              <w:rPr>
                <w:bCs/>
              </w:rPr>
            </w:pPr>
            <w:r>
              <w:rPr>
                <w:bCs/>
              </w:rPr>
              <w:t>281 587</w:t>
            </w:r>
          </w:p>
        </w:tc>
        <w:tc>
          <w:tcPr>
            <w:tcW w:w="1309" w:type="pct"/>
            <w:tcBorders>
              <w:bottom w:val="nil"/>
            </w:tcBorders>
          </w:tcPr>
          <w:p w:rsidR="00000000" w:rsidRDefault="00000000">
            <w:pPr>
              <w:tabs>
                <w:tab w:val="clear" w:pos="2268"/>
              </w:tabs>
              <w:ind w:right="940"/>
              <w:jc w:val="right"/>
              <w:rPr>
                <w:bCs/>
              </w:rPr>
            </w:pPr>
          </w:p>
        </w:tc>
      </w:tr>
      <w:tr w:rsidR="00000000">
        <w:tblPrEx>
          <w:tblCellMar>
            <w:top w:w="0" w:type="dxa"/>
            <w:bottom w:w="0" w:type="dxa"/>
          </w:tblCellMar>
        </w:tblPrEx>
        <w:trPr>
          <w:cantSplit/>
        </w:trPr>
        <w:tc>
          <w:tcPr>
            <w:tcW w:w="2797" w:type="pct"/>
            <w:tcBorders>
              <w:top w:val="nil"/>
              <w:bottom w:val="nil"/>
            </w:tcBorders>
          </w:tcPr>
          <w:p w:rsidR="00000000" w:rsidRDefault="00000000">
            <w:pPr>
              <w:rPr>
                <w:bCs/>
              </w:rPr>
            </w:pPr>
            <w:r>
              <w:rPr>
                <w:bCs/>
              </w:rPr>
              <w:t>Приобретение услуг у частных поставщиков услуг</w:t>
            </w:r>
          </w:p>
        </w:tc>
        <w:tc>
          <w:tcPr>
            <w:tcW w:w="894" w:type="pct"/>
            <w:tcBorders>
              <w:top w:val="nil"/>
              <w:bottom w:val="nil"/>
            </w:tcBorders>
          </w:tcPr>
          <w:p w:rsidR="00000000" w:rsidRDefault="00000000">
            <w:pPr>
              <w:tabs>
                <w:tab w:val="clear" w:pos="1701"/>
                <w:tab w:val="left" w:pos="1281"/>
              </w:tabs>
              <w:ind w:right="533"/>
              <w:jc w:val="right"/>
              <w:rPr>
                <w:bCs/>
              </w:rPr>
            </w:pPr>
            <w:r>
              <w:rPr>
                <w:bCs/>
              </w:rPr>
              <w:t>3 045</w:t>
            </w:r>
          </w:p>
        </w:tc>
        <w:tc>
          <w:tcPr>
            <w:tcW w:w="1309" w:type="pct"/>
            <w:tcBorders>
              <w:top w:val="nil"/>
              <w:bottom w:val="nil"/>
            </w:tcBorders>
          </w:tcPr>
          <w:p w:rsidR="00000000" w:rsidRDefault="00000000">
            <w:pPr>
              <w:tabs>
                <w:tab w:val="clear" w:pos="2268"/>
              </w:tabs>
              <w:ind w:right="940"/>
              <w:jc w:val="right"/>
              <w:rPr>
                <w:bCs/>
              </w:rPr>
            </w:pPr>
            <w:r>
              <w:rPr>
                <w:bCs/>
              </w:rPr>
              <w:t>1,1</w:t>
            </w:r>
          </w:p>
        </w:tc>
      </w:tr>
      <w:tr w:rsidR="00000000">
        <w:tblPrEx>
          <w:tblCellMar>
            <w:top w:w="0" w:type="dxa"/>
            <w:bottom w:w="0" w:type="dxa"/>
          </w:tblCellMar>
        </w:tblPrEx>
        <w:trPr>
          <w:cantSplit/>
        </w:trPr>
        <w:tc>
          <w:tcPr>
            <w:tcW w:w="2797" w:type="pct"/>
            <w:tcBorders>
              <w:top w:val="nil"/>
            </w:tcBorders>
          </w:tcPr>
          <w:p w:rsidR="00000000" w:rsidRDefault="00000000">
            <w:pPr>
              <w:rPr>
                <w:bCs/>
              </w:rPr>
            </w:pPr>
            <w:r>
              <w:rPr>
                <w:bCs/>
              </w:rPr>
              <w:t>Доход от платы за услуги</w:t>
            </w:r>
          </w:p>
        </w:tc>
        <w:tc>
          <w:tcPr>
            <w:tcW w:w="894" w:type="pct"/>
            <w:tcBorders>
              <w:top w:val="nil"/>
            </w:tcBorders>
          </w:tcPr>
          <w:p w:rsidR="00000000" w:rsidRDefault="00000000">
            <w:pPr>
              <w:tabs>
                <w:tab w:val="clear" w:pos="1701"/>
                <w:tab w:val="left" w:pos="1281"/>
              </w:tabs>
              <w:ind w:right="533"/>
              <w:jc w:val="right"/>
              <w:rPr>
                <w:bCs/>
              </w:rPr>
            </w:pPr>
            <w:r>
              <w:rPr>
                <w:bCs/>
              </w:rPr>
              <w:t>58 031</w:t>
            </w:r>
          </w:p>
        </w:tc>
        <w:tc>
          <w:tcPr>
            <w:tcW w:w="1309" w:type="pct"/>
            <w:tcBorders>
              <w:top w:val="nil"/>
            </w:tcBorders>
          </w:tcPr>
          <w:p w:rsidR="00000000" w:rsidRDefault="00000000">
            <w:pPr>
              <w:tabs>
                <w:tab w:val="clear" w:pos="2268"/>
              </w:tabs>
              <w:ind w:right="940"/>
              <w:jc w:val="right"/>
              <w:rPr>
                <w:bCs/>
              </w:rPr>
            </w:pPr>
            <w:r>
              <w:rPr>
                <w:bCs/>
              </w:rPr>
              <w:t>20,6</w:t>
            </w:r>
          </w:p>
        </w:tc>
      </w:tr>
    </w:tbl>
    <w:p w:rsidR="00000000" w:rsidRDefault="00000000"/>
    <w:p w:rsidR="00000000" w:rsidRDefault="00000000">
      <w:r>
        <w:t>*</w:t>
      </w:r>
      <w:r>
        <w:tab/>
        <w:t>Исключая доход от продаж, полученный от участвующих муниципалитетов.</w:t>
      </w:r>
    </w:p>
    <w:p w:rsidR="00000000" w:rsidRDefault="00000000"/>
    <w:p w:rsidR="00000000" w:rsidRDefault="00000000">
      <w:r>
        <w:t>376.</w:t>
      </w:r>
      <w:r>
        <w:tab/>
      </w:r>
      <w:r>
        <w:rPr>
          <w:i/>
          <w:iCs/>
        </w:rPr>
        <w:t>Частная стоматологическая помощь и возмещение расходов на ее оказание за счет медицинского страхования.</w:t>
      </w:r>
      <w:r>
        <w:t xml:space="preserve">  С 1 декабря 2002 года право на возмещение расходов, связанных с оказанием зубоврачебной помощи, распространяется на всех лиц независимо от их возраста.  В соответствии с законом пациенту возмещается часть расходов на зубоврачебную помощь, оказанную частным стоматологом, за исключением расходов на зубное протезирование и другие схожее услуги зубного техника, а также исправление зубов.  Сумма возмещения не может превышать 60-процентный предел, установленный Национальным институтом пенсионного обеспечения.  Согласно отдельному закону ветеранам войны и саперных войск возмещается более значительная по сравнению с другими гражданами часть расходов на стоматологическую помощь, включающую в себя также зубное протезирование.</w:t>
      </w:r>
    </w:p>
    <w:p w:rsidR="00000000" w:rsidRDefault="00000000"/>
    <w:p w:rsidR="00000000" w:rsidRDefault="00000000">
      <w:r>
        <w:t>377.</w:t>
      </w:r>
      <w:r>
        <w:tab/>
        <w:t>Практика оказания услуг частными стоматологами в различных муниципалитетах и городах варьируется.  В 2003 году в Ассоциации стоматологов Финляндии было зарегистрировано в общей сложности 2 454 частных стоматолога, из которых 464 стоматолога работали на основе частичной занятости, а в Союзе работников здравоохранения и социальной опеки (</w:t>
      </w:r>
      <w:r>
        <w:rPr>
          <w:lang w:val="en-US"/>
        </w:rPr>
        <w:t>Tehy</w:t>
      </w:r>
      <w:r>
        <w:t xml:space="preserve">) было зарегистрировано 1 222 медсестры по оказанию зубоврачебной помощи и 268 ассистентов стоматологов, работавших в частном секторе.  </w:t>
      </w:r>
    </w:p>
    <w:p w:rsidR="00000000" w:rsidRDefault="00000000"/>
    <w:p w:rsidR="00000000" w:rsidRDefault="00000000">
      <w:r>
        <w:t>378.</w:t>
      </w:r>
      <w:r>
        <w:tab/>
      </w:r>
      <w:r>
        <w:rPr>
          <w:i/>
          <w:iCs/>
        </w:rPr>
        <w:t xml:space="preserve">Наличие стоматологических услуг и проблемы, касающиеся оказания помощи центрами охраны здоровья.  </w:t>
      </w:r>
      <w:r>
        <w:t>В 2001 году, а также в 2002 году местным властям сравнительно хорошо удавалось проводить в жизнь меры, связанные с расширением сферы оказания государственной зубоврачебной помощи.  Однако устранение возрастных ограничений в данной области, произошедшее 1 декабря 2002 года, повлекло за собой возникновение значительных проблем в муниципалитетах, и в потребностях получения стоматологической помощи обнаружилось больше региональных проблем, чем ожидалось.  В некоторых муниципалитетах спрос на зубоврачебные услуги удалось удовлетворить за счет изменения практики оказания помощи в центрах охраны здоровья.  В ряде муниципалитетов вследствие роста спроса требовалось увеличить объем финансирования.  Проблемы, в частности, в крупных городах возникли с организацией оказания несрочной стоматологической помощи.  За пределами крупных городов эта проблема может стоять еще более остро из-за трудностей привлечения компетентного персонала.</w:t>
      </w:r>
    </w:p>
    <w:p w:rsidR="00000000" w:rsidRDefault="00000000"/>
    <w:p w:rsidR="00000000" w:rsidRDefault="00000000">
      <w:r>
        <w:t>379.</w:t>
      </w:r>
      <w:r>
        <w:tab/>
        <w:t>В 2003 году не отмечалось никаких проблем с оказанием неотложной помощи в будние дни практически во всех центрах охраны здоровья.  В некоторых крупных городах оказание другой стоматологической помощи обеспечивалось лишь лицам, достигшим 18</w:t>
      </w:r>
      <w:r>
        <w:noBreakHyphen/>
        <w:t>летнего возраста.  В ряде центров охраны здоровья возникла необходимость в периодическом ограничении доступа к услугам стоматологов.  Это объяснялось, в частности, неодинаковой очередностью, предусмотренной различными муниципалитетами для обслуживания различных групп пациентов.  В результате расширения сферы охвата системой стоматологической помощи увеличились очереди на прием к стоматологу, и меры, принимавшиеся различными муниципалитетами с целью урегулирования ситуации, были неодинаковыми.</w:t>
      </w:r>
    </w:p>
    <w:p w:rsidR="00000000" w:rsidRDefault="00000000"/>
    <w:p w:rsidR="00000000" w:rsidRDefault="00000000">
      <w:r>
        <w:t>380.</w:t>
      </w:r>
      <w:r>
        <w:tab/>
        <w:t>В целом центры охраны здоровья увеличили объем оказания стоматологических услуг взрослому населению.  Согласно обследованию, проведенному Национальным центром научных исследований и разработок по проблемам социального обеспечения и здравоохранения (</w:t>
      </w:r>
      <w:r>
        <w:rPr>
          <w:lang w:val="en-US"/>
        </w:rPr>
        <w:t>STAKES</w:t>
      </w:r>
      <w:r>
        <w:t>) в январе 2005 года, в половине центров охраны здоровья, для того чтобы попасть на прием к ассистенту стоматолога, необходимо записаться менее чем за две недели.  Это свидетельствует о тех изменениях, которые произошли в организации работы центров охраны здоровья, в частности в 2003 и 2004 годах.  Центры охраны здоровья также наняли на работу дополнительных ассистентов стоматологов.  В 22% центров охраны здоровья также требуется менее двух недель, чтобы попасть на прием к стоматологу.  Однако в данной области по</w:t>
      </w:r>
      <w:r>
        <w:noBreakHyphen/>
        <w:t>прежнему наблюдаются существенные региональные различия.</w:t>
      </w:r>
    </w:p>
    <w:p w:rsidR="00000000" w:rsidRDefault="00000000"/>
    <w:p w:rsidR="00000000" w:rsidRDefault="00000000">
      <w:r>
        <w:t>381.</w:t>
      </w:r>
      <w:r>
        <w:tab/>
        <w:t>В 2004 году парламентский омбудсмен выносило решение по ряду жалоб, касавшихся равного обращения с пациентами в сфере оказания стоматологической помощи.</w:t>
      </w:r>
    </w:p>
    <w:p w:rsidR="00000000" w:rsidRDefault="00000000"/>
    <w:p w:rsidR="00000000" w:rsidRDefault="00000000">
      <w:pPr>
        <w:keepNext/>
        <w:jc w:val="center"/>
        <w:rPr>
          <w:b/>
          <w:bCs/>
        </w:rPr>
      </w:pPr>
      <w:r>
        <w:rPr>
          <w:b/>
          <w:bCs/>
        </w:rPr>
        <w:t>2 b)</w:t>
      </w:r>
      <w:r>
        <w:rPr>
          <w:b/>
          <w:bCs/>
        </w:rPr>
        <w:tab/>
        <w:t>Денежные пособия по болезни</w:t>
      </w:r>
    </w:p>
    <w:p w:rsidR="00000000" w:rsidRDefault="00000000">
      <w:pPr>
        <w:keepNext/>
        <w:rPr>
          <w:b/>
          <w:bCs/>
        </w:rPr>
      </w:pPr>
    </w:p>
    <w:p w:rsidR="00000000" w:rsidRDefault="00000000">
      <w:r>
        <w:t>382.</w:t>
      </w:r>
      <w:r>
        <w:tab/>
        <w:t>За период, охватываемый настоящим докладом, система страхования по болезни и структура пособия по болезни мало изменились.  В докладе представлена основная информация о размере пособий, а более подробные данные приводятся в приложениях к нему.</w:t>
      </w:r>
    </w:p>
    <w:p w:rsidR="00000000" w:rsidRDefault="00000000"/>
    <w:p w:rsidR="00000000" w:rsidRDefault="00000000">
      <w:r>
        <w:t>383.</w:t>
      </w:r>
      <w:r>
        <w:tab/>
      </w:r>
      <w:r>
        <w:rPr>
          <w:i/>
          <w:iCs/>
        </w:rPr>
        <w:t>Пособие по болезни</w:t>
      </w:r>
      <w:r>
        <w:t xml:space="preserve"> предназначено для того, чтобы компенсировать потерю дохода, вызванную временной нетрудоспособностью.  Система пособий по болезни в 2002 году претерпела изменения, согласно которым прежнее минимальное пособие, привязанное к оценке потребности, было заменено минимальным пособием, постоянно выплачиваемым при условии непрерывной продолжительности болезни не менее 55 дней.</w:t>
      </w:r>
    </w:p>
    <w:p w:rsidR="00000000" w:rsidRDefault="00000000"/>
    <w:p w:rsidR="00000000" w:rsidRDefault="00000000">
      <w:r>
        <w:t>384.</w:t>
      </w:r>
      <w:r>
        <w:tab/>
        <w:t>С начала 2005 года размер минимального пособия по болезни был увеличен с 11,45 евро до 15,20 евро в день.  Были увеличены также пособия на реабилитацию, пособия по материнству, пособия для отцов и семейные пособия.</w:t>
      </w:r>
    </w:p>
    <w:p w:rsidR="00000000" w:rsidRDefault="00000000"/>
    <w:p w:rsidR="00000000" w:rsidRDefault="00000000">
      <w:r>
        <w:t>385.</w:t>
      </w:r>
      <w:r>
        <w:tab/>
        <w:t>В январе 2005 года была фактически начата общая реформа Закона о страховании по болезни.  Более подробная информация об этой реформе приводится в разделе 7 ниже, посвященном изменениям в области социального обеспечения.</w:t>
      </w:r>
    </w:p>
    <w:p w:rsidR="00000000" w:rsidRDefault="00000000"/>
    <w:p w:rsidR="00000000" w:rsidRDefault="00000000">
      <w:pPr>
        <w:jc w:val="center"/>
        <w:rPr>
          <w:b/>
          <w:bCs/>
        </w:rPr>
      </w:pPr>
      <w:r>
        <w:rPr>
          <w:b/>
          <w:bCs/>
        </w:rPr>
        <w:t>Таблица 14</w:t>
      </w:r>
    </w:p>
    <w:p w:rsidR="00000000" w:rsidRDefault="00000000">
      <w:pPr>
        <w:jc w:val="center"/>
        <w:rPr>
          <w:b/>
          <w:bCs/>
        </w:rPr>
      </w:pPr>
    </w:p>
    <w:p w:rsidR="00000000" w:rsidRDefault="00000000">
      <w:pPr>
        <w:jc w:val="center"/>
        <w:rPr>
          <w:b/>
          <w:bCs/>
        </w:rPr>
      </w:pPr>
      <w:r>
        <w:rPr>
          <w:b/>
          <w:bCs/>
        </w:rPr>
        <w:t>Пособия по болезни в 2005 году (отдельные примеры)</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51"/>
        <w:gridCol w:w="7359"/>
      </w:tblGrid>
      <w:tr w:rsidR="00000000">
        <w:tblPrEx>
          <w:tblCellMar>
            <w:top w:w="0" w:type="dxa"/>
            <w:bottom w:w="0" w:type="dxa"/>
          </w:tblCellMar>
        </w:tblPrEx>
        <w:trPr>
          <w:cantSplit/>
        </w:trPr>
        <w:tc>
          <w:tcPr>
            <w:tcW w:w="2051" w:type="dxa"/>
          </w:tcPr>
          <w:p w:rsidR="00000000" w:rsidRDefault="00000000">
            <w:pPr>
              <w:jc w:val="center"/>
              <w:rPr>
                <w:color w:val="000000"/>
              </w:rPr>
            </w:pPr>
            <w:r>
              <w:rPr>
                <w:color w:val="000000"/>
              </w:rPr>
              <w:t>Годовой доход</w:t>
            </w:r>
          </w:p>
        </w:tc>
        <w:tc>
          <w:tcPr>
            <w:tcW w:w="7359" w:type="dxa"/>
          </w:tcPr>
          <w:p w:rsidR="00000000" w:rsidRDefault="00000000">
            <w:pPr>
              <w:jc w:val="center"/>
              <w:rPr>
                <w:color w:val="000000"/>
              </w:rPr>
            </w:pPr>
            <w:r>
              <w:rPr>
                <w:color w:val="000000"/>
              </w:rPr>
              <w:t>Пособие по болезни (евро) в расчете на один рабочий день</w:t>
            </w:r>
          </w:p>
        </w:tc>
      </w:tr>
      <w:tr w:rsidR="00000000">
        <w:tblPrEx>
          <w:tblCellMar>
            <w:top w:w="0" w:type="dxa"/>
            <w:bottom w:w="0" w:type="dxa"/>
          </w:tblCellMar>
        </w:tblPrEx>
        <w:trPr>
          <w:cantSplit/>
        </w:trPr>
        <w:tc>
          <w:tcPr>
            <w:tcW w:w="2051" w:type="dxa"/>
          </w:tcPr>
          <w:p w:rsidR="00000000" w:rsidRDefault="00000000">
            <w:pPr>
              <w:jc w:val="center"/>
              <w:rPr>
                <w:color w:val="000000"/>
              </w:rPr>
            </w:pPr>
            <w:r>
              <w:rPr>
                <w:color w:val="000000"/>
              </w:rPr>
              <w:t xml:space="preserve">  1 000</w:t>
            </w:r>
          </w:p>
        </w:tc>
        <w:tc>
          <w:tcPr>
            <w:tcW w:w="7359" w:type="dxa"/>
          </w:tcPr>
          <w:p w:rsidR="00000000" w:rsidRDefault="00000000">
            <w:pPr>
              <w:jc w:val="center"/>
              <w:rPr>
                <w:color w:val="000000"/>
              </w:rPr>
            </w:pPr>
            <w:r>
              <w:rPr>
                <w:color w:val="000000"/>
              </w:rPr>
              <w:t xml:space="preserve">  0,00</w:t>
            </w:r>
          </w:p>
        </w:tc>
      </w:tr>
      <w:tr w:rsidR="00000000">
        <w:tblPrEx>
          <w:tblCellMar>
            <w:top w:w="0" w:type="dxa"/>
            <w:bottom w:w="0" w:type="dxa"/>
          </w:tblCellMar>
        </w:tblPrEx>
        <w:trPr>
          <w:cantSplit/>
        </w:trPr>
        <w:tc>
          <w:tcPr>
            <w:tcW w:w="2051" w:type="dxa"/>
          </w:tcPr>
          <w:p w:rsidR="00000000" w:rsidRDefault="00000000">
            <w:pPr>
              <w:jc w:val="center"/>
              <w:rPr>
                <w:color w:val="000000"/>
              </w:rPr>
            </w:pPr>
            <w:r>
              <w:rPr>
                <w:color w:val="000000"/>
              </w:rPr>
              <w:t xml:space="preserve">  1 500</w:t>
            </w:r>
          </w:p>
        </w:tc>
        <w:tc>
          <w:tcPr>
            <w:tcW w:w="7359" w:type="dxa"/>
          </w:tcPr>
          <w:p w:rsidR="00000000" w:rsidRDefault="00000000">
            <w:pPr>
              <w:jc w:val="center"/>
              <w:rPr>
                <w:color w:val="000000"/>
              </w:rPr>
            </w:pPr>
            <w:r>
              <w:rPr>
                <w:color w:val="000000"/>
              </w:rPr>
              <w:t xml:space="preserve">  3,32</w:t>
            </w:r>
          </w:p>
        </w:tc>
      </w:tr>
      <w:tr w:rsidR="00000000">
        <w:tblPrEx>
          <w:tblCellMar>
            <w:top w:w="0" w:type="dxa"/>
            <w:bottom w:w="0" w:type="dxa"/>
          </w:tblCellMar>
        </w:tblPrEx>
        <w:trPr>
          <w:cantSplit/>
        </w:trPr>
        <w:tc>
          <w:tcPr>
            <w:tcW w:w="2051" w:type="dxa"/>
          </w:tcPr>
          <w:p w:rsidR="00000000" w:rsidRDefault="00000000">
            <w:pPr>
              <w:jc w:val="center"/>
              <w:rPr>
                <w:color w:val="000000"/>
              </w:rPr>
            </w:pPr>
            <w:r>
              <w:rPr>
                <w:color w:val="000000"/>
              </w:rPr>
              <w:t xml:space="preserve">  4 000</w:t>
            </w:r>
          </w:p>
        </w:tc>
        <w:tc>
          <w:tcPr>
            <w:tcW w:w="7359" w:type="dxa"/>
          </w:tcPr>
          <w:p w:rsidR="00000000" w:rsidRDefault="00000000">
            <w:pPr>
              <w:jc w:val="center"/>
              <w:rPr>
                <w:color w:val="000000"/>
              </w:rPr>
            </w:pPr>
            <w:r>
              <w:rPr>
                <w:color w:val="000000"/>
              </w:rPr>
              <w:t xml:space="preserve">  8,86</w:t>
            </w:r>
          </w:p>
        </w:tc>
      </w:tr>
      <w:tr w:rsidR="00000000">
        <w:tblPrEx>
          <w:tblCellMar>
            <w:top w:w="0" w:type="dxa"/>
            <w:bottom w:w="0" w:type="dxa"/>
          </w:tblCellMar>
        </w:tblPrEx>
        <w:trPr>
          <w:cantSplit/>
        </w:trPr>
        <w:tc>
          <w:tcPr>
            <w:tcW w:w="2051" w:type="dxa"/>
          </w:tcPr>
          <w:p w:rsidR="00000000" w:rsidRDefault="00000000">
            <w:pPr>
              <w:jc w:val="center"/>
              <w:rPr>
                <w:color w:val="000000"/>
              </w:rPr>
            </w:pPr>
            <w:r>
              <w:rPr>
                <w:color w:val="000000"/>
              </w:rPr>
              <w:t>10 000</w:t>
            </w:r>
          </w:p>
        </w:tc>
        <w:tc>
          <w:tcPr>
            <w:tcW w:w="7359" w:type="dxa"/>
          </w:tcPr>
          <w:p w:rsidR="00000000" w:rsidRDefault="00000000">
            <w:pPr>
              <w:jc w:val="center"/>
              <w:rPr>
                <w:color w:val="000000"/>
              </w:rPr>
            </w:pPr>
            <w:r>
              <w:rPr>
                <w:color w:val="000000"/>
              </w:rPr>
              <w:t>22,14</w:t>
            </w:r>
          </w:p>
        </w:tc>
      </w:tr>
      <w:tr w:rsidR="00000000">
        <w:tblPrEx>
          <w:tblCellMar>
            <w:top w:w="0" w:type="dxa"/>
            <w:bottom w:w="0" w:type="dxa"/>
          </w:tblCellMar>
        </w:tblPrEx>
        <w:trPr>
          <w:cantSplit/>
        </w:trPr>
        <w:tc>
          <w:tcPr>
            <w:tcW w:w="2051" w:type="dxa"/>
          </w:tcPr>
          <w:p w:rsidR="00000000" w:rsidRDefault="00000000">
            <w:pPr>
              <w:jc w:val="center"/>
              <w:rPr>
                <w:color w:val="000000"/>
              </w:rPr>
            </w:pPr>
            <w:r>
              <w:rPr>
                <w:color w:val="000000"/>
              </w:rPr>
              <w:t>30 000</w:t>
            </w:r>
          </w:p>
        </w:tc>
        <w:tc>
          <w:tcPr>
            <w:tcW w:w="7359" w:type="dxa"/>
          </w:tcPr>
          <w:p w:rsidR="00000000" w:rsidRDefault="00000000">
            <w:pPr>
              <w:jc w:val="center"/>
              <w:rPr>
                <w:color w:val="000000"/>
              </w:rPr>
            </w:pPr>
            <w:r>
              <w:rPr>
                <w:color w:val="000000"/>
              </w:rPr>
              <w:t>65,43</w:t>
            </w:r>
          </w:p>
        </w:tc>
      </w:tr>
      <w:tr w:rsidR="00000000">
        <w:tblPrEx>
          <w:tblCellMar>
            <w:top w:w="0" w:type="dxa"/>
            <w:bottom w:w="0" w:type="dxa"/>
          </w:tblCellMar>
        </w:tblPrEx>
        <w:trPr>
          <w:cantSplit/>
        </w:trPr>
        <w:tc>
          <w:tcPr>
            <w:tcW w:w="2051" w:type="dxa"/>
          </w:tcPr>
          <w:p w:rsidR="00000000" w:rsidRDefault="00000000">
            <w:pPr>
              <w:jc w:val="center"/>
              <w:rPr>
                <w:color w:val="000000"/>
              </w:rPr>
            </w:pPr>
            <w:r>
              <w:rPr>
                <w:color w:val="000000"/>
              </w:rPr>
              <w:t>50 000</w:t>
            </w:r>
          </w:p>
        </w:tc>
        <w:tc>
          <w:tcPr>
            <w:tcW w:w="7359" w:type="dxa"/>
          </w:tcPr>
          <w:p w:rsidR="00000000" w:rsidRDefault="00000000">
            <w:pPr>
              <w:jc w:val="center"/>
              <w:rPr>
                <w:color w:val="000000"/>
              </w:rPr>
            </w:pPr>
            <w:r>
              <w:rPr>
                <w:color w:val="000000"/>
              </w:rPr>
              <w:t>88,14</w:t>
            </w:r>
          </w:p>
        </w:tc>
      </w:tr>
    </w:tbl>
    <w:p w:rsidR="00000000" w:rsidRDefault="00000000">
      <w:pPr>
        <w:rPr>
          <w:color w:val="000000"/>
        </w:rPr>
      </w:pPr>
    </w:p>
    <w:p w:rsidR="00000000" w:rsidRDefault="00000000">
      <w:pPr>
        <w:rPr>
          <w:color w:val="000000"/>
        </w:rPr>
      </w:pPr>
      <w:r>
        <w:rPr>
          <w:color w:val="000000"/>
        </w:rPr>
        <w:t>386.</w:t>
      </w:r>
      <w:r>
        <w:rPr>
          <w:color w:val="000000"/>
        </w:rPr>
        <w:tab/>
        <w:t>За счет страхования по болезни возмещается часть врачебных гонораров и расходов, связанных с оказанием стоматологической помощи, медицинскими обследованиями и лечением.  Компенсация выплачивается в размере, установленном Национальным пенсионным учреждением.</w:t>
      </w:r>
    </w:p>
    <w:p w:rsidR="00000000" w:rsidRDefault="00000000">
      <w:pPr>
        <w:rPr>
          <w:color w:val="000000"/>
        </w:rPr>
      </w:pPr>
    </w:p>
    <w:p w:rsidR="00000000" w:rsidRDefault="00000000">
      <w:pPr>
        <w:rPr>
          <w:color w:val="000000"/>
        </w:rPr>
      </w:pPr>
      <w:r>
        <w:rPr>
          <w:color w:val="000000"/>
        </w:rPr>
        <w:t>387.</w:t>
      </w:r>
      <w:r>
        <w:rPr>
          <w:color w:val="000000"/>
        </w:rPr>
        <w:tab/>
      </w:r>
      <w:r>
        <w:rPr>
          <w:i/>
          <w:iCs/>
          <w:color w:val="000000"/>
        </w:rPr>
        <w:t>Врачебные гонорары.</w:t>
      </w:r>
      <w:r>
        <w:rPr>
          <w:color w:val="000000"/>
        </w:rPr>
        <w:t xml:space="preserve">  За счет страхования по болезни покрываются гонорары частного врача в размере до 60% установленных тарифов.  В 2004 году компенсацию получили в общей сложности 1 497 294 человека.</w:t>
      </w:r>
    </w:p>
    <w:p w:rsidR="00000000" w:rsidRDefault="00000000">
      <w:pPr>
        <w:rPr>
          <w:color w:val="000000"/>
        </w:rPr>
      </w:pPr>
    </w:p>
    <w:p w:rsidR="00000000" w:rsidRDefault="00000000">
      <w:pPr>
        <w:jc w:val="center"/>
        <w:rPr>
          <w:b/>
          <w:bCs/>
          <w:color w:val="000000"/>
        </w:rPr>
      </w:pPr>
      <w:r>
        <w:rPr>
          <w:b/>
          <w:bCs/>
          <w:color w:val="000000"/>
        </w:rPr>
        <w:t>Таблица 15</w:t>
      </w:r>
    </w:p>
    <w:p w:rsidR="00000000" w:rsidRDefault="00000000">
      <w:pPr>
        <w:jc w:val="center"/>
        <w:rPr>
          <w:b/>
          <w:bCs/>
          <w:color w:val="000000"/>
        </w:rPr>
      </w:pPr>
    </w:p>
    <w:p w:rsidR="00000000" w:rsidRDefault="00000000">
      <w:pPr>
        <w:jc w:val="center"/>
        <w:rPr>
          <w:b/>
          <w:bCs/>
          <w:color w:val="000000"/>
        </w:rPr>
      </w:pPr>
      <w:r>
        <w:rPr>
          <w:b/>
          <w:bCs/>
          <w:color w:val="000000"/>
        </w:rPr>
        <w:t>Средний размер возмещения (%) стоимости врачебных услуг в 1999</w:t>
      </w:r>
      <w:r>
        <w:rPr>
          <w:b/>
          <w:bCs/>
          <w:color w:val="000000"/>
        </w:rPr>
        <w:noBreakHyphen/>
        <w:t>2003 годах</w:t>
      </w:r>
    </w:p>
    <w:p w:rsidR="00000000" w:rsidRDefault="00000000">
      <w:pPr>
        <w:jc w:val="center"/>
        <w:rPr>
          <w:i/>
          <w:iCs/>
          <w:color w:val="000000"/>
        </w:rPr>
      </w:pPr>
    </w:p>
    <w:tbl>
      <w:tblPr>
        <w:tblW w:w="0" w:type="auto"/>
        <w:jc w:val="center"/>
        <w:tblInd w:w="1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9"/>
        <w:gridCol w:w="1309"/>
        <w:gridCol w:w="1309"/>
        <w:gridCol w:w="1309"/>
        <w:gridCol w:w="1309"/>
        <w:gridCol w:w="1309"/>
      </w:tblGrid>
      <w:tr w:rsidR="00000000">
        <w:tblPrEx>
          <w:tblCellMar>
            <w:top w:w="0" w:type="dxa"/>
            <w:bottom w:w="0" w:type="dxa"/>
          </w:tblCellMar>
        </w:tblPrEx>
        <w:trPr>
          <w:jc w:val="center"/>
        </w:trPr>
        <w:tc>
          <w:tcPr>
            <w:tcW w:w="1309" w:type="dxa"/>
          </w:tcPr>
          <w:p w:rsidR="00000000" w:rsidRDefault="00000000">
            <w:pPr>
              <w:jc w:val="center"/>
            </w:pPr>
            <w:r>
              <w:t>Год</w:t>
            </w:r>
          </w:p>
        </w:tc>
        <w:tc>
          <w:tcPr>
            <w:tcW w:w="1309" w:type="dxa"/>
          </w:tcPr>
          <w:p w:rsidR="00000000" w:rsidRDefault="00000000">
            <w:pPr>
              <w:jc w:val="center"/>
            </w:pPr>
            <w:r>
              <w:t>1999</w:t>
            </w:r>
          </w:p>
        </w:tc>
        <w:tc>
          <w:tcPr>
            <w:tcW w:w="1309" w:type="dxa"/>
          </w:tcPr>
          <w:p w:rsidR="00000000" w:rsidRDefault="00000000">
            <w:pPr>
              <w:jc w:val="center"/>
            </w:pPr>
            <w:r>
              <w:t>2000</w:t>
            </w:r>
          </w:p>
        </w:tc>
        <w:tc>
          <w:tcPr>
            <w:tcW w:w="1309" w:type="dxa"/>
          </w:tcPr>
          <w:p w:rsidR="00000000" w:rsidRDefault="00000000">
            <w:pPr>
              <w:jc w:val="center"/>
            </w:pPr>
            <w:r>
              <w:t>2001</w:t>
            </w:r>
          </w:p>
        </w:tc>
        <w:tc>
          <w:tcPr>
            <w:tcW w:w="1309" w:type="dxa"/>
          </w:tcPr>
          <w:p w:rsidR="00000000" w:rsidRDefault="00000000">
            <w:pPr>
              <w:jc w:val="center"/>
            </w:pPr>
            <w:r>
              <w:t>2002</w:t>
            </w:r>
          </w:p>
        </w:tc>
        <w:tc>
          <w:tcPr>
            <w:tcW w:w="1309" w:type="dxa"/>
          </w:tcPr>
          <w:p w:rsidR="00000000" w:rsidRDefault="00000000">
            <w:pPr>
              <w:jc w:val="center"/>
            </w:pPr>
            <w:r>
              <w:t>2003</w:t>
            </w:r>
          </w:p>
        </w:tc>
      </w:tr>
      <w:tr w:rsidR="00000000">
        <w:tblPrEx>
          <w:tblCellMar>
            <w:top w:w="0" w:type="dxa"/>
            <w:bottom w:w="0" w:type="dxa"/>
          </w:tblCellMar>
        </w:tblPrEx>
        <w:trPr>
          <w:jc w:val="center"/>
        </w:trPr>
        <w:tc>
          <w:tcPr>
            <w:tcW w:w="1309" w:type="dxa"/>
          </w:tcPr>
          <w:p w:rsidR="00000000" w:rsidRDefault="00000000">
            <w:pPr>
              <w:jc w:val="center"/>
              <w:rPr>
                <w:i/>
                <w:iCs/>
              </w:rPr>
            </w:pPr>
            <w:r>
              <w:rPr>
                <w:i/>
                <w:iCs/>
              </w:rPr>
              <w:t>%</w:t>
            </w:r>
          </w:p>
        </w:tc>
        <w:tc>
          <w:tcPr>
            <w:tcW w:w="1309" w:type="dxa"/>
          </w:tcPr>
          <w:p w:rsidR="00000000" w:rsidRDefault="00000000">
            <w:pPr>
              <w:jc w:val="center"/>
            </w:pPr>
            <w:r>
              <w:t>37,3</w:t>
            </w:r>
          </w:p>
        </w:tc>
        <w:tc>
          <w:tcPr>
            <w:tcW w:w="1309" w:type="dxa"/>
          </w:tcPr>
          <w:p w:rsidR="00000000" w:rsidRDefault="00000000">
            <w:pPr>
              <w:jc w:val="center"/>
            </w:pPr>
            <w:r>
              <w:t>36,2</w:t>
            </w:r>
          </w:p>
        </w:tc>
        <w:tc>
          <w:tcPr>
            <w:tcW w:w="1309" w:type="dxa"/>
          </w:tcPr>
          <w:p w:rsidR="00000000" w:rsidRDefault="00000000">
            <w:pPr>
              <w:jc w:val="center"/>
            </w:pPr>
            <w:r>
              <w:t>34,8</w:t>
            </w:r>
          </w:p>
        </w:tc>
        <w:tc>
          <w:tcPr>
            <w:tcW w:w="1309" w:type="dxa"/>
          </w:tcPr>
          <w:p w:rsidR="00000000" w:rsidRDefault="00000000">
            <w:pPr>
              <w:jc w:val="center"/>
            </w:pPr>
            <w:r>
              <w:t>36,2</w:t>
            </w:r>
          </w:p>
        </w:tc>
        <w:tc>
          <w:tcPr>
            <w:tcW w:w="1309" w:type="dxa"/>
          </w:tcPr>
          <w:p w:rsidR="00000000" w:rsidRDefault="00000000">
            <w:pPr>
              <w:jc w:val="center"/>
            </w:pPr>
            <w:r>
              <w:t>31,3</w:t>
            </w:r>
          </w:p>
        </w:tc>
      </w:tr>
    </w:tbl>
    <w:p w:rsidR="00000000" w:rsidRDefault="00000000"/>
    <w:p w:rsidR="00000000" w:rsidRDefault="00000000">
      <w:r>
        <w:t>388.</w:t>
      </w:r>
      <w:r>
        <w:tab/>
      </w:r>
      <w:r>
        <w:rPr>
          <w:i/>
          <w:iCs/>
        </w:rPr>
        <w:t xml:space="preserve">Медицинские обследования и лечение. </w:t>
      </w:r>
      <w:r>
        <w:t xml:space="preserve"> За счет страхования по болезни на сумму до 75% по установленной шкале покрываются расходы на медицинские обследования и лечение по назначению частного врача, превышающие 13,46 евро.  В 2004 году 789 319 человек получили такую компенсацию.</w:t>
      </w:r>
    </w:p>
    <w:p w:rsidR="00000000" w:rsidRDefault="00000000">
      <w:pPr>
        <w:rPr>
          <w:sz w:val="16"/>
        </w:rPr>
      </w:pPr>
    </w:p>
    <w:p w:rsidR="00000000" w:rsidRDefault="00000000">
      <w:pPr>
        <w:jc w:val="center"/>
        <w:rPr>
          <w:b/>
          <w:bCs/>
        </w:rPr>
      </w:pPr>
      <w:r>
        <w:rPr>
          <w:b/>
          <w:bCs/>
        </w:rPr>
        <w:t>Таблица 16</w:t>
      </w:r>
    </w:p>
    <w:p w:rsidR="00000000" w:rsidRDefault="00000000">
      <w:pPr>
        <w:rPr>
          <w:sz w:val="16"/>
        </w:rPr>
      </w:pPr>
    </w:p>
    <w:p w:rsidR="00000000" w:rsidRDefault="00000000">
      <w:pPr>
        <w:jc w:val="center"/>
        <w:rPr>
          <w:b/>
          <w:bCs/>
        </w:rPr>
      </w:pPr>
      <w:r>
        <w:rPr>
          <w:b/>
          <w:bCs/>
        </w:rPr>
        <w:t xml:space="preserve">Средняя сумма возмещения (%) расходов на медицинские </w:t>
      </w:r>
    </w:p>
    <w:p w:rsidR="00000000" w:rsidRDefault="00000000">
      <w:pPr>
        <w:jc w:val="center"/>
        <w:rPr>
          <w:b/>
          <w:bCs/>
        </w:rPr>
      </w:pPr>
      <w:r>
        <w:rPr>
          <w:b/>
          <w:bCs/>
        </w:rPr>
        <w:t>обследования и лечение в 1999-2003 годах</w:t>
      </w:r>
    </w:p>
    <w:p w:rsidR="00000000" w:rsidRDefault="00000000">
      <w:pPr>
        <w:rPr>
          <w:sz w:val="16"/>
        </w:rPr>
      </w:pPr>
    </w:p>
    <w:tbl>
      <w:tblPr>
        <w:tblW w:w="0" w:type="auto"/>
        <w:jc w:val="center"/>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9"/>
        <w:gridCol w:w="1309"/>
        <w:gridCol w:w="1309"/>
        <w:gridCol w:w="1309"/>
        <w:gridCol w:w="1309"/>
        <w:gridCol w:w="1309"/>
      </w:tblGrid>
      <w:tr w:rsidR="00000000">
        <w:tblPrEx>
          <w:tblCellMar>
            <w:top w:w="0" w:type="dxa"/>
            <w:bottom w:w="0" w:type="dxa"/>
          </w:tblCellMar>
        </w:tblPrEx>
        <w:trPr>
          <w:jc w:val="center"/>
        </w:trPr>
        <w:tc>
          <w:tcPr>
            <w:tcW w:w="1309" w:type="dxa"/>
          </w:tcPr>
          <w:p w:rsidR="00000000" w:rsidRDefault="00000000">
            <w:pPr>
              <w:jc w:val="center"/>
            </w:pPr>
            <w:r>
              <w:t>Год</w:t>
            </w:r>
          </w:p>
        </w:tc>
        <w:tc>
          <w:tcPr>
            <w:tcW w:w="1309" w:type="dxa"/>
          </w:tcPr>
          <w:p w:rsidR="00000000" w:rsidRDefault="00000000">
            <w:pPr>
              <w:jc w:val="center"/>
            </w:pPr>
            <w:r>
              <w:t>1999</w:t>
            </w:r>
          </w:p>
        </w:tc>
        <w:tc>
          <w:tcPr>
            <w:tcW w:w="1309" w:type="dxa"/>
          </w:tcPr>
          <w:p w:rsidR="00000000" w:rsidRDefault="00000000">
            <w:pPr>
              <w:jc w:val="center"/>
            </w:pPr>
            <w:r>
              <w:t>2000</w:t>
            </w:r>
          </w:p>
        </w:tc>
        <w:tc>
          <w:tcPr>
            <w:tcW w:w="1309" w:type="dxa"/>
          </w:tcPr>
          <w:p w:rsidR="00000000" w:rsidRDefault="00000000">
            <w:pPr>
              <w:jc w:val="center"/>
            </w:pPr>
            <w:r>
              <w:t>2001</w:t>
            </w:r>
          </w:p>
        </w:tc>
        <w:tc>
          <w:tcPr>
            <w:tcW w:w="1309" w:type="dxa"/>
          </w:tcPr>
          <w:p w:rsidR="00000000" w:rsidRDefault="00000000">
            <w:pPr>
              <w:jc w:val="center"/>
            </w:pPr>
            <w:r>
              <w:t>2002</w:t>
            </w:r>
          </w:p>
        </w:tc>
        <w:tc>
          <w:tcPr>
            <w:tcW w:w="1309" w:type="dxa"/>
          </w:tcPr>
          <w:p w:rsidR="00000000" w:rsidRDefault="00000000">
            <w:pPr>
              <w:jc w:val="center"/>
            </w:pPr>
            <w:r>
              <w:t>2003</w:t>
            </w:r>
          </w:p>
        </w:tc>
      </w:tr>
      <w:tr w:rsidR="00000000">
        <w:tblPrEx>
          <w:tblCellMar>
            <w:top w:w="0" w:type="dxa"/>
            <w:bottom w:w="0" w:type="dxa"/>
          </w:tblCellMar>
        </w:tblPrEx>
        <w:trPr>
          <w:jc w:val="center"/>
        </w:trPr>
        <w:tc>
          <w:tcPr>
            <w:tcW w:w="1309" w:type="dxa"/>
          </w:tcPr>
          <w:p w:rsidR="00000000" w:rsidRDefault="00000000">
            <w:pPr>
              <w:jc w:val="center"/>
              <w:rPr>
                <w:i/>
                <w:iCs/>
              </w:rPr>
            </w:pPr>
            <w:r>
              <w:rPr>
                <w:i/>
                <w:iCs/>
              </w:rPr>
              <w:t>%</w:t>
            </w:r>
          </w:p>
        </w:tc>
        <w:tc>
          <w:tcPr>
            <w:tcW w:w="1309" w:type="dxa"/>
          </w:tcPr>
          <w:p w:rsidR="00000000" w:rsidRDefault="00000000">
            <w:pPr>
              <w:jc w:val="center"/>
            </w:pPr>
            <w:r>
              <w:t>41,7</w:t>
            </w:r>
          </w:p>
        </w:tc>
        <w:tc>
          <w:tcPr>
            <w:tcW w:w="1309" w:type="dxa"/>
          </w:tcPr>
          <w:p w:rsidR="00000000" w:rsidRDefault="00000000">
            <w:pPr>
              <w:jc w:val="center"/>
            </w:pPr>
            <w:r>
              <w:t>40,5</w:t>
            </w:r>
          </w:p>
        </w:tc>
        <w:tc>
          <w:tcPr>
            <w:tcW w:w="1309" w:type="dxa"/>
          </w:tcPr>
          <w:p w:rsidR="00000000" w:rsidRDefault="00000000">
            <w:pPr>
              <w:jc w:val="center"/>
            </w:pPr>
            <w:r>
              <w:t>36,9</w:t>
            </w:r>
          </w:p>
        </w:tc>
        <w:tc>
          <w:tcPr>
            <w:tcW w:w="1309" w:type="dxa"/>
          </w:tcPr>
          <w:p w:rsidR="00000000" w:rsidRDefault="00000000">
            <w:pPr>
              <w:jc w:val="center"/>
            </w:pPr>
            <w:r>
              <w:t>35,3</w:t>
            </w:r>
          </w:p>
        </w:tc>
        <w:tc>
          <w:tcPr>
            <w:tcW w:w="1309" w:type="dxa"/>
          </w:tcPr>
          <w:p w:rsidR="00000000" w:rsidRDefault="00000000">
            <w:pPr>
              <w:jc w:val="center"/>
            </w:pPr>
            <w:r>
              <w:t>33,8</w:t>
            </w:r>
          </w:p>
        </w:tc>
      </w:tr>
    </w:tbl>
    <w:p w:rsidR="00000000" w:rsidRDefault="00000000">
      <w:pPr>
        <w:jc w:val="center"/>
      </w:pPr>
    </w:p>
    <w:p w:rsidR="00000000" w:rsidRDefault="00000000">
      <w:r>
        <w:t>389.</w:t>
      </w:r>
      <w:r>
        <w:tab/>
      </w:r>
      <w:r>
        <w:rPr>
          <w:i/>
          <w:iCs/>
        </w:rPr>
        <w:t xml:space="preserve">Лекарственные препараты. </w:t>
      </w:r>
      <w:r>
        <w:t xml:space="preserve"> За счет страхования по болезни возмещается часть расходов на лекарственные препараты (необходимые для лечения той или иной болезни), прописанные врачом.  Базовая ставка компенсации составляет 50% суммы расходов на каждую закупку, превышающую десять евро.  В случае некоторых серьезных и длительных заболеваний, оговариваемых отдельно, размер компенсации составляет 75</w:t>
      </w:r>
      <w:r>
        <w:noBreakHyphen/>
        <w:t>100% от суммы расходов на каждую закупку, превышающую пять евро.  В 2004 году компенсацию за лекарственные препараты получили 3 271 568 человек.</w:t>
      </w:r>
    </w:p>
    <w:p w:rsidR="00000000" w:rsidRDefault="00000000">
      <w:pPr>
        <w:rPr>
          <w:sz w:val="16"/>
        </w:rPr>
      </w:pPr>
    </w:p>
    <w:p w:rsidR="00000000" w:rsidRDefault="00000000">
      <w:pPr>
        <w:jc w:val="center"/>
        <w:rPr>
          <w:b/>
          <w:bCs/>
        </w:rPr>
      </w:pPr>
      <w:r>
        <w:rPr>
          <w:b/>
          <w:bCs/>
        </w:rPr>
        <w:t>Таблица 17</w:t>
      </w:r>
    </w:p>
    <w:p w:rsidR="00000000" w:rsidRDefault="00000000">
      <w:pPr>
        <w:rPr>
          <w:sz w:val="16"/>
        </w:rPr>
      </w:pPr>
    </w:p>
    <w:p w:rsidR="00000000" w:rsidRDefault="00000000">
      <w:pPr>
        <w:jc w:val="center"/>
        <w:rPr>
          <w:b/>
          <w:bCs/>
        </w:rPr>
      </w:pPr>
      <w:r>
        <w:rPr>
          <w:b/>
          <w:bCs/>
        </w:rPr>
        <w:t>Средний размер возмещения (%) расходов на лекарственные препараты в разбивке по коэффициенту возмещения в 1999-2003 годах</w:t>
      </w:r>
    </w:p>
    <w:p w:rsidR="00000000" w:rsidRDefault="00000000">
      <w:pPr>
        <w:rPr>
          <w:sz w:val="16"/>
        </w:rPr>
      </w:pPr>
    </w:p>
    <w:tbl>
      <w:tblPr>
        <w:tblW w:w="4173" w:type="pct"/>
        <w:tblInd w:w="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72"/>
        <w:gridCol w:w="1372"/>
        <w:gridCol w:w="1371"/>
        <w:gridCol w:w="1371"/>
        <w:gridCol w:w="1371"/>
        <w:gridCol w:w="997"/>
      </w:tblGrid>
      <w:tr w:rsidR="00000000">
        <w:tblPrEx>
          <w:tblCellMar>
            <w:top w:w="0" w:type="dxa"/>
            <w:bottom w:w="0" w:type="dxa"/>
          </w:tblCellMar>
        </w:tblPrEx>
        <w:trPr>
          <w:cantSplit/>
          <w:trHeight w:val="361"/>
        </w:trPr>
        <w:tc>
          <w:tcPr>
            <w:tcW w:w="873" w:type="pct"/>
          </w:tcPr>
          <w:p w:rsidR="00000000" w:rsidRDefault="00000000">
            <w:pPr>
              <w:jc w:val="center"/>
            </w:pPr>
            <w:r>
              <w:t>Год/%</w:t>
            </w:r>
          </w:p>
        </w:tc>
        <w:tc>
          <w:tcPr>
            <w:tcW w:w="873" w:type="pct"/>
          </w:tcPr>
          <w:p w:rsidR="00000000" w:rsidRDefault="00000000">
            <w:pPr>
              <w:jc w:val="center"/>
            </w:pPr>
            <w:r>
              <w:t>1999</w:t>
            </w:r>
          </w:p>
        </w:tc>
        <w:tc>
          <w:tcPr>
            <w:tcW w:w="873" w:type="pct"/>
          </w:tcPr>
          <w:p w:rsidR="00000000" w:rsidRDefault="00000000">
            <w:pPr>
              <w:jc w:val="center"/>
            </w:pPr>
            <w:r>
              <w:t>2000</w:t>
            </w:r>
          </w:p>
        </w:tc>
        <w:tc>
          <w:tcPr>
            <w:tcW w:w="873" w:type="pct"/>
          </w:tcPr>
          <w:p w:rsidR="00000000" w:rsidRDefault="00000000">
            <w:pPr>
              <w:jc w:val="center"/>
            </w:pPr>
            <w:r>
              <w:t>2001</w:t>
            </w:r>
          </w:p>
        </w:tc>
        <w:tc>
          <w:tcPr>
            <w:tcW w:w="873" w:type="pct"/>
          </w:tcPr>
          <w:p w:rsidR="00000000" w:rsidRDefault="00000000">
            <w:pPr>
              <w:jc w:val="center"/>
            </w:pPr>
            <w:r>
              <w:t>2002</w:t>
            </w:r>
          </w:p>
        </w:tc>
        <w:tc>
          <w:tcPr>
            <w:tcW w:w="636" w:type="pct"/>
          </w:tcPr>
          <w:p w:rsidR="00000000" w:rsidRDefault="00000000">
            <w:pPr>
              <w:jc w:val="center"/>
            </w:pPr>
            <w:r>
              <w:t>2003</w:t>
            </w:r>
          </w:p>
        </w:tc>
      </w:tr>
      <w:tr w:rsidR="00000000">
        <w:tblPrEx>
          <w:tblCellMar>
            <w:top w:w="0" w:type="dxa"/>
            <w:bottom w:w="0" w:type="dxa"/>
          </w:tblCellMar>
        </w:tblPrEx>
        <w:trPr>
          <w:cantSplit/>
        </w:trPr>
        <w:tc>
          <w:tcPr>
            <w:tcW w:w="873" w:type="pct"/>
          </w:tcPr>
          <w:p w:rsidR="00000000" w:rsidRDefault="00000000">
            <w:pPr>
              <w:jc w:val="center"/>
            </w:pPr>
            <w:r>
              <w:t>50%</w:t>
            </w:r>
          </w:p>
        </w:tc>
        <w:tc>
          <w:tcPr>
            <w:tcW w:w="873" w:type="pct"/>
          </w:tcPr>
          <w:p w:rsidR="00000000" w:rsidRDefault="00000000">
            <w:pPr>
              <w:jc w:val="center"/>
            </w:pPr>
            <w:r>
              <w:t>40,6</w:t>
            </w:r>
          </w:p>
        </w:tc>
        <w:tc>
          <w:tcPr>
            <w:tcW w:w="873" w:type="pct"/>
          </w:tcPr>
          <w:p w:rsidR="00000000" w:rsidRDefault="00000000">
            <w:pPr>
              <w:jc w:val="center"/>
            </w:pPr>
            <w:r>
              <w:t>41,1</w:t>
            </w:r>
          </w:p>
        </w:tc>
        <w:tc>
          <w:tcPr>
            <w:tcW w:w="873" w:type="pct"/>
          </w:tcPr>
          <w:p w:rsidR="00000000" w:rsidRDefault="00000000">
            <w:pPr>
              <w:jc w:val="center"/>
            </w:pPr>
            <w:r>
              <w:t>41,5</w:t>
            </w:r>
          </w:p>
        </w:tc>
        <w:tc>
          <w:tcPr>
            <w:tcW w:w="873" w:type="pct"/>
          </w:tcPr>
          <w:p w:rsidR="00000000" w:rsidRDefault="00000000">
            <w:pPr>
              <w:jc w:val="center"/>
            </w:pPr>
            <w:r>
              <w:t>42,1</w:t>
            </w:r>
          </w:p>
        </w:tc>
        <w:tc>
          <w:tcPr>
            <w:tcW w:w="636" w:type="pct"/>
          </w:tcPr>
          <w:p w:rsidR="00000000" w:rsidRDefault="00000000">
            <w:pPr>
              <w:jc w:val="center"/>
            </w:pPr>
            <w:r>
              <w:t>41,5</w:t>
            </w:r>
          </w:p>
        </w:tc>
      </w:tr>
      <w:tr w:rsidR="00000000">
        <w:tblPrEx>
          <w:tblCellMar>
            <w:top w:w="0" w:type="dxa"/>
            <w:bottom w:w="0" w:type="dxa"/>
          </w:tblCellMar>
        </w:tblPrEx>
        <w:trPr>
          <w:cantSplit/>
        </w:trPr>
        <w:tc>
          <w:tcPr>
            <w:tcW w:w="873" w:type="pct"/>
          </w:tcPr>
          <w:p w:rsidR="00000000" w:rsidRDefault="00000000">
            <w:pPr>
              <w:jc w:val="center"/>
            </w:pPr>
            <w:r>
              <w:t>75%</w:t>
            </w:r>
          </w:p>
        </w:tc>
        <w:tc>
          <w:tcPr>
            <w:tcW w:w="873" w:type="pct"/>
          </w:tcPr>
          <w:p w:rsidR="00000000" w:rsidRDefault="00000000">
            <w:pPr>
              <w:jc w:val="center"/>
            </w:pPr>
            <w:r>
              <w:t>70,1</w:t>
            </w:r>
          </w:p>
        </w:tc>
        <w:tc>
          <w:tcPr>
            <w:tcW w:w="873" w:type="pct"/>
          </w:tcPr>
          <w:p w:rsidR="00000000" w:rsidRDefault="00000000">
            <w:pPr>
              <w:jc w:val="center"/>
            </w:pPr>
            <w:r>
              <w:t>70,3</w:t>
            </w:r>
          </w:p>
        </w:tc>
        <w:tc>
          <w:tcPr>
            <w:tcW w:w="873" w:type="pct"/>
          </w:tcPr>
          <w:p w:rsidR="00000000" w:rsidRDefault="00000000">
            <w:pPr>
              <w:jc w:val="center"/>
            </w:pPr>
            <w:r>
              <w:t>70,7</w:t>
            </w:r>
          </w:p>
        </w:tc>
        <w:tc>
          <w:tcPr>
            <w:tcW w:w="873" w:type="pct"/>
          </w:tcPr>
          <w:p w:rsidR="00000000" w:rsidRDefault="00000000">
            <w:pPr>
              <w:jc w:val="center"/>
            </w:pPr>
            <w:r>
              <w:t>70,9</w:t>
            </w:r>
          </w:p>
        </w:tc>
        <w:tc>
          <w:tcPr>
            <w:tcW w:w="636" w:type="pct"/>
          </w:tcPr>
          <w:p w:rsidR="00000000" w:rsidRDefault="00000000">
            <w:pPr>
              <w:jc w:val="center"/>
            </w:pPr>
            <w:r>
              <w:t>70,2</w:t>
            </w:r>
          </w:p>
        </w:tc>
      </w:tr>
      <w:tr w:rsidR="00000000">
        <w:tblPrEx>
          <w:tblCellMar>
            <w:top w:w="0" w:type="dxa"/>
            <w:bottom w:w="0" w:type="dxa"/>
          </w:tblCellMar>
        </w:tblPrEx>
        <w:trPr>
          <w:cantSplit/>
        </w:trPr>
        <w:tc>
          <w:tcPr>
            <w:tcW w:w="873" w:type="pct"/>
          </w:tcPr>
          <w:p w:rsidR="00000000" w:rsidRDefault="00000000">
            <w:pPr>
              <w:jc w:val="center"/>
            </w:pPr>
            <w:r>
              <w:t>100%</w:t>
            </w:r>
          </w:p>
        </w:tc>
        <w:tc>
          <w:tcPr>
            <w:tcW w:w="873" w:type="pct"/>
          </w:tcPr>
          <w:p w:rsidR="00000000" w:rsidRDefault="00000000">
            <w:pPr>
              <w:jc w:val="center"/>
            </w:pPr>
            <w:r>
              <w:t>96,2</w:t>
            </w:r>
          </w:p>
        </w:tc>
        <w:tc>
          <w:tcPr>
            <w:tcW w:w="873" w:type="pct"/>
          </w:tcPr>
          <w:p w:rsidR="00000000" w:rsidRDefault="00000000">
            <w:pPr>
              <w:jc w:val="center"/>
            </w:pPr>
            <w:r>
              <w:t>96,4</w:t>
            </w:r>
          </w:p>
        </w:tc>
        <w:tc>
          <w:tcPr>
            <w:tcW w:w="873" w:type="pct"/>
          </w:tcPr>
          <w:p w:rsidR="00000000" w:rsidRDefault="00000000">
            <w:pPr>
              <w:jc w:val="center"/>
            </w:pPr>
            <w:r>
              <w:t>96,8</w:t>
            </w:r>
          </w:p>
        </w:tc>
        <w:tc>
          <w:tcPr>
            <w:tcW w:w="873" w:type="pct"/>
          </w:tcPr>
          <w:p w:rsidR="00000000" w:rsidRDefault="00000000">
            <w:pPr>
              <w:jc w:val="center"/>
            </w:pPr>
            <w:r>
              <w:t>97,0</w:t>
            </w:r>
          </w:p>
        </w:tc>
        <w:tc>
          <w:tcPr>
            <w:tcW w:w="636" w:type="pct"/>
          </w:tcPr>
          <w:p w:rsidR="00000000" w:rsidRDefault="00000000">
            <w:pPr>
              <w:jc w:val="center"/>
            </w:pPr>
            <w:r>
              <w:t>96,8</w:t>
            </w:r>
          </w:p>
        </w:tc>
      </w:tr>
    </w:tbl>
    <w:p w:rsidR="00000000" w:rsidRDefault="00000000">
      <w:r>
        <w:t>390.</w:t>
      </w:r>
      <w:r>
        <w:tab/>
        <w:t>В случае, если расходы пациента на лекарственные препараты превышают максимально установленную сумму, часть расходов, понесенная сверх нормы, возмещается в полном объеме.  В 2005 году максимальная установленная сумма составляла 606,95 евро.</w:t>
      </w:r>
    </w:p>
    <w:p w:rsidR="00000000" w:rsidRDefault="00000000"/>
    <w:p w:rsidR="00000000" w:rsidRDefault="00000000">
      <w:r>
        <w:t>391.</w:t>
      </w:r>
      <w:r>
        <w:tab/>
      </w:r>
      <w:r>
        <w:rPr>
          <w:i/>
          <w:iCs/>
        </w:rPr>
        <w:t>Проездные расходы.</w:t>
      </w:r>
      <w:r>
        <w:t xml:space="preserve">  За счет страхования по болезни проездные расходы в связи с лечением болезни или реабилитацией покрываются в том случае, если расходы на одну поездку превышают определенную сумму (в 2005 году эта сумма составила 9,25 евро).  Если годовая сумма проездных расходов пациента превышает определенный максимальный уровень (составивший в 2005 году 157,25 евро), все расходы свыше этого уровня компенсируются в полном объеме.  Ветераны войны имеют право на полное возмещение проездных расходов в связи с приписанной им реабилитацией.  В 2004 году компенсацию за путевые расходы получили 587 501 человек.  </w:t>
      </w:r>
    </w:p>
    <w:p w:rsidR="00000000" w:rsidRDefault="00000000"/>
    <w:p w:rsidR="00000000" w:rsidRDefault="00000000">
      <w:pPr>
        <w:tabs>
          <w:tab w:val="left" w:pos="2143"/>
        </w:tabs>
        <w:jc w:val="center"/>
        <w:rPr>
          <w:b/>
          <w:bCs/>
        </w:rPr>
      </w:pPr>
      <w:r>
        <w:rPr>
          <w:b/>
          <w:bCs/>
        </w:rPr>
        <w:t>Таблица 18</w:t>
      </w:r>
    </w:p>
    <w:p w:rsidR="00000000" w:rsidRDefault="00000000">
      <w:pPr>
        <w:tabs>
          <w:tab w:val="left" w:pos="2143"/>
        </w:tabs>
        <w:jc w:val="center"/>
        <w:rPr>
          <w:b/>
          <w:bCs/>
        </w:rPr>
      </w:pPr>
    </w:p>
    <w:p w:rsidR="00000000" w:rsidRDefault="00000000">
      <w:pPr>
        <w:tabs>
          <w:tab w:val="left" w:pos="2143"/>
        </w:tabs>
        <w:jc w:val="center"/>
        <w:rPr>
          <w:i/>
          <w:iCs/>
        </w:rPr>
      </w:pPr>
      <w:r>
        <w:rPr>
          <w:b/>
          <w:bCs/>
        </w:rPr>
        <w:t>Среднее возмещение (%) проездных расходов в 1999-2003 годах</w:t>
      </w:r>
    </w:p>
    <w:p w:rsidR="00000000" w:rsidRDefault="00000000">
      <w:pPr>
        <w:jc w:val="center"/>
        <w:rPr>
          <w:i/>
          <w:iCs/>
        </w:rPr>
      </w:pPr>
    </w:p>
    <w:tbl>
      <w:tblPr>
        <w:tblW w:w="0" w:type="auto"/>
        <w:jc w:val="center"/>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0"/>
        <w:gridCol w:w="1340"/>
        <w:gridCol w:w="1340"/>
        <w:gridCol w:w="1340"/>
        <w:gridCol w:w="1340"/>
        <w:gridCol w:w="1341"/>
      </w:tblGrid>
      <w:tr w:rsidR="00000000">
        <w:tblPrEx>
          <w:tblCellMar>
            <w:top w:w="0" w:type="dxa"/>
            <w:bottom w:w="0" w:type="dxa"/>
          </w:tblCellMar>
        </w:tblPrEx>
        <w:trPr>
          <w:jc w:val="center"/>
        </w:trPr>
        <w:tc>
          <w:tcPr>
            <w:tcW w:w="1340" w:type="dxa"/>
          </w:tcPr>
          <w:p w:rsidR="00000000" w:rsidRDefault="00000000">
            <w:r>
              <w:t>Год</w:t>
            </w:r>
          </w:p>
        </w:tc>
        <w:tc>
          <w:tcPr>
            <w:tcW w:w="1340" w:type="dxa"/>
          </w:tcPr>
          <w:p w:rsidR="00000000" w:rsidRDefault="00000000">
            <w:r>
              <w:t>1999</w:t>
            </w:r>
          </w:p>
        </w:tc>
        <w:tc>
          <w:tcPr>
            <w:tcW w:w="1340" w:type="dxa"/>
          </w:tcPr>
          <w:p w:rsidR="00000000" w:rsidRDefault="00000000">
            <w:r>
              <w:t>2000</w:t>
            </w:r>
          </w:p>
        </w:tc>
        <w:tc>
          <w:tcPr>
            <w:tcW w:w="1340" w:type="dxa"/>
          </w:tcPr>
          <w:p w:rsidR="00000000" w:rsidRDefault="00000000">
            <w:r>
              <w:t>2001</w:t>
            </w:r>
          </w:p>
        </w:tc>
        <w:tc>
          <w:tcPr>
            <w:tcW w:w="1340" w:type="dxa"/>
          </w:tcPr>
          <w:p w:rsidR="00000000" w:rsidRDefault="00000000">
            <w:r>
              <w:t>2002</w:t>
            </w:r>
          </w:p>
        </w:tc>
        <w:tc>
          <w:tcPr>
            <w:tcW w:w="1341" w:type="dxa"/>
          </w:tcPr>
          <w:p w:rsidR="00000000" w:rsidRDefault="00000000">
            <w:r>
              <w:t>2003</w:t>
            </w:r>
          </w:p>
        </w:tc>
      </w:tr>
      <w:tr w:rsidR="00000000">
        <w:tblPrEx>
          <w:tblCellMar>
            <w:top w:w="0" w:type="dxa"/>
            <w:bottom w:w="0" w:type="dxa"/>
          </w:tblCellMar>
        </w:tblPrEx>
        <w:trPr>
          <w:jc w:val="center"/>
        </w:trPr>
        <w:tc>
          <w:tcPr>
            <w:tcW w:w="1340" w:type="dxa"/>
          </w:tcPr>
          <w:p w:rsidR="00000000" w:rsidRDefault="00000000">
            <w:pPr>
              <w:rPr>
                <w:i/>
                <w:iCs/>
              </w:rPr>
            </w:pPr>
            <w:r>
              <w:rPr>
                <w:i/>
                <w:iCs/>
              </w:rPr>
              <w:t>%</w:t>
            </w:r>
          </w:p>
        </w:tc>
        <w:tc>
          <w:tcPr>
            <w:tcW w:w="1340" w:type="dxa"/>
          </w:tcPr>
          <w:p w:rsidR="00000000" w:rsidRDefault="00000000">
            <w:r>
              <w:t>86,0</w:t>
            </w:r>
          </w:p>
        </w:tc>
        <w:tc>
          <w:tcPr>
            <w:tcW w:w="1340" w:type="dxa"/>
          </w:tcPr>
          <w:p w:rsidR="00000000" w:rsidRDefault="00000000">
            <w:r>
              <w:t>86,6</w:t>
            </w:r>
          </w:p>
        </w:tc>
        <w:tc>
          <w:tcPr>
            <w:tcW w:w="1340" w:type="dxa"/>
          </w:tcPr>
          <w:p w:rsidR="00000000" w:rsidRDefault="00000000">
            <w:r>
              <w:t>86,1</w:t>
            </w:r>
          </w:p>
        </w:tc>
        <w:tc>
          <w:tcPr>
            <w:tcW w:w="1340" w:type="dxa"/>
          </w:tcPr>
          <w:p w:rsidR="00000000" w:rsidRDefault="00000000">
            <w:r>
              <w:t>86,2</w:t>
            </w:r>
          </w:p>
        </w:tc>
        <w:tc>
          <w:tcPr>
            <w:tcW w:w="1341" w:type="dxa"/>
          </w:tcPr>
          <w:p w:rsidR="00000000" w:rsidRDefault="00000000">
            <w:r>
              <w:t>86,7</w:t>
            </w:r>
          </w:p>
        </w:tc>
      </w:tr>
    </w:tbl>
    <w:p w:rsidR="00000000" w:rsidRDefault="00000000"/>
    <w:p w:rsidR="00000000" w:rsidRDefault="00000000">
      <w:r>
        <w:t>392.</w:t>
      </w:r>
      <w:r>
        <w:tab/>
      </w:r>
      <w:r>
        <w:rPr>
          <w:i/>
          <w:iCs/>
        </w:rPr>
        <w:t>Зубоврачебная помощь.</w:t>
      </w:r>
      <w:r>
        <w:t xml:space="preserve">  За счет страхования по болезни покрываются расходы на оплату услуг частного стоматолога в размере до 60% от установленной ставки.  Однако расходы на базовое обследование возмещаются лишь в объеме до 60% один раз в год.  Ветераны войны имеют право на полную компенсацию расходов, связанных с базовой зубоврачебной помощью, и на частичное возмещение расходов на другие стоматологические услуги.</w:t>
      </w:r>
    </w:p>
    <w:p w:rsidR="00000000" w:rsidRDefault="00000000"/>
    <w:p w:rsidR="00000000" w:rsidRDefault="00000000">
      <w:r>
        <w:t>393.</w:t>
      </w:r>
      <w:r>
        <w:tab/>
        <w:t>Как упоминалось выше, сфера охвата права на возмещение расходов, связанных с зубоврачебной помощью, постепенно расширялась в 2001 и 2002 годах.  В 2004 году компенсацию расходов на услуги частных стоматологов получили 1 028 629 человек.</w:t>
      </w:r>
    </w:p>
    <w:p w:rsidR="00000000" w:rsidRDefault="00000000"/>
    <w:p w:rsidR="00000000" w:rsidRDefault="00000000">
      <w:pPr>
        <w:jc w:val="center"/>
        <w:rPr>
          <w:b/>
          <w:bCs/>
        </w:rPr>
      </w:pPr>
      <w:r>
        <w:rPr>
          <w:b/>
          <w:bCs/>
        </w:rPr>
        <w:t>Таблица 19</w:t>
      </w:r>
    </w:p>
    <w:p w:rsidR="00000000" w:rsidRDefault="00000000">
      <w:pPr>
        <w:jc w:val="center"/>
        <w:rPr>
          <w:b/>
          <w:bCs/>
        </w:rPr>
      </w:pPr>
    </w:p>
    <w:p w:rsidR="00000000" w:rsidRDefault="00000000">
      <w:pPr>
        <w:jc w:val="center"/>
        <w:rPr>
          <w:b/>
          <w:bCs/>
        </w:rPr>
      </w:pPr>
      <w:r>
        <w:rPr>
          <w:b/>
          <w:bCs/>
        </w:rPr>
        <w:t xml:space="preserve">Средний размер возмещения (%) расходов на зубоврачебную </w:t>
      </w:r>
    </w:p>
    <w:p w:rsidR="00000000" w:rsidRDefault="00000000">
      <w:pPr>
        <w:jc w:val="center"/>
        <w:rPr>
          <w:i/>
          <w:iCs/>
        </w:rPr>
      </w:pPr>
      <w:r>
        <w:rPr>
          <w:b/>
          <w:bCs/>
        </w:rPr>
        <w:t>помощь в 1999</w:t>
      </w:r>
      <w:r>
        <w:rPr>
          <w:b/>
          <w:bCs/>
        </w:rPr>
        <w:noBreakHyphen/>
        <w:t>2003 годах</w:t>
      </w:r>
    </w:p>
    <w:p w:rsidR="00000000" w:rsidRDefault="00000000"/>
    <w:tbl>
      <w:tblPr>
        <w:tblW w:w="0" w:type="auto"/>
        <w:jc w:val="center"/>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0"/>
        <w:gridCol w:w="1340"/>
        <w:gridCol w:w="1340"/>
        <w:gridCol w:w="1340"/>
        <w:gridCol w:w="1340"/>
        <w:gridCol w:w="1341"/>
      </w:tblGrid>
      <w:tr w:rsidR="00000000">
        <w:tblPrEx>
          <w:tblCellMar>
            <w:top w:w="0" w:type="dxa"/>
            <w:bottom w:w="0" w:type="dxa"/>
          </w:tblCellMar>
        </w:tblPrEx>
        <w:trPr>
          <w:jc w:val="center"/>
        </w:trPr>
        <w:tc>
          <w:tcPr>
            <w:tcW w:w="1340" w:type="dxa"/>
          </w:tcPr>
          <w:p w:rsidR="00000000" w:rsidRDefault="00000000">
            <w:r>
              <w:t>Год</w:t>
            </w:r>
          </w:p>
        </w:tc>
        <w:tc>
          <w:tcPr>
            <w:tcW w:w="1340" w:type="dxa"/>
          </w:tcPr>
          <w:p w:rsidR="00000000" w:rsidRDefault="00000000">
            <w:r>
              <w:t>1999</w:t>
            </w:r>
          </w:p>
        </w:tc>
        <w:tc>
          <w:tcPr>
            <w:tcW w:w="1340" w:type="dxa"/>
          </w:tcPr>
          <w:p w:rsidR="00000000" w:rsidRDefault="00000000">
            <w:r>
              <w:t>2000</w:t>
            </w:r>
          </w:p>
        </w:tc>
        <w:tc>
          <w:tcPr>
            <w:tcW w:w="1340" w:type="dxa"/>
          </w:tcPr>
          <w:p w:rsidR="00000000" w:rsidRDefault="00000000">
            <w:r>
              <w:t>2001</w:t>
            </w:r>
          </w:p>
        </w:tc>
        <w:tc>
          <w:tcPr>
            <w:tcW w:w="1340" w:type="dxa"/>
          </w:tcPr>
          <w:p w:rsidR="00000000" w:rsidRDefault="00000000">
            <w:r>
              <w:t>2002</w:t>
            </w:r>
          </w:p>
        </w:tc>
        <w:tc>
          <w:tcPr>
            <w:tcW w:w="1341" w:type="dxa"/>
          </w:tcPr>
          <w:p w:rsidR="00000000" w:rsidRDefault="00000000">
            <w:r>
              <w:t>2003</w:t>
            </w:r>
          </w:p>
        </w:tc>
      </w:tr>
      <w:tr w:rsidR="00000000">
        <w:tblPrEx>
          <w:tblCellMar>
            <w:top w:w="0" w:type="dxa"/>
            <w:bottom w:w="0" w:type="dxa"/>
          </w:tblCellMar>
        </w:tblPrEx>
        <w:trPr>
          <w:jc w:val="center"/>
        </w:trPr>
        <w:tc>
          <w:tcPr>
            <w:tcW w:w="1340" w:type="dxa"/>
          </w:tcPr>
          <w:p w:rsidR="00000000" w:rsidRDefault="00000000">
            <w:r>
              <w:t>%</w:t>
            </w:r>
          </w:p>
        </w:tc>
        <w:tc>
          <w:tcPr>
            <w:tcW w:w="1340" w:type="dxa"/>
          </w:tcPr>
          <w:p w:rsidR="00000000" w:rsidRDefault="00000000">
            <w:r>
              <w:t>46,9</w:t>
            </w:r>
          </w:p>
        </w:tc>
        <w:tc>
          <w:tcPr>
            <w:tcW w:w="1340" w:type="dxa"/>
          </w:tcPr>
          <w:p w:rsidR="00000000" w:rsidRDefault="00000000">
            <w:r>
              <w:t>45,1</w:t>
            </w:r>
          </w:p>
        </w:tc>
        <w:tc>
          <w:tcPr>
            <w:tcW w:w="1340" w:type="dxa"/>
          </w:tcPr>
          <w:p w:rsidR="00000000" w:rsidRDefault="00000000">
            <w:r>
              <w:t>40,7</w:t>
            </w:r>
          </w:p>
        </w:tc>
        <w:tc>
          <w:tcPr>
            <w:tcW w:w="1340" w:type="dxa"/>
          </w:tcPr>
          <w:p w:rsidR="00000000" w:rsidRDefault="00000000">
            <w:r>
              <w:t>38,5</w:t>
            </w:r>
          </w:p>
        </w:tc>
        <w:tc>
          <w:tcPr>
            <w:tcW w:w="1341" w:type="dxa"/>
          </w:tcPr>
          <w:p w:rsidR="00000000" w:rsidRDefault="00000000">
            <w:r>
              <w:t>37,2</w:t>
            </w:r>
          </w:p>
        </w:tc>
      </w:tr>
    </w:tbl>
    <w:p w:rsidR="00000000" w:rsidRDefault="00000000">
      <w:pPr>
        <w:jc w:val="center"/>
        <w:rPr>
          <w:b/>
          <w:bCs/>
        </w:rPr>
      </w:pPr>
      <w:r>
        <w:rPr>
          <w:b/>
          <w:bCs/>
        </w:rPr>
        <w:t>2 с)</w:t>
      </w:r>
      <w:r>
        <w:rPr>
          <w:b/>
          <w:bCs/>
        </w:rPr>
        <w:tab/>
        <w:t>Пособия по материнству</w:t>
      </w:r>
    </w:p>
    <w:p w:rsidR="00000000" w:rsidRDefault="00000000">
      <w:pPr>
        <w:rPr>
          <w:b/>
          <w:bCs/>
        </w:rPr>
      </w:pPr>
    </w:p>
    <w:p w:rsidR="00000000" w:rsidRDefault="00000000">
      <w:r>
        <w:t>394.</w:t>
      </w:r>
      <w:r>
        <w:tab/>
        <w:t>В отношении пособий по материнству и родительских пособий правительство считает целесообразным сослаться на предыдущий периодический доклад, который дополняется нижеследующей информацией.</w:t>
      </w:r>
    </w:p>
    <w:p w:rsidR="00000000" w:rsidRDefault="00000000"/>
    <w:p w:rsidR="00000000" w:rsidRDefault="00000000">
      <w:r>
        <w:t>395.</w:t>
      </w:r>
      <w:r>
        <w:tab/>
        <w:t xml:space="preserve">Минимальный размер пособий </w:t>
      </w:r>
      <w:r>
        <w:rPr>
          <w:i/>
          <w:iCs/>
        </w:rPr>
        <w:t>по материнству, специальных пособий по материнству, пособий для отцов и родительских пособий</w:t>
      </w:r>
      <w:r>
        <w:t xml:space="preserve"> в начале 2005 года был увеличен с 11,45 евро до 15,20 евро.  В 2004 году родительским пособием воспользовались 98 404 матери и 46 947 отцов.  Специальное пособие по материнству выплачивается матерям, занятым на опасных работах. </w:t>
      </w:r>
    </w:p>
    <w:p w:rsidR="00000000" w:rsidRDefault="00000000"/>
    <w:p w:rsidR="00000000" w:rsidRDefault="00000000">
      <w:r>
        <w:t>396.</w:t>
      </w:r>
      <w:r>
        <w:tab/>
        <w:t>В начале 2003 года продолжительность 18</w:t>
      </w:r>
      <w:r>
        <w:noBreakHyphen/>
        <w:t>дневного отпуска для отцов была увеличена на 12 рабочих дней при условии, что отец берет по меньшей мере 12 дней отпуска в конце периода, в течение которого он имеет право на получение пособия для отцов, а остальные дополнительные дни - сразу после этого.  Таким образом, продолжительность непрерывного отпуска составляет 24 дня.</w:t>
      </w:r>
    </w:p>
    <w:p w:rsidR="00000000" w:rsidRDefault="00000000"/>
    <w:p w:rsidR="00000000" w:rsidRDefault="00000000">
      <w:r>
        <w:t>397.</w:t>
      </w:r>
      <w:r>
        <w:tab/>
        <w:t>С 2003 года была предоставлена возможность использования родительского отпуска на неполный основе, чтобы мать и отец могли одновременно брать частичный родительский отпуск.  Право на частичные родительские льготы было также предоставлено частным предпринимателям.</w:t>
      </w:r>
    </w:p>
    <w:p w:rsidR="00000000" w:rsidRDefault="00000000"/>
    <w:p w:rsidR="00000000" w:rsidRDefault="00000000">
      <w:r>
        <w:t>398.</w:t>
      </w:r>
      <w:r>
        <w:tab/>
        <w:t xml:space="preserve">1 марта 2001 года сфера охвата системы </w:t>
      </w:r>
      <w:r>
        <w:rPr>
          <w:i/>
          <w:iCs/>
        </w:rPr>
        <w:t>пособий по материнству</w:t>
      </w:r>
      <w:r>
        <w:t xml:space="preserve"> была расширена таким образом, что все приемные родители детей до 18 лет получили право на пособие по материнству.  Ранее оно могло выплачиваться только на детей в возрасте моложе одного года.  В 2002 году размер пособия по беременности и родам возрос до 140 евро.  В 2004 году пособием по материнству воспользовались 56 497 человек.</w:t>
      </w:r>
    </w:p>
    <w:p w:rsidR="00000000" w:rsidRDefault="00000000"/>
    <w:p w:rsidR="00000000" w:rsidRDefault="00000000">
      <w:pPr>
        <w:jc w:val="center"/>
        <w:rPr>
          <w:b/>
          <w:bCs/>
        </w:rPr>
      </w:pPr>
      <w:r>
        <w:rPr>
          <w:b/>
          <w:bCs/>
        </w:rPr>
        <w:t xml:space="preserve">2 </w:t>
      </w:r>
      <w:r>
        <w:rPr>
          <w:b/>
          <w:bCs/>
          <w:lang w:val="en-US"/>
        </w:rPr>
        <w:t>d</w:t>
      </w:r>
      <w:r>
        <w:rPr>
          <w:b/>
          <w:bCs/>
        </w:rPr>
        <w:t>)</w:t>
      </w:r>
      <w:r>
        <w:rPr>
          <w:b/>
          <w:bCs/>
        </w:rPr>
        <w:tab/>
        <w:t>Пособия по старости</w:t>
      </w:r>
    </w:p>
    <w:p w:rsidR="00000000" w:rsidRDefault="00000000">
      <w:pPr>
        <w:rPr>
          <w:b/>
          <w:bCs/>
        </w:rPr>
      </w:pPr>
    </w:p>
    <w:p w:rsidR="00000000" w:rsidRDefault="00000000">
      <w:r>
        <w:t>399.</w:t>
      </w:r>
      <w:r>
        <w:tab/>
        <w:t>В контексте реформы положений Конституции, касающихся основных прав, были приняты нормативные положения о системе пенсионного обеспечения органов местного самоуправления.  Закон о пенсиях служащих органов местного самоуправления (549/2003) содержит, в частности, положения, касающиеся гарантий пенсионного обеспечения, пенсионных прав, установления размера пенсий, семейной пенсии, порядка подачи заявлений на получение пенсии и процедуры принятия предварительных решений о пенсии, выплаты пенсий и обжалования.</w:t>
      </w:r>
    </w:p>
    <w:p w:rsidR="00000000" w:rsidRDefault="00000000"/>
    <w:p w:rsidR="00000000" w:rsidRDefault="00000000">
      <w:r>
        <w:t>400.</w:t>
      </w:r>
      <w:r>
        <w:tab/>
        <w:t>Для достижения целей пенсионной политики в систему пенсионного обеспечения органов местного самоуправления с января 2005 года были внесены изменения, аналогичные изменениям в частном секторе.</w:t>
      </w:r>
    </w:p>
    <w:p w:rsidR="00000000" w:rsidRDefault="00000000"/>
    <w:p w:rsidR="00000000" w:rsidRDefault="00000000">
      <w:r>
        <w:t>401.</w:t>
      </w:r>
      <w:r>
        <w:tab/>
        <w:t>В период, охватываемый настоящим докладом, в системе национальных пенсий не произошло никаких значительных структурных сдвигов.</w:t>
      </w:r>
    </w:p>
    <w:p w:rsidR="00000000" w:rsidRDefault="00000000"/>
    <w:p w:rsidR="00000000" w:rsidRDefault="00000000">
      <w:r>
        <w:t>402.</w:t>
      </w:r>
      <w:r>
        <w:tab/>
        <w:t>В 2003 году была введена новая форма финансовой поддержи иммигрантов, а именно специальное пособие для иммигрантов.  Это пособие гарантирует получение соответствующий доход в престарелом возрасте или во время нетрудоспособности для иммигрантов, проживающих в Финляндии, которым в противном случае местные органы власти должны были выплачивать долгосрочные пособия в связи с отсутствием дохода.  Это пособие выплачивается по достижении 65</w:t>
      </w:r>
      <w:r>
        <w:noBreakHyphen/>
        <w:t>летнего возраста или в случае нетрудоспособности.  Кроме того, требуется, чтобы бенефициар проживал в Финляндии по крайней мере пять лет до первоначальной выплаты пособия.  Максимальный размер пособия равен величине национальной пенсии.</w:t>
      </w:r>
    </w:p>
    <w:p w:rsidR="00000000" w:rsidRDefault="00000000"/>
    <w:p w:rsidR="00000000" w:rsidRDefault="00000000">
      <w:r>
        <w:t>403.</w:t>
      </w:r>
      <w:r>
        <w:tab/>
        <w:t>В отношении системы положительной пенсии, которая изменилась начиная с января 2005 года, правительство считает целесообразным сослаться на информацию, приводимую в разделе 7 ниже, посвященном изменениям в области социального обеспечения.</w:t>
      </w:r>
    </w:p>
    <w:p w:rsidR="00000000" w:rsidRDefault="00000000"/>
    <w:p w:rsidR="00000000" w:rsidRDefault="00000000">
      <w:r>
        <w:t>404.</w:t>
      </w:r>
      <w:r>
        <w:tab/>
        <w:t>В 2003 году 901 931 человек имел право на получение пенсии по старости.  Общая численность пенсионеров в 2003 году составила 1 329 988 человек.  Из них 1 275 564 человека, или 24,4% всего населения, постоянно проживали в Финляндии.</w:t>
      </w:r>
    </w:p>
    <w:p w:rsidR="00000000" w:rsidRDefault="00000000"/>
    <w:p w:rsidR="00000000" w:rsidRDefault="00000000">
      <w:pPr>
        <w:jc w:val="center"/>
        <w:rPr>
          <w:b/>
          <w:bCs/>
        </w:rPr>
      </w:pPr>
      <w:r>
        <w:rPr>
          <w:b/>
          <w:bCs/>
        </w:rPr>
        <w:t>2 е)</w:t>
      </w:r>
      <w:r>
        <w:rPr>
          <w:b/>
          <w:bCs/>
        </w:rPr>
        <w:tab/>
        <w:t>Пособия по инвалидности</w:t>
      </w:r>
    </w:p>
    <w:p w:rsidR="00000000" w:rsidRDefault="00000000">
      <w:pPr>
        <w:rPr>
          <w:b/>
          <w:bCs/>
        </w:rPr>
      </w:pPr>
    </w:p>
    <w:p w:rsidR="00000000" w:rsidRDefault="00000000">
      <w:r>
        <w:t>405.</w:t>
      </w:r>
      <w:r>
        <w:tab/>
        <w:t xml:space="preserve">За период, охватываемый настоящим докладом, структура пособий по инвалидности, лежащих в основе дохода во время нетрудоспособности, не изменилась.  </w:t>
      </w:r>
    </w:p>
    <w:p w:rsidR="00000000" w:rsidRDefault="00000000"/>
    <w:p w:rsidR="00000000" w:rsidRDefault="00000000">
      <w:r>
        <w:t>406.</w:t>
      </w:r>
      <w:r>
        <w:tab/>
        <w:t xml:space="preserve">Вместе с тем после проведения реформы системы накопительных пенсий условия выплаты пенсий по инвалидности претерпели изменения, которые разъясняются в разделе 7 ниже.  </w:t>
      </w:r>
    </w:p>
    <w:p w:rsidR="00000000" w:rsidRDefault="00000000"/>
    <w:p w:rsidR="00000000" w:rsidRDefault="00000000">
      <w:r>
        <w:t>407.</w:t>
      </w:r>
      <w:r>
        <w:tab/>
        <w:t xml:space="preserve">В 2003 году пенсию по инвалидности получали 267 140 человек, а среднемесячный размер пенсии по инвалидности составлял 953 евро.  </w:t>
      </w:r>
    </w:p>
    <w:p w:rsidR="00000000" w:rsidRDefault="00000000"/>
    <w:p w:rsidR="00000000" w:rsidRDefault="00000000">
      <w:pPr>
        <w:keepNext/>
        <w:jc w:val="center"/>
        <w:rPr>
          <w:b/>
          <w:bCs/>
        </w:rPr>
      </w:pPr>
      <w:r>
        <w:rPr>
          <w:b/>
          <w:bCs/>
        </w:rPr>
        <w:t>Таблица 20</w:t>
      </w:r>
    </w:p>
    <w:p w:rsidR="00000000" w:rsidRDefault="00000000">
      <w:pPr>
        <w:keepNext/>
        <w:jc w:val="center"/>
        <w:rPr>
          <w:b/>
          <w:bCs/>
        </w:rPr>
      </w:pPr>
    </w:p>
    <w:p w:rsidR="00000000" w:rsidRDefault="00000000">
      <w:pPr>
        <w:keepNext/>
        <w:jc w:val="center"/>
        <w:rPr>
          <w:b/>
          <w:bCs/>
        </w:rPr>
      </w:pPr>
      <w:r>
        <w:rPr>
          <w:b/>
          <w:bCs/>
        </w:rPr>
        <w:t xml:space="preserve">Получатели пенсий по инвалидности в разбивке по возрасту </w:t>
      </w:r>
    </w:p>
    <w:p w:rsidR="00000000" w:rsidRDefault="00000000">
      <w:pPr>
        <w:keepNext/>
        <w:jc w:val="center"/>
        <w:rPr>
          <w:b/>
          <w:bCs/>
        </w:rPr>
      </w:pPr>
      <w:r>
        <w:rPr>
          <w:b/>
          <w:bCs/>
        </w:rPr>
        <w:t>на 31 декабря 2003 года</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18"/>
        <w:gridCol w:w="1131"/>
        <w:gridCol w:w="1186"/>
        <w:gridCol w:w="1186"/>
        <w:gridCol w:w="1186"/>
        <w:gridCol w:w="1188"/>
        <w:gridCol w:w="1110"/>
        <w:gridCol w:w="1206"/>
      </w:tblGrid>
      <w:tr w:rsidR="00000000">
        <w:tblPrEx>
          <w:tblCellMar>
            <w:top w:w="0" w:type="dxa"/>
            <w:bottom w:w="0" w:type="dxa"/>
          </w:tblCellMar>
        </w:tblPrEx>
        <w:trPr>
          <w:cantSplit/>
        </w:trPr>
        <w:tc>
          <w:tcPr>
            <w:tcW w:w="1218" w:type="dxa"/>
          </w:tcPr>
          <w:p w:rsidR="00000000" w:rsidRDefault="00000000">
            <w:pPr>
              <w:keepNext/>
              <w:autoSpaceDE w:val="0"/>
              <w:autoSpaceDN w:val="0"/>
              <w:adjustRightInd w:val="0"/>
            </w:pPr>
            <w:r>
              <w:t>Возраст</w:t>
            </w:r>
          </w:p>
        </w:tc>
        <w:tc>
          <w:tcPr>
            <w:tcW w:w="1131" w:type="dxa"/>
          </w:tcPr>
          <w:p w:rsidR="00000000" w:rsidRDefault="00000000">
            <w:pPr>
              <w:keepNext/>
              <w:autoSpaceDE w:val="0"/>
              <w:autoSpaceDN w:val="0"/>
              <w:adjustRightInd w:val="0"/>
              <w:jc w:val="center"/>
            </w:pPr>
            <w:r>
              <w:t>- 19</w:t>
            </w:r>
          </w:p>
        </w:tc>
        <w:tc>
          <w:tcPr>
            <w:tcW w:w="1186" w:type="dxa"/>
          </w:tcPr>
          <w:p w:rsidR="00000000" w:rsidRDefault="00000000">
            <w:pPr>
              <w:keepNext/>
              <w:autoSpaceDE w:val="0"/>
              <w:autoSpaceDN w:val="0"/>
              <w:adjustRightInd w:val="0"/>
              <w:jc w:val="center"/>
            </w:pPr>
            <w:r>
              <w:t>20-44</w:t>
            </w:r>
          </w:p>
        </w:tc>
        <w:tc>
          <w:tcPr>
            <w:tcW w:w="1186" w:type="dxa"/>
          </w:tcPr>
          <w:p w:rsidR="00000000" w:rsidRDefault="00000000">
            <w:pPr>
              <w:keepNext/>
              <w:autoSpaceDE w:val="0"/>
              <w:autoSpaceDN w:val="0"/>
              <w:adjustRightInd w:val="0"/>
              <w:jc w:val="center"/>
            </w:pPr>
            <w:r>
              <w:t>45-54</w:t>
            </w:r>
          </w:p>
        </w:tc>
        <w:tc>
          <w:tcPr>
            <w:tcW w:w="1186" w:type="dxa"/>
          </w:tcPr>
          <w:p w:rsidR="00000000" w:rsidRDefault="00000000">
            <w:pPr>
              <w:keepNext/>
              <w:autoSpaceDE w:val="0"/>
              <w:autoSpaceDN w:val="0"/>
              <w:adjustRightInd w:val="0"/>
              <w:jc w:val="center"/>
            </w:pPr>
            <w:r>
              <w:t>55-59</w:t>
            </w:r>
          </w:p>
        </w:tc>
        <w:tc>
          <w:tcPr>
            <w:tcW w:w="1188" w:type="dxa"/>
          </w:tcPr>
          <w:p w:rsidR="00000000" w:rsidRDefault="00000000">
            <w:pPr>
              <w:keepNext/>
              <w:autoSpaceDE w:val="0"/>
              <w:autoSpaceDN w:val="0"/>
              <w:adjustRightInd w:val="0"/>
              <w:jc w:val="center"/>
            </w:pPr>
            <w:r>
              <w:t>60-64</w:t>
            </w:r>
          </w:p>
        </w:tc>
        <w:tc>
          <w:tcPr>
            <w:tcW w:w="1110" w:type="dxa"/>
          </w:tcPr>
          <w:p w:rsidR="00000000" w:rsidRDefault="00000000">
            <w:pPr>
              <w:keepNext/>
              <w:autoSpaceDE w:val="0"/>
              <w:autoSpaceDN w:val="0"/>
              <w:adjustRightInd w:val="0"/>
              <w:jc w:val="center"/>
            </w:pPr>
            <w:r>
              <w:t>65 -</w:t>
            </w:r>
          </w:p>
        </w:tc>
        <w:tc>
          <w:tcPr>
            <w:tcW w:w="1206" w:type="dxa"/>
          </w:tcPr>
          <w:p w:rsidR="00000000" w:rsidRDefault="00000000">
            <w:pPr>
              <w:keepNext/>
              <w:autoSpaceDE w:val="0"/>
              <w:autoSpaceDN w:val="0"/>
              <w:adjustRightInd w:val="0"/>
              <w:jc w:val="center"/>
            </w:pPr>
            <w:r>
              <w:t>Всего</w:t>
            </w:r>
          </w:p>
        </w:tc>
      </w:tr>
      <w:tr w:rsidR="00000000">
        <w:tblPrEx>
          <w:tblCellMar>
            <w:top w:w="0" w:type="dxa"/>
            <w:bottom w:w="0" w:type="dxa"/>
          </w:tblCellMar>
        </w:tblPrEx>
        <w:trPr>
          <w:cantSplit/>
        </w:trPr>
        <w:tc>
          <w:tcPr>
            <w:tcW w:w="1218" w:type="dxa"/>
          </w:tcPr>
          <w:p w:rsidR="00000000" w:rsidRDefault="00000000">
            <w:pPr>
              <w:autoSpaceDE w:val="0"/>
              <w:autoSpaceDN w:val="0"/>
              <w:adjustRightInd w:val="0"/>
            </w:pPr>
            <w:r>
              <w:t>Сумма</w:t>
            </w:r>
          </w:p>
        </w:tc>
        <w:tc>
          <w:tcPr>
            <w:tcW w:w="1131" w:type="dxa"/>
          </w:tcPr>
          <w:p w:rsidR="00000000" w:rsidRDefault="00000000">
            <w:pPr>
              <w:autoSpaceDE w:val="0"/>
              <w:autoSpaceDN w:val="0"/>
              <w:adjustRightInd w:val="0"/>
              <w:jc w:val="center"/>
            </w:pPr>
            <w:r>
              <w:t>691</w:t>
            </w:r>
          </w:p>
        </w:tc>
        <w:tc>
          <w:tcPr>
            <w:tcW w:w="1186" w:type="dxa"/>
          </w:tcPr>
          <w:p w:rsidR="00000000" w:rsidRDefault="00000000">
            <w:pPr>
              <w:autoSpaceDE w:val="0"/>
              <w:autoSpaceDN w:val="0"/>
              <w:adjustRightInd w:val="0"/>
              <w:jc w:val="center"/>
            </w:pPr>
            <w:r>
              <w:t>42 663</w:t>
            </w:r>
          </w:p>
        </w:tc>
        <w:tc>
          <w:tcPr>
            <w:tcW w:w="1186" w:type="dxa"/>
          </w:tcPr>
          <w:p w:rsidR="00000000" w:rsidRDefault="00000000">
            <w:pPr>
              <w:autoSpaceDE w:val="0"/>
              <w:autoSpaceDN w:val="0"/>
              <w:adjustRightInd w:val="0"/>
              <w:jc w:val="center"/>
            </w:pPr>
            <w:r>
              <w:t>70 003</w:t>
            </w:r>
          </w:p>
        </w:tc>
        <w:tc>
          <w:tcPr>
            <w:tcW w:w="1186" w:type="dxa"/>
          </w:tcPr>
          <w:p w:rsidR="00000000" w:rsidRDefault="00000000">
            <w:pPr>
              <w:autoSpaceDE w:val="0"/>
              <w:autoSpaceDN w:val="0"/>
              <w:adjustRightInd w:val="0"/>
              <w:jc w:val="center"/>
            </w:pPr>
            <w:r>
              <w:t>71 489</w:t>
            </w:r>
          </w:p>
        </w:tc>
        <w:tc>
          <w:tcPr>
            <w:tcW w:w="1188" w:type="dxa"/>
          </w:tcPr>
          <w:p w:rsidR="00000000" w:rsidRDefault="00000000">
            <w:pPr>
              <w:autoSpaceDE w:val="0"/>
              <w:autoSpaceDN w:val="0"/>
              <w:adjustRightInd w:val="0"/>
              <w:jc w:val="center"/>
            </w:pPr>
            <w:r>
              <w:t>82 294</w:t>
            </w:r>
          </w:p>
        </w:tc>
        <w:tc>
          <w:tcPr>
            <w:tcW w:w="1110" w:type="dxa"/>
          </w:tcPr>
          <w:p w:rsidR="00000000" w:rsidRDefault="00000000">
            <w:pPr>
              <w:autoSpaceDE w:val="0"/>
              <w:autoSpaceDN w:val="0"/>
              <w:adjustRightInd w:val="0"/>
              <w:jc w:val="center"/>
            </w:pPr>
            <w:r>
              <w:t>-</w:t>
            </w:r>
          </w:p>
        </w:tc>
        <w:tc>
          <w:tcPr>
            <w:tcW w:w="1206" w:type="dxa"/>
          </w:tcPr>
          <w:p w:rsidR="00000000" w:rsidRDefault="00000000">
            <w:pPr>
              <w:autoSpaceDE w:val="0"/>
              <w:autoSpaceDN w:val="0"/>
              <w:adjustRightInd w:val="0"/>
              <w:jc w:val="center"/>
            </w:pPr>
            <w:r>
              <w:t>267 140</w:t>
            </w:r>
          </w:p>
        </w:tc>
      </w:tr>
    </w:tbl>
    <w:p w:rsidR="00000000" w:rsidRDefault="00000000"/>
    <w:p w:rsidR="00000000" w:rsidRDefault="00000000">
      <w:pPr>
        <w:jc w:val="center"/>
        <w:rPr>
          <w:b/>
          <w:bCs/>
        </w:rPr>
      </w:pPr>
      <w:r>
        <w:rPr>
          <w:b/>
          <w:bCs/>
        </w:rPr>
        <w:t xml:space="preserve">2 </w:t>
      </w:r>
      <w:r>
        <w:rPr>
          <w:b/>
          <w:bCs/>
          <w:lang w:val="en-US"/>
        </w:rPr>
        <w:t>f</w:t>
      </w:r>
      <w:r>
        <w:rPr>
          <w:b/>
          <w:bCs/>
        </w:rPr>
        <w:t>)</w:t>
      </w:r>
      <w:r>
        <w:rPr>
          <w:b/>
          <w:bCs/>
        </w:rPr>
        <w:tab/>
        <w:t>Пособия в связи с потерей кормильца</w:t>
      </w:r>
    </w:p>
    <w:p w:rsidR="00000000" w:rsidRDefault="00000000">
      <w:pPr>
        <w:rPr>
          <w:b/>
          <w:bCs/>
        </w:rPr>
      </w:pPr>
    </w:p>
    <w:p w:rsidR="00000000" w:rsidRDefault="00000000">
      <w:r>
        <w:t>408.</w:t>
      </w:r>
      <w:r>
        <w:tab/>
        <w:t>Применительно к пособиям в связи с потерей кормильца правительство считает целесообразным сослаться на предыдущий периодический доклад.  В 2003 году пенсию для супруга(и) по случаю потери кормильца получали 259 043 человека, а пенсию осиротевшим детям в связи с потерей кормильца - 26 871 человек.  Среднемесячный размер пенсии супруга(и) по случаю потери кормильца составлял 436 евро, а среднемесячный размер пенсии осиротевшим детям в связи с потерей кормильца - 275 евро.</w:t>
      </w:r>
    </w:p>
    <w:p w:rsidR="00000000" w:rsidRDefault="00000000"/>
    <w:p w:rsidR="00000000" w:rsidRDefault="00000000">
      <w:pPr>
        <w:jc w:val="center"/>
        <w:rPr>
          <w:b/>
          <w:bCs/>
        </w:rPr>
      </w:pPr>
      <w:r>
        <w:rPr>
          <w:b/>
          <w:bCs/>
        </w:rPr>
        <w:t>2 g)</w:t>
      </w:r>
      <w:r>
        <w:rPr>
          <w:b/>
          <w:bCs/>
        </w:rPr>
        <w:tab/>
        <w:t>Пособия в связи с производственным травматизмом</w:t>
      </w:r>
    </w:p>
    <w:p w:rsidR="00000000" w:rsidRDefault="00000000">
      <w:pPr>
        <w:rPr>
          <w:b/>
          <w:bCs/>
        </w:rPr>
      </w:pPr>
    </w:p>
    <w:p w:rsidR="00000000" w:rsidRDefault="00000000">
      <w:r>
        <w:t>409.</w:t>
      </w:r>
      <w:r>
        <w:tab/>
        <w:t>Применительно к пособиям в связи с производственным травматизмом правительство считает целесообразным сослаться на предыдущий периодический доклад.  В 2005 году средний размер пособия в связи с производственным травматизмом составляет 1,1% от величины заработной платы трудящихся.</w:t>
      </w:r>
    </w:p>
    <w:p w:rsidR="00000000" w:rsidRDefault="00000000"/>
    <w:p w:rsidR="00000000" w:rsidRDefault="00000000">
      <w:pPr>
        <w:jc w:val="center"/>
        <w:rPr>
          <w:b/>
          <w:bCs/>
        </w:rPr>
      </w:pPr>
      <w:r>
        <w:rPr>
          <w:b/>
          <w:bCs/>
        </w:rPr>
        <w:t>2 h)</w:t>
      </w:r>
      <w:r>
        <w:rPr>
          <w:b/>
          <w:bCs/>
        </w:rPr>
        <w:tab/>
        <w:t>Пособия по безработице</w:t>
      </w:r>
    </w:p>
    <w:p w:rsidR="00000000" w:rsidRDefault="00000000">
      <w:pPr>
        <w:rPr>
          <w:b/>
          <w:bCs/>
        </w:rPr>
      </w:pPr>
    </w:p>
    <w:p w:rsidR="00000000" w:rsidRDefault="00000000">
      <w:r>
        <w:t>410.</w:t>
      </w:r>
      <w:r>
        <w:tab/>
        <w:t>За период, охватываемый настоящим периодическим докладом, структура пособий по безработице не изменилась, и в этой связи правительство считает целесообразным сослаться на предыдущий доклад.  1 января 2003 году вступил в силу новый Закон о страховании от безработицы (1290/2002).  В соответствии с этим Законом требуемый стаж работы был сокращен до восьми месяцев применительно к случаям, когда одно и то же лицо должно было повторно подтверждать применение условия, касающегося занятости.  Для приобретения нового права на ежедневное пособие по безработице теперь необходимо отработать не 43, а 34 недели, т.е. не десять, а восемь месяцев.  Требуемый 10</w:t>
      </w:r>
      <w:r>
        <w:noBreakHyphen/>
        <w:t xml:space="preserve">месячный стаж работы сохранился для тех лиц, которые впервые получили право на пособие по безработице, однако в этих случаях срок, в течение которого можно накапливать стаж работы, увеличился с 24 до 28 месяцев.  </w:t>
      </w:r>
    </w:p>
    <w:p w:rsidR="00000000" w:rsidRDefault="00000000"/>
    <w:p w:rsidR="00000000" w:rsidRDefault="00000000">
      <w:r>
        <w:t>411.</w:t>
      </w:r>
      <w:r>
        <w:tab/>
        <w:t xml:space="preserve">В отчетный период были повышены размеры пособия по безработице и субсидии службы занятости.  В 2005 году полная сумма субсидии службы занятости или пособия по безработице составили 23,24 евро в день.  Кроме того, таким же образом, как и прежде, можно получать надбавку на ребенка в возрасте моложе 18 лет.  Базовая ставка пособия по безработице, привязанного к уровню дохода, является такой же, как и полная сумма отдельного пособия по безработице, т.е. 23,24 евро в день, и к ней может прибавляться надбавка на ребенка.  Привязанная к уровню дохода составляющая пособия была увеличена с 42% до 45% суммы, составляющей разницу между ежедневным доходом и базовой ставкой. </w:t>
      </w:r>
    </w:p>
    <w:p w:rsidR="00000000" w:rsidRDefault="00000000"/>
    <w:p w:rsidR="00000000" w:rsidRDefault="00000000">
      <w:r>
        <w:t>412.</w:t>
      </w:r>
      <w:r>
        <w:tab/>
        <w:t xml:space="preserve">Если говорить о воздействии дохода супруга(и) заявителя, то с января 2004 года оценка потребности в субсидии службы занятости стала проводиться с использованием менее строгих критериев.  При оценке потребности в финансовой поддержке доход заявителя принимается во внимание в полном объеме, но учитывается лишь часть дохода супруга(и), превышающая 536 евро в месяц (ранее установленный предел составлял 236 евро).  </w:t>
      </w:r>
    </w:p>
    <w:p w:rsidR="00000000" w:rsidRDefault="00000000"/>
    <w:p w:rsidR="00000000" w:rsidRDefault="00000000">
      <w:pPr>
        <w:jc w:val="center"/>
        <w:rPr>
          <w:b/>
          <w:bCs/>
        </w:rPr>
      </w:pPr>
      <w:r>
        <w:rPr>
          <w:b/>
          <w:bCs/>
        </w:rPr>
        <w:t>Таблица 21</w:t>
      </w:r>
    </w:p>
    <w:p w:rsidR="00000000" w:rsidRDefault="00000000">
      <w:pPr>
        <w:jc w:val="center"/>
        <w:rPr>
          <w:b/>
          <w:bCs/>
        </w:rPr>
      </w:pPr>
    </w:p>
    <w:p w:rsidR="00000000" w:rsidRDefault="00000000">
      <w:pPr>
        <w:jc w:val="center"/>
        <w:rPr>
          <w:b/>
          <w:bCs/>
        </w:rPr>
      </w:pPr>
      <w:r>
        <w:rPr>
          <w:b/>
          <w:bCs/>
        </w:rPr>
        <w:t>Лица, имевшие право на получение пособий по безработице в 2000</w:t>
      </w:r>
      <w:r>
        <w:rPr>
          <w:b/>
          <w:bCs/>
        </w:rPr>
        <w:noBreakHyphen/>
        <w:t>2004 годах</w:t>
      </w:r>
    </w:p>
    <w:p w:rsidR="00000000" w:rsidRDefault="00000000">
      <w:pPr>
        <w:rPr>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329"/>
        <w:gridCol w:w="1016"/>
        <w:gridCol w:w="1016"/>
        <w:gridCol w:w="1017"/>
        <w:gridCol w:w="1016"/>
        <w:gridCol w:w="1017"/>
      </w:tblGrid>
      <w:tr w:rsidR="00000000">
        <w:tblPrEx>
          <w:tblCellMar>
            <w:top w:w="0" w:type="dxa"/>
            <w:bottom w:w="0" w:type="dxa"/>
          </w:tblCellMar>
        </w:tblPrEx>
        <w:trPr>
          <w:cantSplit/>
          <w:trHeight w:val="405"/>
        </w:trPr>
        <w:tc>
          <w:tcPr>
            <w:tcW w:w="4329" w:type="dxa"/>
            <w:tcBorders>
              <w:bottom w:val="single" w:sz="4" w:space="0" w:color="auto"/>
            </w:tcBorders>
          </w:tcPr>
          <w:p w:rsidR="00000000" w:rsidRDefault="00000000">
            <w:pPr>
              <w:jc w:val="center"/>
            </w:pPr>
            <w:r>
              <w:t>Год</w:t>
            </w:r>
          </w:p>
        </w:tc>
        <w:tc>
          <w:tcPr>
            <w:tcW w:w="1016" w:type="dxa"/>
            <w:tcBorders>
              <w:bottom w:val="single" w:sz="4" w:space="0" w:color="auto"/>
            </w:tcBorders>
          </w:tcPr>
          <w:p w:rsidR="00000000" w:rsidRDefault="00000000">
            <w:pPr>
              <w:jc w:val="center"/>
            </w:pPr>
            <w:r>
              <w:t>2000</w:t>
            </w:r>
          </w:p>
        </w:tc>
        <w:tc>
          <w:tcPr>
            <w:tcW w:w="1016" w:type="dxa"/>
            <w:tcBorders>
              <w:bottom w:val="single" w:sz="4" w:space="0" w:color="auto"/>
            </w:tcBorders>
          </w:tcPr>
          <w:p w:rsidR="00000000" w:rsidRDefault="00000000">
            <w:pPr>
              <w:jc w:val="center"/>
            </w:pPr>
            <w:r>
              <w:t>2001</w:t>
            </w:r>
          </w:p>
        </w:tc>
        <w:tc>
          <w:tcPr>
            <w:tcW w:w="1017" w:type="dxa"/>
            <w:tcBorders>
              <w:bottom w:val="single" w:sz="4" w:space="0" w:color="auto"/>
            </w:tcBorders>
          </w:tcPr>
          <w:p w:rsidR="00000000" w:rsidRDefault="00000000">
            <w:pPr>
              <w:jc w:val="center"/>
            </w:pPr>
            <w:r>
              <w:t>2002</w:t>
            </w:r>
          </w:p>
        </w:tc>
        <w:tc>
          <w:tcPr>
            <w:tcW w:w="1016" w:type="dxa"/>
            <w:tcBorders>
              <w:bottom w:val="single" w:sz="4" w:space="0" w:color="auto"/>
            </w:tcBorders>
          </w:tcPr>
          <w:p w:rsidR="00000000" w:rsidRDefault="00000000">
            <w:pPr>
              <w:jc w:val="center"/>
            </w:pPr>
            <w:r>
              <w:t>2003</w:t>
            </w:r>
          </w:p>
        </w:tc>
        <w:tc>
          <w:tcPr>
            <w:tcW w:w="1017" w:type="dxa"/>
            <w:tcBorders>
              <w:bottom w:val="single" w:sz="4" w:space="0" w:color="auto"/>
            </w:tcBorders>
          </w:tcPr>
          <w:p w:rsidR="00000000" w:rsidRDefault="00000000">
            <w:pPr>
              <w:jc w:val="center"/>
            </w:pPr>
            <w:r>
              <w:t>2004</w:t>
            </w:r>
          </w:p>
        </w:tc>
      </w:tr>
      <w:tr w:rsidR="00000000">
        <w:tblPrEx>
          <w:tblCellMar>
            <w:top w:w="0" w:type="dxa"/>
            <w:bottom w:w="0" w:type="dxa"/>
          </w:tblCellMar>
        </w:tblPrEx>
        <w:trPr>
          <w:cantSplit/>
          <w:trHeight w:val="406"/>
        </w:trPr>
        <w:tc>
          <w:tcPr>
            <w:tcW w:w="4329" w:type="dxa"/>
            <w:tcBorders>
              <w:bottom w:val="nil"/>
            </w:tcBorders>
          </w:tcPr>
          <w:p w:rsidR="00000000" w:rsidRDefault="00000000">
            <w:r>
              <w:t>Пособия, привязанные к уровню дохода</w:t>
            </w:r>
          </w:p>
        </w:tc>
        <w:tc>
          <w:tcPr>
            <w:tcW w:w="1016" w:type="dxa"/>
            <w:tcBorders>
              <w:bottom w:val="nil"/>
            </w:tcBorders>
          </w:tcPr>
          <w:p w:rsidR="00000000" w:rsidRDefault="00000000">
            <w:pPr>
              <w:autoSpaceDE w:val="0"/>
              <w:autoSpaceDN w:val="0"/>
              <w:adjustRightInd w:val="0"/>
              <w:jc w:val="right"/>
            </w:pPr>
            <w:r>
              <w:t>296 393</w:t>
            </w:r>
          </w:p>
        </w:tc>
        <w:tc>
          <w:tcPr>
            <w:tcW w:w="1016" w:type="dxa"/>
            <w:tcBorders>
              <w:bottom w:val="nil"/>
            </w:tcBorders>
          </w:tcPr>
          <w:p w:rsidR="00000000" w:rsidRDefault="00000000">
            <w:pPr>
              <w:autoSpaceDE w:val="0"/>
              <w:autoSpaceDN w:val="0"/>
              <w:adjustRightInd w:val="0"/>
              <w:jc w:val="right"/>
            </w:pPr>
            <w:r>
              <w:t>276 562</w:t>
            </w:r>
          </w:p>
        </w:tc>
        <w:tc>
          <w:tcPr>
            <w:tcW w:w="1017" w:type="dxa"/>
            <w:tcBorders>
              <w:bottom w:val="nil"/>
            </w:tcBorders>
          </w:tcPr>
          <w:p w:rsidR="00000000" w:rsidRDefault="00000000">
            <w:pPr>
              <w:autoSpaceDE w:val="0"/>
              <w:autoSpaceDN w:val="0"/>
              <w:adjustRightInd w:val="0"/>
              <w:jc w:val="right"/>
            </w:pPr>
            <w:r>
              <w:t>280 813</w:t>
            </w:r>
          </w:p>
        </w:tc>
        <w:tc>
          <w:tcPr>
            <w:tcW w:w="1016" w:type="dxa"/>
            <w:tcBorders>
              <w:bottom w:val="nil"/>
            </w:tcBorders>
          </w:tcPr>
          <w:p w:rsidR="00000000" w:rsidRDefault="00000000">
            <w:pPr>
              <w:autoSpaceDE w:val="0"/>
              <w:autoSpaceDN w:val="0"/>
              <w:adjustRightInd w:val="0"/>
              <w:jc w:val="right"/>
            </w:pPr>
            <w:r>
              <w:t>287 138</w:t>
            </w:r>
          </w:p>
        </w:tc>
        <w:tc>
          <w:tcPr>
            <w:tcW w:w="1017" w:type="dxa"/>
            <w:tcBorders>
              <w:bottom w:val="nil"/>
            </w:tcBorders>
          </w:tcPr>
          <w:p w:rsidR="00000000" w:rsidRDefault="00000000">
            <w:pPr>
              <w:autoSpaceDE w:val="0"/>
              <w:autoSpaceDN w:val="0"/>
              <w:adjustRightInd w:val="0"/>
              <w:jc w:val="right"/>
            </w:pPr>
            <w:r>
              <w:t>285 442</w:t>
            </w:r>
          </w:p>
        </w:tc>
      </w:tr>
      <w:tr w:rsidR="00000000">
        <w:tblPrEx>
          <w:tblCellMar>
            <w:top w:w="0" w:type="dxa"/>
            <w:bottom w:w="0" w:type="dxa"/>
          </w:tblCellMar>
        </w:tblPrEx>
        <w:trPr>
          <w:cantSplit/>
          <w:trHeight w:val="405"/>
        </w:trPr>
        <w:tc>
          <w:tcPr>
            <w:tcW w:w="4329" w:type="dxa"/>
            <w:tcBorders>
              <w:top w:val="nil"/>
              <w:bottom w:val="nil"/>
            </w:tcBorders>
          </w:tcPr>
          <w:p w:rsidR="00000000" w:rsidRDefault="00000000">
            <w:r>
              <w:t>Базовая ставка пособия по безработице</w:t>
            </w:r>
          </w:p>
        </w:tc>
        <w:tc>
          <w:tcPr>
            <w:tcW w:w="1016" w:type="dxa"/>
            <w:tcBorders>
              <w:top w:val="nil"/>
              <w:bottom w:val="nil"/>
            </w:tcBorders>
          </w:tcPr>
          <w:p w:rsidR="00000000" w:rsidRDefault="00000000">
            <w:pPr>
              <w:autoSpaceDE w:val="0"/>
              <w:autoSpaceDN w:val="0"/>
              <w:adjustRightInd w:val="0"/>
              <w:jc w:val="right"/>
            </w:pPr>
            <w:r>
              <w:t>43 330</w:t>
            </w:r>
          </w:p>
        </w:tc>
        <w:tc>
          <w:tcPr>
            <w:tcW w:w="1016" w:type="dxa"/>
            <w:tcBorders>
              <w:top w:val="nil"/>
              <w:bottom w:val="nil"/>
            </w:tcBorders>
          </w:tcPr>
          <w:p w:rsidR="00000000" w:rsidRDefault="00000000">
            <w:pPr>
              <w:autoSpaceDE w:val="0"/>
              <w:autoSpaceDN w:val="0"/>
              <w:adjustRightInd w:val="0"/>
              <w:jc w:val="right"/>
            </w:pPr>
            <w:r>
              <w:t>43 652</w:t>
            </w:r>
          </w:p>
        </w:tc>
        <w:tc>
          <w:tcPr>
            <w:tcW w:w="1017" w:type="dxa"/>
            <w:tcBorders>
              <w:top w:val="nil"/>
              <w:bottom w:val="nil"/>
            </w:tcBorders>
          </w:tcPr>
          <w:p w:rsidR="00000000" w:rsidRDefault="00000000">
            <w:pPr>
              <w:autoSpaceDE w:val="0"/>
              <w:autoSpaceDN w:val="0"/>
              <w:adjustRightInd w:val="0"/>
              <w:jc w:val="right"/>
            </w:pPr>
            <w:r>
              <w:t>46 565</w:t>
            </w:r>
          </w:p>
        </w:tc>
        <w:tc>
          <w:tcPr>
            <w:tcW w:w="1016" w:type="dxa"/>
            <w:tcBorders>
              <w:top w:val="nil"/>
              <w:bottom w:val="nil"/>
            </w:tcBorders>
          </w:tcPr>
          <w:p w:rsidR="00000000" w:rsidRDefault="00000000">
            <w:pPr>
              <w:autoSpaceDE w:val="0"/>
              <w:autoSpaceDN w:val="0"/>
              <w:adjustRightInd w:val="0"/>
              <w:jc w:val="right"/>
            </w:pPr>
            <w:r>
              <w:t>51 343</w:t>
            </w:r>
          </w:p>
        </w:tc>
        <w:tc>
          <w:tcPr>
            <w:tcW w:w="1017" w:type="dxa"/>
            <w:tcBorders>
              <w:top w:val="nil"/>
              <w:bottom w:val="nil"/>
            </w:tcBorders>
          </w:tcPr>
          <w:p w:rsidR="00000000" w:rsidRDefault="00000000">
            <w:pPr>
              <w:autoSpaceDE w:val="0"/>
              <w:autoSpaceDN w:val="0"/>
              <w:adjustRightInd w:val="0"/>
              <w:jc w:val="right"/>
            </w:pPr>
            <w:r>
              <w:t>54 780</w:t>
            </w:r>
          </w:p>
        </w:tc>
      </w:tr>
      <w:tr w:rsidR="00000000">
        <w:tblPrEx>
          <w:tblCellMar>
            <w:top w:w="0" w:type="dxa"/>
            <w:bottom w:w="0" w:type="dxa"/>
          </w:tblCellMar>
        </w:tblPrEx>
        <w:trPr>
          <w:cantSplit/>
          <w:trHeight w:val="406"/>
        </w:trPr>
        <w:tc>
          <w:tcPr>
            <w:tcW w:w="4329" w:type="dxa"/>
            <w:tcBorders>
              <w:top w:val="nil"/>
            </w:tcBorders>
          </w:tcPr>
          <w:p w:rsidR="00000000" w:rsidRDefault="00000000">
            <w:r>
              <w:t>Субсидия службы занятости</w:t>
            </w:r>
          </w:p>
        </w:tc>
        <w:tc>
          <w:tcPr>
            <w:tcW w:w="1016" w:type="dxa"/>
            <w:tcBorders>
              <w:top w:val="nil"/>
            </w:tcBorders>
          </w:tcPr>
          <w:p w:rsidR="00000000" w:rsidRDefault="00000000">
            <w:pPr>
              <w:autoSpaceDE w:val="0"/>
              <w:autoSpaceDN w:val="0"/>
              <w:adjustRightInd w:val="0"/>
              <w:jc w:val="right"/>
            </w:pPr>
            <w:r>
              <w:t>286 581</w:t>
            </w:r>
          </w:p>
        </w:tc>
        <w:tc>
          <w:tcPr>
            <w:tcW w:w="1016" w:type="dxa"/>
            <w:tcBorders>
              <w:top w:val="nil"/>
            </w:tcBorders>
          </w:tcPr>
          <w:p w:rsidR="00000000" w:rsidRDefault="00000000">
            <w:pPr>
              <w:autoSpaceDE w:val="0"/>
              <w:autoSpaceDN w:val="0"/>
              <w:adjustRightInd w:val="0"/>
              <w:jc w:val="right"/>
            </w:pPr>
            <w:r>
              <w:t>271 378</w:t>
            </w:r>
          </w:p>
        </w:tc>
        <w:tc>
          <w:tcPr>
            <w:tcW w:w="1017" w:type="dxa"/>
            <w:tcBorders>
              <w:top w:val="nil"/>
            </w:tcBorders>
          </w:tcPr>
          <w:p w:rsidR="00000000" w:rsidRDefault="00000000">
            <w:pPr>
              <w:autoSpaceDE w:val="0"/>
              <w:autoSpaceDN w:val="0"/>
              <w:adjustRightInd w:val="0"/>
              <w:jc w:val="right"/>
            </w:pPr>
            <w:r>
              <w:t>263 038</w:t>
            </w:r>
          </w:p>
        </w:tc>
        <w:tc>
          <w:tcPr>
            <w:tcW w:w="1016" w:type="dxa"/>
            <w:tcBorders>
              <w:top w:val="nil"/>
            </w:tcBorders>
          </w:tcPr>
          <w:p w:rsidR="00000000" w:rsidRDefault="00000000">
            <w:pPr>
              <w:autoSpaceDE w:val="0"/>
              <w:autoSpaceDN w:val="0"/>
              <w:adjustRightInd w:val="0"/>
              <w:jc w:val="right"/>
            </w:pPr>
            <w:r>
              <w:t>255 437</w:t>
            </w:r>
          </w:p>
        </w:tc>
        <w:tc>
          <w:tcPr>
            <w:tcW w:w="1017" w:type="dxa"/>
            <w:tcBorders>
              <w:top w:val="nil"/>
            </w:tcBorders>
          </w:tcPr>
          <w:p w:rsidR="00000000" w:rsidRDefault="00000000">
            <w:pPr>
              <w:autoSpaceDE w:val="0"/>
              <w:autoSpaceDN w:val="0"/>
              <w:adjustRightInd w:val="0"/>
              <w:jc w:val="right"/>
            </w:pPr>
            <w:r>
              <w:t>248 898</w:t>
            </w:r>
          </w:p>
        </w:tc>
      </w:tr>
    </w:tbl>
    <w:p w:rsidR="00000000" w:rsidRDefault="00000000"/>
    <w:p w:rsidR="00000000" w:rsidRDefault="00000000">
      <w:r>
        <w:t>413.</w:t>
      </w:r>
      <w:r>
        <w:tab/>
      </w:r>
      <w:r>
        <w:rPr>
          <w:i/>
          <w:iCs/>
        </w:rPr>
        <w:t>Страхование от безработицы членов семей частных предпринимателей.</w:t>
      </w:r>
      <w:r>
        <w:t xml:space="preserve">  В Законе о страховании от безработицы (1290/2002) были предусмотрены более четкие положения в отношении страхования от безработицы членов семей частных предпринимателей, согласно которым совладельцы компании также считаются работающими на эту компанию, до тех пор пока она полностью не прекратит свою коммерческую деятельность.  В соответствии с этим законом пособие по безработице не может выплачиваться за период времени, в течение которого конкретное лицо является частным предпринимателем, работающим полный рабочий день, или иным образом самозанятым лицом.  Цель данного положения заключается в недопущении того, чтобы риски, связанные с коммерческой деятельностью, покрывались за счет системы социального обеспечения.</w:t>
      </w:r>
    </w:p>
    <w:p w:rsidR="00000000" w:rsidRDefault="00000000"/>
    <w:p w:rsidR="00000000" w:rsidRDefault="00000000">
      <w:r>
        <w:t>414.</w:t>
      </w:r>
      <w:r>
        <w:tab/>
        <w:t>Отдельное лицо считается работающим на компанию на основе полной занятости вплоть до ликвидации коммерческой деятельности или ее полного приостановления на период четырех месяцев.  Отдельный конкретный человек считается частично работающим на компанию только в том случае, если он одновременно был занят по меньшей мере десять месяцев в течение полного рабочего дня на другой работе, которая не имеет никакого отношения к коммерческой деятельности компании, или если занятость по работе на компанию была настолько незначительной, что она не служила препятствием для другой работы на основе полной занятости.  Однако ликвидация коммерческой деятельности или полное ее приостановление на четыре месяца не является обязательным условием для выплаты пособия по безработице, например в том случае, если полная занятость соответствующего лица была нерегулярной.  Полная занятость считается нерегулярной, в частности, в случаях, когда соответствующее лицо является членом семьи, который не имел акций, прав голоса или других сопоставимых полномочий в рамках компании и который работал на компанию или был занят на другой работе в общей сложности лишь не более шести месяцев.</w:t>
      </w:r>
    </w:p>
    <w:p w:rsidR="00000000" w:rsidRDefault="00000000"/>
    <w:p w:rsidR="00000000" w:rsidRDefault="00000000">
      <w:r>
        <w:t>415.</w:t>
      </w:r>
      <w:r>
        <w:tab/>
        <w:t xml:space="preserve">Тем не менее Федерация финских предприятий критиковала вышеупомянутые положения, утверждая, что защита членов семей, работающих на компанию на основе полной занятости, является ненадлежащей в случае, если производительность компании снижается настолько, что она уже не может обеспечить работой всех членов семьи.  В типичной семейной компании оба супруга регулярно работают на компанию.  В такой ситуации при сокращении объема работы в компании другой супруг(а) имеет право на получение пособий по безработице лишь в случае, если коммерческая деятельность будет прекращена или супруг(а) найдет другую работу как минимум на десять месяцев.  </w:t>
      </w:r>
    </w:p>
    <w:p w:rsidR="00000000" w:rsidRDefault="00000000"/>
    <w:p w:rsidR="00000000" w:rsidRDefault="00000000">
      <w:r>
        <w:t>416.</w:t>
      </w:r>
      <w:r>
        <w:tab/>
      </w:r>
      <w:r>
        <w:rPr>
          <w:i/>
          <w:iCs/>
        </w:rPr>
        <w:t>Увязка пенсионного страхования и страхования от безработицы</w:t>
      </w:r>
      <w:r>
        <w:t>.  В соответствии с Законом о страховании от безработицы, если застрахованное лицо проработало в качестве предпринимателя свыше 18 месяцев, ежедневное пособие, зависящее от уровня дохода, будет выплачиваться ему только при соблюдении предусмотренного данным законом требования, касающегося предыдущей занятости.  С этой целью необходимо, чтобы коммерческая деятельность была значительной.  Согласно правительственному указу по осуществлению Закона о страховании от безработицы, коммерческая деятельность считается значительной, если соответствующее лицо имеет действительное пенсионное покрытие с учетом Закона о пенсиях самозанятых лиц и его/ее доход составляет по крайней мере 710 евро в месяц (8 520 евро в год).</w:t>
      </w:r>
    </w:p>
    <w:p w:rsidR="00000000" w:rsidRDefault="00000000"/>
    <w:p w:rsidR="00000000" w:rsidRDefault="00000000">
      <w:r>
        <w:t>417.</w:t>
      </w:r>
      <w:r>
        <w:tab/>
        <w:t>Однако самозанятые лица, ежегодный доход которых, согласно оценке, составляет менее 5 504,14 евро (в 2004 году), не обязаны иметь вышеупомянутое страховое покрытие.</w:t>
      </w:r>
    </w:p>
    <w:p w:rsidR="00000000" w:rsidRDefault="00000000"/>
    <w:p w:rsidR="00000000" w:rsidRDefault="00000000">
      <w:r>
        <w:t>418.</w:t>
      </w:r>
      <w:r>
        <w:tab/>
        <w:t>Ежегодный доход в размере от 5 504,14 евро до 8 520 евро получают примерно 25% лиц, застрахованных согласно Закону о пенсиях для самозанятых лиц.  Соответственно, из-за различных пределов, установленных для страхования от безработицы и пенсионного страхования самозанятых лиц, 25% частных предпринимателей могут считаться таковыми для целей Закона о пенсиях для самозанятых лиц и рассматриваться в качестве лиц, не зарегистрированных на рынке труда, для целей страхования от безработицы.</w:t>
      </w:r>
    </w:p>
    <w:p w:rsidR="00000000" w:rsidRDefault="00000000"/>
    <w:p w:rsidR="00000000" w:rsidRDefault="00000000">
      <w:pPr>
        <w:keepNext/>
        <w:jc w:val="center"/>
      </w:pPr>
      <w:r>
        <w:rPr>
          <w:b/>
          <w:bCs/>
        </w:rPr>
        <w:t>3.</w:t>
      </w:r>
      <w:r>
        <w:rPr>
          <w:b/>
          <w:bCs/>
        </w:rPr>
        <w:tab/>
        <w:t>Финансирование схем социального обеспечения</w:t>
      </w:r>
    </w:p>
    <w:p w:rsidR="00000000" w:rsidRDefault="00000000">
      <w:pPr>
        <w:keepNext/>
      </w:pPr>
    </w:p>
    <w:p w:rsidR="00000000" w:rsidRDefault="00000000">
      <w:r>
        <w:t>419.</w:t>
      </w:r>
      <w:r>
        <w:tab/>
        <w:t>В финансировании схем социального обеспечения, как правило, участвуют работодатели, работники, застрахованные лица и государство.  Каждая сторона на долевой основе осуществляет платежи, и их размер определяется в рамках системы соответствующих пособий.</w:t>
      </w:r>
    </w:p>
    <w:p w:rsidR="00000000" w:rsidRDefault="00000000"/>
    <w:p w:rsidR="00000000" w:rsidRDefault="00000000">
      <w:r>
        <w:t>420.</w:t>
      </w:r>
      <w:r>
        <w:tab/>
        <w:t>Пособия, выплачиваемые Институтом социального страхования Финляндии, финансируются главным образом за счет налоговых поступлений.  Расходы на национальные пенсии и страхование по болезни частично покрываются за счет взносов застрахованных лиц и работодателей.</w:t>
      </w:r>
    </w:p>
    <w:p w:rsidR="00000000" w:rsidRDefault="00000000"/>
    <w:p w:rsidR="00000000" w:rsidRDefault="00000000">
      <w:r>
        <w:t>421.</w:t>
      </w:r>
      <w:r>
        <w:tab/>
      </w:r>
      <w:r>
        <w:rPr>
          <w:i/>
          <w:iCs/>
        </w:rPr>
        <w:t>Национальные пенсии</w:t>
      </w:r>
      <w:r>
        <w:t xml:space="preserve"> финансируются главным образом за счет взносов работодателей и государственного гарантийного депозита.  С 1993 года для финансирования пенсионных пособий используется определенная часть дохода от НДС.  В 2004 году эти средства составили 400 млн. евро.  Государство выступает единственным источником финансирования схем, в рамках которых предоставляются семейные пенсии, льготы для ветеранов войны, пособия по инвалидности и пособия по уходу за ребенком, а также жилищные пособия пенсионерам и 29% национальных пенсий.  Государство также обеспечивает функционирование системы национальных пенсий посредством гарантийного депозита, подлежащего использованию в том случае, если других источников финансирования недостаточно для покрытия соответствующих расходов.  В 2004 году по линии государственного гарантийного депозита было освоено 107 млн. евро.</w:t>
      </w:r>
    </w:p>
    <w:p w:rsidR="00000000" w:rsidRDefault="00000000"/>
    <w:p w:rsidR="00000000" w:rsidRDefault="00000000">
      <w:r>
        <w:t>422.</w:t>
      </w:r>
      <w:r>
        <w:tab/>
      </w:r>
      <w:r>
        <w:rPr>
          <w:i/>
          <w:iCs/>
        </w:rPr>
        <w:t>Система страхования по болезни</w:t>
      </w:r>
      <w:r>
        <w:t xml:space="preserve"> финансируется за счет отчислений работодателей и взносов работников, размер которых составляет определенную часть их налогооблагаемого дохода.  При недостатке поступлений из других источников финансирования используется государственный гарантийный депозит.  В 2004 году по линии государственного депозита было освоено 730 млн. евро, за счет которых было покрыто 22% расходов.  Кроме того, для финансирования системы страхования по болезни используется часть дохода от НДС.  В 2004 году было освоено 600 млн. евро, полученных в порядке дохода от НДС.  Кроме того, в 1999</w:t>
      </w:r>
      <w:r>
        <w:noBreakHyphen/>
        <w:t>2004 годах для финансирования страхования по болезни использовались целевые взносы страховых компаний.</w:t>
      </w:r>
    </w:p>
    <w:p w:rsidR="00000000" w:rsidRDefault="00000000"/>
    <w:p w:rsidR="00000000" w:rsidRDefault="00000000">
      <w:r>
        <w:t>423.</w:t>
      </w:r>
      <w:r>
        <w:tab/>
        <w:t>В 2004 году размер взноса всех застрахованных лиц в порядке страхования по болезни составлял 1,50% их налогооблагаемого дохода.  Более высокая ставка взноса пенсионеров в начале 2003 года была отменена.</w:t>
      </w:r>
    </w:p>
    <w:p w:rsidR="00000000" w:rsidRDefault="00000000"/>
    <w:p w:rsidR="00000000" w:rsidRDefault="00000000">
      <w:r>
        <w:t>424.</w:t>
      </w:r>
      <w:r>
        <w:tab/>
        <w:t>Ставка отчислений работодателей в порядке обеспечения страхования по болезни в частном секторе составляет 1,614%, а ставка отчислений на цели национального пенсионного обеспечения </w:t>
      </w:r>
      <w:r>
        <w:noBreakHyphen/>
        <w:t xml:space="preserve"> 1,35, 3,55 или 4,45% от суммы выплачиваемой заработной платы.  Таким образом, в 2004 году общий объем взносов работодателей в частном секторе составлял 4,00, 5,60 или 6,50% от суммы выплаченной заработной платы.  Работодатели не обязаны производить отчислений в целях финансирования надбавок на ребенка.  Для государственных и правительственных учреждений отчисления установлены в размере 2,864%, а для церковных приходов, местных органов власти и объединенных муниципальных советов </w:t>
      </w:r>
      <w:r>
        <w:noBreakHyphen/>
        <w:t xml:space="preserve"> 1,614%.  Взнос государства по линии национальных пенсий составляет 3,95%, а для работодателей в государственном секторе </w:t>
      </w:r>
      <w:r>
        <w:noBreakHyphen/>
        <w:t> 2,4% от выплачиваемой заработной платы.</w:t>
      </w:r>
    </w:p>
    <w:p w:rsidR="00000000" w:rsidRDefault="00000000"/>
    <w:p w:rsidR="00000000" w:rsidRDefault="00000000">
      <w:r>
        <w:t>425.</w:t>
      </w:r>
      <w:r>
        <w:tab/>
        <w:t xml:space="preserve">В настоящее время готовится реформа механизма финансирования системы страхования по болезни, которую планируется осуществить в 2006 году.  В Закон о страховании по болезни будут внесены поправки, предусматривающие разбивку системы страхования по болезни на два компонента, касающихся медицинского обслуживания и обеспечения дохода.  Финансирование обеспечения дохода ляжет на работодателей, работников, частных предпринимателей и государство.  Государство будет покрывать выплату пособий по болезни и родительских пособий, а также пособия по реабилитации вплоть до определенной суммы.  Расходы, связанные со страхованием на медицинское обслуживание, будут финансироваться отчасти за счет отчислений застрахованных лиц на страхование по болезни и отчасти из государственного бюджета.  </w:t>
      </w:r>
    </w:p>
    <w:p w:rsidR="00000000" w:rsidRDefault="00000000"/>
    <w:p w:rsidR="00000000" w:rsidRDefault="00000000">
      <w:r>
        <w:t>426.</w:t>
      </w:r>
      <w:r>
        <w:tab/>
        <w:t>Применительно к финансированию пенсионных схем правительство также считает целесообразным сослаться на цель 6 в публикации "Доклад о национальной пенсионной стратегии Финляндии (2002 год)" (</w:t>
      </w:r>
      <w:r>
        <w:rPr>
          <w:i/>
          <w:iCs/>
        </w:rPr>
        <w:t>приложение 26)</w:t>
      </w:r>
      <w:r>
        <w:t xml:space="preserve">. </w:t>
      </w:r>
    </w:p>
    <w:p w:rsidR="00000000" w:rsidRDefault="00000000"/>
    <w:p w:rsidR="00000000" w:rsidRDefault="00000000">
      <w:pPr>
        <w:rPr>
          <w:i/>
          <w:iCs/>
        </w:rPr>
      </w:pPr>
      <w:r>
        <w:t>427.</w:t>
      </w:r>
      <w:r>
        <w:tab/>
        <w:t>Применительно к финансированию системы страхования от безработицы правительство также считает целесообразным сослаться на раздел 5.6.8 в публикации "Тенденции в области социальной защиты в Финляндии" (2003 год) (</w:t>
      </w:r>
      <w:r>
        <w:rPr>
          <w:i/>
          <w:iCs/>
        </w:rPr>
        <w:t>приложение 25).</w:t>
      </w:r>
    </w:p>
    <w:p w:rsidR="00000000" w:rsidRDefault="00000000">
      <w:pPr>
        <w:jc w:val="center"/>
        <w:rPr>
          <w:b/>
          <w:bCs/>
        </w:rPr>
      </w:pPr>
      <w:r>
        <w:rPr>
          <w:b/>
          <w:bCs/>
        </w:rPr>
        <w:t>Таблица 22</w:t>
      </w:r>
    </w:p>
    <w:p w:rsidR="00000000" w:rsidRDefault="00000000">
      <w:pPr>
        <w:jc w:val="center"/>
        <w:rPr>
          <w:sz w:val="16"/>
        </w:rPr>
      </w:pPr>
    </w:p>
    <w:p w:rsidR="00000000" w:rsidRDefault="00000000">
      <w:pPr>
        <w:jc w:val="center"/>
        <w:rPr>
          <w:b/>
          <w:bCs/>
        </w:rPr>
      </w:pPr>
      <w:r>
        <w:rPr>
          <w:b/>
          <w:bCs/>
        </w:rPr>
        <w:t>Отчисления на социальное обеспечение в 1999-2004 годах</w:t>
      </w:r>
    </w:p>
    <w:p w:rsidR="00000000" w:rsidRDefault="00000000">
      <w:pPr>
        <w:jc w:val="cente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704"/>
        <w:gridCol w:w="1568"/>
        <w:gridCol w:w="1568"/>
        <w:gridCol w:w="1570"/>
      </w:tblGrid>
      <w:tr w:rsidR="00000000">
        <w:tblPrEx>
          <w:tblCellMar>
            <w:top w:w="0" w:type="dxa"/>
            <w:bottom w:w="0" w:type="dxa"/>
          </w:tblCellMar>
        </w:tblPrEx>
        <w:trPr>
          <w:cantSplit/>
        </w:trPr>
        <w:tc>
          <w:tcPr>
            <w:tcW w:w="4704" w:type="dxa"/>
            <w:tcBorders>
              <w:bottom w:val="single" w:sz="4" w:space="0" w:color="auto"/>
            </w:tcBorders>
          </w:tcPr>
          <w:p w:rsidR="00000000" w:rsidRDefault="00000000">
            <w:pPr>
              <w:autoSpaceDE w:val="0"/>
              <w:autoSpaceDN w:val="0"/>
              <w:adjustRightInd w:val="0"/>
              <w:spacing w:line="240" w:lineRule="auto"/>
              <w:jc w:val="center"/>
              <w:rPr>
                <w:sz w:val="20"/>
              </w:rPr>
            </w:pPr>
            <w:r>
              <w:rPr>
                <w:sz w:val="20"/>
              </w:rPr>
              <w:t>Отчисления</w:t>
            </w:r>
          </w:p>
        </w:tc>
        <w:tc>
          <w:tcPr>
            <w:tcW w:w="1568" w:type="dxa"/>
            <w:tcBorders>
              <w:bottom w:val="single" w:sz="4" w:space="0" w:color="auto"/>
            </w:tcBorders>
          </w:tcPr>
          <w:p w:rsidR="00000000" w:rsidRDefault="00000000">
            <w:pPr>
              <w:autoSpaceDE w:val="0"/>
              <w:autoSpaceDN w:val="0"/>
              <w:adjustRightInd w:val="0"/>
              <w:spacing w:line="240" w:lineRule="auto"/>
              <w:jc w:val="center"/>
              <w:rPr>
                <w:sz w:val="20"/>
              </w:rPr>
            </w:pPr>
            <w:r>
              <w:rPr>
                <w:sz w:val="20"/>
              </w:rPr>
              <w:t>1999</w:t>
            </w:r>
          </w:p>
        </w:tc>
        <w:tc>
          <w:tcPr>
            <w:tcW w:w="1568" w:type="dxa"/>
            <w:tcBorders>
              <w:bottom w:val="single" w:sz="4" w:space="0" w:color="auto"/>
            </w:tcBorders>
          </w:tcPr>
          <w:p w:rsidR="00000000" w:rsidRDefault="00000000">
            <w:pPr>
              <w:autoSpaceDE w:val="0"/>
              <w:autoSpaceDN w:val="0"/>
              <w:adjustRightInd w:val="0"/>
              <w:spacing w:line="240" w:lineRule="auto"/>
              <w:jc w:val="center"/>
              <w:rPr>
                <w:sz w:val="20"/>
              </w:rPr>
            </w:pPr>
            <w:r>
              <w:rPr>
                <w:sz w:val="20"/>
              </w:rPr>
              <w:t>2000</w:t>
            </w:r>
          </w:p>
        </w:tc>
        <w:tc>
          <w:tcPr>
            <w:tcW w:w="1570" w:type="dxa"/>
            <w:tcBorders>
              <w:bottom w:val="single" w:sz="4" w:space="0" w:color="auto"/>
            </w:tcBorders>
          </w:tcPr>
          <w:p w:rsidR="00000000" w:rsidRDefault="00000000">
            <w:pPr>
              <w:autoSpaceDE w:val="0"/>
              <w:autoSpaceDN w:val="0"/>
              <w:adjustRightInd w:val="0"/>
              <w:spacing w:line="240" w:lineRule="auto"/>
              <w:jc w:val="center"/>
              <w:rPr>
                <w:sz w:val="20"/>
              </w:rPr>
            </w:pPr>
            <w:r>
              <w:rPr>
                <w:sz w:val="20"/>
              </w:rPr>
              <w:t>2001</w:t>
            </w:r>
          </w:p>
        </w:tc>
      </w:tr>
      <w:tr w:rsidR="00000000">
        <w:tblPrEx>
          <w:tblCellMar>
            <w:top w:w="0" w:type="dxa"/>
            <w:bottom w:w="0" w:type="dxa"/>
          </w:tblCellMar>
        </w:tblPrEx>
        <w:trPr>
          <w:cantSplit/>
        </w:trPr>
        <w:tc>
          <w:tcPr>
            <w:tcW w:w="4704" w:type="dxa"/>
            <w:tcBorders>
              <w:bottom w:val="nil"/>
            </w:tcBorders>
          </w:tcPr>
          <w:p w:rsidR="00000000" w:rsidRDefault="00000000">
            <w:pPr>
              <w:autoSpaceDE w:val="0"/>
              <w:autoSpaceDN w:val="0"/>
              <w:adjustRightInd w:val="0"/>
              <w:spacing w:line="240" w:lineRule="auto"/>
              <w:rPr>
                <w:sz w:val="20"/>
              </w:rPr>
            </w:pPr>
            <w:r>
              <w:rPr>
                <w:sz w:val="20"/>
              </w:rPr>
              <w:t>Работодатели/частный сектор (% от фонда заработной платы)</w:t>
            </w:r>
          </w:p>
        </w:tc>
        <w:tc>
          <w:tcPr>
            <w:tcW w:w="1568" w:type="dxa"/>
            <w:tcBorders>
              <w:bottom w:val="nil"/>
            </w:tcBorders>
          </w:tcPr>
          <w:p w:rsidR="00000000" w:rsidRDefault="00000000">
            <w:pPr>
              <w:autoSpaceDE w:val="0"/>
              <w:autoSpaceDN w:val="0"/>
              <w:adjustRightInd w:val="0"/>
              <w:spacing w:line="240" w:lineRule="auto"/>
              <w:rPr>
                <w:sz w:val="20"/>
              </w:rPr>
            </w:pPr>
          </w:p>
        </w:tc>
        <w:tc>
          <w:tcPr>
            <w:tcW w:w="1568" w:type="dxa"/>
            <w:tcBorders>
              <w:bottom w:val="nil"/>
            </w:tcBorders>
          </w:tcPr>
          <w:p w:rsidR="00000000" w:rsidRDefault="00000000">
            <w:pPr>
              <w:autoSpaceDE w:val="0"/>
              <w:autoSpaceDN w:val="0"/>
              <w:adjustRightInd w:val="0"/>
              <w:spacing w:line="240" w:lineRule="auto"/>
              <w:rPr>
                <w:sz w:val="20"/>
              </w:rPr>
            </w:pPr>
          </w:p>
        </w:tc>
        <w:tc>
          <w:tcPr>
            <w:tcW w:w="1570" w:type="dxa"/>
            <w:tcBorders>
              <w:bottom w:val="nil"/>
            </w:tcBorders>
          </w:tcPr>
          <w:p w:rsidR="00000000" w:rsidRDefault="00000000">
            <w:pPr>
              <w:autoSpaceDE w:val="0"/>
              <w:autoSpaceDN w:val="0"/>
              <w:adjustRightInd w:val="0"/>
              <w:spacing w:line="240" w:lineRule="auto"/>
              <w:rPr>
                <w:sz w:val="20"/>
              </w:rPr>
            </w:pPr>
          </w:p>
        </w:tc>
      </w:tr>
      <w:tr w:rsidR="00000000">
        <w:tblPrEx>
          <w:tblCellMar>
            <w:top w:w="0" w:type="dxa"/>
            <w:bottom w:w="0" w:type="dxa"/>
          </w:tblCellMar>
        </w:tblPrEx>
        <w:trPr>
          <w:cantSplit/>
        </w:trPr>
        <w:tc>
          <w:tcPr>
            <w:tcW w:w="4704" w:type="dxa"/>
            <w:tcBorders>
              <w:top w:val="nil"/>
              <w:bottom w:val="nil"/>
            </w:tcBorders>
          </w:tcPr>
          <w:p w:rsidR="00000000" w:rsidRDefault="00000000">
            <w:pPr>
              <w:tabs>
                <w:tab w:val="left" w:pos="284"/>
              </w:tabs>
              <w:autoSpaceDE w:val="0"/>
              <w:autoSpaceDN w:val="0"/>
              <w:adjustRightInd w:val="0"/>
              <w:spacing w:line="240" w:lineRule="auto"/>
              <w:rPr>
                <w:sz w:val="20"/>
              </w:rPr>
            </w:pPr>
            <w:r>
              <w:rPr>
                <w:sz w:val="20"/>
              </w:rPr>
              <w:tab/>
              <w:t>Национальные пенсии</w:t>
            </w:r>
          </w:p>
        </w:tc>
        <w:tc>
          <w:tcPr>
            <w:tcW w:w="1568"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2,40-4,90</w:t>
            </w:r>
          </w:p>
        </w:tc>
        <w:tc>
          <w:tcPr>
            <w:tcW w:w="1568"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2,40-4,90</w:t>
            </w:r>
            <w:r>
              <w:rPr>
                <w:b/>
                <w:bCs/>
                <w:sz w:val="20"/>
                <w:vertAlign w:val="superscript"/>
              </w:rPr>
              <w:t>1</w:t>
            </w:r>
          </w:p>
        </w:tc>
        <w:tc>
          <w:tcPr>
            <w:tcW w:w="1570"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2,00-4,90</w:t>
            </w:r>
          </w:p>
        </w:tc>
      </w:tr>
      <w:tr w:rsidR="00000000">
        <w:tblPrEx>
          <w:tblCellMar>
            <w:top w:w="0" w:type="dxa"/>
            <w:bottom w:w="0" w:type="dxa"/>
          </w:tblCellMar>
        </w:tblPrEx>
        <w:trPr>
          <w:cantSplit/>
        </w:trPr>
        <w:tc>
          <w:tcPr>
            <w:tcW w:w="4704" w:type="dxa"/>
            <w:tcBorders>
              <w:top w:val="nil"/>
              <w:bottom w:val="nil"/>
            </w:tcBorders>
          </w:tcPr>
          <w:p w:rsidR="00000000" w:rsidRDefault="00000000">
            <w:pPr>
              <w:tabs>
                <w:tab w:val="left" w:pos="284"/>
              </w:tabs>
              <w:autoSpaceDE w:val="0"/>
              <w:autoSpaceDN w:val="0"/>
              <w:adjustRightInd w:val="0"/>
              <w:spacing w:line="240" w:lineRule="auto"/>
              <w:rPr>
                <w:sz w:val="20"/>
              </w:rPr>
            </w:pPr>
            <w:r>
              <w:rPr>
                <w:sz w:val="20"/>
              </w:rPr>
              <w:tab/>
              <w:t>Страхование по болезни</w:t>
            </w:r>
          </w:p>
        </w:tc>
        <w:tc>
          <w:tcPr>
            <w:tcW w:w="1568"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1,60</w:t>
            </w:r>
          </w:p>
        </w:tc>
        <w:tc>
          <w:tcPr>
            <w:tcW w:w="1568"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1,60</w:t>
            </w:r>
          </w:p>
        </w:tc>
        <w:tc>
          <w:tcPr>
            <w:tcW w:w="1570"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1,60</w:t>
            </w:r>
          </w:p>
        </w:tc>
      </w:tr>
      <w:tr w:rsidR="00000000">
        <w:tblPrEx>
          <w:tblCellMar>
            <w:top w:w="0" w:type="dxa"/>
            <w:bottom w:w="0" w:type="dxa"/>
          </w:tblCellMar>
        </w:tblPrEx>
        <w:trPr>
          <w:cantSplit/>
        </w:trPr>
        <w:tc>
          <w:tcPr>
            <w:tcW w:w="4704" w:type="dxa"/>
            <w:tcBorders>
              <w:top w:val="nil"/>
              <w:bottom w:val="nil"/>
            </w:tcBorders>
          </w:tcPr>
          <w:p w:rsidR="00000000" w:rsidRDefault="00000000">
            <w:pPr>
              <w:tabs>
                <w:tab w:val="left" w:pos="284"/>
              </w:tabs>
              <w:autoSpaceDE w:val="0"/>
              <w:autoSpaceDN w:val="0"/>
              <w:adjustRightInd w:val="0"/>
              <w:spacing w:line="240" w:lineRule="auto"/>
              <w:rPr>
                <w:sz w:val="20"/>
              </w:rPr>
            </w:pPr>
            <w:r>
              <w:rPr>
                <w:sz w:val="20"/>
              </w:rPr>
              <w:tab/>
              <w:t>Трудовая пенсия (в среднем)</w:t>
            </w:r>
          </w:p>
        </w:tc>
        <w:tc>
          <w:tcPr>
            <w:tcW w:w="1568"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16,80</w:t>
            </w:r>
          </w:p>
        </w:tc>
        <w:tc>
          <w:tcPr>
            <w:tcW w:w="1568"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16,80</w:t>
            </w:r>
          </w:p>
        </w:tc>
        <w:tc>
          <w:tcPr>
            <w:tcW w:w="1570"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16,60</w:t>
            </w:r>
          </w:p>
        </w:tc>
      </w:tr>
      <w:tr w:rsidR="00000000">
        <w:tblPrEx>
          <w:tblCellMar>
            <w:top w:w="0" w:type="dxa"/>
            <w:bottom w:w="0" w:type="dxa"/>
          </w:tblCellMar>
        </w:tblPrEx>
        <w:trPr>
          <w:cantSplit/>
        </w:trPr>
        <w:tc>
          <w:tcPr>
            <w:tcW w:w="4704" w:type="dxa"/>
            <w:tcBorders>
              <w:top w:val="nil"/>
              <w:bottom w:val="nil"/>
            </w:tcBorders>
          </w:tcPr>
          <w:p w:rsidR="00000000" w:rsidRDefault="00000000">
            <w:pPr>
              <w:tabs>
                <w:tab w:val="left" w:pos="284"/>
              </w:tabs>
              <w:autoSpaceDE w:val="0"/>
              <w:autoSpaceDN w:val="0"/>
              <w:adjustRightInd w:val="0"/>
              <w:spacing w:line="240" w:lineRule="auto"/>
              <w:rPr>
                <w:sz w:val="20"/>
              </w:rPr>
            </w:pPr>
            <w:r>
              <w:rPr>
                <w:sz w:val="20"/>
              </w:rPr>
              <w:tab/>
              <w:t>Страхование от безработицы</w:t>
            </w:r>
          </w:p>
        </w:tc>
        <w:tc>
          <w:tcPr>
            <w:tcW w:w="1568"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0,90/3,85</w:t>
            </w:r>
          </w:p>
        </w:tc>
        <w:tc>
          <w:tcPr>
            <w:tcW w:w="1568"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0,90/3,45</w:t>
            </w:r>
          </w:p>
        </w:tc>
        <w:tc>
          <w:tcPr>
            <w:tcW w:w="1570"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0,80/3,1</w:t>
            </w:r>
          </w:p>
        </w:tc>
      </w:tr>
      <w:tr w:rsidR="00000000">
        <w:tblPrEx>
          <w:tblCellMar>
            <w:top w:w="0" w:type="dxa"/>
            <w:bottom w:w="0" w:type="dxa"/>
          </w:tblCellMar>
        </w:tblPrEx>
        <w:trPr>
          <w:cantSplit/>
        </w:trPr>
        <w:tc>
          <w:tcPr>
            <w:tcW w:w="9410" w:type="dxa"/>
            <w:gridSpan w:val="4"/>
            <w:tcBorders>
              <w:top w:val="nil"/>
              <w:bottom w:val="nil"/>
            </w:tcBorders>
          </w:tcPr>
          <w:p w:rsidR="00000000" w:rsidRDefault="00000000">
            <w:pPr>
              <w:tabs>
                <w:tab w:val="left" w:pos="284"/>
              </w:tabs>
              <w:autoSpaceDE w:val="0"/>
              <w:autoSpaceDN w:val="0"/>
              <w:adjustRightInd w:val="0"/>
              <w:spacing w:line="240" w:lineRule="auto"/>
              <w:rPr>
                <w:sz w:val="20"/>
              </w:rPr>
            </w:pPr>
            <w:r>
              <w:rPr>
                <w:sz w:val="20"/>
              </w:rPr>
              <w:tab/>
              <w:t>(максимальный фонд заработной платы в размере 5 млрд. финских марок/превышающаяся часть)</w:t>
            </w:r>
          </w:p>
        </w:tc>
      </w:tr>
      <w:tr w:rsidR="00000000">
        <w:tblPrEx>
          <w:tblCellMar>
            <w:top w:w="0" w:type="dxa"/>
            <w:bottom w:w="0" w:type="dxa"/>
          </w:tblCellMar>
        </w:tblPrEx>
        <w:trPr>
          <w:cantSplit/>
        </w:trPr>
        <w:tc>
          <w:tcPr>
            <w:tcW w:w="4704" w:type="dxa"/>
            <w:tcBorders>
              <w:top w:val="nil"/>
              <w:bottom w:val="nil"/>
            </w:tcBorders>
          </w:tcPr>
          <w:p w:rsidR="00000000" w:rsidRDefault="00000000">
            <w:pPr>
              <w:autoSpaceDE w:val="0"/>
              <w:autoSpaceDN w:val="0"/>
              <w:adjustRightInd w:val="0"/>
              <w:spacing w:line="240" w:lineRule="auto"/>
              <w:rPr>
                <w:sz w:val="20"/>
              </w:rPr>
            </w:pPr>
            <w:r>
              <w:rPr>
                <w:sz w:val="20"/>
              </w:rPr>
              <w:t>Работники/застрахованные лица</w:t>
            </w:r>
          </w:p>
        </w:tc>
        <w:tc>
          <w:tcPr>
            <w:tcW w:w="1568" w:type="dxa"/>
            <w:tcBorders>
              <w:top w:val="nil"/>
              <w:bottom w:val="nil"/>
            </w:tcBorders>
          </w:tcPr>
          <w:p w:rsidR="00000000" w:rsidRDefault="00000000">
            <w:pPr>
              <w:autoSpaceDE w:val="0"/>
              <w:autoSpaceDN w:val="0"/>
              <w:adjustRightInd w:val="0"/>
              <w:spacing w:line="240" w:lineRule="auto"/>
              <w:rPr>
                <w:sz w:val="20"/>
              </w:rPr>
            </w:pPr>
          </w:p>
        </w:tc>
        <w:tc>
          <w:tcPr>
            <w:tcW w:w="1568" w:type="dxa"/>
            <w:tcBorders>
              <w:top w:val="nil"/>
              <w:bottom w:val="nil"/>
            </w:tcBorders>
          </w:tcPr>
          <w:p w:rsidR="00000000" w:rsidRDefault="00000000">
            <w:pPr>
              <w:autoSpaceDE w:val="0"/>
              <w:autoSpaceDN w:val="0"/>
              <w:adjustRightInd w:val="0"/>
              <w:spacing w:line="240" w:lineRule="auto"/>
              <w:rPr>
                <w:sz w:val="20"/>
              </w:rPr>
            </w:pPr>
          </w:p>
        </w:tc>
        <w:tc>
          <w:tcPr>
            <w:tcW w:w="1570" w:type="dxa"/>
            <w:tcBorders>
              <w:top w:val="nil"/>
              <w:bottom w:val="nil"/>
            </w:tcBorders>
          </w:tcPr>
          <w:p w:rsidR="00000000" w:rsidRDefault="00000000">
            <w:pPr>
              <w:autoSpaceDE w:val="0"/>
              <w:autoSpaceDN w:val="0"/>
              <w:adjustRightInd w:val="0"/>
              <w:spacing w:line="240" w:lineRule="auto"/>
              <w:rPr>
                <w:sz w:val="20"/>
              </w:rPr>
            </w:pPr>
          </w:p>
        </w:tc>
      </w:tr>
      <w:tr w:rsidR="00000000">
        <w:tblPrEx>
          <w:tblCellMar>
            <w:top w:w="0" w:type="dxa"/>
            <w:bottom w:w="0" w:type="dxa"/>
          </w:tblCellMar>
        </w:tblPrEx>
        <w:trPr>
          <w:cantSplit/>
        </w:trPr>
        <w:tc>
          <w:tcPr>
            <w:tcW w:w="4704" w:type="dxa"/>
            <w:tcBorders>
              <w:top w:val="nil"/>
              <w:bottom w:val="nil"/>
            </w:tcBorders>
          </w:tcPr>
          <w:p w:rsidR="00000000" w:rsidRDefault="00000000">
            <w:pPr>
              <w:tabs>
                <w:tab w:val="left" w:pos="284"/>
              </w:tabs>
              <w:autoSpaceDE w:val="0"/>
              <w:autoSpaceDN w:val="0"/>
              <w:adjustRightInd w:val="0"/>
              <w:spacing w:line="240" w:lineRule="auto"/>
              <w:ind w:left="284" w:hanging="284"/>
              <w:rPr>
                <w:sz w:val="20"/>
              </w:rPr>
            </w:pPr>
            <w:r>
              <w:rPr>
                <w:sz w:val="20"/>
              </w:rPr>
              <w:tab/>
              <w:t>Страхование по болезни (% от налогооблагаемого дохода)</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r>
              <w:rPr>
                <w:sz w:val="20"/>
              </w:rPr>
              <w:t>1,50</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r>
              <w:rPr>
                <w:sz w:val="20"/>
              </w:rPr>
              <w:t>1,50</w:t>
            </w:r>
          </w:p>
        </w:tc>
        <w:tc>
          <w:tcPr>
            <w:tcW w:w="1570" w:type="dxa"/>
            <w:tcBorders>
              <w:top w:val="nil"/>
              <w:bottom w:val="nil"/>
            </w:tcBorders>
          </w:tcPr>
          <w:p w:rsidR="00000000" w:rsidRDefault="00000000">
            <w:pPr>
              <w:autoSpaceDE w:val="0"/>
              <w:autoSpaceDN w:val="0"/>
              <w:adjustRightInd w:val="0"/>
              <w:spacing w:line="240" w:lineRule="auto"/>
              <w:jc w:val="center"/>
              <w:rPr>
                <w:sz w:val="20"/>
              </w:rPr>
            </w:pPr>
            <w:r>
              <w:rPr>
                <w:sz w:val="20"/>
              </w:rPr>
              <w:t>1,50</w:t>
            </w:r>
          </w:p>
        </w:tc>
      </w:tr>
      <w:tr w:rsidR="00000000">
        <w:tblPrEx>
          <w:tblCellMar>
            <w:top w:w="0" w:type="dxa"/>
            <w:bottom w:w="0" w:type="dxa"/>
          </w:tblCellMar>
        </w:tblPrEx>
        <w:trPr>
          <w:cantSplit/>
        </w:trPr>
        <w:tc>
          <w:tcPr>
            <w:tcW w:w="4704" w:type="dxa"/>
            <w:tcBorders>
              <w:top w:val="nil"/>
              <w:bottom w:val="nil"/>
            </w:tcBorders>
          </w:tcPr>
          <w:p w:rsidR="00000000" w:rsidRDefault="00000000">
            <w:pPr>
              <w:tabs>
                <w:tab w:val="left" w:pos="284"/>
              </w:tabs>
              <w:autoSpaceDE w:val="0"/>
              <w:autoSpaceDN w:val="0"/>
              <w:adjustRightInd w:val="0"/>
              <w:spacing w:line="240" w:lineRule="auto"/>
              <w:rPr>
                <w:sz w:val="20"/>
              </w:rPr>
            </w:pPr>
            <w:r>
              <w:rPr>
                <w:sz w:val="20"/>
              </w:rPr>
              <w:tab/>
              <w:t>- увеличение на пенсионный доход</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r>
              <w:rPr>
                <w:sz w:val="20"/>
              </w:rPr>
              <w:t>2,40</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r>
              <w:rPr>
                <w:sz w:val="20"/>
              </w:rPr>
              <w:t>1,70</w:t>
            </w:r>
          </w:p>
        </w:tc>
        <w:tc>
          <w:tcPr>
            <w:tcW w:w="1570" w:type="dxa"/>
            <w:tcBorders>
              <w:top w:val="nil"/>
              <w:bottom w:val="nil"/>
            </w:tcBorders>
          </w:tcPr>
          <w:p w:rsidR="00000000" w:rsidRDefault="00000000">
            <w:pPr>
              <w:autoSpaceDE w:val="0"/>
              <w:autoSpaceDN w:val="0"/>
              <w:adjustRightInd w:val="0"/>
              <w:spacing w:line="240" w:lineRule="auto"/>
              <w:jc w:val="center"/>
              <w:rPr>
                <w:sz w:val="20"/>
              </w:rPr>
            </w:pPr>
            <w:r>
              <w:rPr>
                <w:sz w:val="20"/>
              </w:rPr>
              <w:t>1,20</w:t>
            </w:r>
          </w:p>
        </w:tc>
      </w:tr>
      <w:tr w:rsidR="00000000">
        <w:tblPrEx>
          <w:tblCellMar>
            <w:top w:w="0" w:type="dxa"/>
            <w:bottom w:w="0" w:type="dxa"/>
          </w:tblCellMar>
        </w:tblPrEx>
        <w:trPr>
          <w:cantSplit/>
        </w:trPr>
        <w:tc>
          <w:tcPr>
            <w:tcW w:w="4704" w:type="dxa"/>
            <w:tcBorders>
              <w:top w:val="nil"/>
              <w:bottom w:val="nil"/>
            </w:tcBorders>
          </w:tcPr>
          <w:p w:rsidR="00000000" w:rsidRDefault="00000000">
            <w:pPr>
              <w:tabs>
                <w:tab w:val="left" w:pos="284"/>
              </w:tabs>
              <w:autoSpaceDE w:val="0"/>
              <w:autoSpaceDN w:val="0"/>
              <w:adjustRightInd w:val="0"/>
              <w:spacing w:line="240" w:lineRule="auto"/>
              <w:rPr>
                <w:sz w:val="20"/>
              </w:rPr>
            </w:pPr>
            <w:r>
              <w:rPr>
                <w:sz w:val="20"/>
              </w:rPr>
              <w:tab/>
              <w:t>Трудовая пенсия (% от заработной платы)</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r>
              <w:rPr>
                <w:sz w:val="20"/>
              </w:rPr>
              <w:t>4,70</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r>
              <w:rPr>
                <w:sz w:val="20"/>
              </w:rPr>
              <w:t>4,70</w:t>
            </w:r>
          </w:p>
        </w:tc>
        <w:tc>
          <w:tcPr>
            <w:tcW w:w="1570" w:type="dxa"/>
            <w:tcBorders>
              <w:top w:val="nil"/>
              <w:bottom w:val="nil"/>
            </w:tcBorders>
          </w:tcPr>
          <w:p w:rsidR="00000000" w:rsidRDefault="00000000">
            <w:pPr>
              <w:autoSpaceDE w:val="0"/>
              <w:autoSpaceDN w:val="0"/>
              <w:adjustRightInd w:val="0"/>
              <w:spacing w:line="240" w:lineRule="auto"/>
              <w:jc w:val="center"/>
              <w:rPr>
                <w:sz w:val="20"/>
              </w:rPr>
            </w:pPr>
            <w:r>
              <w:rPr>
                <w:sz w:val="20"/>
              </w:rPr>
              <w:t>4,50</w:t>
            </w:r>
          </w:p>
        </w:tc>
      </w:tr>
      <w:tr w:rsidR="00000000">
        <w:tblPrEx>
          <w:tblCellMar>
            <w:top w:w="0" w:type="dxa"/>
            <w:bottom w:w="0" w:type="dxa"/>
          </w:tblCellMar>
        </w:tblPrEx>
        <w:trPr>
          <w:cantSplit/>
        </w:trPr>
        <w:tc>
          <w:tcPr>
            <w:tcW w:w="4704" w:type="dxa"/>
            <w:tcBorders>
              <w:top w:val="nil"/>
              <w:bottom w:val="single" w:sz="4" w:space="0" w:color="auto"/>
            </w:tcBorders>
          </w:tcPr>
          <w:p w:rsidR="00000000" w:rsidRDefault="00000000">
            <w:pPr>
              <w:tabs>
                <w:tab w:val="left" w:pos="284"/>
              </w:tabs>
              <w:autoSpaceDE w:val="0"/>
              <w:autoSpaceDN w:val="0"/>
              <w:adjustRightInd w:val="0"/>
              <w:spacing w:line="240" w:lineRule="auto"/>
              <w:ind w:left="284" w:hanging="284"/>
              <w:rPr>
                <w:sz w:val="20"/>
              </w:rPr>
            </w:pPr>
            <w:r>
              <w:rPr>
                <w:sz w:val="20"/>
              </w:rPr>
              <w:tab/>
              <w:t>Страхование от безработицы (% от заработной платы)</w:t>
            </w:r>
          </w:p>
        </w:tc>
        <w:tc>
          <w:tcPr>
            <w:tcW w:w="1568" w:type="dxa"/>
            <w:tcBorders>
              <w:top w:val="nil"/>
              <w:bottom w:val="single" w:sz="4" w:space="0" w:color="auto"/>
            </w:tcBorders>
          </w:tcPr>
          <w:p w:rsidR="00000000" w:rsidRDefault="00000000">
            <w:pPr>
              <w:autoSpaceDE w:val="0"/>
              <w:autoSpaceDN w:val="0"/>
              <w:adjustRightInd w:val="0"/>
              <w:spacing w:line="240" w:lineRule="auto"/>
              <w:jc w:val="center"/>
              <w:rPr>
                <w:sz w:val="20"/>
              </w:rPr>
            </w:pPr>
            <w:r>
              <w:rPr>
                <w:sz w:val="20"/>
              </w:rPr>
              <w:t>1,35</w:t>
            </w:r>
          </w:p>
        </w:tc>
        <w:tc>
          <w:tcPr>
            <w:tcW w:w="1568" w:type="dxa"/>
            <w:tcBorders>
              <w:top w:val="nil"/>
              <w:bottom w:val="single" w:sz="4" w:space="0" w:color="auto"/>
            </w:tcBorders>
          </w:tcPr>
          <w:p w:rsidR="00000000" w:rsidRDefault="00000000">
            <w:pPr>
              <w:autoSpaceDE w:val="0"/>
              <w:autoSpaceDN w:val="0"/>
              <w:adjustRightInd w:val="0"/>
              <w:spacing w:line="240" w:lineRule="auto"/>
              <w:jc w:val="center"/>
              <w:rPr>
                <w:sz w:val="20"/>
              </w:rPr>
            </w:pPr>
            <w:r>
              <w:rPr>
                <w:sz w:val="20"/>
              </w:rPr>
              <w:t>1,00</w:t>
            </w:r>
          </w:p>
        </w:tc>
        <w:tc>
          <w:tcPr>
            <w:tcW w:w="1570" w:type="dxa"/>
            <w:tcBorders>
              <w:top w:val="nil"/>
              <w:bottom w:val="single" w:sz="4" w:space="0" w:color="auto"/>
            </w:tcBorders>
          </w:tcPr>
          <w:p w:rsidR="00000000" w:rsidRDefault="00000000">
            <w:pPr>
              <w:autoSpaceDE w:val="0"/>
              <w:autoSpaceDN w:val="0"/>
              <w:adjustRightInd w:val="0"/>
              <w:spacing w:line="240" w:lineRule="auto"/>
              <w:jc w:val="center"/>
              <w:rPr>
                <w:sz w:val="20"/>
              </w:rPr>
            </w:pPr>
            <w:r>
              <w:rPr>
                <w:sz w:val="20"/>
              </w:rPr>
              <w:t>0,70</w:t>
            </w:r>
          </w:p>
        </w:tc>
      </w:tr>
      <w:tr w:rsidR="00000000">
        <w:tblPrEx>
          <w:tblCellMar>
            <w:top w:w="0" w:type="dxa"/>
            <w:bottom w:w="0" w:type="dxa"/>
          </w:tblCellMar>
        </w:tblPrEx>
        <w:trPr>
          <w:cantSplit/>
        </w:trPr>
        <w:tc>
          <w:tcPr>
            <w:tcW w:w="9410" w:type="dxa"/>
            <w:gridSpan w:val="4"/>
            <w:tcBorders>
              <w:top w:val="single" w:sz="4" w:space="0" w:color="auto"/>
              <w:left w:val="nil"/>
              <w:bottom w:val="nil"/>
              <w:right w:val="nil"/>
            </w:tcBorders>
          </w:tcPr>
          <w:p w:rsidR="00000000" w:rsidRDefault="00000000">
            <w:pPr>
              <w:autoSpaceDE w:val="0"/>
              <w:autoSpaceDN w:val="0"/>
              <w:adjustRightInd w:val="0"/>
              <w:spacing w:line="240" w:lineRule="auto"/>
              <w:rPr>
                <w:sz w:val="20"/>
              </w:rPr>
            </w:pPr>
          </w:p>
          <w:p w:rsidR="00000000" w:rsidRDefault="00000000">
            <w:pPr>
              <w:autoSpaceDE w:val="0"/>
              <w:autoSpaceDN w:val="0"/>
              <w:adjustRightInd w:val="0"/>
              <w:spacing w:line="240" w:lineRule="auto"/>
              <w:rPr>
                <w:sz w:val="20"/>
              </w:rPr>
            </w:pPr>
            <w:r>
              <w:rPr>
                <w:b/>
                <w:bCs/>
                <w:sz w:val="20"/>
                <w:vertAlign w:val="superscript"/>
              </w:rPr>
              <w:t>1</w:t>
            </w:r>
            <w:r>
              <w:rPr>
                <w:b/>
                <w:bCs/>
                <w:sz w:val="20"/>
                <w:vertAlign w:val="superscript"/>
              </w:rPr>
              <w:tab/>
            </w:r>
            <w:r>
              <w:rPr>
                <w:sz w:val="20"/>
              </w:rPr>
              <w:t xml:space="preserve">С 1 июля 2000 года 2.40/4.00/4.90 снижены до 2.00/4.00/4.90. </w:t>
            </w:r>
          </w:p>
          <w:p w:rsidR="00000000" w:rsidRDefault="00000000">
            <w:pPr>
              <w:autoSpaceDE w:val="0"/>
              <w:autoSpaceDN w:val="0"/>
              <w:adjustRightInd w:val="0"/>
              <w:spacing w:line="240" w:lineRule="auto"/>
              <w:rPr>
                <w:sz w:val="20"/>
              </w:rPr>
            </w:pPr>
          </w:p>
        </w:tc>
      </w:tr>
      <w:tr w:rsidR="00000000">
        <w:tblPrEx>
          <w:tblCellMar>
            <w:top w:w="0" w:type="dxa"/>
            <w:bottom w:w="0" w:type="dxa"/>
          </w:tblCellMar>
        </w:tblPrEx>
        <w:trPr>
          <w:cantSplit/>
        </w:trPr>
        <w:tc>
          <w:tcPr>
            <w:tcW w:w="4704" w:type="dxa"/>
            <w:tcBorders>
              <w:top w:val="single" w:sz="4" w:space="0" w:color="auto"/>
              <w:bottom w:val="single" w:sz="4" w:space="0" w:color="auto"/>
            </w:tcBorders>
          </w:tcPr>
          <w:p w:rsidR="00000000" w:rsidRDefault="00000000">
            <w:pPr>
              <w:autoSpaceDE w:val="0"/>
              <w:autoSpaceDN w:val="0"/>
              <w:adjustRightInd w:val="0"/>
              <w:spacing w:line="240" w:lineRule="auto"/>
              <w:jc w:val="center"/>
              <w:rPr>
                <w:sz w:val="20"/>
              </w:rPr>
            </w:pPr>
            <w:r>
              <w:rPr>
                <w:sz w:val="20"/>
              </w:rPr>
              <w:t>Отчисления</w:t>
            </w:r>
          </w:p>
        </w:tc>
        <w:tc>
          <w:tcPr>
            <w:tcW w:w="1568" w:type="dxa"/>
            <w:tcBorders>
              <w:top w:val="single" w:sz="4" w:space="0" w:color="auto"/>
              <w:bottom w:val="single" w:sz="4" w:space="0" w:color="auto"/>
            </w:tcBorders>
          </w:tcPr>
          <w:p w:rsidR="00000000" w:rsidRDefault="00000000">
            <w:pPr>
              <w:autoSpaceDE w:val="0"/>
              <w:autoSpaceDN w:val="0"/>
              <w:adjustRightInd w:val="0"/>
              <w:spacing w:line="240" w:lineRule="auto"/>
              <w:jc w:val="center"/>
              <w:rPr>
                <w:sz w:val="20"/>
              </w:rPr>
            </w:pPr>
            <w:r>
              <w:rPr>
                <w:sz w:val="20"/>
              </w:rPr>
              <w:t>2002</w:t>
            </w:r>
          </w:p>
        </w:tc>
        <w:tc>
          <w:tcPr>
            <w:tcW w:w="1568" w:type="dxa"/>
            <w:tcBorders>
              <w:top w:val="single" w:sz="4" w:space="0" w:color="auto"/>
              <w:bottom w:val="single" w:sz="4" w:space="0" w:color="auto"/>
            </w:tcBorders>
          </w:tcPr>
          <w:p w:rsidR="00000000" w:rsidRDefault="00000000">
            <w:pPr>
              <w:autoSpaceDE w:val="0"/>
              <w:autoSpaceDN w:val="0"/>
              <w:adjustRightInd w:val="0"/>
              <w:spacing w:line="240" w:lineRule="auto"/>
              <w:jc w:val="center"/>
              <w:rPr>
                <w:sz w:val="20"/>
              </w:rPr>
            </w:pPr>
            <w:r>
              <w:rPr>
                <w:sz w:val="20"/>
              </w:rPr>
              <w:t>2003</w:t>
            </w:r>
          </w:p>
        </w:tc>
        <w:tc>
          <w:tcPr>
            <w:tcW w:w="1570" w:type="dxa"/>
            <w:tcBorders>
              <w:top w:val="single" w:sz="4" w:space="0" w:color="auto"/>
              <w:bottom w:val="single" w:sz="4" w:space="0" w:color="auto"/>
            </w:tcBorders>
          </w:tcPr>
          <w:p w:rsidR="00000000" w:rsidRDefault="00000000">
            <w:pPr>
              <w:autoSpaceDE w:val="0"/>
              <w:autoSpaceDN w:val="0"/>
              <w:adjustRightInd w:val="0"/>
              <w:spacing w:line="240" w:lineRule="auto"/>
              <w:jc w:val="center"/>
              <w:rPr>
                <w:sz w:val="20"/>
              </w:rPr>
            </w:pPr>
            <w:r>
              <w:rPr>
                <w:sz w:val="20"/>
              </w:rPr>
              <w:t>2004</w:t>
            </w:r>
          </w:p>
        </w:tc>
      </w:tr>
      <w:tr w:rsidR="00000000">
        <w:tblPrEx>
          <w:tblCellMar>
            <w:top w:w="0" w:type="dxa"/>
            <w:bottom w:w="0" w:type="dxa"/>
          </w:tblCellMar>
        </w:tblPrEx>
        <w:trPr>
          <w:cantSplit/>
        </w:trPr>
        <w:tc>
          <w:tcPr>
            <w:tcW w:w="4704" w:type="dxa"/>
            <w:tcBorders>
              <w:bottom w:val="nil"/>
            </w:tcBorders>
          </w:tcPr>
          <w:p w:rsidR="00000000" w:rsidRDefault="00000000">
            <w:pPr>
              <w:autoSpaceDE w:val="0"/>
              <w:autoSpaceDN w:val="0"/>
              <w:adjustRightInd w:val="0"/>
              <w:spacing w:line="240" w:lineRule="auto"/>
              <w:rPr>
                <w:sz w:val="20"/>
              </w:rPr>
            </w:pPr>
            <w:r>
              <w:rPr>
                <w:sz w:val="20"/>
              </w:rPr>
              <w:t>Работодатели/частный сектор (% от фонда заработной платы)</w:t>
            </w:r>
          </w:p>
        </w:tc>
        <w:tc>
          <w:tcPr>
            <w:tcW w:w="1568" w:type="dxa"/>
            <w:tcBorders>
              <w:bottom w:val="nil"/>
            </w:tcBorders>
          </w:tcPr>
          <w:p w:rsidR="00000000" w:rsidRDefault="00000000">
            <w:pPr>
              <w:autoSpaceDE w:val="0"/>
              <w:autoSpaceDN w:val="0"/>
              <w:adjustRightInd w:val="0"/>
              <w:spacing w:line="240" w:lineRule="auto"/>
              <w:rPr>
                <w:sz w:val="20"/>
              </w:rPr>
            </w:pPr>
          </w:p>
        </w:tc>
        <w:tc>
          <w:tcPr>
            <w:tcW w:w="1568" w:type="dxa"/>
            <w:tcBorders>
              <w:bottom w:val="nil"/>
            </w:tcBorders>
          </w:tcPr>
          <w:p w:rsidR="00000000" w:rsidRDefault="00000000">
            <w:pPr>
              <w:autoSpaceDE w:val="0"/>
              <w:autoSpaceDN w:val="0"/>
              <w:adjustRightInd w:val="0"/>
              <w:spacing w:line="240" w:lineRule="auto"/>
              <w:rPr>
                <w:sz w:val="20"/>
              </w:rPr>
            </w:pPr>
          </w:p>
        </w:tc>
        <w:tc>
          <w:tcPr>
            <w:tcW w:w="1570" w:type="dxa"/>
            <w:tcBorders>
              <w:bottom w:val="nil"/>
            </w:tcBorders>
          </w:tcPr>
          <w:p w:rsidR="00000000" w:rsidRDefault="00000000">
            <w:pPr>
              <w:autoSpaceDE w:val="0"/>
              <w:autoSpaceDN w:val="0"/>
              <w:adjustRightInd w:val="0"/>
              <w:spacing w:line="240" w:lineRule="auto"/>
              <w:rPr>
                <w:sz w:val="20"/>
              </w:rPr>
            </w:pPr>
          </w:p>
        </w:tc>
      </w:tr>
      <w:tr w:rsidR="00000000">
        <w:tblPrEx>
          <w:tblCellMar>
            <w:top w:w="0" w:type="dxa"/>
            <w:bottom w:w="0" w:type="dxa"/>
          </w:tblCellMar>
        </w:tblPrEx>
        <w:trPr>
          <w:cantSplit/>
        </w:trPr>
        <w:tc>
          <w:tcPr>
            <w:tcW w:w="4704" w:type="dxa"/>
            <w:tcBorders>
              <w:top w:val="nil"/>
              <w:bottom w:val="nil"/>
            </w:tcBorders>
          </w:tcPr>
          <w:p w:rsidR="00000000" w:rsidRDefault="00000000">
            <w:pPr>
              <w:tabs>
                <w:tab w:val="clear" w:pos="567"/>
                <w:tab w:val="left" w:pos="284"/>
              </w:tabs>
              <w:autoSpaceDE w:val="0"/>
              <w:autoSpaceDN w:val="0"/>
              <w:adjustRightInd w:val="0"/>
              <w:spacing w:line="240" w:lineRule="auto"/>
              <w:rPr>
                <w:sz w:val="20"/>
              </w:rPr>
            </w:pPr>
            <w:r>
              <w:rPr>
                <w:sz w:val="20"/>
              </w:rPr>
              <w:tab/>
              <w:t>Национальные пенсии</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r>
              <w:rPr>
                <w:sz w:val="20"/>
              </w:rPr>
              <w:t>1,35-4,45¹</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r>
              <w:rPr>
                <w:sz w:val="20"/>
              </w:rPr>
              <w:t>1,35-4,45²</w:t>
            </w:r>
          </w:p>
        </w:tc>
        <w:tc>
          <w:tcPr>
            <w:tcW w:w="1570" w:type="dxa"/>
            <w:tcBorders>
              <w:top w:val="nil"/>
              <w:bottom w:val="nil"/>
            </w:tcBorders>
          </w:tcPr>
          <w:p w:rsidR="00000000" w:rsidRDefault="00000000">
            <w:pPr>
              <w:autoSpaceDE w:val="0"/>
              <w:autoSpaceDN w:val="0"/>
              <w:adjustRightInd w:val="0"/>
              <w:spacing w:line="240" w:lineRule="auto"/>
              <w:jc w:val="center"/>
              <w:rPr>
                <w:sz w:val="20"/>
              </w:rPr>
            </w:pPr>
            <w:r>
              <w:rPr>
                <w:sz w:val="20"/>
              </w:rPr>
              <w:t>1,35-4,45²</w:t>
            </w:r>
          </w:p>
        </w:tc>
      </w:tr>
      <w:tr w:rsidR="00000000">
        <w:tblPrEx>
          <w:tblCellMar>
            <w:top w:w="0" w:type="dxa"/>
            <w:bottom w:w="0" w:type="dxa"/>
          </w:tblCellMar>
        </w:tblPrEx>
        <w:trPr>
          <w:cantSplit/>
        </w:trPr>
        <w:tc>
          <w:tcPr>
            <w:tcW w:w="4704" w:type="dxa"/>
            <w:tcBorders>
              <w:top w:val="nil"/>
              <w:bottom w:val="nil"/>
            </w:tcBorders>
          </w:tcPr>
          <w:p w:rsidR="00000000" w:rsidRDefault="00000000">
            <w:pPr>
              <w:tabs>
                <w:tab w:val="left" w:pos="284"/>
              </w:tabs>
              <w:autoSpaceDE w:val="0"/>
              <w:autoSpaceDN w:val="0"/>
              <w:adjustRightInd w:val="0"/>
              <w:spacing w:line="240" w:lineRule="auto"/>
              <w:rPr>
                <w:sz w:val="20"/>
              </w:rPr>
            </w:pPr>
            <w:r>
              <w:rPr>
                <w:sz w:val="20"/>
              </w:rPr>
              <w:tab/>
              <w:t>Страхование по болезни</w:t>
            </w:r>
          </w:p>
        </w:tc>
        <w:tc>
          <w:tcPr>
            <w:tcW w:w="1568"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1,60</w:t>
            </w:r>
          </w:p>
        </w:tc>
        <w:tc>
          <w:tcPr>
            <w:tcW w:w="1568"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1,60</w:t>
            </w:r>
          </w:p>
        </w:tc>
        <w:tc>
          <w:tcPr>
            <w:tcW w:w="1570"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1,614³</w:t>
            </w:r>
          </w:p>
        </w:tc>
      </w:tr>
      <w:tr w:rsidR="00000000">
        <w:tblPrEx>
          <w:tblCellMar>
            <w:top w:w="0" w:type="dxa"/>
            <w:bottom w:w="0" w:type="dxa"/>
          </w:tblCellMar>
        </w:tblPrEx>
        <w:trPr>
          <w:cantSplit/>
        </w:trPr>
        <w:tc>
          <w:tcPr>
            <w:tcW w:w="4704" w:type="dxa"/>
            <w:tcBorders>
              <w:top w:val="nil"/>
              <w:bottom w:val="nil"/>
            </w:tcBorders>
          </w:tcPr>
          <w:p w:rsidR="00000000" w:rsidRDefault="00000000">
            <w:pPr>
              <w:tabs>
                <w:tab w:val="left" w:pos="284"/>
              </w:tabs>
              <w:autoSpaceDE w:val="0"/>
              <w:autoSpaceDN w:val="0"/>
              <w:adjustRightInd w:val="0"/>
              <w:spacing w:line="240" w:lineRule="auto"/>
              <w:rPr>
                <w:sz w:val="20"/>
              </w:rPr>
            </w:pPr>
            <w:r>
              <w:rPr>
                <w:sz w:val="20"/>
              </w:rPr>
              <w:tab/>
              <w:t>Трудовая пенсия (в среднем)</w:t>
            </w:r>
          </w:p>
        </w:tc>
        <w:tc>
          <w:tcPr>
            <w:tcW w:w="1568"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16,70</w:t>
            </w:r>
          </w:p>
        </w:tc>
        <w:tc>
          <w:tcPr>
            <w:tcW w:w="1568"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16,80</w:t>
            </w:r>
          </w:p>
        </w:tc>
        <w:tc>
          <w:tcPr>
            <w:tcW w:w="1570"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16,80</w:t>
            </w:r>
          </w:p>
        </w:tc>
      </w:tr>
      <w:tr w:rsidR="00000000">
        <w:tblPrEx>
          <w:tblCellMar>
            <w:top w:w="0" w:type="dxa"/>
            <w:bottom w:w="0" w:type="dxa"/>
          </w:tblCellMar>
        </w:tblPrEx>
        <w:trPr>
          <w:cantSplit/>
        </w:trPr>
        <w:tc>
          <w:tcPr>
            <w:tcW w:w="4704" w:type="dxa"/>
            <w:tcBorders>
              <w:top w:val="nil"/>
              <w:bottom w:val="nil"/>
            </w:tcBorders>
          </w:tcPr>
          <w:p w:rsidR="00000000" w:rsidRDefault="00000000">
            <w:pPr>
              <w:tabs>
                <w:tab w:val="left" w:pos="284"/>
              </w:tabs>
              <w:autoSpaceDE w:val="0"/>
              <w:autoSpaceDN w:val="0"/>
              <w:adjustRightInd w:val="0"/>
              <w:spacing w:line="240" w:lineRule="auto"/>
              <w:rPr>
                <w:sz w:val="20"/>
              </w:rPr>
            </w:pPr>
            <w:r>
              <w:rPr>
                <w:sz w:val="20"/>
              </w:rPr>
              <w:tab/>
              <w:t>Страхование от безработицы</w:t>
            </w:r>
          </w:p>
        </w:tc>
        <w:tc>
          <w:tcPr>
            <w:tcW w:w="1568"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0,70/2,7</w:t>
            </w:r>
          </w:p>
        </w:tc>
        <w:tc>
          <w:tcPr>
            <w:tcW w:w="1568"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0,6/2,45</w:t>
            </w:r>
          </w:p>
        </w:tc>
        <w:tc>
          <w:tcPr>
            <w:tcW w:w="1570" w:type="dxa"/>
            <w:tcBorders>
              <w:top w:val="nil"/>
              <w:bottom w:val="nil"/>
            </w:tcBorders>
          </w:tcPr>
          <w:p w:rsidR="00000000" w:rsidRDefault="00000000">
            <w:pPr>
              <w:tabs>
                <w:tab w:val="left" w:pos="284"/>
              </w:tabs>
              <w:autoSpaceDE w:val="0"/>
              <w:autoSpaceDN w:val="0"/>
              <w:adjustRightInd w:val="0"/>
              <w:spacing w:line="240" w:lineRule="auto"/>
              <w:jc w:val="center"/>
              <w:rPr>
                <w:sz w:val="20"/>
              </w:rPr>
            </w:pPr>
            <w:r>
              <w:rPr>
                <w:sz w:val="20"/>
              </w:rPr>
              <w:t>0,6/2,45</w:t>
            </w:r>
          </w:p>
        </w:tc>
      </w:tr>
      <w:tr w:rsidR="00000000">
        <w:tblPrEx>
          <w:tblCellMar>
            <w:top w:w="0" w:type="dxa"/>
            <w:bottom w:w="0" w:type="dxa"/>
          </w:tblCellMar>
        </w:tblPrEx>
        <w:trPr>
          <w:cantSplit/>
        </w:trPr>
        <w:tc>
          <w:tcPr>
            <w:tcW w:w="9410" w:type="dxa"/>
            <w:gridSpan w:val="4"/>
            <w:tcBorders>
              <w:top w:val="nil"/>
              <w:bottom w:val="nil"/>
            </w:tcBorders>
          </w:tcPr>
          <w:p w:rsidR="00000000" w:rsidRDefault="00000000">
            <w:pPr>
              <w:tabs>
                <w:tab w:val="left" w:pos="284"/>
              </w:tabs>
              <w:autoSpaceDE w:val="0"/>
              <w:autoSpaceDN w:val="0"/>
              <w:adjustRightInd w:val="0"/>
              <w:spacing w:line="240" w:lineRule="auto"/>
              <w:rPr>
                <w:sz w:val="20"/>
              </w:rPr>
            </w:pPr>
            <w:r>
              <w:rPr>
                <w:sz w:val="20"/>
              </w:rPr>
              <w:tab/>
              <w:t>(максимальный фонд заработной платы в размере 5 млрд. финских марок/превышающаяся часть)</w:t>
            </w:r>
          </w:p>
        </w:tc>
      </w:tr>
      <w:tr w:rsidR="00000000">
        <w:tblPrEx>
          <w:tblCellMar>
            <w:top w:w="0" w:type="dxa"/>
            <w:bottom w:w="0" w:type="dxa"/>
          </w:tblCellMar>
        </w:tblPrEx>
        <w:trPr>
          <w:cantSplit/>
        </w:trPr>
        <w:tc>
          <w:tcPr>
            <w:tcW w:w="4704" w:type="dxa"/>
            <w:tcBorders>
              <w:top w:val="nil"/>
              <w:bottom w:val="nil"/>
            </w:tcBorders>
          </w:tcPr>
          <w:p w:rsidR="00000000" w:rsidRDefault="00000000">
            <w:pPr>
              <w:autoSpaceDE w:val="0"/>
              <w:autoSpaceDN w:val="0"/>
              <w:adjustRightInd w:val="0"/>
              <w:spacing w:line="240" w:lineRule="auto"/>
              <w:rPr>
                <w:sz w:val="20"/>
              </w:rPr>
            </w:pPr>
            <w:r>
              <w:rPr>
                <w:sz w:val="20"/>
              </w:rPr>
              <w:t>Работники/застрахованные лица</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p>
        </w:tc>
        <w:tc>
          <w:tcPr>
            <w:tcW w:w="1568" w:type="dxa"/>
            <w:tcBorders>
              <w:top w:val="nil"/>
              <w:bottom w:val="nil"/>
            </w:tcBorders>
          </w:tcPr>
          <w:p w:rsidR="00000000" w:rsidRDefault="00000000">
            <w:pPr>
              <w:autoSpaceDE w:val="0"/>
              <w:autoSpaceDN w:val="0"/>
              <w:adjustRightInd w:val="0"/>
              <w:spacing w:line="240" w:lineRule="auto"/>
              <w:jc w:val="center"/>
              <w:rPr>
                <w:sz w:val="20"/>
              </w:rPr>
            </w:pPr>
          </w:p>
        </w:tc>
        <w:tc>
          <w:tcPr>
            <w:tcW w:w="1570" w:type="dxa"/>
            <w:tcBorders>
              <w:top w:val="nil"/>
              <w:bottom w:val="nil"/>
            </w:tcBorders>
          </w:tcPr>
          <w:p w:rsidR="00000000" w:rsidRDefault="00000000">
            <w:pPr>
              <w:autoSpaceDE w:val="0"/>
              <w:autoSpaceDN w:val="0"/>
              <w:adjustRightInd w:val="0"/>
              <w:spacing w:line="240" w:lineRule="auto"/>
              <w:jc w:val="center"/>
              <w:rPr>
                <w:sz w:val="20"/>
              </w:rPr>
            </w:pPr>
          </w:p>
        </w:tc>
      </w:tr>
      <w:tr w:rsidR="00000000">
        <w:tblPrEx>
          <w:tblCellMar>
            <w:top w:w="0" w:type="dxa"/>
            <w:bottom w:w="0" w:type="dxa"/>
          </w:tblCellMar>
        </w:tblPrEx>
        <w:trPr>
          <w:cantSplit/>
        </w:trPr>
        <w:tc>
          <w:tcPr>
            <w:tcW w:w="4704" w:type="dxa"/>
            <w:tcBorders>
              <w:top w:val="nil"/>
              <w:bottom w:val="nil"/>
            </w:tcBorders>
          </w:tcPr>
          <w:p w:rsidR="00000000" w:rsidRDefault="00000000">
            <w:pPr>
              <w:tabs>
                <w:tab w:val="left" w:pos="284"/>
              </w:tabs>
              <w:autoSpaceDE w:val="0"/>
              <w:autoSpaceDN w:val="0"/>
              <w:adjustRightInd w:val="0"/>
              <w:spacing w:line="240" w:lineRule="auto"/>
              <w:ind w:left="284" w:hanging="284"/>
              <w:rPr>
                <w:sz w:val="20"/>
              </w:rPr>
            </w:pPr>
            <w:r>
              <w:rPr>
                <w:sz w:val="20"/>
              </w:rPr>
              <w:tab/>
              <w:t>Страхование по болезни (% от налогооблагаемого дохода)</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r>
              <w:rPr>
                <w:sz w:val="20"/>
              </w:rPr>
              <w:t>1,50</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r>
              <w:rPr>
                <w:sz w:val="20"/>
              </w:rPr>
              <w:t>1,50</w:t>
            </w:r>
          </w:p>
        </w:tc>
        <w:tc>
          <w:tcPr>
            <w:tcW w:w="1570" w:type="dxa"/>
            <w:tcBorders>
              <w:top w:val="nil"/>
              <w:bottom w:val="nil"/>
            </w:tcBorders>
          </w:tcPr>
          <w:p w:rsidR="00000000" w:rsidRDefault="00000000">
            <w:pPr>
              <w:autoSpaceDE w:val="0"/>
              <w:autoSpaceDN w:val="0"/>
              <w:adjustRightInd w:val="0"/>
              <w:spacing w:line="240" w:lineRule="auto"/>
              <w:jc w:val="center"/>
              <w:rPr>
                <w:sz w:val="20"/>
              </w:rPr>
            </w:pPr>
            <w:r>
              <w:rPr>
                <w:sz w:val="20"/>
              </w:rPr>
              <w:t>1,50</w:t>
            </w:r>
          </w:p>
        </w:tc>
      </w:tr>
      <w:tr w:rsidR="00000000">
        <w:tblPrEx>
          <w:tblCellMar>
            <w:top w:w="0" w:type="dxa"/>
            <w:bottom w:w="0" w:type="dxa"/>
          </w:tblCellMar>
        </w:tblPrEx>
        <w:trPr>
          <w:cantSplit/>
        </w:trPr>
        <w:tc>
          <w:tcPr>
            <w:tcW w:w="4704" w:type="dxa"/>
            <w:tcBorders>
              <w:top w:val="nil"/>
              <w:bottom w:val="nil"/>
            </w:tcBorders>
          </w:tcPr>
          <w:p w:rsidR="00000000" w:rsidRDefault="00000000">
            <w:pPr>
              <w:tabs>
                <w:tab w:val="left" w:pos="284"/>
              </w:tabs>
              <w:autoSpaceDE w:val="0"/>
              <w:autoSpaceDN w:val="0"/>
              <w:adjustRightInd w:val="0"/>
              <w:spacing w:line="240" w:lineRule="auto"/>
              <w:rPr>
                <w:sz w:val="20"/>
              </w:rPr>
            </w:pPr>
            <w:r>
              <w:rPr>
                <w:sz w:val="20"/>
              </w:rPr>
              <w:tab/>
              <w:t xml:space="preserve">- увеличение на пенсионный доход </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r>
              <w:rPr>
                <w:sz w:val="20"/>
              </w:rPr>
              <w:t>0,40</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r>
              <w:rPr>
                <w:sz w:val="20"/>
              </w:rPr>
              <w:t>0</w:t>
            </w:r>
            <w:r>
              <w:rPr>
                <w:rFonts w:ascii="Arial Unicode MS" w:eastAsia="Arial Unicode MS" w:hAnsi="Arial Unicode MS" w:cs="Arial Unicode MS" w:hint="eastAsia"/>
                <w:sz w:val="20"/>
              </w:rPr>
              <w:t>⁴</w:t>
            </w:r>
          </w:p>
        </w:tc>
        <w:tc>
          <w:tcPr>
            <w:tcW w:w="1570" w:type="dxa"/>
            <w:tcBorders>
              <w:top w:val="nil"/>
              <w:bottom w:val="nil"/>
            </w:tcBorders>
          </w:tcPr>
          <w:p w:rsidR="00000000" w:rsidRDefault="00000000">
            <w:pPr>
              <w:autoSpaceDE w:val="0"/>
              <w:autoSpaceDN w:val="0"/>
              <w:adjustRightInd w:val="0"/>
              <w:spacing w:line="240" w:lineRule="auto"/>
              <w:jc w:val="center"/>
              <w:rPr>
                <w:sz w:val="20"/>
              </w:rPr>
            </w:pPr>
          </w:p>
        </w:tc>
      </w:tr>
      <w:tr w:rsidR="00000000">
        <w:tblPrEx>
          <w:tblCellMar>
            <w:top w:w="0" w:type="dxa"/>
            <w:bottom w:w="0" w:type="dxa"/>
          </w:tblCellMar>
        </w:tblPrEx>
        <w:trPr>
          <w:cantSplit/>
        </w:trPr>
        <w:tc>
          <w:tcPr>
            <w:tcW w:w="4704" w:type="dxa"/>
            <w:tcBorders>
              <w:top w:val="nil"/>
              <w:bottom w:val="nil"/>
            </w:tcBorders>
          </w:tcPr>
          <w:p w:rsidR="00000000" w:rsidRDefault="00000000">
            <w:pPr>
              <w:tabs>
                <w:tab w:val="left" w:pos="284"/>
              </w:tabs>
              <w:autoSpaceDE w:val="0"/>
              <w:autoSpaceDN w:val="0"/>
              <w:adjustRightInd w:val="0"/>
              <w:spacing w:line="240" w:lineRule="auto"/>
              <w:rPr>
                <w:sz w:val="20"/>
              </w:rPr>
            </w:pPr>
            <w:r>
              <w:rPr>
                <w:sz w:val="20"/>
              </w:rPr>
              <w:tab/>
              <w:t>Трудовая пенсия (% от заработной платы)</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r>
              <w:rPr>
                <w:sz w:val="20"/>
              </w:rPr>
              <w:t>4,40</w:t>
            </w:r>
          </w:p>
        </w:tc>
        <w:tc>
          <w:tcPr>
            <w:tcW w:w="1568" w:type="dxa"/>
            <w:tcBorders>
              <w:top w:val="nil"/>
              <w:bottom w:val="nil"/>
            </w:tcBorders>
          </w:tcPr>
          <w:p w:rsidR="00000000" w:rsidRDefault="00000000">
            <w:pPr>
              <w:autoSpaceDE w:val="0"/>
              <w:autoSpaceDN w:val="0"/>
              <w:adjustRightInd w:val="0"/>
              <w:spacing w:line="240" w:lineRule="auto"/>
              <w:jc w:val="center"/>
              <w:rPr>
                <w:sz w:val="20"/>
              </w:rPr>
            </w:pPr>
            <w:r>
              <w:rPr>
                <w:sz w:val="20"/>
              </w:rPr>
              <w:t>4,60</w:t>
            </w:r>
          </w:p>
        </w:tc>
        <w:tc>
          <w:tcPr>
            <w:tcW w:w="1570" w:type="dxa"/>
            <w:tcBorders>
              <w:top w:val="nil"/>
              <w:bottom w:val="nil"/>
            </w:tcBorders>
          </w:tcPr>
          <w:p w:rsidR="00000000" w:rsidRDefault="00000000">
            <w:pPr>
              <w:autoSpaceDE w:val="0"/>
              <w:autoSpaceDN w:val="0"/>
              <w:adjustRightInd w:val="0"/>
              <w:spacing w:line="240" w:lineRule="auto"/>
              <w:jc w:val="center"/>
              <w:rPr>
                <w:sz w:val="20"/>
              </w:rPr>
            </w:pPr>
            <w:r>
              <w:rPr>
                <w:sz w:val="20"/>
              </w:rPr>
              <w:t>4,60</w:t>
            </w:r>
          </w:p>
        </w:tc>
      </w:tr>
      <w:tr w:rsidR="00000000">
        <w:tblPrEx>
          <w:tblCellMar>
            <w:top w:w="0" w:type="dxa"/>
            <w:bottom w:w="0" w:type="dxa"/>
          </w:tblCellMar>
        </w:tblPrEx>
        <w:trPr>
          <w:cantSplit/>
        </w:trPr>
        <w:tc>
          <w:tcPr>
            <w:tcW w:w="4704" w:type="dxa"/>
            <w:tcBorders>
              <w:top w:val="nil"/>
              <w:bottom w:val="single" w:sz="4" w:space="0" w:color="auto"/>
            </w:tcBorders>
          </w:tcPr>
          <w:p w:rsidR="00000000" w:rsidRDefault="00000000">
            <w:pPr>
              <w:tabs>
                <w:tab w:val="left" w:pos="284"/>
              </w:tabs>
              <w:autoSpaceDE w:val="0"/>
              <w:autoSpaceDN w:val="0"/>
              <w:adjustRightInd w:val="0"/>
              <w:spacing w:line="240" w:lineRule="auto"/>
              <w:ind w:left="284" w:hanging="284"/>
              <w:rPr>
                <w:sz w:val="20"/>
              </w:rPr>
            </w:pPr>
            <w:r>
              <w:rPr>
                <w:sz w:val="20"/>
              </w:rPr>
              <w:tab/>
              <w:t>Страхование от безработицы (% от заработной платы)</w:t>
            </w:r>
          </w:p>
        </w:tc>
        <w:tc>
          <w:tcPr>
            <w:tcW w:w="1568" w:type="dxa"/>
            <w:tcBorders>
              <w:top w:val="nil"/>
              <w:bottom w:val="single" w:sz="4" w:space="0" w:color="auto"/>
            </w:tcBorders>
          </w:tcPr>
          <w:p w:rsidR="00000000" w:rsidRDefault="00000000">
            <w:pPr>
              <w:autoSpaceDE w:val="0"/>
              <w:autoSpaceDN w:val="0"/>
              <w:adjustRightInd w:val="0"/>
              <w:spacing w:line="240" w:lineRule="auto"/>
              <w:jc w:val="center"/>
              <w:rPr>
                <w:sz w:val="20"/>
              </w:rPr>
            </w:pPr>
            <w:r>
              <w:rPr>
                <w:sz w:val="20"/>
              </w:rPr>
              <w:t>0,40</w:t>
            </w:r>
          </w:p>
        </w:tc>
        <w:tc>
          <w:tcPr>
            <w:tcW w:w="1568" w:type="dxa"/>
            <w:tcBorders>
              <w:top w:val="nil"/>
              <w:bottom w:val="single" w:sz="4" w:space="0" w:color="auto"/>
            </w:tcBorders>
          </w:tcPr>
          <w:p w:rsidR="00000000" w:rsidRDefault="00000000">
            <w:pPr>
              <w:autoSpaceDE w:val="0"/>
              <w:autoSpaceDN w:val="0"/>
              <w:adjustRightInd w:val="0"/>
              <w:spacing w:line="240" w:lineRule="auto"/>
              <w:jc w:val="center"/>
              <w:rPr>
                <w:sz w:val="20"/>
              </w:rPr>
            </w:pPr>
            <w:r>
              <w:rPr>
                <w:sz w:val="20"/>
              </w:rPr>
              <w:t>0,20</w:t>
            </w:r>
          </w:p>
        </w:tc>
        <w:tc>
          <w:tcPr>
            <w:tcW w:w="1570" w:type="dxa"/>
            <w:tcBorders>
              <w:top w:val="nil"/>
              <w:bottom w:val="single" w:sz="4" w:space="0" w:color="auto"/>
            </w:tcBorders>
          </w:tcPr>
          <w:p w:rsidR="00000000" w:rsidRDefault="00000000">
            <w:pPr>
              <w:autoSpaceDE w:val="0"/>
              <w:autoSpaceDN w:val="0"/>
              <w:adjustRightInd w:val="0"/>
              <w:spacing w:line="240" w:lineRule="auto"/>
              <w:jc w:val="center"/>
              <w:rPr>
                <w:sz w:val="20"/>
              </w:rPr>
            </w:pPr>
            <w:r>
              <w:rPr>
                <w:sz w:val="20"/>
              </w:rPr>
              <w:t>0,25</w:t>
            </w:r>
          </w:p>
        </w:tc>
      </w:tr>
      <w:tr w:rsidR="00000000">
        <w:tblPrEx>
          <w:tblCellMar>
            <w:top w:w="0" w:type="dxa"/>
            <w:bottom w:w="0" w:type="dxa"/>
          </w:tblCellMar>
        </w:tblPrEx>
        <w:trPr>
          <w:cantSplit/>
        </w:trPr>
        <w:tc>
          <w:tcPr>
            <w:tcW w:w="9410" w:type="dxa"/>
            <w:gridSpan w:val="4"/>
            <w:tcBorders>
              <w:top w:val="single" w:sz="4" w:space="0" w:color="auto"/>
              <w:left w:val="nil"/>
              <w:bottom w:val="nil"/>
              <w:right w:val="nil"/>
            </w:tcBorders>
          </w:tcPr>
          <w:p w:rsidR="00000000" w:rsidRDefault="00000000">
            <w:pPr>
              <w:autoSpaceDE w:val="0"/>
              <w:autoSpaceDN w:val="0"/>
              <w:adjustRightInd w:val="0"/>
              <w:spacing w:line="240" w:lineRule="auto"/>
              <w:rPr>
                <w:sz w:val="20"/>
              </w:rPr>
            </w:pPr>
          </w:p>
          <w:p w:rsidR="00000000" w:rsidRDefault="00000000">
            <w:pPr>
              <w:autoSpaceDE w:val="0"/>
              <w:autoSpaceDN w:val="0"/>
              <w:adjustRightInd w:val="0"/>
              <w:spacing w:line="240" w:lineRule="auto"/>
              <w:rPr>
                <w:sz w:val="20"/>
              </w:rPr>
            </w:pPr>
            <w:r>
              <w:rPr>
                <w:b/>
                <w:bCs/>
                <w:sz w:val="20"/>
                <w:vertAlign w:val="superscript"/>
              </w:rPr>
              <w:t>1</w:t>
            </w:r>
            <w:r>
              <w:rPr>
                <w:b/>
                <w:bCs/>
                <w:sz w:val="20"/>
                <w:vertAlign w:val="superscript"/>
              </w:rPr>
              <w:tab/>
            </w:r>
            <w:r>
              <w:rPr>
                <w:sz w:val="20"/>
              </w:rPr>
              <w:t>1.35/3.55/4.45 по состоянию с 1 марта 2002 года.</w:t>
            </w:r>
          </w:p>
          <w:p w:rsidR="00000000" w:rsidRDefault="00000000">
            <w:pPr>
              <w:autoSpaceDE w:val="0"/>
              <w:autoSpaceDN w:val="0"/>
              <w:adjustRightInd w:val="0"/>
              <w:spacing w:line="240" w:lineRule="auto"/>
              <w:rPr>
                <w:sz w:val="20"/>
              </w:rPr>
            </w:pPr>
          </w:p>
          <w:p w:rsidR="00000000" w:rsidRDefault="00000000">
            <w:pPr>
              <w:autoSpaceDE w:val="0"/>
              <w:autoSpaceDN w:val="0"/>
              <w:adjustRightInd w:val="0"/>
              <w:spacing w:line="240" w:lineRule="auto"/>
              <w:rPr>
                <w:sz w:val="20"/>
              </w:rPr>
            </w:pPr>
            <w:r>
              <w:rPr>
                <w:b/>
                <w:bCs/>
                <w:sz w:val="20"/>
                <w:vertAlign w:val="superscript"/>
              </w:rPr>
              <w:t>2</w:t>
            </w:r>
            <w:r>
              <w:rPr>
                <w:b/>
                <w:bCs/>
                <w:sz w:val="20"/>
                <w:vertAlign w:val="superscript"/>
              </w:rPr>
              <w:tab/>
            </w:r>
            <w:r>
              <w:rPr>
                <w:sz w:val="20"/>
              </w:rPr>
              <w:t>1.35/3.55/4.45.</w:t>
            </w:r>
          </w:p>
          <w:p w:rsidR="00000000" w:rsidRDefault="00000000">
            <w:pPr>
              <w:autoSpaceDE w:val="0"/>
              <w:autoSpaceDN w:val="0"/>
              <w:adjustRightInd w:val="0"/>
              <w:spacing w:line="240" w:lineRule="auto"/>
              <w:rPr>
                <w:sz w:val="20"/>
              </w:rPr>
            </w:pPr>
          </w:p>
          <w:p w:rsidR="00000000" w:rsidRDefault="00000000">
            <w:pPr>
              <w:autoSpaceDE w:val="0"/>
              <w:autoSpaceDN w:val="0"/>
              <w:adjustRightInd w:val="0"/>
              <w:spacing w:line="240" w:lineRule="auto"/>
              <w:rPr>
                <w:sz w:val="20"/>
              </w:rPr>
            </w:pPr>
            <w:r>
              <w:rPr>
                <w:b/>
                <w:bCs/>
                <w:sz w:val="20"/>
                <w:vertAlign w:val="superscript"/>
              </w:rPr>
              <w:t>3</w:t>
            </w:r>
            <w:r>
              <w:rPr>
                <w:b/>
                <w:bCs/>
                <w:sz w:val="20"/>
                <w:vertAlign w:val="superscript"/>
              </w:rPr>
              <w:tab/>
            </w:r>
            <w:r>
              <w:rPr>
                <w:sz w:val="20"/>
              </w:rPr>
              <w:t>Компании частного сектора в Лапландии и в некоторых других районах, например на архипелаге, временно (в 2004-2005 годах) освобождены от отчислений по линии национальных пенсий и страхования по болезни.  Размер взноса на цели страхования по болезни в других районах был увеличен 0,014 для покрытия дефицита.  Фонды национальных пенсий и страхования по болезни связаны друг с другом, поэтому увеличение затронуло лишь один взнос.</w:t>
            </w:r>
          </w:p>
          <w:p w:rsidR="00000000" w:rsidRDefault="00000000">
            <w:pPr>
              <w:autoSpaceDE w:val="0"/>
              <w:autoSpaceDN w:val="0"/>
              <w:adjustRightInd w:val="0"/>
              <w:spacing w:line="240" w:lineRule="auto"/>
              <w:rPr>
                <w:sz w:val="20"/>
              </w:rPr>
            </w:pPr>
          </w:p>
          <w:p w:rsidR="00000000" w:rsidRDefault="00000000">
            <w:pPr>
              <w:autoSpaceDE w:val="0"/>
              <w:autoSpaceDN w:val="0"/>
              <w:adjustRightInd w:val="0"/>
              <w:spacing w:line="240" w:lineRule="auto"/>
              <w:rPr>
                <w:sz w:val="20"/>
              </w:rPr>
            </w:pPr>
            <w:r>
              <w:rPr>
                <w:b/>
                <w:bCs/>
                <w:sz w:val="20"/>
                <w:vertAlign w:val="superscript"/>
              </w:rPr>
              <w:t>4</w:t>
            </w:r>
            <w:r>
              <w:rPr>
                <w:b/>
                <w:bCs/>
                <w:sz w:val="20"/>
                <w:vertAlign w:val="superscript"/>
              </w:rPr>
              <w:tab/>
            </w:r>
            <w:r>
              <w:rPr>
                <w:sz w:val="20"/>
              </w:rPr>
              <w:t>Исключено 1 января 2003 года.</w:t>
            </w:r>
          </w:p>
        </w:tc>
      </w:tr>
      <w:tr w:rsidR="00000000">
        <w:tblPrEx>
          <w:tblCellMar>
            <w:top w:w="0" w:type="dxa"/>
            <w:bottom w:w="0" w:type="dxa"/>
          </w:tblCellMar>
        </w:tblPrEx>
        <w:trPr>
          <w:cantSplit/>
        </w:trPr>
        <w:tc>
          <w:tcPr>
            <w:tcW w:w="9410" w:type="dxa"/>
            <w:gridSpan w:val="4"/>
            <w:tcBorders>
              <w:top w:val="nil"/>
              <w:left w:val="nil"/>
              <w:bottom w:val="nil"/>
              <w:right w:val="nil"/>
            </w:tcBorders>
          </w:tcPr>
          <w:p w:rsidR="00000000" w:rsidRDefault="00000000">
            <w:pPr>
              <w:autoSpaceDE w:val="0"/>
              <w:autoSpaceDN w:val="0"/>
              <w:adjustRightInd w:val="0"/>
              <w:spacing w:line="240" w:lineRule="auto"/>
              <w:rPr>
                <w:sz w:val="20"/>
              </w:rPr>
            </w:pPr>
            <w:r>
              <w:rPr>
                <w:sz w:val="20"/>
              </w:rPr>
              <w:tab/>
            </w:r>
          </w:p>
        </w:tc>
      </w:tr>
    </w:tbl>
    <w:p w:rsidR="00000000" w:rsidRDefault="00000000"/>
    <w:p w:rsidR="00000000" w:rsidRDefault="00000000">
      <w:pPr>
        <w:jc w:val="center"/>
        <w:rPr>
          <w:b/>
          <w:bCs/>
        </w:rPr>
      </w:pPr>
      <w:r>
        <w:rPr>
          <w:b/>
          <w:bCs/>
        </w:rPr>
        <w:br w:type="page"/>
        <w:t>4.</w:t>
      </w:r>
      <w:r>
        <w:rPr>
          <w:b/>
          <w:bCs/>
        </w:rPr>
        <w:tab/>
        <w:t>Процентная доля расходов на социальные нужды в ВВП</w:t>
      </w:r>
    </w:p>
    <w:p w:rsidR="00000000" w:rsidRDefault="00000000">
      <w:pPr>
        <w:rPr>
          <w:b/>
          <w:bCs/>
        </w:rPr>
      </w:pPr>
    </w:p>
    <w:p w:rsidR="00000000" w:rsidRDefault="00000000">
      <w:r>
        <w:t>428.</w:t>
      </w:r>
      <w:r>
        <w:tab/>
        <w:t>Расходы на социальное обеспечение более подробно рассматриваются в разделе 3 национального доклада ОИССЗ за 2004 год (</w:t>
      </w:r>
      <w:r>
        <w:rPr>
          <w:i/>
          <w:iCs/>
        </w:rPr>
        <w:t>приложение 31</w:t>
      </w:r>
      <w:r>
        <w:t>).</w:t>
      </w:r>
    </w:p>
    <w:p w:rsidR="00000000" w:rsidRDefault="00000000"/>
    <w:p w:rsidR="00000000" w:rsidRDefault="00000000">
      <w:pPr>
        <w:jc w:val="center"/>
        <w:rPr>
          <w:b/>
          <w:bCs/>
        </w:rPr>
      </w:pPr>
      <w:r>
        <w:rPr>
          <w:b/>
          <w:bCs/>
        </w:rPr>
        <w:t>Таблица 23</w:t>
      </w:r>
    </w:p>
    <w:p w:rsidR="00000000" w:rsidRDefault="00000000">
      <w:pPr>
        <w:jc w:val="center"/>
        <w:rPr>
          <w:b/>
          <w:bCs/>
        </w:rPr>
      </w:pPr>
    </w:p>
    <w:p w:rsidR="00000000" w:rsidRDefault="00000000">
      <w:pPr>
        <w:jc w:val="center"/>
        <w:rPr>
          <w:b/>
          <w:bCs/>
        </w:rPr>
      </w:pPr>
      <w:r>
        <w:rPr>
          <w:b/>
          <w:bCs/>
        </w:rPr>
        <w:t>Доля расходов на социальное обеспечение от ВВП в 1995</w:t>
      </w:r>
      <w:r>
        <w:rPr>
          <w:b/>
          <w:bCs/>
        </w:rPr>
        <w:noBreakHyphen/>
        <w:t>2005 годах</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8"/>
        <w:gridCol w:w="776"/>
        <w:gridCol w:w="776"/>
        <w:gridCol w:w="776"/>
        <w:gridCol w:w="775"/>
        <w:gridCol w:w="775"/>
        <w:gridCol w:w="775"/>
        <w:gridCol w:w="775"/>
        <w:gridCol w:w="775"/>
        <w:gridCol w:w="775"/>
        <w:gridCol w:w="824"/>
        <w:gridCol w:w="821"/>
      </w:tblGrid>
      <w:tr w:rsidR="00000000">
        <w:tblPrEx>
          <w:tblCellMar>
            <w:top w:w="0" w:type="dxa"/>
            <w:bottom w:w="0" w:type="dxa"/>
          </w:tblCellMar>
        </w:tblPrEx>
        <w:trPr>
          <w:cantSplit/>
        </w:trPr>
        <w:tc>
          <w:tcPr>
            <w:tcW w:w="788" w:type="dxa"/>
          </w:tcPr>
          <w:p w:rsidR="00000000" w:rsidRDefault="00000000">
            <w:pPr>
              <w:autoSpaceDE w:val="0"/>
              <w:autoSpaceDN w:val="0"/>
              <w:adjustRightInd w:val="0"/>
              <w:jc w:val="center"/>
            </w:pPr>
            <w:r>
              <w:t>Год</w:t>
            </w:r>
          </w:p>
        </w:tc>
        <w:tc>
          <w:tcPr>
            <w:tcW w:w="776" w:type="dxa"/>
          </w:tcPr>
          <w:p w:rsidR="00000000" w:rsidRDefault="00000000">
            <w:pPr>
              <w:autoSpaceDE w:val="0"/>
              <w:autoSpaceDN w:val="0"/>
              <w:adjustRightInd w:val="0"/>
              <w:jc w:val="center"/>
            </w:pPr>
            <w:r>
              <w:t>1995</w:t>
            </w:r>
          </w:p>
        </w:tc>
        <w:tc>
          <w:tcPr>
            <w:tcW w:w="776" w:type="dxa"/>
          </w:tcPr>
          <w:p w:rsidR="00000000" w:rsidRDefault="00000000">
            <w:pPr>
              <w:autoSpaceDE w:val="0"/>
              <w:autoSpaceDN w:val="0"/>
              <w:adjustRightInd w:val="0"/>
              <w:jc w:val="center"/>
            </w:pPr>
            <w:r>
              <w:t>1996</w:t>
            </w:r>
          </w:p>
        </w:tc>
        <w:tc>
          <w:tcPr>
            <w:tcW w:w="776" w:type="dxa"/>
          </w:tcPr>
          <w:p w:rsidR="00000000" w:rsidRDefault="00000000">
            <w:pPr>
              <w:autoSpaceDE w:val="0"/>
              <w:autoSpaceDN w:val="0"/>
              <w:adjustRightInd w:val="0"/>
              <w:jc w:val="center"/>
            </w:pPr>
            <w:r>
              <w:t>1997</w:t>
            </w:r>
          </w:p>
        </w:tc>
        <w:tc>
          <w:tcPr>
            <w:tcW w:w="775" w:type="dxa"/>
          </w:tcPr>
          <w:p w:rsidR="00000000" w:rsidRDefault="00000000">
            <w:pPr>
              <w:autoSpaceDE w:val="0"/>
              <w:autoSpaceDN w:val="0"/>
              <w:adjustRightInd w:val="0"/>
              <w:jc w:val="center"/>
            </w:pPr>
            <w:r>
              <w:t>1998</w:t>
            </w:r>
          </w:p>
        </w:tc>
        <w:tc>
          <w:tcPr>
            <w:tcW w:w="775" w:type="dxa"/>
          </w:tcPr>
          <w:p w:rsidR="00000000" w:rsidRDefault="00000000">
            <w:pPr>
              <w:autoSpaceDE w:val="0"/>
              <w:autoSpaceDN w:val="0"/>
              <w:adjustRightInd w:val="0"/>
              <w:jc w:val="center"/>
            </w:pPr>
            <w:r>
              <w:t>1999</w:t>
            </w:r>
          </w:p>
        </w:tc>
        <w:tc>
          <w:tcPr>
            <w:tcW w:w="775" w:type="dxa"/>
          </w:tcPr>
          <w:p w:rsidR="00000000" w:rsidRDefault="00000000">
            <w:pPr>
              <w:autoSpaceDE w:val="0"/>
              <w:autoSpaceDN w:val="0"/>
              <w:adjustRightInd w:val="0"/>
              <w:jc w:val="center"/>
            </w:pPr>
            <w:r>
              <w:t>2000</w:t>
            </w:r>
          </w:p>
        </w:tc>
        <w:tc>
          <w:tcPr>
            <w:tcW w:w="775" w:type="dxa"/>
          </w:tcPr>
          <w:p w:rsidR="00000000" w:rsidRDefault="00000000">
            <w:pPr>
              <w:autoSpaceDE w:val="0"/>
              <w:autoSpaceDN w:val="0"/>
              <w:adjustRightInd w:val="0"/>
              <w:jc w:val="center"/>
            </w:pPr>
            <w:r>
              <w:t>2001</w:t>
            </w:r>
          </w:p>
        </w:tc>
        <w:tc>
          <w:tcPr>
            <w:tcW w:w="775" w:type="dxa"/>
          </w:tcPr>
          <w:p w:rsidR="00000000" w:rsidRDefault="00000000">
            <w:pPr>
              <w:autoSpaceDE w:val="0"/>
              <w:autoSpaceDN w:val="0"/>
              <w:adjustRightInd w:val="0"/>
              <w:jc w:val="center"/>
            </w:pPr>
            <w:r>
              <w:t>2002</w:t>
            </w:r>
          </w:p>
        </w:tc>
        <w:tc>
          <w:tcPr>
            <w:tcW w:w="775" w:type="dxa"/>
          </w:tcPr>
          <w:p w:rsidR="00000000" w:rsidRDefault="00000000">
            <w:pPr>
              <w:autoSpaceDE w:val="0"/>
              <w:autoSpaceDN w:val="0"/>
              <w:adjustRightInd w:val="0"/>
              <w:jc w:val="center"/>
            </w:pPr>
            <w:r>
              <w:t>2003</w:t>
            </w:r>
          </w:p>
        </w:tc>
        <w:tc>
          <w:tcPr>
            <w:tcW w:w="824" w:type="dxa"/>
          </w:tcPr>
          <w:p w:rsidR="00000000" w:rsidRDefault="00000000">
            <w:pPr>
              <w:autoSpaceDE w:val="0"/>
              <w:autoSpaceDN w:val="0"/>
              <w:adjustRightInd w:val="0"/>
              <w:jc w:val="center"/>
            </w:pPr>
            <w:r>
              <w:t>2004*</w:t>
            </w:r>
          </w:p>
        </w:tc>
        <w:tc>
          <w:tcPr>
            <w:tcW w:w="821" w:type="dxa"/>
          </w:tcPr>
          <w:p w:rsidR="00000000" w:rsidRDefault="00000000">
            <w:pPr>
              <w:autoSpaceDE w:val="0"/>
              <w:autoSpaceDN w:val="0"/>
              <w:adjustRightInd w:val="0"/>
              <w:jc w:val="center"/>
            </w:pPr>
            <w:r>
              <w:t>2005*</w:t>
            </w:r>
          </w:p>
        </w:tc>
      </w:tr>
      <w:tr w:rsidR="00000000">
        <w:tblPrEx>
          <w:tblCellMar>
            <w:top w:w="0" w:type="dxa"/>
            <w:bottom w:w="0" w:type="dxa"/>
          </w:tblCellMar>
        </w:tblPrEx>
        <w:trPr>
          <w:cantSplit/>
        </w:trPr>
        <w:tc>
          <w:tcPr>
            <w:tcW w:w="788" w:type="dxa"/>
          </w:tcPr>
          <w:p w:rsidR="00000000" w:rsidRDefault="00000000">
            <w:pPr>
              <w:autoSpaceDE w:val="0"/>
              <w:autoSpaceDN w:val="0"/>
              <w:adjustRightInd w:val="0"/>
              <w:jc w:val="center"/>
            </w:pPr>
            <w:r>
              <w:t>%</w:t>
            </w:r>
          </w:p>
        </w:tc>
        <w:tc>
          <w:tcPr>
            <w:tcW w:w="776" w:type="dxa"/>
          </w:tcPr>
          <w:p w:rsidR="00000000" w:rsidRDefault="00000000">
            <w:pPr>
              <w:autoSpaceDE w:val="0"/>
              <w:autoSpaceDN w:val="0"/>
              <w:adjustRightInd w:val="0"/>
              <w:jc w:val="center"/>
            </w:pPr>
            <w:r>
              <w:t>31,7</w:t>
            </w:r>
          </w:p>
        </w:tc>
        <w:tc>
          <w:tcPr>
            <w:tcW w:w="776" w:type="dxa"/>
          </w:tcPr>
          <w:p w:rsidR="00000000" w:rsidRDefault="00000000">
            <w:pPr>
              <w:autoSpaceDE w:val="0"/>
              <w:autoSpaceDN w:val="0"/>
              <w:adjustRightInd w:val="0"/>
              <w:jc w:val="center"/>
            </w:pPr>
            <w:r>
              <w:t>31,6</w:t>
            </w:r>
          </w:p>
        </w:tc>
        <w:tc>
          <w:tcPr>
            <w:tcW w:w="776" w:type="dxa"/>
          </w:tcPr>
          <w:p w:rsidR="00000000" w:rsidRDefault="00000000">
            <w:pPr>
              <w:autoSpaceDE w:val="0"/>
              <w:autoSpaceDN w:val="0"/>
              <w:adjustRightInd w:val="0"/>
              <w:jc w:val="center"/>
            </w:pPr>
            <w:r>
              <w:t>29,2</w:t>
            </w:r>
          </w:p>
        </w:tc>
        <w:tc>
          <w:tcPr>
            <w:tcW w:w="775" w:type="dxa"/>
          </w:tcPr>
          <w:p w:rsidR="00000000" w:rsidRDefault="00000000">
            <w:pPr>
              <w:autoSpaceDE w:val="0"/>
              <w:autoSpaceDN w:val="0"/>
              <w:adjustRightInd w:val="0"/>
              <w:jc w:val="center"/>
            </w:pPr>
            <w:r>
              <w:t>27,2</w:t>
            </w:r>
          </w:p>
        </w:tc>
        <w:tc>
          <w:tcPr>
            <w:tcW w:w="775" w:type="dxa"/>
          </w:tcPr>
          <w:p w:rsidR="00000000" w:rsidRDefault="00000000">
            <w:pPr>
              <w:autoSpaceDE w:val="0"/>
              <w:autoSpaceDN w:val="0"/>
              <w:adjustRightInd w:val="0"/>
              <w:jc w:val="center"/>
            </w:pPr>
            <w:r>
              <w:t>26,8</w:t>
            </w:r>
          </w:p>
        </w:tc>
        <w:tc>
          <w:tcPr>
            <w:tcW w:w="775" w:type="dxa"/>
          </w:tcPr>
          <w:p w:rsidR="00000000" w:rsidRDefault="00000000">
            <w:pPr>
              <w:autoSpaceDE w:val="0"/>
              <w:autoSpaceDN w:val="0"/>
              <w:adjustRightInd w:val="0"/>
              <w:jc w:val="center"/>
            </w:pPr>
            <w:r>
              <w:t>25,5</w:t>
            </w:r>
          </w:p>
        </w:tc>
        <w:tc>
          <w:tcPr>
            <w:tcW w:w="775" w:type="dxa"/>
          </w:tcPr>
          <w:p w:rsidR="00000000" w:rsidRDefault="00000000">
            <w:pPr>
              <w:autoSpaceDE w:val="0"/>
              <w:autoSpaceDN w:val="0"/>
              <w:adjustRightInd w:val="0"/>
              <w:jc w:val="center"/>
            </w:pPr>
            <w:r>
              <w:t>25,7</w:t>
            </w:r>
          </w:p>
        </w:tc>
        <w:tc>
          <w:tcPr>
            <w:tcW w:w="775" w:type="dxa"/>
          </w:tcPr>
          <w:p w:rsidR="00000000" w:rsidRDefault="00000000">
            <w:pPr>
              <w:autoSpaceDE w:val="0"/>
              <w:autoSpaceDN w:val="0"/>
              <w:adjustRightInd w:val="0"/>
              <w:jc w:val="center"/>
            </w:pPr>
            <w:r>
              <w:t>26,3</w:t>
            </w:r>
          </w:p>
        </w:tc>
        <w:tc>
          <w:tcPr>
            <w:tcW w:w="775" w:type="dxa"/>
          </w:tcPr>
          <w:p w:rsidR="00000000" w:rsidRDefault="00000000">
            <w:pPr>
              <w:autoSpaceDE w:val="0"/>
              <w:autoSpaceDN w:val="0"/>
              <w:adjustRightInd w:val="0"/>
              <w:jc w:val="center"/>
            </w:pPr>
            <w:r>
              <w:t>26,9</w:t>
            </w:r>
          </w:p>
        </w:tc>
        <w:tc>
          <w:tcPr>
            <w:tcW w:w="824" w:type="dxa"/>
          </w:tcPr>
          <w:p w:rsidR="00000000" w:rsidRDefault="00000000">
            <w:pPr>
              <w:autoSpaceDE w:val="0"/>
              <w:autoSpaceDN w:val="0"/>
              <w:adjustRightInd w:val="0"/>
              <w:jc w:val="center"/>
            </w:pPr>
            <w:r>
              <w:t>27,0</w:t>
            </w:r>
          </w:p>
        </w:tc>
        <w:tc>
          <w:tcPr>
            <w:tcW w:w="821" w:type="dxa"/>
          </w:tcPr>
          <w:p w:rsidR="00000000" w:rsidRDefault="00000000">
            <w:pPr>
              <w:autoSpaceDE w:val="0"/>
              <w:autoSpaceDN w:val="0"/>
              <w:adjustRightInd w:val="0"/>
              <w:jc w:val="center"/>
            </w:pPr>
            <w:r>
              <w:t>27,2</w:t>
            </w:r>
          </w:p>
        </w:tc>
      </w:tr>
    </w:tbl>
    <w:p w:rsidR="00000000" w:rsidRDefault="00000000"/>
    <w:p w:rsidR="00000000" w:rsidRDefault="00000000">
      <w:r>
        <w:rPr>
          <w:b/>
          <w:bCs/>
          <w:vertAlign w:val="superscript"/>
        </w:rPr>
        <w:t>*</w:t>
      </w:r>
      <w:r>
        <w:tab/>
        <w:t>Оценка.</w:t>
      </w:r>
    </w:p>
    <w:p w:rsidR="00000000" w:rsidRDefault="00000000"/>
    <w:p w:rsidR="00000000" w:rsidRDefault="00000000">
      <w:pPr>
        <w:jc w:val="center"/>
        <w:rPr>
          <w:b/>
          <w:bCs/>
        </w:rPr>
      </w:pPr>
      <w:r>
        <w:rPr>
          <w:b/>
          <w:bCs/>
        </w:rPr>
        <w:t>7.</w:t>
      </w:r>
      <w:r>
        <w:rPr>
          <w:b/>
          <w:bCs/>
        </w:rPr>
        <w:tab/>
        <w:t>Изменения в системе социального обеспечения</w:t>
      </w:r>
    </w:p>
    <w:p w:rsidR="00000000" w:rsidRDefault="00000000">
      <w:pPr>
        <w:rPr>
          <w:b/>
          <w:bCs/>
        </w:rPr>
      </w:pPr>
    </w:p>
    <w:p w:rsidR="00000000" w:rsidRDefault="00000000">
      <w:r>
        <w:t>429.</w:t>
      </w:r>
      <w:r>
        <w:tab/>
      </w:r>
      <w:r>
        <w:rPr>
          <w:i/>
          <w:iCs/>
        </w:rPr>
        <w:t>Пенсионная схема</w:t>
      </w:r>
      <w:r>
        <w:t>.  Закон о пенсиях государственных служащих (280/1966) был изменен на основании Закона № 679/2004, вступившего в силу 1 января 2005 года.  Эта реформа во многом схожа с реформой, проведенной в частном секторе, предполагая учет таких особенностей схемы пенсионного обеспечения государственных служащих, как гарантии, касающиеся начисления пенсий, а также требований к возрасту выхода на пенсию, которые существовали до 1 января 1995 года.  Одна из соответствующих целей реформы заключается в увеличении возраста выхода на пенсию на 2</w:t>
      </w:r>
      <w:r>
        <w:noBreakHyphen/>
        <w:t>3 года при поощрении трудящихся к тому, чтобы они продолжали работать дольше, чем в настоящее время.  Лица, подпадающие под действие Закона о пенсиях государственных служащих, в среднем выходят на пенсию в возрасте 59 лет.  Еще одна цель реформы сводится к укреплению пенсионной схемы таким образом, чтобы она отвечала новым потребностям, обусловленным изменением состава населения.</w:t>
      </w:r>
    </w:p>
    <w:p w:rsidR="00000000" w:rsidRDefault="00000000"/>
    <w:p w:rsidR="00000000" w:rsidRDefault="00000000">
      <w:r>
        <w:t>430.</w:t>
      </w:r>
      <w:r>
        <w:tab/>
        <w:t>Одним из важнейших новшеств реформы является изменение методов расчета пенсий.  После 2005 года размер пенсий будет рассчитываться в соответствии с так называемой моделью карьерного роста, в рамках которой он будет зависеть от дохода за каждый отработанный год и определенного коэффициента приращения, привязанного к возрасту.  Предусматривается также начисление пенсии за такие периоды отсутствия заработной платы, в течение которых предоставляются льготы, обусловленные уровнем дохода.  Такие льготы включают в себя страхование по болезни, специальное пособие на медицинское обслуживание, пособие по материнству, специальное пособие по материнству, пособие для отцов и семейное пособие, выплату компенсации за потерю дохода по законодательству, касающемуся дорожно-транспортных происшествий и несчастных случаев, отпуск в связи со сменой работы, пособие на реабилитацию, учебный отпуск и пособие по безработице, привязанное к уровню дохода.  В рамках реформы также дополнительно предполагается начисление пенсии за периоды отпусков для целей ухода за ребенком или учебы, подразумевающей получение диплома, и в этих случаях основой для начисления пенсии служит ежемесячный доход в размере 523,61 евро (в 2004 году).</w:t>
      </w:r>
    </w:p>
    <w:p w:rsidR="00000000" w:rsidRDefault="00000000"/>
    <w:p w:rsidR="00000000" w:rsidRDefault="00000000">
      <w:r>
        <w:t>431.</w:t>
      </w:r>
      <w:r>
        <w:tab/>
        <w:t>Пенсии начинают начисляться с возраста 18 лет, и ставка растет в зависимости от возраста:  первоначально она составляет 1,5% за каждый год, с 53 лет </w:t>
      </w:r>
      <w:r>
        <w:noBreakHyphen/>
        <w:t xml:space="preserve"> 1,9%, а с 63 лет до 68 лет </w:t>
      </w:r>
      <w:r>
        <w:noBreakHyphen/>
        <w:t xml:space="preserve"> 4,5%.  Соответственно, чем больше стаж работы трудящихся, тем выше коэффициент начисления их пенсии.  Отчисления работников на цели финансирования расходов по пенсионному обеспечению после 53 лет будут более значительными, чем в настоящее время.  </w:t>
      </w:r>
    </w:p>
    <w:p w:rsidR="00000000" w:rsidRDefault="00000000"/>
    <w:p w:rsidR="00000000" w:rsidRDefault="00000000">
      <w:r>
        <w:t>432.</w:t>
      </w:r>
      <w:r>
        <w:tab/>
        <w:t>Намечено также изменить возрастные требования, регламентирующие право на получение пенсий по старости.  Сроки, устанавливаемые для начала выплаты пенсий по старости, станут более гибкими, поскольку трудящийся может по своему выбору выходить на пенсию в возрасте от 63 до 68 лет.  Возможности, касающиеся раннего выхода на пенсию, изменились, и теперь пенсия по старости будет выплачиваться только с 62 лет.  В таких случаях сумма пенсии уменьшается на 0,6% за каждый месяц до достижения 63</w:t>
      </w:r>
      <w:r>
        <w:noBreakHyphen/>
        <w:t>летнего возраста.  По сравнению с прошлым различие заключается в том, что получение пенсии по старости может быть отсрочено, и в этом случае ее размер повышается на 0,4% за каждый месяц работы до 68 лет.</w:t>
      </w:r>
    </w:p>
    <w:p w:rsidR="00000000" w:rsidRDefault="00000000"/>
    <w:p w:rsidR="00000000" w:rsidRDefault="00000000">
      <w:r>
        <w:t>433.</w:t>
      </w:r>
      <w:r>
        <w:tab/>
        <w:t xml:space="preserve">В результате осуществления реформы по прошествии переходного периода сокращается круг различных возможностей раннего выхода на пенсию.  На безработных в возрасте моложе 62 лет будет распространяться сфера охвата схемы страхования от безработицы, а не действие системы пенсионного обеспечения, и они в таком качестве уже не смогут оформить себе раннюю пенсию по старости.  </w:t>
      </w:r>
    </w:p>
    <w:p w:rsidR="00000000" w:rsidRDefault="00000000"/>
    <w:p w:rsidR="00000000" w:rsidRDefault="00000000">
      <w:r>
        <w:t>434.</w:t>
      </w:r>
      <w:r>
        <w:tab/>
        <w:t>Пенсионное обеспечение будет усовершенствовано благодаря введению системы, позволяющей учитывать увеличение ожидаемой продолжительности жизни населения.  Это впервые затронет размер выплачиваемых пенсий в 2010 году.  Также меняются применяемые в схеме индексы.  С 2005 года в индексы вносятся коррективы, предполагающие использование мультипликатора заработной платы, в рамках которого вес индекса уровня дохода составляет 80%, а вес индекса потребительских цен - 20% (ранее соотношение было 50%/50%).</w:t>
      </w:r>
    </w:p>
    <w:p w:rsidR="00000000" w:rsidRDefault="00000000"/>
    <w:p w:rsidR="00000000" w:rsidRDefault="00000000">
      <w:r>
        <w:t>435.</w:t>
      </w:r>
      <w:r>
        <w:tab/>
        <w:t>С 1 января 2005 года ранее действовавшее требование, касающееся стажа работы и ее непрерывного характера, применяются в рамках схемы пенсионного обеспечения государственных служащих в том случае, если доход лица, охватываемого схемой, составляет по меньшей мере 6 000 евро в год или если соответствующее лицо было непрерывно занято в государственном секторе до достижения им возраста выхода на пенсию.</w:t>
      </w:r>
    </w:p>
    <w:p w:rsidR="00000000" w:rsidRDefault="00000000"/>
    <w:p w:rsidR="00000000" w:rsidRDefault="00000000">
      <w:r>
        <w:t>436.</w:t>
      </w:r>
      <w:r>
        <w:tab/>
        <w:t>За прошедшие пять лет вследствие изменения положений законодательства о реабилитации претерпела изменение схема пенсионного обеспечения в зависимости от дохода.  С начала 2004 года Закон о пенсиях государственных служащих предусматривает такие же положения, как и положения, применяющиеся к частному сектору.  Цель новых положений законодательства о реабилитации сводится к обеспечению возможности для того, чтобы принимать реабилитационные меры раньше, чем прежде, и тем самым более эффективно содействовать поддержанию трудоспособности работников и предотвратить или по крайней мере отсрочить необходимость выплаты пенсий по инвалидности.  Еще одна цель реформы заключается в том, чтобы способствовать решению общей задачи повышения среднего возраста выхода на пенсию.</w:t>
      </w:r>
    </w:p>
    <w:p w:rsidR="00000000" w:rsidRDefault="00000000"/>
    <w:p w:rsidR="00000000" w:rsidRDefault="00000000">
      <w:r>
        <w:t>437.</w:t>
      </w:r>
      <w:r>
        <w:tab/>
        <w:t>В рамках схем пенсионного обеспечения в государственном секторе с начала 2004 года применяется принцип единого пакета.  Этот принцип подразумевает, что лицо, претендующее на пенсию, получает единый набор документов от пенсионного учреждения, в котором оно застраховано.  С использованием этого набора документов будет регулироваться выплата всех пенсий, на получение которых соответствующее лицо имеет право по различным пенсионным схемам.  После внесения законодательной поправки данный принцип применяется к пенсиям, выплачиваемым работодателями частного сектора, государством, местными органами власти и евангелистско-лютеранской церковью, а также Институтом социального страхования.</w:t>
      </w:r>
    </w:p>
    <w:p w:rsidR="00000000" w:rsidRDefault="00000000"/>
    <w:p w:rsidR="00000000" w:rsidRDefault="00000000">
      <w:r>
        <w:t>438.</w:t>
      </w:r>
      <w:r>
        <w:tab/>
        <w:t xml:space="preserve">Изменения в области социального обеспечения также рассматриваются в национальных докладах ОИССЗ за 2000-2004 годы </w:t>
      </w:r>
      <w:r>
        <w:rPr>
          <w:i/>
          <w:iCs/>
        </w:rPr>
        <w:t>(приложения 27-31)</w:t>
      </w:r>
      <w:r>
        <w:t>.</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pPr>
        <w:jc w:val="center"/>
        <w:rPr>
          <w:b/>
          <w:bCs/>
        </w:rPr>
      </w:pPr>
      <w:r>
        <w:rPr>
          <w:b/>
          <w:bCs/>
        </w:rPr>
        <w:t>1.</w:t>
      </w:r>
      <w:r>
        <w:rPr>
          <w:b/>
          <w:bCs/>
        </w:rPr>
        <w:tab/>
        <w:t>Международные конвенции</w:t>
      </w:r>
    </w:p>
    <w:p w:rsidR="00000000" w:rsidRDefault="00000000">
      <w:pPr>
        <w:rPr>
          <w:b/>
          <w:bCs/>
        </w:rPr>
      </w:pPr>
    </w:p>
    <w:p w:rsidR="00000000" w:rsidRDefault="00000000">
      <w:r>
        <w:t>439.</w:t>
      </w:r>
      <w:r>
        <w:tab/>
        <w:t>Финляндия ратифицировала следующие международные конвенции, упоминаемые в Общих руководящих принципах:  Международный пакт о гражданских и политических правах, Конвенцию о правах ребенка, Конвенцию о ликвидации всех форм дискриминации в отношении женщин и Конвенцию МОТ о минимальном возрасте 1973 года (№ 138).</w:t>
      </w:r>
    </w:p>
    <w:p w:rsidR="00000000" w:rsidRDefault="00000000"/>
    <w:p w:rsidR="00000000" w:rsidRDefault="00000000">
      <w:r>
        <w:t>440.</w:t>
      </w:r>
      <w:r>
        <w:tab/>
        <w:t>В дополнение к вышеуказанным конвенциям Финляндия ратифицировала Конвенцию МОТ № 182 о запрещении и немедленных мерах по искоренению наихудших форм детского труда.</w:t>
      </w:r>
    </w:p>
    <w:p w:rsidR="00000000" w:rsidRDefault="00000000"/>
    <w:p w:rsidR="00000000" w:rsidRDefault="00000000">
      <w:pPr>
        <w:jc w:val="center"/>
        <w:rPr>
          <w:b/>
          <w:bCs/>
        </w:rPr>
      </w:pPr>
      <w:r>
        <w:rPr>
          <w:b/>
          <w:bCs/>
        </w:rPr>
        <w:t>2.</w:t>
      </w:r>
      <w:r>
        <w:rPr>
          <w:b/>
          <w:bCs/>
        </w:rPr>
        <w:tab/>
        <w:t>Семья</w:t>
      </w:r>
    </w:p>
    <w:p w:rsidR="00000000" w:rsidRDefault="00000000"/>
    <w:p w:rsidR="00000000" w:rsidRDefault="00000000">
      <w:r>
        <w:t>441.</w:t>
      </w:r>
      <w:r>
        <w:tab/>
        <w:t>В 2002 году вступил в силу Закон о регистрации партнерства (950/2001).  В соответствии с этим законом совместно проживающие пары одного пола могут зарегистрировать свое партнерство, что имеет такие же последствия, как заключение брака.  Закон, таким образом, устранил некоторые проблемы, возникавшие в повседневной жизни указанных лиц, например в отношении права наследования.  Однако к зарегистрированным партнерствам не применяются некоторые положения Закона об отцовстве (700/1975), Закона об усыновлении (153/1985) и Закона о фамилиях (694/1985).</w:t>
      </w:r>
    </w:p>
    <w:p w:rsidR="00000000" w:rsidRDefault="00000000"/>
    <w:p w:rsidR="00000000" w:rsidRDefault="00000000">
      <w:pPr>
        <w:jc w:val="center"/>
        <w:rPr>
          <w:b/>
          <w:bCs/>
        </w:rPr>
      </w:pPr>
      <w:r>
        <w:rPr>
          <w:b/>
          <w:bCs/>
        </w:rPr>
        <w:t>4.</w:t>
      </w:r>
      <w:r>
        <w:rPr>
          <w:b/>
          <w:bCs/>
        </w:rPr>
        <w:tab/>
        <w:t>Оказание помощи семье и защита семьи</w:t>
      </w:r>
    </w:p>
    <w:p w:rsidR="00000000" w:rsidRDefault="00000000">
      <w:pPr>
        <w:rPr>
          <w:b/>
          <w:bCs/>
        </w:rPr>
      </w:pPr>
    </w:p>
    <w:p w:rsidR="00000000" w:rsidRDefault="00000000">
      <w:r>
        <w:t>442.</w:t>
      </w:r>
      <w:r>
        <w:tab/>
        <w:t xml:space="preserve">Вопрос о насилии в отношении женщин рассматривается в ответах по пункту 17 раздела </w:t>
      </w:r>
      <w:r>
        <w:rPr>
          <w:lang w:val="en-US"/>
        </w:rPr>
        <w:t>D</w:t>
      </w:r>
      <w:r>
        <w:t xml:space="preserve"> заключительных замечаний Комитета, который касается проблем, вызывающих озабоченность, и по пункту 30 раздела Е его заключительных замечаний, который касается предложений и рекомендаций.  </w:t>
      </w:r>
    </w:p>
    <w:p w:rsidR="00000000" w:rsidRDefault="00000000"/>
    <w:p w:rsidR="00000000" w:rsidRDefault="00000000">
      <w:r>
        <w:t>443.</w:t>
      </w:r>
      <w:r>
        <w:tab/>
        <w:t>В докладе парламентского омбудсмена за 2002 год отмечается, что в число социальных явлений, которые могут приводить к серьезным нарушениям основных прав человека, входят, в частности, насилие в семье и проблемы детей, находящихся в крайне уязвимом положении.  По мнению омбудсмена, проблема насилия в семье в Финляндии долго время игнорировалась, несмотря на то, что она имеет широкое распространение и затрагивает, в частности, женщин и детей, а порой также престарелых.  Насилие представляет собой вопиющее нарушение права на неприкосновенность и безопасность личности, являющееся основным правом, и власти обязаны принимать активные меры в целях защиты этого права.</w:t>
      </w:r>
    </w:p>
    <w:p w:rsidR="00000000" w:rsidRDefault="00000000"/>
    <w:p w:rsidR="00000000" w:rsidRDefault="00000000">
      <w:r>
        <w:t>444.</w:t>
      </w:r>
      <w:r>
        <w:tab/>
        <w:t>В 2004 году парламентский омбудсмен по своей инициативе решила проанализировать проблему, касающуюся степени готовности властей в плане расследования, пресечения и предупреждения актов насилия в отношении детей в семьях. Всем соответствующим государственным органам на уровне губерний было предложено представить информацию о мерах, принятых в случаях предполагаемых актов насилия в отношении детей.  Этот вопрос также рассматривался в ходе инспекций, проводившихся парламентским омбудсменом в целях проверки деятельности органов социального обеспечения и системы образования, окружных полицейских участков и учреждений, осуществляющих уголовное преследование.  Результаты инспекций пока еще не опубликованы.</w:t>
      </w:r>
    </w:p>
    <w:p w:rsidR="00000000" w:rsidRDefault="00000000"/>
    <w:p w:rsidR="00000000" w:rsidRDefault="00000000">
      <w:r>
        <w:t>445.</w:t>
      </w:r>
      <w:r>
        <w:tab/>
        <w:t xml:space="preserve">Проблема насилия также рассматривалась в связи с правом на свидание детей с их родителями, поскольку в некоторых случаях лица, осуществляющие опеку в отношении детей, высказывают опасения по поводу угрозы для безопасности детей во время таких свиданий.  В указанных случаях свидания по распоряжению суда могут проводиться под надзором, однако пока никаких особых законодательных положений на этот счет не существует.  В одном из решений, принятых парламентским омбудсменом в 2004 году, правительству было предложено проанализировать возможность обеспечения более эффективного осуществления основных прав человека детей и родителей посредством закрепления законодательным путем права на проведение свиданий в некоторых случаях под надзором.  </w:t>
      </w:r>
    </w:p>
    <w:p w:rsidR="00000000" w:rsidRDefault="00000000"/>
    <w:p w:rsidR="00000000" w:rsidRDefault="00000000">
      <w:r>
        <w:t>446.</w:t>
      </w:r>
      <w:r>
        <w:tab/>
        <w:t>В одном решении, вынесенном парламентским омбудсменом в 2000 году в отношении осуществления права несопровождаемых детей-беженцев, отмечается, что право ребенка на воссоединение семьи является одним из наиболее актуальных из их основных прав человека, использованием которого не должно ограничиваться по финансовым соображениям.  Парламентский омбудсмен предложила устранить существующие недостатки в законодательстве в отношении воссоединения семьи и обеспечить опеку о несопровождаемых детях-беженцах даже после достижения ими 18</w:t>
      </w:r>
      <w:r>
        <w:noBreakHyphen/>
        <w:t xml:space="preserve">летнего возраста.  </w:t>
      </w:r>
    </w:p>
    <w:p w:rsidR="00000000" w:rsidRDefault="00000000"/>
    <w:p w:rsidR="00000000" w:rsidRDefault="00000000">
      <w:r>
        <w:t>447.</w:t>
      </w:r>
      <w:r>
        <w:tab/>
        <w:t>Укрепление вышеупомянутых прав стало одной из целей нового Закона об иностранцах, вступившего в силу в 2004 году.  Когда проект этого закона обсуждался в парламенте, последний отметил необходимость учета вопросов, касающихся статуса детей, в процессе применения закона.</w:t>
      </w:r>
    </w:p>
    <w:p w:rsidR="00000000" w:rsidRDefault="00000000"/>
    <w:p w:rsidR="00000000" w:rsidRDefault="00000000">
      <w:r>
        <w:t>448.</w:t>
      </w:r>
      <w:r>
        <w:tab/>
      </w:r>
      <w:r>
        <w:rPr>
          <w:i/>
          <w:iCs/>
        </w:rPr>
        <w:t xml:space="preserve">Деятельность, направленная на предупреждение социального отчуждения молодежи. </w:t>
      </w:r>
      <w:r>
        <w:t xml:space="preserve"> Значительная часть работы местных властей по проблемам молодежи подразумевает принятие прямых или косвенных мер по предупреждению социального отчуждения молодежи, аналогичных мерам, которые осуществляются рядом местных ассоциаций.</w:t>
      </w:r>
    </w:p>
    <w:p w:rsidR="00000000" w:rsidRDefault="00000000"/>
    <w:p w:rsidR="00000000" w:rsidRDefault="00000000">
      <w:r>
        <w:t>449.</w:t>
      </w:r>
      <w:r>
        <w:tab/>
        <w:t>В дополнение к базовым субсидиям, выделяемым министерством просвещения на цели работы местных властей по проблемам молодежи, министерство финансирует проекты, направленные, в частности, на расширение круга мероприятий по организации досуга групп молодежи из иммигрантской среды, наиболее многочисленные из которых приходятся на сомалийцев и русских.  Такие проекты осуществлялись, в частности, в Хельсинки и его окрестностях.</w:t>
      </w:r>
    </w:p>
    <w:p w:rsidR="00000000" w:rsidRDefault="00000000">
      <w:pPr>
        <w:rPr>
          <w:lang w:val="en-US"/>
        </w:rPr>
      </w:pPr>
    </w:p>
    <w:p w:rsidR="00000000" w:rsidRDefault="00000000">
      <w:r>
        <w:t>450.</w:t>
      </w:r>
      <w:r>
        <w:tab/>
        <w:t>В слабозаселенных районах, таких, как Восточная Финляндия, финансировалось проведение различных экспериментов и использование адресных методов работы с молодежью, направленных на расширение возможностей участия детей и молодежи в жизни общества.</w:t>
      </w:r>
    </w:p>
    <w:p w:rsidR="00000000" w:rsidRDefault="00000000"/>
    <w:p w:rsidR="00000000" w:rsidRDefault="00000000">
      <w:r>
        <w:t>451.</w:t>
      </w:r>
      <w:r>
        <w:tab/>
        <w:t>В районах, в которых отмечается спад промышленной деятельности, таких, как район Пори, в интересах молодых людей, которые уже фактически оказались социально отчужденными или которым угрожает социальное отчуждение, осуществляются культурно-массовые мероприятия.  Такие мероприятия также проводятся в других районах.</w:t>
      </w:r>
    </w:p>
    <w:p w:rsidR="00000000" w:rsidRDefault="00000000"/>
    <w:p w:rsidR="00000000" w:rsidRDefault="00000000">
      <w:r>
        <w:t>452.</w:t>
      </w:r>
      <w:r>
        <w:tab/>
        <w:t xml:space="preserve">Для молодежи, которой угрожает опасность социального отчуждения, также организовываются занятия физической культурой и спортом, включая, в частности, парусный спорт и другие спортивные занятия.  </w:t>
      </w:r>
    </w:p>
    <w:p w:rsidR="00000000" w:rsidRDefault="00000000"/>
    <w:p w:rsidR="00000000" w:rsidRDefault="00000000">
      <w:r>
        <w:t>453.</w:t>
      </w:r>
      <w:r>
        <w:tab/>
      </w:r>
      <w:r>
        <w:rPr>
          <w:i/>
          <w:iCs/>
        </w:rPr>
        <w:t>Утренняя и дневная внеклассная деятельность для школьников</w:t>
      </w:r>
      <w:r>
        <w:t>.  1 августа 2004 года вступил в силу новый Закон об утреннем и дневном внеклассном уходе за школьниками первого и второго года обучения.  Он также устанавливает требования к квалификации учителей, отвечающих за организацию утренних и дневных внеклассных мероприятия.  Процесс осуществления этого закона также контролируется на предмет повышения качества соответствующей деятельности.  Кроме того, министерство просвещения финансирует проведение дневных внеклассных мероприятий для школьников третьего-девятого года обучения.</w:t>
      </w:r>
    </w:p>
    <w:p w:rsidR="00000000" w:rsidRDefault="00000000"/>
    <w:p w:rsidR="00000000" w:rsidRDefault="00000000">
      <w:r>
        <w:t>454.</w:t>
      </w:r>
      <w:r>
        <w:tab/>
        <w:t>Цель вышеуказанной деятельности заключается в том, чтобы обеспечить детям и подросткам надлежащие условия для проведения досуга, когда их родители находятся на работе.  Одновременно поощряются процесс развития личности детей и возможности для того, чтобы они могли отдаваться своему хобби.  Такая деятельность доступна любому ребенку или подростку.</w:t>
      </w:r>
    </w:p>
    <w:p w:rsidR="00000000" w:rsidRDefault="00000000"/>
    <w:p w:rsidR="00000000" w:rsidRDefault="00000000">
      <w:r>
        <w:t>455.</w:t>
      </w:r>
      <w:r>
        <w:tab/>
        <w:t>1 сентября 2005 года к исполнению своих обязанностей приступит первый омбудсмен по делам детей, подотчетная в своей работе министерству социальных дел и здравоохранения.</w:t>
      </w:r>
    </w:p>
    <w:p w:rsidR="00000000" w:rsidRDefault="00000000"/>
    <w:p w:rsidR="00000000" w:rsidRDefault="00000000">
      <w:pPr>
        <w:jc w:val="center"/>
        <w:rPr>
          <w:b/>
          <w:bCs/>
        </w:rPr>
      </w:pPr>
      <w:r>
        <w:rPr>
          <w:b/>
          <w:bCs/>
        </w:rPr>
        <w:t>5.</w:t>
      </w:r>
      <w:r>
        <w:rPr>
          <w:b/>
          <w:bCs/>
        </w:rPr>
        <w:tab/>
        <w:t>Охрана материнства</w:t>
      </w:r>
    </w:p>
    <w:p w:rsidR="00000000" w:rsidRDefault="00000000">
      <w:pPr>
        <w:rPr>
          <w:b/>
          <w:bCs/>
        </w:rPr>
      </w:pPr>
    </w:p>
    <w:p w:rsidR="00000000" w:rsidRDefault="00000000">
      <w:r>
        <w:t>456.</w:t>
      </w:r>
      <w:r>
        <w:tab/>
        <w:t xml:space="preserve">В главе 4 Закона о трудовых договорах (55/2001) предусматривается возможность получения отпуска по семейным обстоятельствам.  Закон содержит положения, касающиеся отпуска по материнству, специального отпуска по материнству, отпуска для отцов, родительского отпуска и отпуска для ухода за ребенком, а также права трудящихся взять выходной день по непредвиденным и неотложным семейным причинам.  </w:t>
      </w:r>
    </w:p>
    <w:p w:rsidR="00000000" w:rsidRDefault="00000000"/>
    <w:p w:rsidR="00000000" w:rsidRDefault="00000000">
      <w:r>
        <w:t>457.</w:t>
      </w:r>
      <w:r>
        <w:tab/>
        <w:t>В результате пересмотра Закона о страховании по болезни изменятся основания для выплаты ежедневного пособия по болезни, привязанного к уровню дохода, чтобы оно в большей степени отвечало интересам застрахованных лиц.  Такой пересмотр должен благоприятно сказаться на двух категориях граждан:  лицах, работающих только по краткосрочным контрактам, и лицах, у которых в течение сравнительно короткого периода времени рождается двое или более детей.</w:t>
      </w:r>
    </w:p>
    <w:p w:rsidR="00000000" w:rsidRDefault="00000000"/>
    <w:p w:rsidR="00000000" w:rsidRDefault="00000000">
      <w:r>
        <w:t>458.</w:t>
      </w:r>
      <w:r>
        <w:tab/>
        <w:t>После реформирования системы трудовых пенсий соответствующая пенсия будет также начисляться за такие периоды отсутствия заработной платы, когда осуществляется выплата социального пособия, привязанного к уровню дохода.  Указанные льготы будут включать в себя пособие по материнству, пособие для отцов и родительское пособие.  В результате реформы пенсия будет также начисляться в течение отпусков, взятых для целей ухода за ребенком, и во время учебы, по окончании которой предполагается получить диплом, и в этом случае в основу для начисления пенсии закладывается ежемесячный доход в размере 523,61 евро (в 2004 году).</w:t>
      </w:r>
    </w:p>
    <w:p w:rsidR="00000000" w:rsidRDefault="00000000"/>
    <w:p w:rsidR="00000000" w:rsidRDefault="00000000">
      <w:r>
        <w:t>459.</w:t>
      </w:r>
      <w:r>
        <w:tab/>
        <w:t>Будет увеличен размер компенсации расходов на ежегодные отпуска, выплачиваемой работодателям.  Расходы на родительские отпуска ложатся серьезным бременем, в частности, на работодателей в секторах, где основная численность занятых приходится на женщин.  При этом преследуется цель сократить расходы для работодателей и одновременно расширить их возможности для того, чтобы нанимать персонал для замены работников, находящихся в родительских отпусках, и улучшить положение женщин детородного возраста на рынке труда.</w:t>
      </w:r>
    </w:p>
    <w:p w:rsidR="00000000" w:rsidRDefault="00000000"/>
    <w:p w:rsidR="00000000" w:rsidRDefault="00000000">
      <w:r>
        <w:t>460.</w:t>
      </w:r>
      <w:r>
        <w:tab/>
        <w:t xml:space="preserve">Сфера действия права на частичный отпуск по уходу за ребенком, предусмотренного в Законе о трудовых договорах и Законе о моряках (423/1978), была расширена после внесения в эти законы поправок (Закон 870/2003 и Закон 871/2003), вступивших в силу 1 ноября 2003 года.  Цель этих поправок заключалась в обеспечении того, чтобы родителям малолетних детей было легче совмещать работу с семейными обязанностями.  Трудящийся может находиться в частичном отпуске по уходу за ребенком до конца второго года обучения ребенка в общеобразовательной школе.  Если срок обязательного обучения детей является более длительным, то право на неполный отпуск по уходу за ребенком можно использовать до конца третьего года школьного обучения.  Родителям нельзя одновременно брать отпуск по уходу за ребенком, однако они могут распределять свои соответствующие обязанности таким образом, что один из них будет осуществлять уход за ребенком в первой половине дня, а другой - во второй половине дня, или же они будут осуществлять такой уход в разные дни или недели.  Необходимый стаж работы, установленный в качестве условия для получения неполного отпуска по уходу за ребенком, был уменьшен с 12 до 6 месяцев.  Трудящийся, намеревающийся воспользоваться своим правом на отпуск по уходу за ребенком, должен подать заявление на этот счет работодателю по меньшей мере за два месяца до начала отпуска.  </w:t>
      </w:r>
    </w:p>
    <w:p w:rsidR="00000000" w:rsidRDefault="00000000"/>
    <w:p w:rsidR="00000000" w:rsidRDefault="00000000">
      <w:r>
        <w:t>461.</w:t>
      </w:r>
      <w:r>
        <w:tab/>
        <w:t>В некоторых коллективных договорах содержатся положения о заработной плате, которая должна выплачиваться в период отпуска по материнству.</w:t>
      </w:r>
    </w:p>
    <w:p w:rsidR="00000000" w:rsidRDefault="00000000"/>
    <w:p w:rsidR="00000000" w:rsidRDefault="00000000">
      <w:r>
        <w:t>462.</w:t>
      </w:r>
      <w:r>
        <w:tab/>
      </w:r>
      <w:r>
        <w:rPr>
          <w:lang w:val="en-US"/>
        </w:rPr>
        <w:t>STKK</w:t>
      </w:r>
      <w:r>
        <w:t xml:space="preserve"> отмечала, что средний совокупный доход женщин на протяжении их трудовой деятельности остается ниже, чем у мужчин, не только из-за более низкого уровня заработной платы в секторах, в которых основную часть занятых составляют женщины, но и вследствие того, что законодательство не регулирует вопрос о выплате заработный платы в период отпуска по материнству.</w:t>
      </w:r>
    </w:p>
    <w:p w:rsidR="00000000" w:rsidRDefault="00000000"/>
    <w:p w:rsidR="00000000" w:rsidRDefault="00000000">
      <w:pPr>
        <w:jc w:val="center"/>
        <w:rPr>
          <w:b/>
          <w:bCs/>
        </w:rPr>
      </w:pPr>
      <w:r>
        <w:rPr>
          <w:b/>
          <w:bCs/>
        </w:rPr>
        <w:t>6.</w:t>
      </w:r>
      <w:r>
        <w:rPr>
          <w:b/>
          <w:bCs/>
        </w:rPr>
        <w:tab/>
        <w:t>Защита детей от экономической и социальной эксплуатации</w:t>
      </w:r>
    </w:p>
    <w:p w:rsidR="00000000" w:rsidRDefault="00000000">
      <w:pPr>
        <w:rPr>
          <w:b/>
          <w:bCs/>
        </w:rPr>
      </w:pPr>
    </w:p>
    <w:p w:rsidR="00000000" w:rsidRDefault="00000000">
      <w:r>
        <w:t>463.</w:t>
      </w:r>
      <w:r>
        <w:tab/>
        <w:t xml:space="preserve">1 января 2003 года вступил в силу </w:t>
      </w:r>
      <w:r>
        <w:rPr>
          <w:i/>
          <w:iCs/>
        </w:rPr>
        <w:t>Закон о проверке уголовного прошлого лиц, работающих с детьми</w:t>
      </w:r>
      <w:r>
        <w:t xml:space="preserve"> (540/2002).  Этот закон распространяется на работу, которая постоянно или по существу предполагает общение с несовершеннолетними в отсутствие их опекуна, такую, как уход за детьми, образование и другая соответствующая деятельность.</w:t>
      </w:r>
    </w:p>
    <w:p w:rsidR="00000000" w:rsidRDefault="00000000"/>
    <w:p w:rsidR="00000000" w:rsidRDefault="00000000">
      <w:r>
        <w:t>464.</w:t>
      </w:r>
      <w:r>
        <w:tab/>
        <w:t>Работодатель должен запросить у нанимаемого лица справку о судимости до его назначения на должность или заключения с ним трудового договора.  В этой справке должно указываться, было ли соответствующее лицо ранее судимо, согласно положениям Уголовного кодекса, за сексуальные преступления, преступления против жизни или здоровья при отягчающих обстоятельствах или преступления, связанные с употреблением наркотиков.  Наличие ссылки на совершение таких преступлений в справке о судимости автоматически не подразумевает, что кандидат не может быть принят на работу, а вопрос о его/ее пригодности к работе решается по усмотрению нанимателя.  Информация об уголовном прошлом выясняется при приеме на работу по найму, подаче заявки на ведение коммерческой деятельности, регистрации в качестве частного поставщика услуг в области социального обеспечения и здравоохранения или заключении договора о дневном уходе за несовершеннолетним.  Закон не разрешает осуществлять сбор и регистрацию конфиденциальных данных.  Работодатель, обязанный запросить справку о судимости, может лишь сослаться в соответствующих документах на факт представления справки о судимости и на идентификационные данные, указанные в справке.  В то же время в результате принятия вышеуказанного закона в Закон о данных в отношении судимости также были внесены соответствующие поправки, предусматривающие возможность бесплатного получения конкретным гражданином справки о судимости, свидетельствующей о том, был ли он осужден за одно из вышеупомянутых преступлений.</w:t>
      </w:r>
    </w:p>
    <w:p w:rsidR="00000000" w:rsidRDefault="00000000"/>
    <w:p w:rsidR="00000000" w:rsidRDefault="00000000">
      <w:r>
        <w:t>465.</w:t>
      </w:r>
      <w:r>
        <w:tab/>
        <w:t xml:space="preserve">В статье 6 главы 1 Закона о трудовых договорах, касающийся заключения трудовых договоров с несовершеннолетними и другими недееспособными лицами, содержится ссылка на положения </w:t>
      </w:r>
      <w:r>
        <w:rPr>
          <w:i/>
          <w:iCs/>
        </w:rPr>
        <w:t>Закона о молодых работниках</w:t>
      </w:r>
      <w:r>
        <w:t xml:space="preserve"> (998/1993).  Вследствие того, что Закон о трудовых договорах не содержит никаких положений о праве лиц в возрасте до 15 лет независимо заключать или расторгать трудовой договор, такое положение было добавлено в пункт 1 статьи 3 (57/2001) Закона о молодых работниках.</w:t>
      </w:r>
    </w:p>
    <w:p w:rsidR="00000000" w:rsidRDefault="00000000"/>
    <w:p w:rsidR="00000000" w:rsidRDefault="00000000">
      <w:pPr>
        <w:rPr>
          <w:i/>
          <w:iCs/>
        </w:rPr>
      </w:pPr>
      <w:r>
        <w:t>466.</w:t>
      </w:r>
      <w:r>
        <w:tab/>
        <w:t xml:space="preserve">С 1 июня 2005 года вступили в силу поправки к Закону об интеграции иммигрантов и приеме просителей убежища, направленные на реализацию положений Директивы Совета 2003/9/ЕС от 27 января 2003 года, устанавливающей минимальные стандарты для приема просителей убежища.  </w:t>
      </w:r>
    </w:p>
    <w:p w:rsidR="00000000" w:rsidRDefault="00000000"/>
    <w:p w:rsidR="00000000" w:rsidRDefault="00000000">
      <w:r>
        <w:t>467.</w:t>
      </w:r>
      <w:r>
        <w:tab/>
        <w:t>В этой директиве уделяется пристальное внимание удовлетворение особых потребностей ищущих убежище лиц, которые находятся в уязвимом положении.  В соответствии с ней в законопроекте, подготовленном правительством, подчеркивается, что одним из основных направлений деятельности должно быть наилучшее обеспечение интересов ребенка и особых потребностей детей.  Для оказания надлежащей помощи уязвимым лицам требуются более эффективные услуги в области консультирования, реабилитации и психического здоровья.</w:t>
      </w:r>
    </w:p>
    <w:p w:rsidR="00000000" w:rsidRDefault="00000000"/>
    <w:p w:rsidR="00000000" w:rsidRDefault="00000000">
      <w:r>
        <w:t>468.</w:t>
      </w:r>
      <w:r>
        <w:tab/>
        <w:t>Более эффективному и оперативному информированию просителей убежища способствует установление минимальных сроков, в течение которых информация должна быть предоставлена, и указание круга данных, которые должны предоставляться в каждом конкретном случае.  Правом принимать решения в отношении условий жизни и других вопросов, касающихся личности ребенка, прибывающего в Финляндию без сопровождения взрослого и ходатайствующего о предоставлении убежища, наделен директор центра приема, в который ребенок поступает.  Действие соответствующего права наступает с момента, когда ребенок регистрируется в центре, и прекращается при назначении личного представителя ребенка согласно положениям главы 5 Закона об интеграции иммигрантов и приеме просителей убежища.</w:t>
      </w:r>
    </w:p>
    <w:p w:rsidR="00000000" w:rsidRDefault="00000000">
      <w:r>
        <w:t>469.</w:t>
      </w:r>
      <w:r>
        <w:tab/>
        <w:t>Укреплен статус ходатайствующих о предоставлении убежища детей, которые не проживают в приемном центре или специальном общежитии.  Контактная информация о ребенке и лице, присматривающим за ребенком, должна быть доведена до сведения совета по социальному обеспечению того муниципалитета, на территории которого ребенок проживает.  Таким образом, совет по социальному обеспечению может по необходимости осуществлять надзор за положением ребенка.</w:t>
      </w:r>
    </w:p>
    <w:p w:rsidR="00000000" w:rsidRDefault="00000000"/>
    <w:p w:rsidR="00000000" w:rsidRDefault="00000000">
      <w:r>
        <w:t>470.</w:t>
      </w:r>
      <w:r>
        <w:tab/>
        <w:t>Правительство также считает целесообразным сослаться на периодические доклады об осуществлении Конвенции МОТ № 182, представленные в 2002 году (первый доклад) и 2004 году (</w:t>
      </w:r>
      <w:r>
        <w:rPr>
          <w:i/>
          <w:iCs/>
        </w:rPr>
        <w:t>приложения 19 и 20</w:t>
      </w:r>
      <w:r>
        <w:t>).</w:t>
      </w:r>
    </w:p>
    <w:p w:rsidR="00000000" w:rsidRDefault="00000000">
      <w:pPr>
        <w:rPr>
          <w:sz w:val="16"/>
        </w:rPr>
      </w:pPr>
    </w:p>
    <w:p w:rsidR="00000000" w:rsidRDefault="00000000">
      <w:pPr>
        <w:keepNext/>
        <w:jc w:val="center"/>
      </w:pPr>
      <w:r>
        <w:rPr>
          <w:b/>
          <w:bCs/>
        </w:rPr>
        <w:t>6 а)</w:t>
      </w:r>
      <w:r>
        <w:rPr>
          <w:b/>
          <w:bCs/>
        </w:rPr>
        <w:tab/>
        <w:t>Возрастные ограничения</w:t>
      </w:r>
    </w:p>
    <w:p w:rsidR="00000000" w:rsidRDefault="00000000">
      <w:pPr>
        <w:rPr>
          <w:sz w:val="16"/>
        </w:rPr>
      </w:pPr>
    </w:p>
    <w:p w:rsidR="00000000" w:rsidRDefault="00000000">
      <w:r>
        <w:t>471.</w:t>
      </w:r>
      <w:r>
        <w:tab/>
        <w:t>Правительство считает целесообразным сослаться на периодические доклады об осуществлении Конвенции МОТ № 138, представленные в 2000, 2002 и 2004 годах (</w:t>
      </w:r>
      <w:r>
        <w:rPr>
          <w:i/>
          <w:iCs/>
        </w:rPr>
        <w:t>приложения 21-23</w:t>
      </w:r>
      <w:r>
        <w:t>).</w:t>
      </w:r>
    </w:p>
    <w:p w:rsidR="00000000" w:rsidRDefault="00000000">
      <w:pPr>
        <w:rPr>
          <w:sz w:val="16"/>
        </w:rPr>
      </w:pPr>
    </w:p>
    <w:p w:rsidR="00000000" w:rsidRDefault="00000000">
      <w:pPr>
        <w:keepNext/>
        <w:jc w:val="center"/>
      </w:pPr>
      <w:r>
        <w:rPr>
          <w:b/>
          <w:bCs/>
        </w:rPr>
        <w:t xml:space="preserve">6 </w:t>
      </w:r>
      <w:r>
        <w:rPr>
          <w:b/>
          <w:bCs/>
          <w:lang w:val="en-US"/>
        </w:rPr>
        <w:t>b</w:t>
      </w:r>
      <w:r>
        <w:rPr>
          <w:b/>
          <w:bCs/>
        </w:rPr>
        <w:t>)</w:t>
      </w:r>
      <w:r>
        <w:rPr>
          <w:b/>
          <w:bCs/>
        </w:rPr>
        <w:tab/>
        <w:t>Статистические данные о детях, занятых на оплачиваемой работе</w:t>
      </w:r>
    </w:p>
    <w:p w:rsidR="00000000" w:rsidRDefault="00000000">
      <w:pPr>
        <w:rPr>
          <w:sz w:val="16"/>
        </w:rPr>
      </w:pPr>
    </w:p>
    <w:p w:rsidR="00000000" w:rsidRDefault="00000000">
      <w:pPr>
        <w:keepNext/>
        <w:ind w:left="1701" w:hanging="1701"/>
        <w:jc w:val="center"/>
        <w:rPr>
          <w:b/>
          <w:bCs/>
        </w:rPr>
      </w:pPr>
      <w:r>
        <w:rPr>
          <w:b/>
          <w:bCs/>
        </w:rPr>
        <w:t>Таблица 24</w:t>
      </w:r>
    </w:p>
    <w:p w:rsidR="00000000" w:rsidRDefault="00000000">
      <w:pPr>
        <w:rPr>
          <w:sz w:val="16"/>
        </w:rPr>
      </w:pPr>
    </w:p>
    <w:p w:rsidR="00000000" w:rsidRDefault="00000000">
      <w:pPr>
        <w:keepNext/>
        <w:tabs>
          <w:tab w:val="clear" w:pos="1701"/>
        </w:tabs>
        <w:jc w:val="center"/>
        <w:rPr>
          <w:b/>
          <w:bCs/>
        </w:rPr>
      </w:pPr>
      <w:r>
        <w:rPr>
          <w:b/>
          <w:bCs/>
        </w:rPr>
        <w:t>Подростки в возрасте 15</w:t>
      </w:r>
      <w:r>
        <w:rPr>
          <w:b/>
          <w:bCs/>
        </w:rPr>
        <w:noBreakHyphen/>
        <w:t>17 лет, занятые на оплачиваемой работе</w:t>
      </w:r>
    </w:p>
    <w:p w:rsidR="00000000" w:rsidRDefault="00000000">
      <w:pPr>
        <w:keepNext/>
        <w:tabs>
          <w:tab w:val="clear" w:pos="1701"/>
        </w:tabs>
        <w:jc w:val="center"/>
        <w:rPr>
          <w:b/>
          <w:bCs/>
        </w:rPr>
      </w:pPr>
      <w:r>
        <w:rPr>
          <w:b/>
          <w:bCs/>
        </w:rPr>
        <w:t>в 1994, 1999 и 2004 годах</w:t>
      </w:r>
    </w:p>
    <w:p w:rsidR="00000000" w:rsidRDefault="00000000">
      <w:pPr>
        <w:rPr>
          <w:sz w:val="16"/>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851"/>
        <w:gridCol w:w="1134"/>
        <w:gridCol w:w="2285"/>
        <w:gridCol w:w="2827"/>
        <w:gridCol w:w="2254"/>
      </w:tblGrid>
      <w:tr w:rsidR="00000000">
        <w:trPr>
          <w:cantSplit/>
          <w:tblHeader/>
        </w:trPr>
        <w:tc>
          <w:tcPr>
            <w:tcW w:w="851" w:type="dxa"/>
            <w:tcBorders>
              <w:bottom w:val="single" w:sz="4" w:space="0" w:color="auto"/>
            </w:tcBorders>
          </w:tcPr>
          <w:p w:rsidR="00000000" w:rsidRDefault="00000000">
            <w:pPr>
              <w:autoSpaceDE w:val="0"/>
              <w:autoSpaceDN w:val="0"/>
              <w:adjustRightInd w:val="0"/>
              <w:spacing w:line="240" w:lineRule="auto"/>
              <w:jc w:val="center"/>
            </w:pPr>
            <w:r>
              <w:t>Год</w:t>
            </w:r>
          </w:p>
        </w:tc>
        <w:tc>
          <w:tcPr>
            <w:tcW w:w="1134" w:type="dxa"/>
            <w:tcBorders>
              <w:bottom w:val="single" w:sz="4" w:space="0" w:color="auto"/>
            </w:tcBorders>
          </w:tcPr>
          <w:p w:rsidR="00000000" w:rsidRDefault="00000000">
            <w:pPr>
              <w:autoSpaceDE w:val="0"/>
              <w:autoSpaceDN w:val="0"/>
              <w:adjustRightInd w:val="0"/>
              <w:spacing w:line="240" w:lineRule="auto"/>
              <w:jc w:val="center"/>
            </w:pPr>
            <w:r>
              <w:t>Возраст</w:t>
            </w:r>
          </w:p>
        </w:tc>
        <w:tc>
          <w:tcPr>
            <w:tcW w:w="2285" w:type="dxa"/>
            <w:tcBorders>
              <w:bottom w:val="single" w:sz="4" w:space="0" w:color="auto"/>
            </w:tcBorders>
          </w:tcPr>
          <w:p w:rsidR="00000000" w:rsidRDefault="00000000">
            <w:pPr>
              <w:autoSpaceDE w:val="0"/>
              <w:autoSpaceDN w:val="0"/>
              <w:adjustRightInd w:val="0"/>
              <w:spacing w:line="240" w:lineRule="auto"/>
              <w:jc w:val="center"/>
            </w:pPr>
            <w:r>
              <w:t>Общая численность</w:t>
            </w:r>
          </w:p>
        </w:tc>
        <w:tc>
          <w:tcPr>
            <w:tcW w:w="2827" w:type="dxa"/>
            <w:tcBorders>
              <w:bottom w:val="single" w:sz="4" w:space="0" w:color="auto"/>
            </w:tcBorders>
          </w:tcPr>
          <w:p w:rsidR="00000000" w:rsidRDefault="00000000">
            <w:pPr>
              <w:autoSpaceDE w:val="0"/>
              <w:autoSpaceDN w:val="0"/>
              <w:adjustRightInd w:val="0"/>
              <w:spacing w:line="240" w:lineRule="auto"/>
              <w:jc w:val="center"/>
            </w:pPr>
            <w:r>
              <w:t>В категории рабочей силы</w:t>
            </w:r>
          </w:p>
        </w:tc>
        <w:tc>
          <w:tcPr>
            <w:tcW w:w="2254" w:type="dxa"/>
            <w:tcBorders>
              <w:bottom w:val="single" w:sz="4" w:space="0" w:color="auto"/>
            </w:tcBorders>
          </w:tcPr>
          <w:p w:rsidR="00000000" w:rsidRDefault="00000000">
            <w:pPr>
              <w:autoSpaceDE w:val="0"/>
              <w:autoSpaceDN w:val="0"/>
              <w:adjustRightInd w:val="0"/>
              <w:spacing w:line="240" w:lineRule="auto"/>
              <w:jc w:val="center"/>
            </w:pPr>
            <w:r>
              <w:t>На оплачиваемой работе</w:t>
            </w:r>
          </w:p>
        </w:tc>
      </w:tr>
      <w:tr w:rsidR="00000000">
        <w:trPr>
          <w:cantSplit/>
        </w:trPr>
        <w:tc>
          <w:tcPr>
            <w:tcW w:w="851" w:type="dxa"/>
            <w:tcBorders>
              <w:bottom w:val="nil"/>
            </w:tcBorders>
          </w:tcPr>
          <w:p w:rsidR="00000000" w:rsidRDefault="00000000">
            <w:pPr>
              <w:autoSpaceDE w:val="0"/>
              <w:autoSpaceDN w:val="0"/>
              <w:adjustRightInd w:val="0"/>
              <w:spacing w:line="240" w:lineRule="auto"/>
              <w:jc w:val="center"/>
            </w:pPr>
            <w:r>
              <w:t>1994</w:t>
            </w:r>
          </w:p>
        </w:tc>
        <w:tc>
          <w:tcPr>
            <w:tcW w:w="1134" w:type="dxa"/>
            <w:tcBorders>
              <w:bottom w:val="nil"/>
            </w:tcBorders>
          </w:tcPr>
          <w:p w:rsidR="00000000" w:rsidRDefault="00000000">
            <w:pPr>
              <w:autoSpaceDE w:val="0"/>
              <w:autoSpaceDN w:val="0"/>
              <w:adjustRightInd w:val="0"/>
              <w:spacing w:line="240" w:lineRule="auto"/>
              <w:jc w:val="center"/>
            </w:pPr>
            <w:r>
              <w:t>15</w:t>
            </w:r>
          </w:p>
        </w:tc>
        <w:tc>
          <w:tcPr>
            <w:tcW w:w="2285" w:type="dxa"/>
            <w:tcBorders>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68 400</w:t>
            </w:r>
          </w:p>
        </w:tc>
        <w:tc>
          <w:tcPr>
            <w:tcW w:w="2827" w:type="dxa"/>
            <w:tcBorders>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 xml:space="preserve">  8 400</w:t>
            </w:r>
          </w:p>
        </w:tc>
        <w:tc>
          <w:tcPr>
            <w:tcW w:w="2254" w:type="dxa"/>
            <w:tcBorders>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5 300</w:t>
            </w:r>
          </w:p>
        </w:tc>
      </w:tr>
      <w:tr w:rsidR="00000000">
        <w:trPr>
          <w:cantSplit/>
        </w:trPr>
        <w:tc>
          <w:tcPr>
            <w:tcW w:w="851" w:type="dxa"/>
            <w:tcBorders>
              <w:top w:val="nil"/>
              <w:bottom w:val="nil"/>
            </w:tcBorders>
          </w:tcPr>
          <w:p w:rsidR="00000000" w:rsidRDefault="00000000">
            <w:pPr>
              <w:autoSpaceDE w:val="0"/>
              <w:autoSpaceDN w:val="0"/>
              <w:adjustRightInd w:val="0"/>
              <w:spacing w:line="240" w:lineRule="auto"/>
              <w:jc w:val="center"/>
            </w:pPr>
          </w:p>
        </w:tc>
        <w:tc>
          <w:tcPr>
            <w:tcW w:w="1134" w:type="dxa"/>
            <w:tcBorders>
              <w:top w:val="nil"/>
              <w:bottom w:val="nil"/>
            </w:tcBorders>
          </w:tcPr>
          <w:p w:rsidR="00000000" w:rsidRDefault="00000000">
            <w:pPr>
              <w:autoSpaceDE w:val="0"/>
              <w:autoSpaceDN w:val="0"/>
              <w:adjustRightInd w:val="0"/>
              <w:spacing w:line="240" w:lineRule="auto"/>
              <w:jc w:val="center"/>
            </w:pPr>
            <w:r>
              <w:t>16</w:t>
            </w:r>
          </w:p>
        </w:tc>
        <w:tc>
          <w:tcPr>
            <w:tcW w:w="2285" w:type="dxa"/>
            <w:tcBorders>
              <w:top w:val="nil"/>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66 600</w:t>
            </w:r>
          </w:p>
        </w:tc>
        <w:tc>
          <w:tcPr>
            <w:tcW w:w="2827" w:type="dxa"/>
            <w:tcBorders>
              <w:top w:val="nil"/>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11 000</w:t>
            </w:r>
          </w:p>
        </w:tc>
        <w:tc>
          <w:tcPr>
            <w:tcW w:w="2254" w:type="dxa"/>
            <w:tcBorders>
              <w:top w:val="nil"/>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6 700</w:t>
            </w:r>
          </w:p>
        </w:tc>
      </w:tr>
      <w:tr w:rsidR="00000000">
        <w:trPr>
          <w:cantSplit/>
        </w:trPr>
        <w:tc>
          <w:tcPr>
            <w:tcW w:w="851" w:type="dxa"/>
            <w:tcBorders>
              <w:top w:val="nil"/>
              <w:bottom w:val="nil"/>
            </w:tcBorders>
          </w:tcPr>
          <w:p w:rsidR="00000000" w:rsidRDefault="00000000">
            <w:pPr>
              <w:autoSpaceDE w:val="0"/>
              <w:autoSpaceDN w:val="0"/>
              <w:adjustRightInd w:val="0"/>
              <w:spacing w:line="240" w:lineRule="auto"/>
              <w:jc w:val="center"/>
            </w:pPr>
          </w:p>
        </w:tc>
        <w:tc>
          <w:tcPr>
            <w:tcW w:w="1134" w:type="dxa"/>
            <w:tcBorders>
              <w:top w:val="nil"/>
              <w:bottom w:val="nil"/>
            </w:tcBorders>
          </w:tcPr>
          <w:p w:rsidR="00000000" w:rsidRDefault="00000000">
            <w:pPr>
              <w:autoSpaceDE w:val="0"/>
              <w:autoSpaceDN w:val="0"/>
              <w:adjustRightInd w:val="0"/>
              <w:spacing w:line="240" w:lineRule="auto"/>
              <w:jc w:val="center"/>
            </w:pPr>
            <w:r>
              <w:t>17</w:t>
            </w:r>
          </w:p>
        </w:tc>
        <w:tc>
          <w:tcPr>
            <w:tcW w:w="2285" w:type="dxa"/>
            <w:tcBorders>
              <w:top w:val="nil"/>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68 600</w:t>
            </w:r>
          </w:p>
        </w:tc>
        <w:tc>
          <w:tcPr>
            <w:tcW w:w="2827" w:type="dxa"/>
            <w:tcBorders>
              <w:top w:val="nil"/>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14 500</w:t>
            </w:r>
          </w:p>
        </w:tc>
        <w:tc>
          <w:tcPr>
            <w:tcW w:w="2254" w:type="dxa"/>
            <w:tcBorders>
              <w:top w:val="nil"/>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8 800</w:t>
            </w:r>
          </w:p>
        </w:tc>
      </w:tr>
      <w:tr w:rsidR="00000000">
        <w:trPr>
          <w:cantSplit/>
        </w:trPr>
        <w:tc>
          <w:tcPr>
            <w:tcW w:w="851" w:type="dxa"/>
            <w:tcBorders>
              <w:bottom w:val="nil"/>
            </w:tcBorders>
          </w:tcPr>
          <w:p w:rsidR="00000000" w:rsidRDefault="00000000">
            <w:pPr>
              <w:autoSpaceDE w:val="0"/>
              <w:autoSpaceDN w:val="0"/>
              <w:adjustRightInd w:val="0"/>
              <w:spacing w:line="240" w:lineRule="auto"/>
              <w:jc w:val="center"/>
            </w:pPr>
            <w:r>
              <w:t>1999</w:t>
            </w:r>
          </w:p>
        </w:tc>
        <w:tc>
          <w:tcPr>
            <w:tcW w:w="1134" w:type="dxa"/>
            <w:tcBorders>
              <w:bottom w:val="nil"/>
            </w:tcBorders>
          </w:tcPr>
          <w:p w:rsidR="00000000" w:rsidRDefault="00000000">
            <w:pPr>
              <w:autoSpaceDE w:val="0"/>
              <w:autoSpaceDN w:val="0"/>
              <w:adjustRightInd w:val="0"/>
              <w:spacing w:line="240" w:lineRule="auto"/>
              <w:jc w:val="center"/>
            </w:pPr>
            <w:r>
              <w:t>15</w:t>
            </w:r>
          </w:p>
        </w:tc>
        <w:tc>
          <w:tcPr>
            <w:tcW w:w="2285" w:type="dxa"/>
            <w:tcBorders>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67 800</w:t>
            </w:r>
          </w:p>
        </w:tc>
        <w:tc>
          <w:tcPr>
            <w:tcW w:w="2827" w:type="dxa"/>
            <w:tcBorders>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11 700</w:t>
            </w:r>
          </w:p>
        </w:tc>
        <w:tc>
          <w:tcPr>
            <w:tcW w:w="2254" w:type="dxa"/>
            <w:tcBorders>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7 600</w:t>
            </w:r>
          </w:p>
        </w:tc>
      </w:tr>
      <w:tr w:rsidR="00000000">
        <w:trPr>
          <w:cantSplit/>
        </w:trPr>
        <w:tc>
          <w:tcPr>
            <w:tcW w:w="851" w:type="dxa"/>
            <w:tcBorders>
              <w:top w:val="nil"/>
              <w:bottom w:val="nil"/>
            </w:tcBorders>
          </w:tcPr>
          <w:p w:rsidR="00000000" w:rsidRDefault="00000000">
            <w:pPr>
              <w:autoSpaceDE w:val="0"/>
              <w:autoSpaceDN w:val="0"/>
              <w:adjustRightInd w:val="0"/>
              <w:spacing w:line="240" w:lineRule="auto"/>
              <w:jc w:val="center"/>
            </w:pPr>
          </w:p>
        </w:tc>
        <w:tc>
          <w:tcPr>
            <w:tcW w:w="1134" w:type="dxa"/>
            <w:tcBorders>
              <w:top w:val="nil"/>
              <w:bottom w:val="nil"/>
            </w:tcBorders>
          </w:tcPr>
          <w:p w:rsidR="00000000" w:rsidRDefault="00000000">
            <w:pPr>
              <w:autoSpaceDE w:val="0"/>
              <w:autoSpaceDN w:val="0"/>
              <w:adjustRightInd w:val="0"/>
              <w:spacing w:line="240" w:lineRule="auto"/>
              <w:jc w:val="center"/>
            </w:pPr>
            <w:r>
              <w:t>16</w:t>
            </w:r>
          </w:p>
        </w:tc>
        <w:tc>
          <w:tcPr>
            <w:tcW w:w="2285" w:type="dxa"/>
            <w:tcBorders>
              <w:top w:val="nil"/>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71 600</w:t>
            </w:r>
          </w:p>
        </w:tc>
        <w:tc>
          <w:tcPr>
            <w:tcW w:w="2827" w:type="dxa"/>
            <w:tcBorders>
              <w:top w:val="nil"/>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18 600</w:t>
            </w:r>
          </w:p>
        </w:tc>
        <w:tc>
          <w:tcPr>
            <w:tcW w:w="2254" w:type="dxa"/>
            <w:tcBorders>
              <w:top w:val="nil"/>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12 000</w:t>
            </w:r>
          </w:p>
        </w:tc>
      </w:tr>
      <w:tr w:rsidR="00000000">
        <w:trPr>
          <w:cantSplit/>
        </w:trPr>
        <w:tc>
          <w:tcPr>
            <w:tcW w:w="851" w:type="dxa"/>
            <w:tcBorders>
              <w:top w:val="nil"/>
              <w:bottom w:val="single" w:sz="4" w:space="0" w:color="auto"/>
            </w:tcBorders>
          </w:tcPr>
          <w:p w:rsidR="00000000" w:rsidRDefault="00000000">
            <w:pPr>
              <w:autoSpaceDE w:val="0"/>
              <w:autoSpaceDN w:val="0"/>
              <w:adjustRightInd w:val="0"/>
              <w:spacing w:line="240" w:lineRule="auto"/>
              <w:jc w:val="center"/>
            </w:pPr>
          </w:p>
        </w:tc>
        <w:tc>
          <w:tcPr>
            <w:tcW w:w="1134" w:type="dxa"/>
            <w:tcBorders>
              <w:top w:val="nil"/>
              <w:bottom w:val="single" w:sz="4" w:space="0" w:color="auto"/>
            </w:tcBorders>
          </w:tcPr>
          <w:p w:rsidR="00000000" w:rsidRDefault="00000000">
            <w:pPr>
              <w:autoSpaceDE w:val="0"/>
              <w:autoSpaceDN w:val="0"/>
              <w:adjustRightInd w:val="0"/>
              <w:spacing w:line="240" w:lineRule="auto"/>
              <w:jc w:val="center"/>
            </w:pPr>
            <w:r>
              <w:t>17</w:t>
            </w:r>
          </w:p>
        </w:tc>
        <w:tc>
          <w:tcPr>
            <w:tcW w:w="2285" w:type="dxa"/>
            <w:tcBorders>
              <w:top w:val="nil"/>
              <w:bottom w:val="single" w:sz="4" w:space="0" w:color="auto"/>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67 500</w:t>
            </w:r>
          </w:p>
        </w:tc>
        <w:tc>
          <w:tcPr>
            <w:tcW w:w="2827" w:type="dxa"/>
            <w:tcBorders>
              <w:top w:val="nil"/>
              <w:bottom w:val="single" w:sz="4" w:space="0" w:color="auto"/>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22 100</w:t>
            </w:r>
          </w:p>
        </w:tc>
        <w:tc>
          <w:tcPr>
            <w:tcW w:w="2254" w:type="dxa"/>
            <w:tcBorders>
              <w:top w:val="nil"/>
              <w:bottom w:val="single" w:sz="4" w:space="0" w:color="auto"/>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14 700</w:t>
            </w:r>
          </w:p>
        </w:tc>
      </w:tr>
      <w:tr w:rsidR="00000000">
        <w:trPr>
          <w:cantSplit/>
        </w:trPr>
        <w:tc>
          <w:tcPr>
            <w:tcW w:w="851" w:type="dxa"/>
            <w:tcBorders>
              <w:bottom w:val="nil"/>
            </w:tcBorders>
          </w:tcPr>
          <w:p w:rsidR="00000000" w:rsidRDefault="00000000">
            <w:pPr>
              <w:autoSpaceDE w:val="0"/>
              <w:autoSpaceDN w:val="0"/>
              <w:adjustRightInd w:val="0"/>
              <w:spacing w:line="240" w:lineRule="auto"/>
              <w:jc w:val="center"/>
            </w:pPr>
            <w:r>
              <w:t>2004</w:t>
            </w:r>
          </w:p>
        </w:tc>
        <w:tc>
          <w:tcPr>
            <w:tcW w:w="1134" w:type="dxa"/>
            <w:tcBorders>
              <w:bottom w:val="nil"/>
            </w:tcBorders>
          </w:tcPr>
          <w:p w:rsidR="00000000" w:rsidRDefault="00000000">
            <w:pPr>
              <w:autoSpaceDE w:val="0"/>
              <w:autoSpaceDN w:val="0"/>
              <w:adjustRightInd w:val="0"/>
              <w:spacing w:line="240" w:lineRule="auto"/>
              <w:jc w:val="center"/>
            </w:pPr>
            <w:r>
              <w:t>15</w:t>
            </w:r>
          </w:p>
        </w:tc>
        <w:tc>
          <w:tcPr>
            <w:tcW w:w="2285" w:type="dxa"/>
            <w:tcBorders>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70 400</w:t>
            </w:r>
          </w:p>
        </w:tc>
        <w:tc>
          <w:tcPr>
            <w:tcW w:w="2827" w:type="dxa"/>
            <w:tcBorders>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 xml:space="preserve">  9 600</w:t>
            </w:r>
          </w:p>
        </w:tc>
        <w:tc>
          <w:tcPr>
            <w:tcW w:w="2254" w:type="dxa"/>
            <w:tcBorders>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 xml:space="preserve">  6 100</w:t>
            </w:r>
          </w:p>
        </w:tc>
      </w:tr>
      <w:tr w:rsidR="00000000">
        <w:trPr>
          <w:cantSplit/>
        </w:trPr>
        <w:tc>
          <w:tcPr>
            <w:tcW w:w="851" w:type="dxa"/>
            <w:tcBorders>
              <w:top w:val="nil"/>
              <w:bottom w:val="nil"/>
            </w:tcBorders>
          </w:tcPr>
          <w:p w:rsidR="00000000" w:rsidRDefault="00000000">
            <w:pPr>
              <w:autoSpaceDE w:val="0"/>
              <w:autoSpaceDN w:val="0"/>
              <w:adjustRightInd w:val="0"/>
              <w:spacing w:line="240" w:lineRule="auto"/>
              <w:jc w:val="center"/>
            </w:pPr>
          </w:p>
        </w:tc>
        <w:tc>
          <w:tcPr>
            <w:tcW w:w="1134" w:type="dxa"/>
            <w:tcBorders>
              <w:top w:val="nil"/>
              <w:bottom w:val="nil"/>
            </w:tcBorders>
          </w:tcPr>
          <w:p w:rsidR="00000000" w:rsidRDefault="00000000">
            <w:pPr>
              <w:autoSpaceDE w:val="0"/>
              <w:autoSpaceDN w:val="0"/>
              <w:adjustRightInd w:val="0"/>
              <w:spacing w:line="240" w:lineRule="auto"/>
              <w:jc w:val="center"/>
            </w:pPr>
            <w:r>
              <w:t>16</w:t>
            </w:r>
          </w:p>
        </w:tc>
        <w:tc>
          <w:tcPr>
            <w:tcW w:w="2285" w:type="dxa"/>
            <w:tcBorders>
              <w:top w:val="nil"/>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64 400</w:t>
            </w:r>
          </w:p>
        </w:tc>
        <w:tc>
          <w:tcPr>
            <w:tcW w:w="2827" w:type="dxa"/>
            <w:tcBorders>
              <w:top w:val="nil"/>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14 200</w:t>
            </w:r>
          </w:p>
        </w:tc>
        <w:tc>
          <w:tcPr>
            <w:tcW w:w="2254" w:type="dxa"/>
            <w:tcBorders>
              <w:top w:val="nil"/>
              <w:bottom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 xml:space="preserve">  9 100</w:t>
            </w:r>
          </w:p>
        </w:tc>
      </w:tr>
      <w:tr w:rsidR="00000000">
        <w:trPr>
          <w:cantSplit/>
        </w:trPr>
        <w:tc>
          <w:tcPr>
            <w:tcW w:w="851" w:type="dxa"/>
            <w:tcBorders>
              <w:top w:val="nil"/>
            </w:tcBorders>
          </w:tcPr>
          <w:p w:rsidR="00000000" w:rsidRDefault="00000000">
            <w:pPr>
              <w:autoSpaceDE w:val="0"/>
              <w:autoSpaceDN w:val="0"/>
              <w:adjustRightInd w:val="0"/>
              <w:spacing w:line="240" w:lineRule="auto"/>
              <w:jc w:val="center"/>
            </w:pPr>
          </w:p>
        </w:tc>
        <w:tc>
          <w:tcPr>
            <w:tcW w:w="1134" w:type="dxa"/>
            <w:tcBorders>
              <w:top w:val="nil"/>
            </w:tcBorders>
          </w:tcPr>
          <w:p w:rsidR="00000000" w:rsidRDefault="00000000">
            <w:pPr>
              <w:autoSpaceDE w:val="0"/>
              <w:autoSpaceDN w:val="0"/>
              <w:adjustRightInd w:val="0"/>
              <w:spacing w:line="240" w:lineRule="auto"/>
              <w:jc w:val="center"/>
            </w:pPr>
            <w:r>
              <w:t>17</w:t>
            </w:r>
          </w:p>
        </w:tc>
        <w:tc>
          <w:tcPr>
            <w:tcW w:w="2285" w:type="dxa"/>
            <w:tcBorders>
              <w:top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61 800</w:t>
            </w:r>
          </w:p>
        </w:tc>
        <w:tc>
          <w:tcPr>
            <w:tcW w:w="2827" w:type="dxa"/>
            <w:tcBorders>
              <w:top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16 800</w:t>
            </w:r>
          </w:p>
        </w:tc>
        <w:tc>
          <w:tcPr>
            <w:tcW w:w="2254" w:type="dxa"/>
            <w:tcBorders>
              <w:top w:val="nil"/>
            </w:tcBorders>
          </w:tcPr>
          <w:p w:rsidR="00000000" w:rsidRDefault="00000000">
            <w:pPr>
              <w:tabs>
                <w:tab w:val="clear" w:pos="567"/>
                <w:tab w:val="clear" w:pos="1134"/>
                <w:tab w:val="clear" w:pos="1701"/>
                <w:tab w:val="clear" w:pos="2268"/>
                <w:tab w:val="clear" w:pos="6237"/>
              </w:tabs>
              <w:autoSpaceDE w:val="0"/>
              <w:autoSpaceDN w:val="0"/>
              <w:adjustRightInd w:val="0"/>
              <w:spacing w:line="240" w:lineRule="auto"/>
              <w:jc w:val="center"/>
            </w:pPr>
            <w:r>
              <w:t>11 600</w:t>
            </w:r>
          </w:p>
        </w:tc>
      </w:tr>
    </w:tbl>
    <w:p w:rsidR="00000000" w:rsidRDefault="00000000">
      <w:r>
        <w:br/>
      </w:r>
      <w:r>
        <w:tab/>
      </w:r>
      <w:r>
        <w:rPr>
          <w:i/>
          <w:iCs/>
        </w:rPr>
        <w:t>Источник</w:t>
      </w:r>
      <w:r>
        <w:t>:  Статистическое управление Финляндии, обследование рабочей силы.</w:t>
      </w:r>
    </w:p>
    <w:p w:rsidR="00000000" w:rsidRDefault="00000000">
      <w:pPr>
        <w:rPr>
          <w:sz w:val="16"/>
        </w:rPr>
      </w:pPr>
    </w:p>
    <w:p w:rsidR="00000000" w:rsidRDefault="00000000">
      <w:r>
        <w:tab/>
        <w:t>В категорию рабочей силы входят как лица, занятые на оплачиваемой работе, так и безработные.</w:t>
      </w:r>
    </w:p>
    <w:p w:rsidR="00000000" w:rsidRDefault="00000000">
      <w:pPr>
        <w:jc w:val="center"/>
      </w:pPr>
      <w:r>
        <w:rPr>
          <w:b/>
          <w:bCs/>
        </w:rPr>
        <w:t>Статья 11</w:t>
      </w:r>
    </w:p>
    <w:p w:rsidR="00000000" w:rsidRDefault="00000000"/>
    <w:p w:rsidR="00000000" w:rsidRDefault="00000000">
      <w:pPr>
        <w:jc w:val="center"/>
        <w:rPr>
          <w:b/>
          <w:bCs/>
        </w:rPr>
      </w:pPr>
      <w:r>
        <w:rPr>
          <w:b/>
          <w:bCs/>
        </w:rPr>
        <w:t>1.</w:t>
      </w:r>
      <w:r>
        <w:rPr>
          <w:b/>
          <w:bCs/>
        </w:rPr>
        <w:tab/>
        <w:t>Право на достаточный жизненный уровень</w:t>
      </w:r>
    </w:p>
    <w:p w:rsidR="00000000" w:rsidRDefault="00000000">
      <w:pPr>
        <w:rPr>
          <w:b/>
          <w:bCs/>
        </w:rPr>
      </w:pPr>
    </w:p>
    <w:p w:rsidR="00000000" w:rsidRDefault="00000000">
      <w:r>
        <w:t>472.</w:t>
      </w:r>
      <w:r>
        <w:tab/>
      </w:r>
      <w:r>
        <w:rPr>
          <w:i/>
          <w:iCs/>
        </w:rPr>
        <w:t>Пособие на проживание.</w:t>
      </w:r>
      <w:r>
        <w:t xml:space="preserve">  В целях оказания помощи лицам, испытывающим финансовые затруднения, и предупреждения социального отчуждения все шире используется система предварительных пособий на проживание, которая стала более гибкой.  Местные власти могут предоставлять пособия на проживание в качестве превентивной меры, если, по их мнению, заявитель нуждается в поддержке, несмотря на то, что финансовое положение самого заявителя или его/ее семьи как таковое не требует выплаты указанного пособия.  Реформа подразумевает все более активное использование предварительного пособия на проживание в рамках систематической социальной работы.</w:t>
      </w:r>
    </w:p>
    <w:p w:rsidR="00000000" w:rsidRDefault="00000000"/>
    <w:p w:rsidR="00000000" w:rsidRDefault="00000000">
      <w:r>
        <w:t>473.</w:t>
      </w:r>
      <w:r>
        <w:tab/>
        <w:t>Подобного рода предварительная финансовая поддержка имеет целью улучшение возможностей социального обеспечения и независимости соответствующего лица и его/ее семьи, а также предупреждение социального отчуждения и долгосрочного использования пособия на проживание.  Пособие на проживание может выплачиваться, в частности, для целей повышения социальной активности бенефициара, оказания жилищной поддержки, облегчения финансовых трудностей, вызванных задолженностью и резким ухудшением платежеспособности, и улучшения стимулирования независимого образа жизни бенефициара.</w:t>
      </w:r>
    </w:p>
    <w:p w:rsidR="00000000" w:rsidRDefault="00000000"/>
    <w:p w:rsidR="00000000" w:rsidRDefault="00000000">
      <w:r>
        <w:t>474.</w:t>
      </w:r>
      <w:r>
        <w:tab/>
        <w:t xml:space="preserve">В 2002 году предварительное пособие на проживание было выплачено 10 500 домашним хозяйствам, в 2001 году - 17 100 домашним хозяйствам.  Значительное увеличение бенефициаров в 2001 году обусловливается вступившей в силу 1 апреля 2001 года поправкой к законодательству, которая повысила эффективность системы пособий на проживание и стимулировала более активное использование предварительного пособия на проживание в процессе систематической работы в области социального обеспечения.  В 2002 году предварительное пособие на проживание было предоставлено 19 245 домашним хозяйствам, а в 2003 году - 19 134 домашним хозяйствам.  </w:t>
      </w:r>
    </w:p>
    <w:p w:rsidR="00000000" w:rsidRDefault="00000000"/>
    <w:p w:rsidR="00000000" w:rsidRDefault="00000000">
      <w:pPr>
        <w:rPr>
          <w:lang w:val="en-US"/>
        </w:rPr>
      </w:pPr>
      <w:r>
        <w:t>475.</w:t>
      </w:r>
      <w:r>
        <w:tab/>
        <w:t xml:space="preserve">В 2001 году было выпущено руководство по вопросам предоставления пособия на проживание (пересмотрено в 2003 году;  Social Assistance.  Handbook for the Application of the Act on Social Assistance.  </w:t>
      </w:r>
      <w:r>
        <w:rPr>
          <w:lang w:val="en-US"/>
        </w:rPr>
        <w:t>5-e revised edition, Helsinki).</w:t>
      </w:r>
    </w:p>
    <w:p w:rsidR="00000000" w:rsidRDefault="00000000">
      <w:pPr>
        <w:rPr>
          <w:lang w:val="en-US"/>
        </w:rPr>
      </w:pPr>
    </w:p>
    <w:p w:rsidR="00000000" w:rsidRDefault="00000000">
      <w:r>
        <w:t>476.</w:t>
      </w:r>
      <w:r>
        <w:tab/>
        <w:t xml:space="preserve">В 2001 году вступил в силу </w:t>
      </w:r>
      <w:r>
        <w:rPr>
          <w:i/>
          <w:iCs/>
        </w:rPr>
        <w:t>Закон о реабилитационной работе</w:t>
      </w:r>
      <w:r>
        <w:t>.  В 2002 году министерство социальных дел и здравоохранения и министерство труда представили первоначальный доклад об осуществлении этого закона парламентскому комитету по вопросам социального обеспечения здравоохранения.</w:t>
      </w:r>
    </w:p>
    <w:p w:rsidR="00000000" w:rsidRDefault="00000000">
      <w:r>
        <w:t>477.</w:t>
      </w:r>
      <w:r>
        <w:tab/>
        <w:t xml:space="preserve">1 января 2003 года вступил в силу </w:t>
      </w:r>
      <w:r>
        <w:rPr>
          <w:i/>
          <w:iCs/>
        </w:rPr>
        <w:t>Закон о предоставлении социальных займов</w:t>
      </w:r>
      <w:r>
        <w:t xml:space="preserve">.  В рамках своей системы услуг в области социального обеспечения местные власти могут предоставлять социальные займы в целях предупреждения социального отчуждения и задолженности, а также в целях стимулирования независимого образа жизни соответствующего лица и его/ее семьи.  Принимая решение о предоставлении социального займа, местные власти должны установить связанные с ним условия.  Социальный займ по обоснованной причине может быть предоставлен лицу, которое не имеет другой возможности получить займ на разумных условиях вследствие небольшого размера своего дохода или нехватки средств, но которое может погасить займ.  </w:t>
      </w:r>
    </w:p>
    <w:p w:rsidR="00000000" w:rsidRDefault="00000000"/>
    <w:p w:rsidR="00000000" w:rsidRDefault="00000000">
      <w:r>
        <w:t>478.</w:t>
      </w:r>
      <w:r>
        <w:tab/>
        <w:t>До предоставления займа необходимо определиться с возможным правом заявителя на пособие на проживание.  Право соответствующего лица на пособие на проживание не может быть ограничено, равно как и сумма этого пособия не может быть уменьшена по причине возможного получения им/ею социального займа.</w:t>
      </w:r>
    </w:p>
    <w:p w:rsidR="00000000" w:rsidRDefault="00000000"/>
    <w:p w:rsidR="00000000" w:rsidRDefault="00000000">
      <w:r>
        <w:t>479.</w:t>
      </w:r>
      <w:r>
        <w:tab/>
      </w:r>
      <w:r>
        <w:rPr>
          <w:i/>
          <w:iCs/>
        </w:rPr>
        <w:t>Национальный план действий</w:t>
      </w:r>
      <w:r>
        <w:t>.  В марте 2000 года Европейский союз принял решение о подготовке государствами-членами национальных планов действий по борьбе с нищетой и социальным отчуждением с учетом общих целей и показателей.  Финляндия подготовила национальные планы действий на 2001-2003 годы и на 2004</w:t>
      </w:r>
      <w:r>
        <w:noBreakHyphen/>
        <w:t xml:space="preserve">2005 годы.  В планах действия Финляндии подчеркивается важная роль укрепления принципов, присутствующих скандинавскому государству благосостояния, в деле предупреждения нищеты и социального отчуждения, а также сотрудничества между различными участвующими сторонами.  При этом обращается внимание на группы лиц, которым угрожает серьезная опасность социального отчуждения.     </w:t>
      </w:r>
    </w:p>
    <w:p w:rsidR="00000000" w:rsidRDefault="00000000"/>
    <w:p w:rsidR="00000000" w:rsidRDefault="00000000">
      <w:r>
        <w:t>480.</w:t>
      </w:r>
      <w:r>
        <w:tab/>
        <w:t>По данным исследования, проведенного Национальным центром научных исследований и разработок по проблемам социального обеспечения и здравоохранения (</w:t>
      </w:r>
      <w:r>
        <w:rPr>
          <w:lang w:val="en-US"/>
        </w:rPr>
        <w:t>STAKES</w:t>
      </w:r>
      <w:r>
        <w:t xml:space="preserve">), за последние десять лет масштабы нищеты среди </w:t>
      </w:r>
      <w:r>
        <w:rPr>
          <w:i/>
          <w:iCs/>
        </w:rPr>
        <w:t>детей и семей с детьми</w:t>
      </w:r>
      <w:r>
        <w:t xml:space="preserve"> увеличились в два раза.  В категорию самых бедных входит приблизительно 10% всех семей, имеющих детей.  Размеры пособий на ребенка и родительских пособий фактически уменьшились.  Семьи с детьми в действительности составляют единственную группу населения, в рамках которой возросла численность малоимущих.  Благосостояние большинства взрослых выросло, однако для семей, имеющих детей моложе трехлетнего возраста, проблема нищеты преимущественно обострилась. </w:t>
      </w:r>
    </w:p>
    <w:p w:rsidR="00000000" w:rsidRDefault="00000000"/>
    <w:p w:rsidR="00000000" w:rsidRDefault="00000000">
      <w:pPr>
        <w:jc w:val="center"/>
        <w:rPr>
          <w:b/>
          <w:bCs/>
        </w:rPr>
      </w:pPr>
      <w:r>
        <w:rPr>
          <w:b/>
          <w:bCs/>
        </w:rPr>
        <w:t>3.</w:t>
      </w:r>
      <w:r>
        <w:rPr>
          <w:b/>
          <w:bCs/>
        </w:rPr>
        <w:tab/>
        <w:t>Право на достаточное жилище</w:t>
      </w:r>
    </w:p>
    <w:p w:rsidR="00000000" w:rsidRDefault="00000000">
      <w:pPr>
        <w:rPr>
          <w:b/>
          <w:bCs/>
        </w:rPr>
      </w:pPr>
    </w:p>
    <w:p w:rsidR="00000000" w:rsidRDefault="00000000">
      <w:r>
        <w:t>481.</w:t>
      </w:r>
      <w:r>
        <w:tab/>
        <w:t>Согласно подпункту 4 пункта 2 статьи 2 Закона о недискриминации, этот закон распространяется на дискриминацию по признаку этнического происхождения в отношении предоставления жилья и доступа к жилью, а также в отношении движимого и недвижимого имущества и услуг, предоставляемых или доступных населению, в сфере, выходящей за отношения между частными лицами.  Как указывается в подготовленном правительством законопроекте о гарантиях недискриминации и о внесении поправок в некоторые соответствующие законы (</w:t>
      </w:r>
      <w:r>
        <w:rPr>
          <w:lang w:val="en-US"/>
        </w:rPr>
        <w:t>HE</w:t>
      </w:r>
      <w:r>
        <w:t xml:space="preserve"> 44/2003, </w:t>
      </w:r>
      <w:r>
        <w:rPr>
          <w:lang w:val="en-US"/>
        </w:rPr>
        <w:t>p</w:t>
      </w:r>
      <w:r>
        <w:t xml:space="preserve">.46), осуществление мер, касающихся жилья, предусматривается отдельно по той причине, что право на жилье представляет насущную необходимость и, таким образом, дискриминация в жилищной области влечет за собой особенно пагубные последствия.  </w:t>
      </w:r>
    </w:p>
    <w:p w:rsidR="00000000" w:rsidRDefault="00000000"/>
    <w:p w:rsidR="00000000" w:rsidRDefault="00000000">
      <w:r>
        <w:t>482.</w:t>
      </w:r>
      <w:r>
        <w:tab/>
        <w:t>Масштабы бездомности в Финляндии сократились, однако на конец 2004 года в стране по</w:t>
      </w:r>
      <w:r>
        <w:noBreakHyphen/>
        <w:t>прежнему насчитывалось примерно 7 700 одиноких лиц и 350 семей или совместно проживающих лиц, не имеющих квартиры.  Приблизительно 4% одиноких бездомных лиц и более одной пятой бездомных семей составляют иммигранты.  Бездомные иммигранты проживают главным образом в районе Хельсинки.  (Пресс-релиз Национального жилищного фонда Финляндии от 22 февраля 2005 года.)</w:t>
      </w:r>
    </w:p>
    <w:p w:rsidR="00000000" w:rsidRDefault="00000000"/>
    <w:p w:rsidR="00000000" w:rsidRDefault="00000000">
      <w:r>
        <w:t>483.</w:t>
      </w:r>
      <w:r>
        <w:tab/>
        <w:t>Центральные государственные органы, местные власти и другие соответствующие учреждения разработали национальную программу сокращения бездомности на 2001</w:t>
      </w:r>
      <w:r>
        <w:noBreakHyphen/>
        <w:t xml:space="preserve">2005 годы.  В 2002 году была инициирована отдельная программа действий по сокращению бездомности в столичном округе.  Меры, предусмотренные национальной программой, включают в себя, в частности, увеличение объема строительства небольших квартир, предназначенных для аренды, развитие системы жилищных пособий, финансовую поддержку со стороны государства на цели осуществления жилищных проектов в интересах бездомных и превентивные меры.  </w:t>
      </w:r>
    </w:p>
    <w:p w:rsidR="00000000" w:rsidRDefault="00000000"/>
    <w:p w:rsidR="00000000" w:rsidRDefault="00000000">
      <w:pPr>
        <w:jc w:val="center"/>
        <w:rPr>
          <w:b/>
          <w:bCs/>
        </w:rPr>
      </w:pPr>
      <w:r>
        <w:rPr>
          <w:b/>
          <w:bCs/>
        </w:rPr>
        <w:t>Таблица 25</w:t>
      </w:r>
    </w:p>
    <w:p w:rsidR="00000000" w:rsidRDefault="00000000">
      <w:pPr>
        <w:jc w:val="center"/>
        <w:rPr>
          <w:b/>
          <w:bCs/>
        </w:rPr>
      </w:pPr>
    </w:p>
    <w:p w:rsidR="00000000" w:rsidRDefault="00000000">
      <w:pPr>
        <w:jc w:val="center"/>
        <w:rPr>
          <w:b/>
          <w:bCs/>
        </w:rPr>
      </w:pPr>
      <w:r>
        <w:rPr>
          <w:b/>
          <w:bCs/>
        </w:rPr>
        <w:t>Численность бездомных в 2001-2004 годах</w:t>
      </w:r>
    </w:p>
    <w:p w:rsidR="00000000" w:rsidRDefault="00000000">
      <w:pPr>
        <w:rPr>
          <w:i/>
          <w:iCs/>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20"/>
        <w:gridCol w:w="1597"/>
        <w:gridCol w:w="1598"/>
        <w:gridCol w:w="1598"/>
        <w:gridCol w:w="1598"/>
      </w:tblGrid>
      <w:tr w:rsidR="00000000">
        <w:tblPrEx>
          <w:tblCellMar>
            <w:top w:w="0" w:type="dxa"/>
            <w:bottom w:w="0" w:type="dxa"/>
          </w:tblCellMar>
        </w:tblPrEx>
        <w:trPr>
          <w:cantSplit/>
        </w:trPr>
        <w:tc>
          <w:tcPr>
            <w:tcW w:w="3020" w:type="dxa"/>
            <w:tcBorders>
              <w:bottom w:val="single" w:sz="4" w:space="0" w:color="auto"/>
            </w:tcBorders>
          </w:tcPr>
          <w:p w:rsidR="00000000" w:rsidRDefault="00000000">
            <w:pPr>
              <w:pStyle w:val="Default"/>
              <w:spacing w:line="288" w:lineRule="auto"/>
              <w:jc w:val="center"/>
              <w:rPr>
                <w:rFonts w:ascii="Times New Roman" w:hAnsi="Times New Roman"/>
                <w:sz w:val="24"/>
                <w:lang w:val="ru-RU"/>
              </w:rPr>
            </w:pPr>
            <w:r>
              <w:rPr>
                <w:rFonts w:ascii="Times New Roman" w:hAnsi="Times New Roman"/>
                <w:sz w:val="24"/>
                <w:lang w:val="ru-RU"/>
              </w:rPr>
              <w:t>Год</w:t>
            </w:r>
          </w:p>
        </w:tc>
        <w:tc>
          <w:tcPr>
            <w:tcW w:w="1597" w:type="dxa"/>
            <w:tcBorders>
              <w:bottom w:val="single" w:sz="4" w:space="0" w:color="auto"/>
            </w:tcBorders>
          </w:tcPr>
          <w:p w:rsidR="00000000" w:rsidRDefault="00000000">
            <w:pPr>
              <w:pStyle w:val="Default"/>
              <w:spacing w:line="288" w:lineRule="auto"/>
              <w:jc w:val="center"/>
              <w:rPr>
                <w:rFonts w:ascii="Times New Roman" w:hAnsi="Times New Roman"/>
                <w:sz w:val="24"/>
                <w:lang w:val="ru-RU"/>
              </w:rPr>
            </w:pPr>
            <w:r>
              <w:rPr>
                <w:rFonts w:ascii="Times New Roman" w:hAnsi="Times New Roman"/>
                <w:sz w:val="24"/>
                <w:lang w:val="ru-RU"/>
              </w:rPr>
              <w:t>2001</w:t>
            </w:r>
          </w:p>
        </w:tc>
        <w:tc>
          <w:tcPr>
            <w:tcW w:w="1598" w:type="dxa"/>
            <w:tcBorders>
              <w:bottom w:val="single" w:sz="4" w:space="0" w:color="auto"/>
            </w:tcBorders>
          </w:tcPr>
          <w:p w:rsidR="00000000" w:rsidRDefault="00000000">
            <w:pPr>
              <w:pStyle w:val="Default"/>
              <w:spacing w:line="288" w:lineRule="auto"/>
              <w:jc w:val="center"/>
              <w:rPr>
                <w:rFonts w:ascii="Times New Roman" w:hAnsi="Times New Roman"/>
                <w:sz w:val="24"/>
                <w:lang w:val="ru-RU"/>
              </w:rPr>
            </w:pPr>
            <w:r>
              <w:rPr>
                <w:rFonts w:ascii="Times New Roman" w:hAnsi="Times New Roman"/>
                <w:sz w:val="24"/>
                <w:lang w:val="ru-RU"/>
              </w:rPr>
              <w:t>2002</w:t>
            </w:r>
          </w:p>
        </w:tc>
        <w:tc>
          <w:tcPr>
            <w:tcW w:w="1598" w:type="dxa"/>
            <w:tcBorders>
              <w:bottom w:val="single" w:sz="4" w:space="0" w:color="auto"/>
            </w:tcBorders>
          </w:tcPr>
          <w:p w:rsidR="00000000" w:rsidRDefault="00000000">
            <w:pPr>
              <w:pStyle w:val="Default"/>
              <w:spacing w:line="288" w:lineRule="auto"/>
              <w:jc w:val="center"/>
              <w:rPr>
                <w:rFonts w:ascii="Times New Roman" w:hAnsi="Times New Roman"/>
                <w:sz w:val="24"/>
                <w:lang w:val="ru-RU"/>
              </w:rPr>
            </w:pPr>
            <w:r>
              <w:rPr>
                <w:rFonts w:ascii="Times New Roman" w:hAnsi="Times New Roman"/>
                <w:sz w:val="24"/>
                <w:lang w:val="ru-RU"/>
              </w:rPr>
              <w:t>2003</w:t>
            </w:r>
          </w:p>
        </w:tc>
        <w:tc>
          <w:tcPr>
            <w:tcW w:w="1598" w:type="dxa"/>
            <w:tcBorders>
              <w:bottom w:val="single" w:sz="4" w:space="0" w:color="auto"/>
            </w:tcBorders>
          </w:tcPr>
          <w:p w:rsidR="00000000" w:rsidRDefault="00000000">
            <w:pPr>
              <w:pStyle w:val="Default"/>
              <w:spacing w:line="288" w:lineRule="auto"/>
              <w:jc w:val="center"/>
              <w:rPr>
                <w:rFonts w:ascii="Times New Roman" w:hAnsi="Times New Roman"/>
                <w:sz w:val="24"/>
                <w:lang w:val="ru-RU"/>
              </w:rPr>
            </w:pPr>
            <w:r>
              <w:rPr>
                <w:rFonts w:ascii="Times New Roman" w:hAnsi="Times New Roman"/>
                <w:sz w:val="24"/>
                <w:lang w:val="ru-RU"/>
              </w:rPr>
              <w:t>2004</w:t>
            </w:r>
          </w:p>
        </w:tc>
      </w:tr>
      <w:tr w:rsidR="00000000">
        <w:tblPrEx>
          <w:tblCellMar>
            <w:top w:w="0" w:type="dxa"/>
            <w:bottom w:w="0" w:type="dxa"/>
          </w:tblCellMar>
        </w:tblPrEx>
        <w:trPr>
          <w:cantSplit/>
        </w:trPr>
        <w:tc>
          <w:tcPr>
            <w:tcW w:w="3020" w:type="dxa"/>
            <w:tcBorders>
              <w:bottom w:val="nil"/>
            </w:tcBorders>
          </w:tcPr>
          <w:p w:rsidR="00000000" w:rsidRDefault="00000000">
            <w:pPr>
              <w:pStyle w:val="Default"/>
              <w:spacing w:line="288" w:lineRule="auto"/>
              <w:rPr>
                <w:rFonts w:ascii="Times New Roman" w:hAnsi="Times New Roman"/>
                <w:sz w:val="24"/>
                <w:lang w:val="ru-RU"/>
              </w:rPr>
            </w:pPr>
            <w:r>
              <w:rPr>
                <w:rFonts w:ascii="Times New Roman" w:hAnsi="Times New Roman"/>
                <w:sz w:val="24"/>
                <w:lang w:val="ru-RU"/>
              </w:rPr>
              <w:t>Одинокие бездомные</w:t>
            </w:r>
          </w:p>
        </w:tc>
        <w:tc>
          <w:tcPr>
            <w:tcW w:w="1597" w:type="dxa"/>
            <w:tcBorders>
              <w:bottom w:val="nil"/>
            </w:tcBorders>
          </w:tcPr>
          <w:p w:rsidR="00000000" w:rsidRDefault="00000000">
            <w:pPr>
              <w:pStyle w:val="Default"/>
              <w:spacing w:line="288" w:lineRule="auto"/>
              <w:rPr>
                <w:rFonts w:ascii="Times New Roman" w:hAnsi="Times New Roman"/>
                <w:sz w:val="24"/>
                <w:lang w:val="ru-RU"/>
              </w:rPr>
            </w:pPr>
          </w:p>
        </w:tc>
        <w:tc>
          <w:tcPr>
            <w:tcW w:w="1598" w:type="dxa"/>
            <w:tcBorders>
              <w:bottom w:val="nil"/>
            </w:tcBorders>
          </w:tcPr>
          <w:p w:rsidR="00000000" w:rsidRDefault="00000000">
            <w:pPr>
              <w:pStyle w:val="Default"/>
              <w:spacing w:line="288" w:lineRule="auto"/>
              <w:rPr>
                <w:rFonts w:ascii="Times New Roman" w:hAnsi="Times New Roman"/>
                <w:sz w:val="24"/>
                <w:lang w:val="ru-RU"/>
              </w:rPr>
            </w:pPr>
          </w:p>
        </w:tc>
        <w:tc>
          <w:tcPr>
            <w:tcW w:w="1598" w:type="dxa"/>
            <w:tcBorders>
              <w:bottom w:val="nil"/>
            </w:tcBorders>
          </w:tcPr>
          <w:p w:rsidR="00000000" w:rsidRDefault="00000000">
            <w:pPr>
              <w:pStyle w:val="Default"/>
              <w:spacing w:line="288" w:lineRule="auto"/>
              <w:rPr>
                <w:rFonts w:ascii="Times New Roman" w:hAnsi="Times New Roman"/>
                <w:sz w:val="24"/>
                <w:lang w:val="ru-RU"/>
              </w:rPr>
            </w:pPr>
          </w:p>
        </w:tc>
        <w:tc>
          <w:tcPr>
            <w:tcW w:w="1598" w:type="dxa"/>
            <w:tcBorders>
              <w:bottom w:val="nil"/>
            </w:tcBorders>
          </w:tcPr>
          <w:p w:rsidR="00000000" w:rsidRDefault="00000000">
            <w:pPr>
              <w:pStyle w:val="Default"/>
              <w:spacing w:line="288" w:lineRule="auto"/>
              <w:rPr>
                <w:rFonts w:ascii="Times New Roman" w:hAnsi="Times New Roman"/>
                <w:sz w:val="24"/>
                <w:lang w:val="ru-RU"/>
              </w:rPr>
            </w:pPr>
          </w:p>
        </w:tc>
      </w:tr>
      <w:tr w:rsidR="00000000">
        <w:tblPrEx>
          <w:tblCellMar>
            <w:top w:w="0" w:type="dxa"/>
            <w:bottom w:w="0" w:type="dxa"/>
          </w:tblCellMar>
        </w:tblPrEx>
        <w:trPr>
          <w:cantSplit/>
        </w:trPr>
        <w:tc>
          <w:tcPr>
            <w:tcW w:w="3020" w:type="dxa"/>
            <w:tcBorders>
              <w:top w:val="nil"/>
              <w:bottom w:val="nil"/>
            </w:tcBorders>
          </w:tcPr>
          <w:p w:rsidR="00000000" w:rsidRDefault="00000000">
            <w:pPr>
              <w:pStyle w:val="Default"/>
              <w:tabs>
                <w:tab w:val="left" w:pos="284"/>
              </w:tabs>
              <w:spacing w:line="288" w:lineRule="auto"/>
              <w:rPr>
                <w:rFonts w:ascii="Times New Roman" w:hAnsi="Times New Roman"/>
                <w:sz w:val="24"/>
                <w:lang w:val="ru-RU"/>
              </w:rPr>
            </w:pPr>
            <w:r>
              <w:rPr>
                <w:rFonts w:ascii="Times New Roman" w:hAnsi="Times New Roman"/>
                <w:sz w:val="24"/>
                <w:lang w:val="ru-RU"/>
              </w:rPr>
              <w:tab/>
              <w:t>По стране в целом</w:t>
            </w:r>
          </w:p>
        </w:tc>
        <w:tc>
          <w:tcPr>
            <w:tcW w:w="1597"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9 970</w:t>
            </w:r>
          </w:p>
        </w:tc>
        <w:tc>
          <w:tcPr>
            <w:tcW w:w="1598"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9 560</w:t>
            </w:r>
          </w:p>
        </w:tc>
        <w:tc>
          <w:tcPr>
            <w:tcW w:w="1598"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8 190</w:t>
            </w:r>
          </w:p>
        </w:tc>
        <w:tc>
          <w:tcPr>
            <w:tcW w:w="1598"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7 620</w:t>
            </w:r>
          </w:p>
        </w:tc>
      </w:tr>
      <w:tr w:rsidR="00000000">
        <w:tblPrEx>
          <w:tblCellMar>
            <w:top w:w="0" w:type="dxa"/>
            <w:bottom w:w="0" w:type="dxa"/>
          </w:tblCellMar>
        </w:tblPrEx>
        <w:trPr>
          <w:cantSplit/>
        </w:trPr>
        <w:tc>
          <w:tcPr>
            <w:tcW w:w="3020" w:type="dxa"/>
            <w:tcBorders>
              <w:top w:val="nil"/>
              <w:bottom w:val="nil"/>
            </w:tcBorders>
          </w:tcPr>
          <w:p w:rsidR="00000000" w:rsidRDefault="00000000">
            <w:pPr>
              <w:pStyle w:val="Default"/>
              <w:tabs>
                <w:tab w:val="left" w:pos="284"/>
              </w:tabs>
              <w:spacing w:line="288" w:lineRule="auto"/>
              <w:rPr>
                <w:rFonts w:ascii="Times New Roman" w:hAnsi="Times New Roman"/>
                <w:sz w:val="24"/>
                <w:lang w:val="ru-RU"/>
              </w:rPr>
            </w:pPr>
            <w:r>
              <w:rPr>
                <w:rFonts w:ascii="Times New Roman" w:hAnsi="Times New Roman"/>
                <w:sz w:val="24"/>
                <w:lang w:val="ru-RU"/>
              </w:rPr>
              <w:tab/>
              <w:t>Район Хельсинки</w:t>
            </w:r>
          </w:p>
        </w:tc>
        <w:tc>
          <w:tcPr>
            <w:tcW w:w="1597"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5 790</w:t>
            </w:r>
          </w:p>
        </w:tc>
        <w:tc>
          <w:tcPr>
            <w:tcW w:w="1598"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5 560</w:t>
            </w:r>
          </w:p>
        </w:tc>
        <w:tc>
          <w:tcPr>
            <w:tcW w:w="1598"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4 440</w:t>
            </w:r>
          </w:p>
        </w:tc>
        <w:tc>
          <w:tcPr>
            <w:tcW w:w="1598"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4 190</w:t>
            </w:r>
          </w:p>
        </w:tc>
      </w:tr>
      <w:tr w:rsidR="00000000">
        <w:tblPrEx>
          <w:tblCellMar>
            <w:top w:w="0" w:type="dxa"/>
            <w:bottom w:w="0" w:type="dxa"/>
          </w:tblCellMar>
        </w:tblPrEx>
        <w:trPr>
          <w:cantSplit/>
        </w:trPr>
        <w:tc>
          <w:tcPr>
            <w:tcW w:w="3020" w:type="dxa"/>
            <w:tcBorders>
              <w:top w:val="nil"/>
              <w:bottom w:val="nil"/>
            </w:tcBorders>
          </w:tcPr>
          <w:p w:rsidR="00000000" w:rsidRDefault="00000000">
            <w:pPr>
              <w:pStyle w:val="Default"/>
              <w:spacing w:line="288" w:lineRule="auto"/>
              <w:rPr>
                <w:rFonts w:ascii="Times New Roman" w:hAnsi="Times New Roman"/>
                <w:sz w:val="24"/>
                <w:lang w:val="ru-RU"/>
              </w:rPr>
            </w:pPr>
            <w:r>
              <w:rPr>
                <w:rFonts w:ascii="Times New Roman" w:hAnsi="Times New Roman"/>
                <w:sz w:val="24"/>
                <w:lang w:val="ru-RU"/>
              </w:rPr>
              <w:t>Бездомные семьи</w:t>
            </w:r>
          </w:p>
        </w:tc>
        <w:tc>
          <w:tcPr>
            <w:tcW w:w="1597"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p>
        </w:tc>
        <w:tc>
          <w:tcPr>
            <w:tcW w:w="1598"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p>
        </w:tc>
        <w:tc>
          <w:tcPr>
            <w:tcW w:w="1598"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p>
        </w:tc>
        <w:tc>
          <w:tcPr>
            <w:tcW w:w="1598"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p>
        </w:tc>
      </w:tr>
      <w:tr w:rsidR="00000000">
        <w:tblPrEx>
          <w:tblCellMar>
            <w:top w:w="0" w:type="dxa"/>
            <w:bottom w:w="0" w:type="dxa"/>
          </w:tblCellMar>
        </w:tblPrEx>
        <w:trPr>
          <w:cantSplit/>
        </w:trPr>
        <w:tc>
          <w:tcPr>
            <w:tcW w:w="3020" w:type="dxa"/>
            <w:tcBorders>
              <w:top w:val="nil"/>
              <w:bottom w:val="nil"/>
            </w:tcBorders>
          </w:tcPr>
          <w:p w:rsidR="00000000" w:rsidRDefault="00000000">
            <w:pPr>
              <w:pStyle w:val="Default"/>
              <w:tabs>
                <w:tab w:val="left" w:pos="284"/>
              </w:tabs>
              <w:spacing w:line="288" w:lineRule="auto"/>
              <w:rPr>
                <w:rFonts w:ascii="Times New Roman" w:hAnsi="Times New Roman"/>
                <w:sz w:val="24"/>
                <w:lang w:val="ru-RU"/>
              </w:rPr>
            </w:pPr>
            <w:r>
              <w:rPr>
                <w:rFonts w:ascii="Times New Roman" w:hAnsi="Times New Roman"/>
                <w:sz w:val="24"/>
                <w:lang w:val="ru-RU"/>
              </w:rPr>
              <w:tab/>
              <w:t>По стране в целом</w:t>
            </w:r>
          </w:p>
        </w:tc>
        <w:tc>
          <w:tcPr>
            <w:tcW w:w="1597"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780</w:t>
            </w:r>
          </w:p>
        </w:tc>
        <w:tc>
          <w:tcPr>
            <w:tcW w:w="1598"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775</w:t>
            </w:r>
          </w:p>
        </w:tc>
        <w:tc>
          <w:tcPr>
            <w:tcW w:w="1598"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420</w:t>
            </w:r>
          </w:p>
        </w:tc>
        <w:tc>
          <w:tcPr>
            <w:tcW w:w="1598" w:type="dxa"/>
            <w:tcBorders>
              <w:top w:val="nil"/>
              <w:bottom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360</w:t>
            </w:r>
          </w:p>
        </w:tc>
      </w:tr>
      <w:tr w:rsidR="00000000">
        <w:tblPrEx>
          <w:tblCellMar>
            <w:top w:w="0" w:type="dxa"/>
            <w:bottom w:w="0" w:type="dxa"/>
          </w:tblCellMar>
        </w:tblPrEx>
        <w:trPr>
          <w:cantSplit/>
        </w:trPr>
        <w:tc>
          <w:tcPr>
            <w:tcW w:w="3020" w:type="dxa"/>
            <w:tcBorders>
              <w:top w:val="nil"/>
            </w:tcBorders>
          </w:tcPr>
          <w:p w:rsidR="00000000" w:rsidRDefault="00000000">
            <w:pPr>
              <w:pStyle w:val="Default"/>
              <w:tabs>
                <w:tab w:val="left" w:pos="284"/>
              </w:tabs>
              <w:spacing w:line="288" w:lineRule="auto"/>
              <w:rPr>
                <w:rFonts w:ascii="Times New Roman" w:hAnsi="Times New Roman"/>
                <w:sz w:val="24"/>
                <w:lang w:val="ru-RU"/>
              </w:rPr>
            </w:pPr>
            <w:r>
              <w:rPr>
                <w:rFonts w:ascii="Times New Roman" w:hAnsi="Times New Roman"/>
                <w:sz w:val="24"/>
                <w:lang w:val="ru-RU"/>
              </w:rPr>
              <w:tab/>
              <w:t>Район Хельсинки</w:t>
            </w:r>
          </w:p>
        </w:tc>
        <w:tc>
          <w:tcPr>
            <w:tcW w:w="1597" w:type="dxa"/>
            <w:tcBorders>
              <w:top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690</w:t>
            </w:r>
          </w:p>
        </w:tc>
        <w:tc>
          <w:tcPr>
            <w:tcW w:w="1598" w:type="dxa"/>
            <w:tcBorders>
              <w:top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660</w:t>
            </w:r>
          </w:p>
        </w:tc>
        <w:tc>
          <w:tcPr>
            <w:tcW w:w="1598" w:type="dxa"/>
            <w:tcBorders>
              <w:top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520</w:t>
            </w:r>
          </w:p>
        </w:tc>
        <w:tc>
          <w:tcPr>
            <w:tcW w:w="1598" w:type="dxa"/>
            <w:tcBorders>
              <w:top w:val="nil"/>
            </w:tcBorders>
          </w:tcPr>
          <w:p w:rsidR="00000000" w:rsidRDefault="00000000">
            <w:pPr>
              <w:pStyle w:val="Default"/>
              <w:spacing w:line="288" w:lineRule="auto"/>
              <w:ind w:right="447"/>
              <w:jc w:val="right"/>
              <w:rPr>
                <w:rFonts w:ascii="Times New Roman" w:hAnsi="Times New Roman"/>
                <w:sz w:val="24"/>
                <w:lang w:val="ru-RU"/>
              </w:rPr>
            </w:pPr>
            <w:r>
              <w:rPr>
                <w:rFonts w:ascii="Times New Roman" w:hAnsi="Times New Roman"/>
                <w:sz w:val="24"/>
                <w:lang w:val="ru-RU"/>
              </w:rPr>
              <w:t>230</w:t>
            </w:r>
          </w:p>
        </w:tc>
      </w:tr>
    </w:tbl>
    <w:p w:rsidR="00000000" w:rsidRDefault="00000000"/>
    <w:p w:rsidR="00000000" w:rsidRDefault="00000000">
      <w:r>
        <w:t>484.</w:t>
      </w:r>
      <w:r>
        <w:tab/>
        <w:t xml:space="preserve">Вследствие увеличения предложения предназначенных для аренды квартир и осуществления программы сокращения бездомности численность бездомных снижается как в столичном округе, так и в стране в целом.  </w:t>
      </w:r>
    </w:p>
    <w:p w:rsidR="00000000" w:rsidRDefault="00000000"/>
    <w:p w:rsidR="00000000" w:rsidRDefault="00000000">
      <w:r>
        <w:t>485.</w:t>
      </w:r>
      <w:r>
        <w:tab/>
        <w:t>Этнические меньшинства и иностранцы обращались к омбудсмену по делам меньшинств по поводу своих проблем в отношениях с соседями.  Расизм зачастую приобретает форму преследований и угроз со стороны соседей.  Такие ситуации можно урегулировать главным образом с помощью предъявления уголовных обвинений (за неправомерную угрозу или диффамацию) или запретительных судебных приказов.  В некоторых муниципалитетах/городах, таких, как Хельсинки и Вантаа, местные бюро по примирению разработали типовые механизмы урегулирования конфликтов между различными этническими группами (</w:t>
      </w:r>
      <w:r>
        <w:rPr>
          <w:lang w:val="en-US"/>
        </w:rPr>
        <w:t>http</w:t>
      </w:r>
      <w:r>
        <w:t>://</w:t>
      </w:r>
      <w:r>
        <w:rPr>
          <w:lang w:val="en-US"/>
        </w:rPr>
        <w:t>www</w:t>
      </w:r>
      <w:r>
        <w:t>.</w:t>
      </w:r>
      <w:r>
        <w:rPr>
          <w:lang w:val="en-US"/>
        </w:rPr>
        <w:t>iom</w:t>
      </w:r>
      <w:r>
        <w:t>.</w:t>
      </w:r>
      <w:r>
        <w:rPr>
          <w:lang w:val="en-US"/>
        </w:rPr>
        <w:t>fi</w:t>
      </w:r>
      <w:r>
        <w:t>/</w:t>
      </w:r>
      <w:r>
        <w:rPr>
          <w:lang w:val="en-US"/>
        </w:rPr>
        <w:t>letstalk</w:t>
      </w:r>
      <w:r>
        <w:t>).  Примирение может использоваться для урегулирования как гражданско-правовых, так и уголовно-правовых дел.</w:t>
      </w:r>
    </w:p>
    <w:p w:rsidR="00000000" w:rsidRDefault="00000000"/>
    <w:p w:rsidR="00000000" w:rsidRDefault="00000000">
      <w:r>
        <w:t>486.</w:t>
      </w:r>
      <w:r>
        <w:tab/>
      </w:r>
      <w:r>
        <w:rPr>
          <w:i/>
          <w:iCs/>
        </w:rPr>
        <w:t>Рома</w:t>
      </w:r>
      <w:r>
        <w:t>.  В целом рома в Финляндии не являются бездомными и проживают в тех же районах и таких же жилищных условиях, как большинство населения.  По сравнению с другими странами в сфере жилья рома в Финляндии довольно хорошо интегрированы.  Однако нередко у рома возникают некоторые жилищные проблемы, которые чаще всего служат причиной их обращения к омбудсмену по делам меньшинств.  Рома сталкиваются с проблемами, в частности, когда речь заходит о выборе квартиросъемщиков для квартир, подлежащих аренде.</w:t>
      </w:r>
    </w:p>
    <w:p w:rsidR="00000000" w:rsidRDefault="00000000"/>
    <w:p w:rsidR="00000000" w:rsidRDefault="00000000">
      <w:r>
        <w:t>487.</w:t>
      </w:r>
      <w:r>
        <w:tab/>
        <w:t>Министерство по охране окружающей среды, компетентное заниматься жилищными вопросами, уделяет пристальное внимание задачам обеспечения равенства и запрещения дискриминации, изложенным в Амстердамском договоре, в своем руководстве для органов, ведающих жилищным фондом.  Последняя версия этого руководства была издана в марте 2003 года.  Вместе с тем принимаемые меры касаются главным образом арендуемых квартир, предоставляемых в распоряжение населения местными властями при финансовой поддержке государства.  На рынке частного жилья основными проблемами являются высокие цены и предубеждение по отношению к рома.  Как правило, рома находятся в более уязвимом социально-экономическом положении по сравнению с другими слоями населения, и поэтому рынок частного жилья зачастую для них недоступен.</w:t>
      </w:r>
    </w:p>
    <w:p w:rsidR="00000000" w:rsidRDefault="00000000"/>
    <w:p w:rsidR="00000000" w:rsidRDefault="00000000">
      <w:r>
        <w:t>488.</w:t>
      </w:r>
      <w:r>
        <w:tab/>
        <w:t xml:space="preserve">В Финляндии полномочиями по отбору жильцов для сдаваемых в аренду квартир, находящихся в собственности местных властей или некоммерческих организаций, чаще всего наделены агентства недвижимости, отвечающие за управление этим жилищным фондом.  </w:t>
      </w:r>
    </w:p>
    <w:p w:rsidR="00000000" w:rsidRDefault="00000000">
      <w:r>
        <w:t>489.</w:t>
      </w:r>
      <w:r>
        <w:tab/>
        <w:t>Согласно заключению Консультативного совета по делам рома, требования в отношении гарантийных депозитов и надлежащей платежеспособности, предъявляемые агентствами по недвижимости, в сущности ограничивают возможности рома, живущих в стесненных финансовых условиях, в плане получения или смены квартиры.  Кроме того, по мнению Совета, необходимо эффективнее распространять инструкции о порядке подбора жильцов и усилить контроль за соблюдением этих инструкций, а также активизировать информирование агентов по недвижимости о жилищно-бытовой культуре рома и изыскивать оперативные пути решения возникающих проблем.</w:t>
      </w:r>
    </w:p>
    <w:p w:rsidR="00000000" w:rsidRDefault="00000000"/>
    <w:p w:rsidR="00000000" w:rsidRDefault="00000000">
      <w:r>
        <w:t>490.</w:t>
      </w:r>
      <w:r>
        <w:tab/>
        <w:t>Районные консультативные советы по делам рома предоставляют информацию и организовывают подготовку для соответствующих органов и управляющих агентств по недвижимости в своих районах.  Особенно конструктивными в этом отношении оказались совместные консультации с представителями органов, отвечающих за жилищный сектор в столичном округе.</w:t>
      </w:r>
    </w:p>
    <w:p w:rsidR="00000000" w:rsidRDefault="00000000"/>
    <w:p w:rsidR="00000000" w:rsidRDefault="00000000">
      <w:r>
        <w:t>491.</w:t>
      </w:r>
      <w:r>
        <w:tab/>
        <w:t>В то же время с учетом информации, полученной омбудсменом по делам меньшинств, положение с обеспечением рома жильем представляется не вполне благоприятным.  Рома очень трудно найти квартиру на рынке частного жилья.  Они также сталкиваются с проблемами получения предназначенных для аренды квартир, находящихся в собственности местных властей или некоммерческих организаций.  Кроме того, предлагаемые им квартиры отнюдь не всегда являются удовлетворительными с точки зрения места их нахождения или их соответствия потребностям культуры рома.</w:t>
      </w:r>
    </w:p>
    <w:p w:rsidR="00000000" w:rsidRDefault="00000000"/>
    <w:p w:rsidR="00000000" w:rsidRDefault="00000000">
      <w:r>
        <w:t>492.</w:t>
      </w:r>
      <w:r>
        <w:tab/>
        <w:t>К омбудсмену по делам меньшинств обращаются в случаях, касающихся подбора жильцов, бездомности, ремонта квартир, предполагаемой дискриминации, ненадлежащего обращения, недостаточного консультирования, задержек в рассмотрении заявлений и отношения к престарелым.  В добавление к жилищным проблемам некоторые лица также сталкиваются с другими проблемами, такими, как безработица, воспитание детей в одиночку, финансовые трудности и проблемы с выплатами или сложности с содержанием детей.  По мнению омбудсмена, представителям местных властей следует осуществлять более тщательный контроль за предоставлением услуг рома, причем также в тех случаях, когда указанные услуги обеспечиваются по внешним каналам.</w:t>
      </w:r>
    </w:p>
    <w:p w:rsidR="00000000" w:rsidRDefault="00000000"/>
    <w:p w:rsidR="00000000" w:rsidRDefault="00000000">
      <w:r>
        <w:t>493.</w:t>
      </w:r>
      <w:r>
        <w:tab/>
      </w:r>
      <w:r>
        <w:rPr>
          <w:i/>
          <w:iCs/>
        </w:rPr>
        <w:t>Инвалиды</w:t>
      </w:r>
      <w:r>
        <w:t>.  В 2001 году государственные жилищные услуги получили 2 100 человек (0,065% жителей муниципалитетов).  Большинство таких граждан являются лицами с физическими или умственными недостатками.  В ближайшие десять лет тысячи инвалидов будут нуждаться в жилищных услугах.  Некоторые из них выйдут из специализированных учреждений по уходу, тогда как другая часть покинет детские дома, где они воспитывались.  Многим из указанных лиц требуется значительная помощь и особая поддержка.  Всем им должна быть обеспечена возможность для независимого образа жизни при наличии услуг надлежащего уровня.</w:t>
      </w:r>
    </w:p>
    <w:p w:rsidR="00000000" w:rsidRDefault="00000000"/>
    <w:p w:rsidR="00000000" w:rsidRDefault="00000000">
      <w:r>
        <w:t>494.</w:t>
      </w:r>
      <w:r>
        <w:tab/>
        <w:t>Жилищное обслуживание зачастую выступает альтернативой институциональному уходу.  В стране насчитывается в общей сложности 10 000 инвалидов, проживающих в различных специализированных учреждениях.  Эту группу составляют главным образом лица с физическими или психическими недостатками.  Примерно 6 500 психически больных лиц постоянно находятся на больничном уходе и приблизительно 2 500 человек помещены в специализированные учреждения по уходу.  В Финляндии действуют 15 учреждений по уходу для свыше 100 человек, страдающих умственными недостатками.  Несмотря на предполагаемые расходы, активно обсуждается необходимость все большего перевода психически больных лиц из специализированных учреждений по уходу в субсидируемые дома и квартиры.  Такая необходимость обосновывается со ссылкой на права человека инвалидов, на неприкосновенность личности и на охрану частной жизни.  Отмечалось, что указанные права лучше всего обеспечиваются в небольших жилищных единицах с вспомогательными услугами.  Однако для проведения в жизнь такого изменения потребуются не только подходящие функциональные квартиры, но и поддержка и уход, соответствующие потребностям жильцов, а также специально подготовленный персонал.</w:t>
      </w:r>
    </w:p>
    <w:p w:rsidR="00000000" w:rsidRDefault="00000000"/>
    <w:p w:rsidR="00000000" w:rsidRDefault="00000000">
      <w:r>
        <w:t>495.</w:t>
      </w:r>
      <w:r>
        <w:tab/>
        <w:t>Закрытие крупных учреждений должно происходить на скоординированной основе, и государству следует подготовить для распорядителей четкие инструкции по поводу того, каким образом данный процесс должен осуществляться.  Лучше всего это сделать на основе разработки программ и действий, определяющих вспомогательные меры, которые следует принять на переходном этапе.  Необходимо обеспечить специально подготовленный персонал, а также провести соответствующие исследования и разработки.  Процесс закрытия учреждений должен предполагать не просто перемещение инвалидов с одного места на другое (например, в стационары центров охраны здоровья или аналогичные клинические отделения по уходу).</w:t>
      </w:r>
    </w:p>
    <w:p w:rsidR="00000000" w:rsidRDefault="00000000"/>
    <w:p w:rsidR="00000000" w:rsidRDefault="00000000">
      <w:r>
        <w:t>496.</w:t>
      </w:r>
      <w:r>
        <w:tab/>
        <w:t>Лицам с серьезными недостатками следует по максимуму обеспечить право на нормальную жизнь.  Это подразумевает надлежащий доступ к жилью, наличие жилищных единиц адекватной площади и таких же услуг, которые обычно предоставляются другим лицам.  Близкое местонахождение, функциональность и доступность услуг способствуют повышению качества жилищно-бытовых условий и уменьшают необходимость в специальных услугах.</w:t>
      </w:r>
    </w:p>
    <w:p w:rsidR="00000000" w:rsidRDefault="00000000"/>
    <w:p w:rsidR="00000000" w:rsidRDefault="00000000">
      <w:r>
        <w:t>497.</w:t>
      </w:r>
      <w:r>
        <w:tab/>
        <w:t>Важным фактором для инвалидов также выступает чувство общности, однако это отнюдь не подразумевает, что они должны проживать совместно с другими инвалидами.  Отправной точкой обеспечения инвалидов жильем должна быть их интеграция в жизнь общества.</w:t>
      </w:r>
    </w:p>
    <w:p w:rsidR="00000000" w:rsidRDefault="00000000"/>
    <w:p w:rsidR="00000000" w:rsidRDefault="00000000">
      <w:r>
        <w:t>498.</w:t>
      </w:r>
      <w:r>
        <w:tab/>
        <w:t>Парламентский омбудсмен обращал внимание на ту ответственность, которую в соответствии с Законом о социальном обеспечении несут местные власти в отношении надлежащего жилищного обслуживания.  Такая ответственность также распространяется на обеспечение жильем лиц, находящихся в наиболее уязвимом положении.  Даже бездомные токсикоманы должны иметь право на жилищное обслуживание или по меньшей мере на такое жилье, которое отвечает санитарно-гигиеническим нормам.  По мнению парламентского омбудсмена, в таком государстве благосостояния, как Финляндия, минимальные стандарты достойной человека жизни должны включать в себя не только факторы, связанные с самыми насущными средствами к существованию.  Указанный момент также следует принимать во внимание при оценке достаточности жилищных услуг.</w:t>
      </w:r>
    </w:p>
    <w:p w:rsidR="00000000" w:rsidRDefault="00000000"/>
    <w:p w:rsidR="00000000" w:rsidRDefault="00000000">
      <w:r>
        <w:t>499.</w:t>
      </w:r>
      <w:r>
        <w:tab/>
        <w:t>В 2000 и 2001 годах парламентский омбудсмен проверил, в частности, качество жилищных услуг, оказываемых токсикоманам городскими властями Хельсинки.  В своем решении парламентский омбудсмен отметил, что приют, находящийся в ведении муниципальных властей, не отвечает должным стандартам.  После этого в приюте был проведен ремонт.  Сейчас в распоряжении его обитателей имеется надлежащая столовая, сауна и прачечный блок.  В приюте также оборудован медсестринский пост, а внутренний дворик был благоустроен.  На 2002-2005 годы власти Хельсинки поставили задачу вводить ежегодно в эксплуатацию 500 новых квартир.  Указанный проект охватывает строительство обычных квартир, предназначенных для аренды, субсидируемого жилья, жилья с вспомогательным обслуживанием и временного жилья.  Пока городским властям удается решать поставленные задачи.</w:t>
      </w:r>
    </w:p>
    <w:p w:rsidR="00000000" w:rsidRDefault="00000000"/>
    <w:p w:rsidR="00000000" w:rsidRDefault="00000000">
      <w:r>
        <w:t>500.</w:t>
      </w:r>
      <w:r>
        <w:tab/>
      </w:r>
      <w:r>
        <w:rPr>
          <w:i/>
          <w:iCs/>
        </w:rPr>
        <w:t>Выселения.</w:t>
      </w:r>
      <w:r>
        <w:t xml:space="preserve">  В период экономической депрессии начала 90-х годов количество случаев выселений, разбиравшихся органами исполнительной власти, резко выросло.  Затем этот рост был не таким значительным.  На количество выселений влияют, в частности, широкое распространение практики проживания в арендуемых квартирах, стоимость жизни, возникновение проблем с платежами и методы, используемые домовладельцами в случае предполагаемого выселения.</w:t>
      </w:r>
    </w:p>
    <w:p w:rsidR="00000000" w:rsidRDefault="00000000"/>
    <w:p w:rsidR="00000000" w:rsidRDefault="00000000">
      <w:r>
        <w:t>501.</w:t>
      </w:r>
      <w:r>
        <w:tab/>
        <w:t>В начале 2005 года было завершено исследование, проводившееся Национальным исследовательским институтом правовой политики по вопросу о выселениях в 2001</w:t>
      </w:r>
      <w:r>
        <w:noBreakHyphen/>
        <w:t>2003 годах.  В 2003 году органами исполнительной власти всего было зарегистрировано 6 200 случаев, касавшихся выселений.  Приблизительно в одной пятой этих случаев выселение имело место, а в более 40% случаев жильцы сами съезжали до фактического выселения.  Таким образом, в шести случаев из десяти жильцы были вынуждены покинуть квартиры.  В остальных случаях домовладельцы и жильцы смогли прийти к соответствующему соглашению, и выселения удавалось избежать.</w:t>
      </w:r>
    </w:p>
    <w:p w:rsidR="00000000" w:rsidRDefault="00000000"/>
    <w:p w:rsidR="00000000" w:rsidRDefault="00000000">
      <w:r>
        <w:t>502.</w:t>
      </w:r>
      <w:r>
        <w:tab/>
        <w:t>Выселению подвергались жильцы, представляющие все категории домашних хозяйств.  В 2001-2003 годах наиболее многочисленную группу составляли одинокие мужчины (33%).  Примерно в половине случаев (45%) были затронуты дети.  В отличие от одиноких мужчин применительно к семьям, имеющим детей, выселения носят исключительный характер, поскольку в данном случае довольно часто удается достигнуть соответствующего соглашения.</w:t>
      </w:r>
    </w:p>
    <w:p w:rsidR="00000000" w:rsidRDefault="00000000"/>
    <w:p w:rsidR="00000000" w:rsidRDefault="00000000">
      <w:r>
        <w:t>503.</w:t>
      </w:r>
      <w:r>
        <w:tab/>
        <w:t>Практически в одном случае из десяти лицо, которому угрожает выселение, ранее уже оказывалось в подобной ситуации.  Большинство выселяемых лиц имеют задолженность по квартплате.  В числе других причин, обусловливающих выселение, наиболее характерным является причинение беспокойства другим жильцам.  Некоторые лица, подвергающиеся выселению из-за задолженности по квартплате, долгое время являются злостными неплательщиками.  Несмотря на это, после выселения они оказываются в более благоприятном положении, чем лица, выселенные по причине беспокоящего поведения.  Им чаще всего удается найти кров, тогда как последние в большинстве случаев злоупотребляют токсическими веществами или наркотиками и после выселения оказываются в приютах.</w:t>
      </w:r>
    </w:p>
    <w:p w:rsidR="00000000" w:rsidRDefault="00000000"/>
    <w:p w:rsidR="00000000" w:rsidRDefault="00000000">
      <w:r>
        <w:t>504.</w:t>
      </w:r>
      <w:r>
        <w:tab/>
        <w:t>Опасность выселений можно уменьшить, например, благодаря предоставлению консультативных услуг и активизации сотрудничества между властями.  В целях предупреждения выселений следует все шире использовать систему выплаты предварительных пособий, обеспечивающих прожиточный уровень, и предоставление социальных займов.</w:t>
      </w:r>
    </w:p>
    <w:p w:rsidR="00000000" w:rsidRDefault="00000000"/>
    <w:p w:rsidR="00000000" w:rsidRDefault="00000000">
      <w:r>
        <w:t>505.</w:t>
      </w:r>
      <w:r>
        <w:tab/>
      </w:r>
      <w:r>
        <w:rPr>
          <w:i/>
          <w:iCs/>
        </w:rPr>
        <w:t xml:space="preserve">Другие меры.  </w:t>
      </w:r>
      <w:r>
        <w:t>За последние несколько лет уменьшился объем строительства квартир при государственной финансовой поддержке.  Это выступает результатом сокращения потребностей в сдаваемых в аренду квартирах в муниципалитетах, в которых не отмечается высокого увеличения численности населения.  Кроме того, в последние несколько лет мощными темпами осуществлялся ввод в эксплуатацию частных квартир в наиболее быстро растущих муниципалитетах, объясняющий сохранение на незначительном уровне государственного финансирования для целей строительства квартир, подлежащих сдаче в аренду.</w:t>
      </w:r>
    </w:p>
    <w:p w:rsidR="00000000" w:rsidRDefault="00000000"/>
    <w:p w:rsidR="00000000" w:rsidRDefault="00000000">
      <w:pPr>
        <w:jc w:val="center"/>
        <w:rPr>
          <w:b/>
          <w:bCs/>
        </w:rPr>
      </w:pPr>
      <w:r>
        <w:rPr>
          <w:i/>
          <w:iCs/>
        </w:rPr>
        <w:br w:type="page"/>
      </w:r>
      <w:r>
        <w:rPr>
          <w:b/>
          <w:bCs/>
        </w:rPr>
        <w:t>Таблица 26</w:t>
      </w:r>
    </w:p>
    <w:p w:rsidR="00000000" w:rsidRDefault="00000000">
      <w:pPr>
        <w:jc w:val="center"/>
        <w:rPr>
          <w:b/>
          <w:bCs/>
        </w:rPr>
      </w:pPr>
    </w:p>
    <w:p w:rsidR="00000000" w:rsidRDefault="00000000">
      <w:pPr>
        <w:jc w:val="center"/>
        <w:rPr>
          <w:b/>
          <w:bCs/>
        </w:rPr>
      </w:pPr>
      <w:r>
        <w:rPr>
          <w:b/>
          <w:bCs/>
        </w:rPr>
        <w:t>Строительство новых квартир при финансировании со стороны государства</w:t>
      </w:r>
    </w:p>
    <w:p w:rsidR="00000000" w:rsidRDefault="00000000">
      <w:pPr>
        <w:jc w:val="center"/>
        <w:rPr>
          <w:b/>
          <w:bCs/>
        </w:rPr>
      </w:pPr>
      <w:r>
        <w:rPr>
          <w:b/>
          <w:bCs/>
        </w:rPr>
        <w:t>в 2001-2004 годах</w:t>
      </w:r>
    </w:p>
    <w:p w:rsidR="00000000" w:rsidRDefault="00000000">
      <w:pPr>
        <w:jc w:val="center"/>
        <w:rPr>
          <w:i/>
          <w:iCs/>
        </w:rPr>
      </w:pPr>
    </w:p>
    <w:tbl>
      <w:tblPr>
        <w:tblW w:w="9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00"/>
        <w:gridCol w:w="962"/>
        <w:gridCol w:w="17"/>
        <w:gridCol w:w="1035"/>
        <w:gridCol w:w="15"/>
        <w:gridCol w:w="924"/>
        <w:gridCol w:w="22"/>
        <w:gridCol w:w="832"/>
        <w:gridCol w:w="28"/>
      </w:tblGrid>
      <w:tr w:rsidR="00000000">
        <w:tblPrEx>
          <w:tblCellMar>
            <w:top w:w="0" w:type="dxa"/>
            <w:bottom w:w="0" w:type="dxa"/>
          </w:tblCellMar>
        </w:tblPrEx>
        <w:trPr>
          <w:gridAfter w:val="1"/>
          <w:wAfter w:w="25" w:type="dxa"/>
          <w:cantSplit/>
        </w:trPr>
        <w:tc>
          <w:tcPr>
            <w:tcW w:w="5603" w:type="dxa"/>
            <w:tcBorders>
              <w:bottom w:val="single" w:sz="4" w:space="0" w:color="auto"/>
            </w:tcBorders>
          </w:tcPr>
          <w:p w:rsidR="00000000" w:rsidRDefault="00000000">
            <w:pPr>
              <w:pStyle w:val="Default"/>
              <w:spacing w:line="288" w:lineRule="auto"/>
              <w:rPr>
                <w:rFonts w:ascii="Times New Roman" w:hAnsi="Times New Roman"/>
                <w:sz w:val="24"/>
                <w:lang w:val="ru-RU"/>
              </w:rPr>
            </w:pPr>
          </w:p>
        </w:tc>
        <w:tc>
          <w:tcPr>
            <w:tcW w:w="962" w:type="dxa"/>
            <w:tcBorders>
              <w:bottom w:val="single" w:sz="4" w:space="0" w:color="auto"/>
            </w:tcBorders>
          </w:tcPr>
          <w:p w:rsidR="00000000" w:rsidRDefault="00000000">
            <w:pPr>
              <w:pStyle w:val="Default"/>
              <w:spacing w:line="288" w:lineRule="auto"/>
              <w:jc w:val="center"/>
              <w:rPr>
                <w:rFonts w:ascii="Times New Roman" w:hAnsi="Times New Roman"/>
                <w:sz w:val="24"/>
                <w:lang w:val="ru-RU"/>
              </w:rPr>
            </w:pPr>
            <w:r>
              <w:rPr>
                <w:rFonts w:ascii="Times New Roman" w:hAnsi="Times New Roman"/>
                <w:sz w:val="24"/>
                <w:lang w:val="ru-RU"/>
              </w:rPr>
              <w:t>2001</w:t>
            </w:r>
          </w:p>
        </w:tc>
        <w:tc>
          <w:tcPr>
            <w:tcW w:w="1052" w:type="dxa"/>
            <w:gridSpan w:val="2"/>
            <w:tcBorders>
              <w:bottom w:val="single" w:sz="4" w:space="0" w:color="auto"/>
            </w:tcBorders>
          </w:tcPr>
          <w:p w:rsidR="00000000" w:rsidRDefault="00000000">
            <w:pPr>
              <w:pStyle w:val="Default"/>
              <w:spacing w:line="288" w:lineRule="auto"/>
              <w:jc w:val="center"/>
              <w:rPr>
                <w:rFonts w:ascii="Times New Roman" w:hAnsi="Times New Roman"/>
                <w:sz w:val="24"/>
                <w:lang w:val="ru-RU"/>
              </w:rPr>
            </w:pPr>
            <w:r>
              <w:rPr>
                <w:rFonts w:ascii="Times New Roman" w:hAnsi="Times New Roman"/>
                <w:sz w:val="24"/>
                <w:lang w:val="ru-RU"/>
              </w:rPr>
              <w:t>2002</w:t>
            </w:r>
          </w:p>
        </w:tc>
        <w:tc>
          <w:tcPr>
            <w:tcW w:w="961" w:type="dxa"/>
            <w:gridSpan w:val="3"/>
            <w:tcBorders>
              <w:bottom w:val="single" w:sz="4" w:space="0" w:color="auto"/>
            </w:tcBorders>
          </w:tcPr>
          <w:p w:rsidR="00000000" w:rsidRDefault="00000000">
            <w:pPr>
              <w:pStyle w:val="Default"/>
              <w:spacing w:line="288" w:lineRule="auto"/>
              <w:jc w:val="center"/>
              <w:rPr>
                <w:rFonts w:ascii="Times New Roman" w:hAnsi="Times New Roman"/>
                <w:sz w:val="24"/>
                <w:lang w:val="ru-RU"/>
              </w:rPr>
            </w:pPr>
            <w:r>
              <w:rPr>
                <w:rFonts w:ascii="Times New Roman" w:hAnsi="Times New Roman"/>
                <w:sz w:val="24"/>
                <w:lang w:val="ru-RU"/>
              </w:rPr>
              <w:t>2003</w:t>
            </w:r>
          </w:p>
        </w:tc>
        <w:tc>
          <w:tcPr>
            <w:tcW w:w="832" w:type="dxa"/>
            <w:tcBorders>
              <w:bottom w:val="single" w:sz="4" w:space="0" w:color="auto"/>
            </w:tcBorders>
          </w:tcPr>
          <w:p w:rsidR="00000000" w:rsidRDefault="00000000">
            <w:pPr>
              <w:pStyle w:val="Default"/>
              <w:spacing w:line="288" w:lineRule="auto"/>
              <w:jc w:val="center"/>
              <w:rPr>
                <w:rFonts w:ascii="Times New Roman" w:hAnsi="Times New Roman"/>
                <w:sz w:val="24"/>
                <w:lang w:val="ru-RU"/>
              </w:rPr>
            </w:pPr>
            <w:r>
              <w:rPr>
                <w:rFonts w:ascii="Times New Roman" w:hAnsi="Times New Roman"/>
                <w:sz w:val="24"/>
                <w:lang w:val="ru-RU"/>
              </w:rPr>
              <w:t>2004</w:t>
            </w:r>
          </w:p>
        </w:tc>
      </w:tr>
      <w:tr w:rsidR="00000000">
        <w:tblPrEx>
          <w:tblCellMar>
            <w:top w:w="0" w:type="dxa"/>
            <w:bottom w:w="0" w:type="dxa"/>
          </w:tblCellMar>
        </w:tblPrEx>
        <w:trPr>
          <w:gridAfter w:val="1"/>
          <w:wAfter w:w="25" w:type="dxa"/>
          <w:cantSplit/>
        </w:trPr>
        <w:tc>
          <w:tcPr>
            <w:tcW w:w="5603" w:type="dxa"/>
            <w:tcBorders>
              <w:bottom w:val="nil"/>
            </w:tcBorders>
          </w:tcPr>
          <w:p w:rsidR="00000000" w:rsidRDefault="00000000">
            <w:pPr>
              <w:pStyle w:val="Default"/>
              <w:spacing w:line="288" w:lineRule="auto"/>
              <w:rPr>
                <w:rFonts w:ascii="Times New Roman" w:hAnsi="Times New Roman"/>
                <w:sz w:val="24"/>
                <w:lang w:val="ru-RU"/>
              </w:rPr>
            </w:pPr>
            <w:r>
              <w:rPr>
                <w:rFonts w:ascii="Times New Roman" w:hAnsi="Times New Roman"/>
                <w:sz w:val="24"/>
                <w:lang w:val="ru-RU"/>
              </w:rPr>
              <w:t>Предназначенное для аренды жилье, возводимое при финансовой поддержке государства</w:t>
            </w:r>
          </w:p>
        </w:tc>
        <w:tc>
          <w:tcPr>
            <w:tcW w:w="962" w:type="dxa"/>
            <w:tcBorders>
              <w:bottom w:val="nil"/>
            </w:tcBorders>
          </w:tcPr>
          <w:p w:rsidR="00000000" w:rsidRDefault="00000000">
            <w:pPr>
              <w:pStyle w:val="Default"/>
              <w:spacing w:line="288" w:lineRule="auto"/>
              <w:rPr>
                <w:rFonts w:ascii="Times New Roman" w:hAnsi="Times New Roman"/>
                <w:sz w:val="24"/>
                <w:lang w:val="ru-RU"/>
              </w:rPr>
            </w:pPr>
          </w:p>
        </w:tc>
        <w:tc>
          <w:tcPr>
            <w:tcW w:w="1052" w:type="dxa"/>
            <w:gridSpan w:val="2"/>
            <w:tcBorders>
              <w:bottom w:val="nil"/>
            </w:tcBorders>
          </w:tcPr>
          <w:p w:rsidR="00000000" w:rsidRDefault="00000000">
            <w:pPr>
              <w:pStyle w:val="Default"/>
              <w:spacing w:line="288" w:lineRule="auto"/>
              <w:rPr>
                <w:rFonts w:ascii="Times New Roman" w:hAnsi="Times New Roman"/>
                <w:sz w:val="24"/>
                <w:lang w:val="ru-RU"/>
              </w:rPr>
            </w:pPr>
          </w:p>
        </w:tc>
        <w:tc>
          <w:tcPr>
            <w:tcW w:w="961" w:type="dxa"/>
            <w:gridSpan w:val="3"/>
            <w:tcBorders>
              <w:bottom w:val="nil"/>
            </w:tcBorders>
          </w:tcPr>
          <w:p w:rsidR="00000000" w:rsidRDefault="00000000">
            <w:pPr>
              <w:pStyle w:val="Default"/>
              <w:spacing w:line="288" w:lineRule="auto"/>
              <w:rPr>
                <w:rFonts w:ascii="Times New Roman" w:hAnsi="Times New Roman"/>
                <w:sz w:val="24"/>
                <w:lang w:val="ru-RU"/>
              </w:rPr>
            </w:pPr>
          </w:p>
        </w:tc>
        <w:tc>
          <w:tcPr>
            <w:tcW w:w="832" w:type="dxa"/>
            <w:tcBorders>
              <w:bottom w:val="nil"/>
            </w:tcBorders>
          </w:tcPr>
          <w:p w:rsidR="00000000" w:rsidRDefault="00000000">
            <w:pPr>
              <w:pStyle w:val="Default"/>
              <w:spacing w:line="288" w:lineRule="auto"/>
              <w:rPr>
                <w:rFonts w:ascii="Times New Roman" w:hAnsi="Times New Roman"/>
                <w:sz w:val="24"/>
                <w:lang w:val="ru-RU"/>
              </w:rPr>
            </w:pPr>
          </w:p>
        </w:tc>
      </w:tr>
      <w:tr w:rsidR="00000000">
        <w:tblPrEx>
          <w:tblCellMar>
            <w:top w:w="0" w:type="dxa"/>
            <w:bottom w:w="0" w:type="dxa"/>
          </w:tblCellMar>
        </w:tblPrEx>
        <w:trPr>
          <w:gridAfter w:val="1"/>
          <w:wAfter w:w="25" w:type="dxa"/>
          <w:cantSplit/>
        </w:trPr>
        <w:tc>
          <w:tcPr>
            <w:tcW w:w="5603" w:type="dxa"/>
            <w:tcBorders>
              <w:top w:val="nil"/>
              <w:bottom w:val="nil"/>
            </w:tcBorders>
          </w:tcPr>
          <w:p w:rsidR="00000000" w:rsidRDefault="00000000">
            <w:pPr>
              <w:pStyle w:val="Default"/>
              <w:tabs>
                <w:tab w:val="left" w:pos="284"/>
              </w:tabs>
              <w:spacing w:line="288" w:lineRule="auto"/>
              <w:rPr>
                <w:rFonts w:ascii="Times New Roman" w:hAnsi="Times New Roman"/>
                <w:sz w:val="24"/>
                <w:lang w:val="ru-RU"/>
              </w:rPr>
            </w:pPr>
            <w:r>
              <w:rPr>
                <w:rFonts w:ascii="Times New Roman" w:hAnsi="Times New Roman"/>
                <w:sz w:val="24"/>
                <w:lang w:val="ru-RU"/>
              </w:rPr>
              <w:tab/>
              <w:t>Государственные жилищные займы</w:t>
            </w:r>
          </w:p>
        </w:tc>
        <w:tc>
          <w:tcPr>
            <w:tcW w:w="96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8 789</w:t>
            </w:r>
          </w:p>
        </w:tc>
        <w:tc>
          <w:tcPr>
            <w:tcW w:w="1052" w:type="dxa"/>
            <w:gridSpan w:val="2"/>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7 467</w:t>
            </w:r>
          </w:p>
        </w:tc>
        <w:tc>
          <w:tcPr>
            <w:tcW w:w="961" w:type="dxa"/>
            <w:gridSpan w:val="3"/>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4 004</w:t>
            </w:r>
          </w:p>
        </w:tc>
        <w:tc>
          <w:tcPr>
            <w:tcW w:w="83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2 549</w:t>
            </w:r>
          </w:p>
        </w:tc>
      </w:tr>
      <w:tr w:rsidR="00000000">
        <w:tblPrEx>
          <w:tblCellMar>
            <w:top w:w="0" w:type="dxa"/>
            <w:bottom w:w="0" w:type="dxa"/>
          </w:tblCellMar>
        </w:tblPrEx>
        <w:trPr>
          <w:gridAfter w:val="1"/>
          <w:wAfter w:w="25" w:type="dxa"/>
          <w:cantSplit/>
        </w:trPr>
        <w:tc>
          <w:tcPr>
            <w:tcW w:w="5603" w:type="dxa"/>
            <w:tcBorders>
              <w:top w:val="nil"/>
              <w:bottom w:val="nil"/>
            </w:tcBorders>
          </w:tcPr>
          <w:p w:rsidR="00000000" w:rsidRDefault="00000000">
            <w:pPr>
              <w:pStyle w:val="Default"/>
              <w:tabs>
                <w:tab w:val="left" w:pos="284"/>
              </w:tabs>
              <w:spacing w:line="288" w:lineRule="auto"/>
              <w:rPr>
                <w:rFonts w:ascii="Times New Roman" w:hAnsi="Times New Roman"/>
                <w:sz w:val="24"/>
                <w:lang w:val="ru-RU"/>
              </w:rPr>
            </w:pPr>
            <w:r>
              <w:rPr>
                <w:rFonts w:ascii="Times New Roman" w:hAnsi="Times New Roman"/>
                <w:sz w:val="24"/>
                <w:lang w:val="ru-RU"/>
              </w:rPr>
              <w:tab/>
              <w:t>Процентная субсидия</w:t>
            </w:r>
          </w:p>
        </w:tc>
        <w:tc>
          <w:tcPr>
            <w:tcW w:w="96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3 127</w:t>
            </w:r>
          </w:p>
        </w:tc>
        <w:tc>
          <w:tcPr>
            <w:tcW w:w="1052" w:type="dxa"/>
            <w:gridSpan w:val="2"/>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3 674</w:t>
            </w:r>
          </w:p>
        </w:tc>
        <w:tc>
          <w:tcPr>
            <w:tcW w:w="961" w:type="dxa"/>
            <w:gridSpan w:val="3"/>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5 455</w:t>
            </w:r>
          </w:p>
        </w:tc>
        <w:tc>
          <w:tcPr>
            <w:tcW w:w="83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1 340</w:t>
            </w:r>
          </w:p>
        </w:tc>
      </w:tr>
      <w:tr w:rsidR="00000000">
        <w:tblPrEx>
          <w:tblCellMar>
            <w:top w:w="0" w:type="dxa"/>
            <w:bottom w:w="0" w:type="dxa"/>
          </w:tblCellMar>
        </w:tblPrEx>
        <w:trPr>
          <w:gridAfter w:val="1"/>
          <w:wAfter w:w="25" w:type="dxa"/>
          <w:cantSplit/>
        </w:trPr>
        <w:tc>
          <w:tcPr>
            <w:tcW w:w="5603" w:type="dxa"/>
            <w:tcBorders>
              <w:top w:val="nil"/>
              <w:bottom w:val="nil"/>
            </w:tcBorders>
          </w:tcPr>
          <w:p w:rsidR="00000000" w:rsidRDefault="00000000">
            <w:pPr>
              <w:pStyle w:val="Default"/>
              <w:tabs>
                <w:tab w:val="left" w:pos="284"/>
              </w:tabs>
              <w:spacing w:line="288" w:lineRule="auto"/>
              <w:rPr>
                <w:rFonts w:ascii="Times New Roman" w:hAnsi="Times New Roman"/>
                <w:sz w:val="24"/>
                <w:lang w:val="ru-RU"/>
              </w:rPr>
            </w:pPr>
            <w:r>
              <w:rPr>
                <w:rFonts w:ascii="Times New Roman" w:hAnsi="Times New Roman"/>
                <w:sz w:val="24"/>
                <w:lang w:val="ru-RU"/>
              </w:rPr>
              <w:tab/>
              <w:t>Всего</w:t>
            </w:r>
          </w:p>
        </w:tc>
        <w:tc>
          <w:tcPr>
            <w:tcW w:w="96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11 916</w:t>
            </w:r>
          </w:p>
        </w:tc>
        <w:tc>
          <w:tcPr>
            <w:tcW w:w="1052" w:type="dxa"/>
            <w:gridSpan w:val="2"/>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11 141</w:t>
            </w:r>
          </w:p>
        </w:tc>
        <w:tc>
          <w:tcPr>
            <w:tcW w:w="961" w:type="dxa"/>
            <w:gridSpan w:val="3"/>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9 459</w:t>
            </w:r>
          </w:p>
        </w:tc>
        <w:tc>
          <w:tcPr>
            <w:tcW w:w="83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3 889</w:t>
            </w:r>
          </w:p>
        </w:tc>
      </w:tr>
      <w:tr w:rsidR="00000000">
        <w:tblPrEx>
          <w:tblCellMar>
            <w:top w:w="0" w:type="dxa"/>
            <w:bottom w:w="0" w:type="dxa"/>
          </w:tblCellMar>
        </w:tblPrEx>
        <w:trPr>
          <w:gridAfter w:val="1"/>
          <w:wAfter w:w="25" w:type="dxa"/>
          <w:cantSplit/>
        </w:trPr>
        <w:tc>
          <w:tcPr>
            <w:tcW w:w="5603" w:type="dxa"/>
            <w:tcBorders>
              <w:top w:val="nil"/>
              <w:bottom w:val="nil"/>
            </w:tcBorders>
          </w:tcPr>
          <w:p w:rsidR="00000000" w:rsidRDefault="00000000">
            <w:pPr>
              <w:pStyle w:val="Default"/>
              <w:spacing w:line="288" w:lineRule="auto"/>
              <w:rPr>
                <w:rFonts w:ascii="Times New Roman" w:hAnsi="Times New Roman"/>
                <w:sz w:val="24"/>
                <w:lang w:val="ru-RU"/>
              </w:rPr>
            </w:pPr>
            <w:r>
              <w:rPr>
                <w:rFonts w:ascii="Times New Roman" w:hAnsi="Times New Roman"/>
                <w:sz w:val="24"/>
                <w:lang w:val="ru-RU"/>
              </w:rPr>
              <w:t>Жилье, занимаемое владельцем</w:t>
            </w:r>
          </w:p>
        </w:tc>
        <w:tc>
          <w:tcPr>
            <w:tcW w:w="962" w:type="dxa"/>
            <w:tcBorders>
              <w:top w:val="nil"/>
              <w:bottom w:val="nil"/>
            </w:tcBorders>
          </w:tcPr>
          <w:p w:rsidR="00000000" w:rsidRDefault="00000000">
            <w:pPr>
              <w:pStyle w:val="Default"/>
              <w:spacing w:line="288" w:lineRule="auto"/>
              <w:jc w:val="right"/>
              <w:rPr>
                <w:rFonts w:ascii="Times New Roman" w:hAnsi="Times New Roman"/>
                <w:sz w:val="24"/>
                <w:lang w:val="ru-RU"/>
              </w:rPr>
            </w:pPr>
          </w:p>
        </w:tc>
        <w:tc>
          <w:tcPr>
            <w:tcW w:w="1052" w:type="dxa"/>
            <w:gridSpan w:val="2"/>
            <w:tcBorders>
              <w:top w:val="nil"/>
              <w:bottom w:val="nil"/>
            </w:tcBorders>
          </w:tcPr>
          <w:p w:rsidR="00000000" w:rsidRDefault="00000000">
            <w:pPr>
              <w:pStyle w:val="Default"/>
              <w:spacing w:line="288" w:lineRule="auto"/>
              <w:jc w:val="right"/>
              <w:rPr>
                <w:rFonts w:ascii="Times New Roman" w:hAnsi="Times New Roman"/>
                <w:sz w:val="24"/>
                <w:lang w:val="ru-RU"/>
              </w:rPr>
            </w:pPr>
          </w:p>
        </w:tc>
        <w:tc>
          <w:tcPr>
            <w:tcW w:w="961" w:type="dxa"/>
            <w:gridSpan w:val="3"/>
            <w:tcBorders>
              <w:top w:val="nil"/>
              <w:bottom w:val="nil"/>
            </w:tcBorders>
          </w:tcPr>
          <w:p w:rsidR="00000000" w:rsidRDefault="00000000">
            <w:pPr>
              <w:pStyle w:val="Default"/>
              <w:spacing w:line="288" w:lineRule="auto"/>
              <w:jc w:val="right"/>
              <w:rPr>
                <w:rFonts w:ascii="Times New Roman" w:hAnsi="Times New Roman"/>
                <w:sz w:val="24"/>
                <w:lang w:val="ru-RU"/>
              </w:rPr>
            </w:pPr>
          </w:p>
        </w:tc>
        <w:tc>
          <w:tcPr>
            <w:tcW w:w="832" w:type="dxa"/>
            <w:tcBorders>
              <w:top w:val="nil"/>
              <w:bottom w:val="nil"/>
            </w:tcBorders>
          </w:tcPr>
          <w:p w:rsidR="00000000" w:rsidRDefault="00000000">
            <w:pPr>
              <w:pStyle w:val="Default"/>
              <w:spacing w:line="288" w:lineRule="auto"/>
              <w:jc w:val="right"/>
              <w:rPr>
                <w:rFonts w:ascii="Times New Roman" w:hAnsi="Times New Roman"/>
                <w:sz w:val="24"/>
                <w:lang w:val="ru-RU"/>
              </w:rPr>
            </w:pPr>
          </w:p>
        </w:tc>
      </w:tr>
      <w:tr w:rsidR="00000000">
        <w:tblPrEx>
          <w:tblCellMar>
            <w:top w:w="0" w:type="dxa"/>
            <w:bottom w:w="0" w:type="dxa"/>
          </w:tblCellMar>
        </w:tblPrEx>
        <w:trPr>
          <w:gridAfter w:val="1"/>
          <w:wAfter w:w="25" w:type="dxa"/>
          <w:cantSplit/>
        </w:trPr>
        <w:tc>
          <w:tcPr>
            <w:tcW w:w="5603" w:type="dxa"/>
            <w:tcBorders>
              <w:top w:val="nil"/>
              <w:bottom w:val="nil"/>
            </w:tcBorders>
          </w:tcPr>
          <w:p w:rsidR="00000000" w:rsidRDefault="00000000">
            <w:pPr>
              <w:pStyle w:val="Default"/>
              <w:tabs>
                <w:tab w:val="left" w:pos="284"/>
              </w:tabs>
              <w:spacing w:line="288" w:lineRule="auto"/>
              <w:rPr>
                <w:rFonts w:ascii="Times New Roman" w:hAnsi="Times New Roman"/>
                <w:sz w:val="24"/>
                <w:lang w:val="ru-RU"/>
              </w:rPr>
            </w:pPr>
            <w:r>
              <w:rPr>
                <w:rFonts w:ascii="Times New Roman" w:hAnsi="Times New Roman"/>
                <w:sz w:val="24"/>
                <w:lang w:val="ru-RU"/>
              </w:rPr>
              <w:tab/>
              <w:t>Государственные жилищные займы</w:t>
            </w:r>
          </w:p>
        </w:tc>
        <w:tc>
          <w:tcPr>
            <w:tcW w:w="96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4 369</w:t>
            </w:r>
          </w:p>
        </w:tc>
        <w:tc>
          <w:tcPr>
            <w:tcW w:w="1052" w:type="dxa"/>
            <w:gridSpan w:val="2"/>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2 556</w:t>
            </w:r>
          </w:p>
        </w:tc>
        <w:tc>
          <w:tcPr>
            <w:tcW w:w="961" w:type="dxa"/>
            <w:gridSpan w:val="3"/>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393</w:t>
            </w:r>
          </w:p>
        </w:tc>
        <w:tc>
          <w:tcPr>
            <w:tcW w:w="83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543</w:t>
            </w:r>
          </w:p>
        </w:tc>
      </w:tr>
      <w:tr w:rsidR="00000000">
        <w:tblPrEx>
          <w:tblCellMar>
            <w:top w:w="0" w:type="dxa"/>
            <w:bottom w:w="0" w:type="dxa"/>
          </w:tblCellMar>
        </w:tblPrEx>
        <w:trPr>
          <w:gridAfter w:val="1"/>
          <w:wAfter w:w="25" w:type="dxa"/>
          <w:cantSplit/>
        </w:trPr>
        <w:tc>
          <w:tcPr>
            <w:tcW w:w="5603" w:type="dxa"/>
            <w:tcBorders>
              <w:top w:val="nil"/>
              <w:bottom w:val="nil"/>
            </w:tcBorders>
          </w:tcPr>
          <w:p w:rsidR="00000000" w:rsidRDefault="00000000">
            <w:pPr>
              <w:pStyle w:val="Default"/>
              <w:tabs>
                <w:tab w:val="left" w:pos="284"/>
              </w:tabs>
              <w:spacing w:line="288" w:lineRule="auto"/>
              <w:rPr>
                <w:rFonts w:ascii="Times New Roman" w:hAnsi="Times New Roman"/>
                <w:sz w:val="24"/>
                <w:lang w:val="ru-RU"/>
              </w:rPr>
            </w:pPr>
            <w:r>
              <w:rPr>
                <w:rFonts w:ascii="Times New Roman" w:hAnsi="Times New Roman"/>
                <w:sz w:val="24"/>
                <w:lang w:val="ru-RU"/>
              </w:rPr>
              <w:tab/>
              <w:t>Процентная субсидия</w:t>
            </w:r>
          </w:p>
        </w:tc>
        <w:tc>
          <w:tcPr>
            <w:tcW w:w="96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691</w:t>
            </w:r>
          </w:p>
        </w:tc>
        <w:tc>
          <w:tcPr>
            <w:tcW w:w="1052" w:type="dxa"/>
            <w:gridSpan w:val="2"/>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797</w:t>
            </w:r>
          </w:p>
        </w:tc>
        <w:tc>
          <w:tcPr>
            <w:tcW w:w="961" w:type="dxa"/>
            <w:gridSpan w:val="3"/>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1 125</w:t>
            </w:r>
          </w:p>
        </w:tc>
        <w:tc>
          <w:tcPr>
            <w:tcW w:w="83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115</w:t>
            </w:r>
          </w:p>
        </w:tc>
      </w:tr>
      <w:tr w:rsidR="00000000">
        <w:tblPrEx>
          <w:tblCellMar>
            <w:top w:w="0" w:type="dxa"/>
            <w:bottom w:w="0" w:type="dxa"/>
          </w:tblCellMar>
        </w:tblPrEx>
        <w:trPr>
          <w:gridAfter w:val="1"/>
          <w:wAfter w:w="25" w:type="dxa"/>
          <w:cantSplit/>
        </w:trPr>
        <w:tc>
          <w:tcPr>
            <w:tcW w:w="5603" w:type="dxa"/>
            <w:tcBorders>
              <w:top w:val="nil"/>
              <w:bottom w:val="nil"/>
            </w:tcBorders>
          </w:tcPr>
          <w:p w:rsidR="00000000" w:rsidRDefault="00000000">
            <w:pPr>
              <w:pStyle w:val="Default"/>
              <w:tabs>
                <w:tab w:val="left" w:pos="284"/>
              </w:tabs>
              <w:spacing w:line="288" w:lineRule="auto"/>
              <w:rPr>
                <w:rFonts w:ascii="Times New Roman" w:hAnsi="Times New Roman"/>
                <w:sz w:val="24"/>
                <w:lang w:val="ru-RU"/>
              </w:rPr>
            </w:pPr>
            <w:r>
              <w:rPr>
                <w:rFonts w:ascii="Times New Roman" w:hAnsi="Times New Roman"/>
                <w:sz w:val="24"/>
                <w:lang w:val="ru-RU"/>
              </w:rPr>
              <w:tab/>
              <w:t>Всего</w:t>
            </w:r>
          </w:p>
        </w:tc>
        <w:tc>
          <w:tcPr>
            <w:tcW w:w="96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5 060</w:t>
            </w:r>
          </w:p>
        </w:tc>
        <w:tc>
          <w:tcPr>
            <w:tcW w:w="1052" w:type="dxa"/>
            <w:gridSpan w:val="2"/>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3 353</w:t>
            </w:r>
          </w:p>
        </w:tc>
        <w:tc>
          <w:tcPr>
            <w:tcW w:w="961" w:type="dxa"/>
            <w:gridSpan w:val="3"/>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1 518</w:t>
            </w:r>
          </w:p>
        </w:tc>
        <w:tc>
          <w:tcPr>
            <w:tcW w:w="83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658</w:t>
            </w:r>
          </w:p>
        </w:tc>
      </w:tr>
      <w:tr w:rsidR="00000000">
        <w:tblPrEx>
          <w:tblCellMar>
            <w:top w:w="0" w:type="dxa"/>
            <w:bottom w:w="0" w:type="dxa"/>
          </w:tblCellMar>
        </w:tblPrEx>
        <w:trPr>
          <w:gridAfter w:val="1"/>
          <w:wAfter w:w="25" w:type="dxa"/>
          <w:cantSplit/>
        </w:trPr>
        <w:tc>
          <w:tcPr>
            <w:tcW w:w="5603" w:type="dxa"/>
            <w:tcBorders>
              <w:top w:val="nil"/>
              <w:bottom w:val="nil"/>
            </w:tcBorders>
          </w:tcPr>
          <w:p w:rsidR="00000000" w:rsidRDefault="00000000">
            <w:pPr>
              <w:pStyle w:val="Default"/>
              <w:spacing w:line="288" w:lineRule="auto"/>
              <w:rPr>
                <w:rFonts w:ascii="Times New Roman" w:hAnsi="Times New Roman"/>
                <w:sz w:val="24"/>
                <w:lang w:val="ru-RU"/>
              </w:rPr>
            </w:pPr>
            <w:r>
              <w:rPr>
                <w:rFonts w:ascii="Times New Roman" w:hAnsi="Times New Roman"/>
                <w:sz w:val="24"/>
                <w:lang w:val="ru-RU"/>
              </w:rPr>
              <w:t>Прочее жилье</w:t>
            </w:r>
            <w:r>
              <w:rPr>
                <w:rFonts w:ascii="Times New Roman" w:hAnsi="Times New Roman"/>
                <w:b/>
                <w:bCs/>
                <w:sz w:val="24"/>
                <w:lang w:val="ru-RU"/>
              </w:rPr>
              <w:t>¹</w:t>
            </w:r>
          </w:p>
        </w:tc>
        <w:tc>
          <w:tcPr>
            <w:tcW w:w="962" w:type="dxa"/>
            <w:tcBorders>
              <w:top w:val="nil"/>
              <w:bottom w:val="nil"/>
            </w:tcBorders>
          </w:tcPr>
          <w:p w:rsidR="00000000" w:rsidRDefault="00000000">
            <w:pPr>
              <w:pStyle w:val="Default"/>
              <w:spacing w:line="288" w:lineRule="auto"/>
              <w:jc w:val="right"/>
              <w:rPr>
                <w:rFonts w:ascii="Times New Roman" w:hAnsi="Times New Roman"/>
                <w:sz w:val="24"/>
                <w:lang w:val="ru-RU"/>
              </w:rPr>
            </w:pPr>
          </w:p>
        </w:tc>
        <w:tc>
          <w:tcPr>
            <w:tcW w:w="1052" w:type="dxa"/>
            <w:gridSpan w:val="2"/>
            <w:tcBorders>
              <w:top w:val="nil"/>
              <w:bottom w:val="nil"/>
            </w:tcBorders>
          </w:tcPr>
          <w:p w:rsidR="00000000" w:rsidRDefault="00000000">
            <w:pPr>
              <w:pStyle w:val="Default"/>
              <w:spacing w:line="288" w:lineRule="auto"/>
              <w:jc w:val="right"/>
              <w:rPr>
                <w:rFonts w:ascii="Times New Roman" w:hAnsi="Times New Roman"/>
                <w:sz w:val="24"/>
                <w:lang w:val="ru-RU"/>
              </w:rPr>
            </w:pPr>
          </w:p>
        </w:tc>
        <w:tc>
          <w:tcPr>
            <w:tcW w:w="961" w:type="dxa"/>
            <w:gridSpan w:val="3"/>
            <w:tcBorders>
              <w:top w:val="nil"/>
              <w:bottom w:val="nil"/>
            </w:tcBorders>
          </w:tcPr>
          <w:p w:rsidR="00000000" w:rsidRDefault="00000000">
            <w:pPr>
              <w:pStyle w:val="Default"/>
              <w:spacing w:line="288" w:lineRule="auto"/>
              <w:jc w:val="right"/>
              <w:rPr>
                <w:rFonts w:ascii="Times New Roman" w:hAnsi="Times New Roman"/>
                <w:sz w:val="24"/>
                <w:lang w:val="ru-RU"/>
              </w:rPr>
            </w:pPr>
          </w:p>
        </w:tc>
        <w:tc>
          <w:tcPr>
            <w:tcW w:w="832" w:type="dxa"/>
            <w:tcBorders>
              <w:top w:val="nil"/>
              <w:bottom w:val="nil"/>
            </w:tcBorders>
          </w:tcPr>
          <w:p w:rsidR="00000000" w:rsidRDefault="00000000">
            <w:pPr>
              <w:pStyle w:val="Default"/>
              <w:spacing w:line="288" w:lineRule="auto"/>
              <w:jc w:val="right"/>
              <w:rPr>
                <w:rFonts w:ascii="Times New Roman" w:hAnsi="Times New Roman"/>
                <w:sz w:val="24"/>
                <w:lang w:val="ru-RU"/>
              </w:rPr>
            </w:pPr>
          </w:p>
        </w:tc>
      </w:tr>
      <w:tr w:rsidR="00000000">
        <w:tblPrEx>
          <w:tblCellMar>
            <w:top w:w="0" w:type="dxa"/>
            <w:bottom w:w="0" w:type="dxa"/>
          </w:tblCellMar>
        </w:tblPrEx>
        <w:trPr>
          <w:gridAfter w:val="1"/>
          <w:wAfter w:w="25" w:type="dxa"/>
          <w:cantSplit/>
        </w:trPr>
        <w:tc>
          <w:tcPr>
            <w:tcW w:w="5603" w:type="dxa"/>
            <w:tcBorders>
              <w:top w:val="nil"/>
              <w:bottom w:val="nil"/>
            </w:tcBorders>
          </w:tcPr>
          <w:p w:rsidR="00000000" w:rsidRDefault="00000000">
            <w:pPr>
              <w:pStyle w:val="Default"/>
              <w:tabs>
                <w:tab w:val="left" w:pos="284"/>
              </w:tabs>
              <w:spacing w:line="288" w:lineRule="auto"/>
              <w:rPr>
                <w:rFonts w:ascii="Times New Roman" w:hAnsi="Times New Roman"/>
                <w:sz w:val="24"/>
                <w:lang w:val="ru-RU"/>
              </w:rPr>
            </w:pPr>
            <w:r>
              <w:rPr>
                <w:rFonts w:ascii="Times New Roman" w:hAnsi="Times New Roman"/>
                <w:sz w:val="24"/>
                <w:lang w:val="ru-RU"/>
              </w:rPr>
              <w:tab/>
              <w:t>Государственные жилищные займы</w:t>
            </w:r>
          </w:p>
        </w:tc>
        <w:tc>
          <w:tcPr>
            <w:tcW w:w="96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96</w:t>
            </w:r>
          </w:p>
        </w:tc>
        <w:tc>
          <w:tcPr>
            <w:tcW w:w="1052" w:type="dxa"/>
            <w:gridSpan w:val="2"/>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58</w:t>
            </w:r>
          </w:p>
        </w:tc>
        <w:tc>
          <w:tcPr>
            <w:tcW w:w="961" w:type="dxa"/>
            <w:gridSpan w:val="3"/>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0</w:t>
            </w:r>
          </w:p>
        </w:tc>
        <w:tc>
          <w:tcPr>
            <w:tcW w:w="83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10</w:t>
            </w:r>
          </w:p>
        </w:tc>
      </w:tr>
      <w:tr w:rsidR="00000000">
        <w:tblPrEx>
          <w:tblCellMar>
            <w:top w:w="0" w:type="dxa"/>
            <w:bottom w:w="0" w:type="dxa"/>
          </w:tblCellMar>
        </w:tblPrEx>
        <w:trPr>
          <w:gridAfter w:val="1"/>
          <w:wAfter w:w="25" w:type="dxa"/>
          <w:cantSplit/>
        </w:trPr>
        <w:tc>
          <w:tcPr>
            <w:tcW w:w="5603" w:type="dxa"/>
            <w:tcBorders>
              <w:top w:val="nil"/>
              <w:bottom w:val="nil"/>
            </w:tcBorders>
          </w:tcPr>
          <w:p w:rsidR="00000000" w:rsidRDefault="00000000">
            <w:pPr>
              <w:pStyle w:val="Default"/>
              <w:tabs>
                <w:tab w:val="left" w:pos="284"/>
              </w:tabs>
              <w:spacing w:line="288" w:lineRule="auto"/>
              <w:rPr>
                <w:rFonts w:ascii="Times New Roman" w:hAnsi="Times New Roman"/>
                <w:sz w:val="24"/>
                <w:lang w:val="ru-RU"/>
              </w:rPr>
            </w:pPr>
            <w:r>
              <w:rPr>
                <w:rFonts w:ascii="Times New Roman" w:hAnsi="Times New Roman"/>
                <w:sz w:val="24"/>
                <w:lang w:val="ru-RU"/>
              </w:rPr>
              <w:tab/>
              <w:t>Процентная субсидия</w:t>
            </w:r>
          </w:p>
        </w:tc>
        <w:tc>
          <w:tcPr>
            <w:tcW w:w="96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1 032</w:t>
            </w:r>
          </w:p>
        </w:tc>
        <w:tc>
          <w:tcPr>
            <w:tcW w:w="1052" w:type="dxa"/>
            <w:gridSpan w:val="2"/>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808</w:t>
            </w:r>
          </w:p>
        </w:tc>
        <w:tc>
          <w:tcPr>
            <w:tcW w:w="961" w:type="dxa"/>
            <w:gridSpan w:val="3"/>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781</w:t>
            </w:r>
          </w:p>
        </w:tc>
        <w:tc>
          <w:tcPr>
            <w:tcW w:w="83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252</w:t>
            </w:r>
          </w:p>
        </w:tc>
      </w:tr>
      <w:tr w:rsidR="00000000">
        <w:tblPrEx>
          <w:tblCellMar>
            <w:top w:w="0" w:type="dxa"/>
            <w:bottom w:w="0" w:type="dxa"/>
          </w:tblCellMar>
        </w:tblPrEx>
        <w:trPr>
          <w:gridAfter w:val="1"/>
          <w:wAfter w:w="25" w:type="dxa"/>
          <w:cantSplit/>
        </w:trPr>
        <w:tc>
          <w:tcPr>
            <w:tcW w:w="5603" w:type="dxa"/>
            <w:tcBorders>
              <w:top w:val="nil"/>
              <w:bottom w:val="nil"/>
            </w:tcBorders>
          </w:tcPr>
          <w:p w:rsidR="00000000" w:rsidRDefault="00000000">
            <w:pPr>
              <w:pStyle w:val="Default"/>
              <w:tabs>
                <w:tab w:val="left" w:pos="284"/>
              </w:tabs>
              <w:spacing w:line="288" w:lineRule="auto"/>
              <w:rPr>
                <w:rFonts w:ascii="Times New Roman" w:hAnsi="Times New Roman"/>
                <w:sz w:val="24"/>
                <w:lang w:val="ru-RU"/>
              </w:rPr>
            </w:pPr>
            <w:r>
              <w:rPr>
                <w:rFonts w:ascii="Times New Roman" w:hAnsi="Times New Roman"/>
                <w:sz w:val="24"/>
                <w:lang w:val="ru-RU"/>
              </w:rPr>
              <w:tab/>
              <w:t xml:space="preserve">Всего </w:t>
            </w:r>
          </w:p>
        </w:tc>
        <w:tc>
          <w:tcPr>
            <w:tcW w:w="96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1 128</w:t>
            </w:r>
          </w:p>
        </w:tc>
        <w:tc>
          <w:tcPr>
            <w:tcW w:w="1052" w:type="dxa"/>
            <w:gridSpan w:val="2"/>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866</w:t>
            </w:r>
          </w:p>
        </w:tc>
        <w:tc>
          <w:tcPr>
            <w:tcW w:w="961" w:type="dxa"/>
            <w:gridSpan w:val="3"/>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781</w:t>
            </w:r>
          </w:p>
        </w:tc>
        <w:tc>
          <w:tcPr>
            <w:tcW w:w="832" w:type="dxa"/>
            <w:tcBorders>
              <w:top w:val="nil"/>
              <w:bottom w:val="nil"/>
            </w:tcBorders>
          </w:tcPr>
          <w:p w:rsidR="00000000" w:rsidRDefault="00000000">
            <w:pPr>
              <w:pStyle w:val="Default"/>
              <w:spacing w:line="288" w:lineRule="auto"/>
              <w:jc w:val="right"/>
              <w:rPr>
                <w:rFonts w:ascii="Times New Roman" w:hAnsi="Times New Roman"/>
                <w:sz w:val="24"/>
                <w:lang w:val="ru-RU"/>
              </w:rPr>
            </w:pPr>
            <w:r>
              <w:rPr>
                <w:rFonts w:ascii="Times New Roman" w:hAnsi="Times New Roman"/>
                <w:sz w:val="24"/>
                <w:lang w:val="ru-RU"/>
              </w:rPr>
              <w:t>262</w:t>
            </w:r>
          </w:p>
        </w:tc>
      </w:tr>
      <w:tr w:rsidR="00000000">
        <w:tblPrEx>
          <w:tblCellMar>
            <w:top w:w="57" w:type="dxa"/>
            <w:bottom w:w="57" w:type="dxa"/>
          </w:tblCellMar>
        </w:tblPrEx>
        <w:trPr>
          <w:cantSplit/>
        </w:trPr>
        <w:tc>
          <w:tcPr>
            <w:tcW w:w="5600" w:type="dxa"/>
            <w:tcBorders>
              <w:top w:val="nil"/>
              <w:bottom w:val="nil"/>
            </w:tcBorders>
          </w:tcPr>
          <w:p w:rsidR="00000000" w:rsidRDefault="00000000">
            <w:r>
              <w:t>Общий ввод в эксплуатацию новых квартир</w:t>
            </w:r>
          </w:p>
        </w:tc>
        <w:tc>
          <w:tcPr>
            <w:tcW w:w="979" w:type="dxa"/>
            <w:gridSpan w:val="2"/>
            <w:tcBorders>
              <w:top w:val="nil"/>
              <w:bottom w:val="nil"/>
            </w:tcBorders>
          </w:tcPr>
          <w:p w:rsidR="00000000" w:rsidRDefault="00000000">
            <w:pPr>
              <w:jc w:val="center"/>
            </w:pPr>
          </w:p>
        </w:tc>
        <w:tc>
          <w:tcPr>
            <w:tcW w:w="1050" w:type="dxa"/>
            <w:gridSpan w:val="2"/>
            <w:tcBorders>
              <w:top w:val="nil"/>
              <w:bottom w:val="nil"/>
            </w:tcBorders>
          </w:tcPr>
          <w:p w:rsidR="00000000" w:rsidRDefault="00000000">
            <w:pPr>
              <w:jc w:val="center"/>
            </w:pPr>
          </w:p>
        </w:tc>
        <w:tc>
          <w:tcPr>
            <w:tcW w:w="924" w:type="dxa"/>
            <w:tcBorders>
              <w:top w:val="nil"/>
              <w:bottom w:val="nil"/>
            </w:tcBorders>
          </w:tcPr>
          <w:p w:rsidR="00000000" w:rsidRDefault="00000000">
            <w:pPr>
              <w:jc w:val="center"/>
            </w:pPr>
          </w:p>
        </w:tc>
        <w:tc>
          <w:tcPr>
            <w:tcW w:w="882" w:type="dxa"/>
            <w:gridSpan w:val="3"/>
            <w:tcBorders>
              <w:top w:val="nil"/>
              <w:bottom w:val="nil"/>
            </w:tcBorders>
          </w:tcPr>
          <w:p w:rsidR="00000000" w:rsidRDefault="00000000">
            <w:pPr>
              <w:jc w:val="center"/>
            </w:pPr>
          </w:p>
        </w:tc>
      </w:tr>
      <w:tr w:rsidR="00000000">
        <w:tblPrEx>
          <w:tblCellMar>
            <w:top w:w="57" w:type="dxa"/>
            <w:bottom w:w="57" w:type="dxa"/>
          </w:tblCellMar>
        </w:tblPrEx>
        <w:trPr>
          <w:cantSplit/>
        </w:trPr>
        <w:tc>
          <w:tcPr>
            <w:tcW w:w="5600" w:type="dxa"/>
            <w:tcBorders>
              <w:top w:val="nil"/>
              <w:bottom w:val="nil"/>
            </w:tcBorders>
          </w:tcPr>
          <w:p w:rsidR="00000000" w:rsidRDefault="00000000">
            <w:pPr>
              <w:tabs>
                <w:tab w:val="left" w:pos="284"/>
              </w:tabs>
            </w:pPr>
            <w:r>
              <w:tab/>
              <w:t>Государственные жилищные займы</w:t>
            </w:r>
          </w:p>
        </w:tc>
        <w:tc>
          <w:tcPr>
            <w:tcW w:w="979" w:type="dxa"/>
            <w:gridSpan w:val="2"/>
            <w:tcBorders>
              <w:top w:val="nil"/>
              <w:bottom w:val="nil"/>
            </w:tcBorders>
          </w:tcPr>
          <w:p w:rsidR="00000000" w:rsidRDefault="00000000">
            <w:pPr>
              <w:jc w:val="center"/>
            </w:pPr>
            <w:r>
              <w:t>13 254</w:t>
            </w:r>
          </w:p>
        </w:tc>
        <w:tc>
          <w:tcPr>
            <w:tcW w:w="1050" w:type="dxa"/>
            <w:gridSpan w:val="2"/>
            <w:tcBorders>
              <w:top w:val="nil"/>
              <w:bottom w:val="nil"/>
            </w:tcBorders>
          </w:tcPr>
          <w:p w:rsidR="00000000" w:rsidRDefault="00000000">
            <w:pPr>
              <w:jc w:val="center"/>
            </w:pPr>
            <w:r>
              <w:t>10 081</w:t>
            </w:r>
          </w:p>
        </w:tc>
        <w:tc>
          <w:tcPr>
            <w:tcW w:w="924" w:type="dxa"/>
            <w:tcBorders>
              <w:top w:val="nil"/>
              <w:bottom w:val="nil"/>
            </w:tcBorders>
          </w:tcPr>
          <w:p w:rsidR="00000000" w:rsidRDefault="00000000">
            <w:pPr>
              <w:jc w:val="center"/>
            </w:pPr>
            <w:r>
              <w:t xml:space="preserve">  4 397</w:t>
            </w:r>
          </w:p>
        </w:tc>
        <w:tc>
          <w:tcPr>
            <w:tcW w:w="882" w:type="dxa"/>
            <w:gridSpan w:val="3"/>
            <w:tcBorders>
              <w:top w:val="nil"/>
              <w:bottom w:val="nil"/>
            </w:tcBorders>
          </w:tcPr>
          <w:p w:rsidR="00000000" w:rsidRDefault="00000000">
            <w:pPr>
              <w:jc w:val="center"/>
            </w:pPr>
            <w:r>
              <w:t>3 102</w:t>
            </w:r>
          </w:p>
        </w:tc>
      </w:tr>
      <w:tr w:rsidR="00000000">
        <w:tblPrEx>
          <w:tblCellMar>
            <w:top w:w="57" w:type="dxa"/>
            <w:bottom w:w="57" w:type="dxa"/>
          </w:tblCellMar>
        </w:tblPrEx>
        <w:trPr>
          <w:cantSplit/>
        </w:trPr>
        <w:tc>
          <w:tcPr>
            <w:tcW w:w="5600" w:type="dxa"/>
            <w:tcBorders>
              <w:top w:val="nil"/>
              <w:bottom w:val="nil"/>
            </w:tcBorders>
          </w:tcPr>
          <w:p w:rsidR="00000000" w:rsidRDefault="00000000">
            <w:pPr>
              <w:tabs>
                <w:tab w:val="left" w:pos="284"/>
              </w:tabs>
            </w:pPr>
            <w:r>
              <w:tab/>
              <w:t>Процентная субсидия</w:t>
            </w:r>
          </w:p>
        </w:tc>
        <w:tc>
          <w:tcPr>
            <w:tcW w:w="979" w:type="dxa"/>
            <w:gridSpan w:val="2"/>
            <w:tcBorders>
              <w:top w:val="nil"/>
              <w:bottom w:val="nil"/>
            </w:tcBorders>
          </w:tcPr>
          <w:p w:rsidR="00000000" w:rsidRDefault="00000000">
            <w:pPr>
              <w:jc w:val="center"/>
            </w:pPr>
            <w:r>
              <w:t xml:space="preserve">  4 850</w:t>
            </w:r>
          </w:p>
        </w:tc>
        <w:tc>
          <w:tcPr>
            <w:tcW w:w="1050" w:type="dxa"/>
            <w:gridSpan w:val="2"/>
            <w:tcBorders>
              <w:top w:val="nil"/>
              <w:bottom w:val="nil"/>
            </w:tcBorders>
          </w:tcPr>
          <w:p w:rsidR="00000000" w:rsidRDefault="00000000">
            <w:pPr>
              <w:jc w:val="center"/>
            </w:pPr>
            <w:r>
              <w:t xml:space="preserve">  5 279</w:t>
            </w:r>
          </w:p>
        </w:tc>
        <w:tc>
          <w:tcPr>
            <w:tcW w:w="924" w:type="dxa"/>
            <w:tcBorders>
              <w:top w:val="nil"/>
              <w:bottom w:val="nil"/>
            </w:tcBorders>
          </w:tcPr>
          <w:p w:rsidR="00000000" w:rsidRDefault="00000000">
            <w:pPr>
              <w:jc w:val="center"/>
            </w:pPr>
            <w:r>
              <w:t xml:space="preserve">  7 361</w:t>
            </w:r>
          </w:p>
        </w:tc>
        <w:tc>
          <w:tcPr>
            <w:tcW w:w="882" w:type="dxa"/>
            <w:gridSpan w:val="3"/>
            <w:tcBorders>
              <w:top w:val="nil"/>
              <w:bottom w:val="nil"/>
            </w:tcBorders>
          </w:tcPr>
          <w:p w:rsidR="00000000" w:rsidRDefault="00000000">
            <w:pPr>
              <w:jc w:val="center"/>
            </w:pPr>
            <w:r>
              <w:t>1 707</w:t>
            </w:r>
          </w:p>
        </w:tc>
      </w:tr>
      <w:tr w:rsidR="00000000">
        <w:tblPrEx>
          <w:tblCellMar>
            <w:top w:w="57" w:type="dxa"/>
            <w:bottom w:w="57" w:type="dxa"/>
          </w:tblCellMar>
        </w:tblPrEx>
        <w:trPr>
          <w:cantSplit/>
        </w:trPr>
        <w:tc>
          <w:tcPr>
            <w:tcW w:w="5600" w:type="dxa"/>
            <w:tcBorders>
              <w:top w:val="nil"/>
            </w:tcBorders>
          </w:tcPr>
          <w:p w:rsidR="00000000" w:rsidRDefault="00000000">
            <w:pPr>
              <w:tabs>
                <w:tab w:val="left" w:pos="284"/>
              </w:tabs>
            </w:pPr>
            <w:r>
              <w:tab/>
              <w:t>Всего</w:t>
            </w:r>
          </w:p>
        </w:tc>
        <w:tc>
          <w:tcPr>
            <w:tcW w:w="979" w:type="dxa"/>
            <w:gridSpan w:val="2"/>
            <w:tcBorders>
              <w:top w:val="nil"/>
            </w:tcBorders>
          </w:tcPr>
          <w:p w:rsidR="00000000" w:rsidRDefault="00000000">
            <w:pPr>
              <w:jc w:val="center"/>
            </w:pPr>
            <w:r>
              <w:t>18 104</w:t>
            </w:r>
          </w:p>
        </w:tc>
        <w:tc>
          <w:tcPr>
            <w:tcW w:w="1050" w:type="dxa"/>
            <w:gridSpan w:val="2"/>
            <w:tcBorders>
              <w:top w:val="nil"/>
            </w:tcBorders>
          </w:tcPr>
          <w:p w:rsidR="00000000" w:rsidRDefault="00000000">
            <w:pPr>
              <w:jc w:val="center"/>
            </w:pPr>
            <w:r>
              <w:t>15 360</w:t>
            </w:r>
          </w:p>
        </w:tc>
        <w:tc>
          <w:tcPr>
            <w:tcW w:w="924" w:type="dxa"/>
            <w:tcBorders>
              <w:top w:val="nil"/>
            </w:tcBorders>
          </w:tcPr>
          <w:p w:rsidR="00000000" w:rsidRDefault="00000000">
            <w:pPr>
              <w:jc w:val="center"/>
            </w:pPr>
            <w:r>
              <w:t>11 758</w:t>
            </w:r>
          </w:p>
        </w:tc>
        <w:tc>
          <w:tcPr>
            <w:tcW w:w="882" w:type="dxa"/>
            <w:gridSpan w:val="3"/>
            <w:tcBorders>
              <w:top w:val="nil"/>
            </w:tcBorders>
          </w:tcPr>
          <w:p w:rsidR="00000000" w:rsidRDefault="00000000">
            <w:pPr>
              <w:jc w:val="center"/>
            </w:pPr>
            <w:r>
              <w:t>4 089</w:t>
            </w:r>
          </w:p>
        </w:tc>
      </w:tr>
    </w:tbl>
    <w:p w:rsidR="00000000" w:rsidRDefault="00000000">
      <w:pPr>
        <w:spacing w:line="240" w:lineRule="auto"/>
      </w:pPr>
      <w:r>
        <w:br/>
      </w:r>
      <w:r>
        <w:rPr>
          <w:b/>
          <w:bCs/>
          <w:vertAlign w:val="superscript"/>
        </w:rPr>
        <w:t>1</w:t>
      </w:r>
      <w:r>
        <w:tab/>
        <w:t>Отдельные дома, квартиры, находящиеся в частичном владении, и новые частные квартиры.</w:t>
      </w:r>
    </w:p>
    <w:p w:rsidR="00000000" w:rsidRDefault="00000000"/>
    <w:p w:rsidR="00000000" w:rsidRDefault="00000000">
      <w:r>
        <w:t>506.</w:t>
      </w:r>
      <w:r>
        <w:tab/>
        <w:t>В январе 2005 года была установлена новая система государственных субсидий на цели строительства, закупки и ремонта квартир для групп населения, испытывающего особые потребности, таких, как бездомные, инвалиды, беженцы, лица с проблемами психического здоровья, токсикоманы, молодежь, нуждающаяся в специальной поддержке, и престарелые с физическими недостатками.  Размер субсидий зависит от тех удобств, которые специально требуются в конкретной квартире, и составляет 5%, 20% или 35% приемлемых инвестиционных расходов.  Эта субсидия предоставляется в дополнение к кредитам, выплата процентов по которым субсидируется.</w:t>
      </w:r>
    </w:p>
    <w:p w:rsidR="00000000" w:rsidRDefault="00000000"/>
    <w:p w:rsidR="00000000" w:rsidRDefault="00000000">
      <w:pPr>
        <w:tabs>
          <w:tab w:val="clear" w:pos="1701"/>
          <w:tab w:val="left" w:pos="1428"/>
        </w:tabs>
        <w:ind w:left="1428" w:hanging="1428"/>
        <w:jc w:val="center"/>
        <w:rPr>
          <w:b/>
          <w:bCs/>
        </w:rPr>
      </w:pPr>
      <w:r>
        <w:rPr>
          <w:b/>
          <w:bCs/>
        </w:rPr>
        <w:br w:type="page"/>
        <w:t>Таблица 27</w:t>
      </w:r>
    </w:p>
    <w:p w:rsidR="00000000" w:rsidRDefault="00000000">
      <w:pPr>
        <w:tabs>
          <w:tab w:val="clear" w:pos="1701"/>
          <w:tab w:val="left" w:pos="1428"/>
        </w:tabs>
        <w:ind w:left="1428" w:hanging="1428"/>
        <w:jc w:val="center"/>
        <w:rPr>
          <w:b/>
          <w:bCs/>
        </w:rPr>
      </w:pPr>
    </w:p>
    <w:p w:rsidR="00000000" w:rsidRDefault="00000000">
      <w:pPr>
        <w:tabs>
          <w:tab w:val="clear" w:pos="1701"/>
          <w:tab w:val="left" w:pos="1428"/>
        </w:tabs>
        <w:ind w:left="1428" w:hanging="1428"/>
        <w:jc w:val="center"/>
        <w:rPr>
          <w:b/>
          <w:bCs/>
        </w:rPr>
      </w:pPr>
      <w:r>
        <w:rPr>
          <w:b/>
          <w:bCs/>
        </w:rPr>
        <w:t>Государственное финансирование жилищного строительства;</w:t>
      </w:r>
    </w:p>
    <w:p w:rsidR="00000000" w:rsidRDefault="00000000">
      <w:pPr>
        <w:tabs>
          <w:tab w:val="clear" w:pos="1701"/>
          <w:tab w:val="left" w:pos="1428"/>
        </w:tabs>
        <w:ind w:left="1428" w:hanging="1428"/>
        <w:jc w:val="center"/>
        <w:rPr>
          <w:b/>
          <w:bCs/>
        </w:rPr>
      </w:pPr>
      <w:r>
        <w:rPr>
          <w:b/>
          <w:bCs/>
        </w:rPr>
        <w:t>субсидии (млн. евро)</w:t>
      </w:r>
    </w:p>
    <w:p w:rsidR="00000000" w:rsidRDefault="00000000">
      <w:pPr>
        <w:tabs>
          <w:tab w:val="clear" w:pos="1701"/>
          <w:tab w:val="left" w:pos="1428"/>
        </w:tabs>
        <w:ind w:left="1428" w:hanging="1428"/>
        <w:rPr>
          <w:i/>
          <w:iCs/>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4018"/>
        <w:gridCol w:w="888"/>
        <w:gridCol w:w="889"/>
        <w:gridCol w:w="889"/>
        <w:gridCol w:w="889"/>
        <w:gridCol w:w="889"/>
        <w:gridCol w:w="889"/>
      </w:tblGrid>
      <w:tr w:rsidR="00000000">
        <w:trPr>
          <w:cantSplit/>
          <w:tblHeader/>
        </w:trPr>
        <w:tc>
          <w:tcPr>
            <w:tcW w:w="4018" w:type="dxa"/>
            <w:tcBorders>
              <w:bottom w:val="single" w:sz="4" w:space="0" w:color="auto"/>
            </w:tcBorders>
          </w:tcPr>
          <w:p w:rsidR="00000000" w:rsidRDefault="00000000">
            <w:pPr>
              <w:jc w:val="center"/>
            </w:pPr>
          </w:p>
        </w:tc>
        <w:tc>
          <w:tcPr>
            <w:tcW w:w="888" w:type="dxa"/>
            <w:tcBorders>
              <w:bottom w:val="single" w:sz="4" w:space="0" w:color="auto"/>
            </w:tcBorders>
          </w:tcPr>
          <w:p w:rsidR="00000000" w:rsidRDefault="00000000">
            <w:pPr>
              <w:jc w:val="center"/>
            </w:pPr>
            <w:r>
              <w:t>1999</w:t>
            </w:r>
          </w:p>
        </w:tc>
        <w:tc>
          <w:tcPr>
            <w:tcW w:w="889" w:type="dxa"/>
            <w:tcBorders>
              <w:bottom w:val="single" w:sz="4" w:space="0" w:color="auto"/>
            </w:tcBorders>
          </w:tcPr>
          <w:p w:rsidR="00000000" w:rsidRDefault="00000000">
            <w:pPr>
              <w:jc w:val="center"/>
            </w:pPr>
            <w:r>
              <w:t>2000</w:t>
            </w:r>
          </w:p>
        </w:tc>
        <w:tc>
          <w:tcPr>
            <w:tcW w:w="889" w:type="dxa"/>
            <w:tcBorders>
              <w:bottom w:val="single" w:sz="4" w:space="0" w:color="auto"/>
            </w:tcBorders>
          </w:tcPr>
          <w:p w:rsidR="00000000" w:rsidRDefault="00000000">
            <w:pPr>
              <w:jc w:val="center"/>
            </w:pPr>
            <w:r>
              <w:t>2001</w:t>
            </w:r>
          </w:p>
        </w:tc>
        <w:tc>
          <w:tcPr>
            <w:tcW w:w="889" w:type="dxa"/>
            <w:tcBorders>
              <w:bottom w:val="single" w:sz="4" w:space="0" w:color="auto"/>
            </w:tcBorders>
          </w:tcPr>
          <w:p w:rsidR="00000000" w:rsidRDefault="00000000">
            <w:pPr>
              <w:jc w:val="center"/>
            </w:pPr>
            <w:r>
              <w:t>2002</w:t>
            </w:r>
          </w:p>
        </w:tc>
        <w:tc>
          <w:tcPr>
            <w:tcW w:w="889" w:type="dxa"/>
            <w:tcBorders>
              <w:bottom w:val="single" w:sz="4" w:space="0" w:color="auto"/>
            </w:tcBorders>
          </w:tcPr>
          <w:p w:rsidR="00000000" w:rsidRDefault="00000000">
            <w:pPr>
              <w:jc w:val="center"/>
            </w:pPr>
            <w:r>
              <w:t>2003</w:t>
            </w:r>
          </w:p>
        </w:tc>
        <w:tc>
          <w:tcPr>
            <w:tcW w:w="889" w:type="dxa"/>
            <w:tcBorders>
              <w:bottom w:val="single" w:sz="4" w:space="0" w:color="auto"/>
            </w:tcBorders>
          </w:tcPr>
          <w:p w:rsidR="00000000" w:rsidRDefault="00000000">
            <w:pPr>
              <w:jc w:val="center"/>
            </w:pPr>
            <w:r>
              <w:t>2004</w:t>
            </w:r>
          </w:p>
        </w:tc>
      </w:tr>
      <w:tr w:rsidR="00000000">
        <w:trPr>
          <w:cantSplit/>
        </w:trPr>
        <w:tc>
          <w:tcPr>
            <w:tcW w:w="4018" w:type="dxa"/>
            <w:tcBorders>
              <w:bottom w:val="nil"/>
            </w:tcBorders>
          </w:tcPr>
          <w:p w:rsidR="00000000" w:rsidRDefault="00000000">
            <w:r>
              <w:t>Общецелевые жилищные пособия</w:t>
            </w:r>
          </w:p>
        </w:tc>
        <w:tc>
          <w:tcPr>
            <w:tcW w:w="888" w:type="dxa"/>
            <w:tcBorders>
              <w:bottom w:val="nil"/>
            </w:tcBorders>
          </w:tcPr>
          <w:p w:rsidR="00000000" w:rsidRDefault="00000000">
            <w:pPr>
              <w:tabs>
                <w:tab w:val="clear" w:pos="1134"/>
                <w:tab w:val="clear" w:pos="1701"/>
                <w:tab w:val="clear" w:pos="2268"/>
                <w:tab w:val="clear" w:pos="6237"/>
                <w:tab w:val="decimal" w:pos="567"/>
              </w:tabs>
            </w:pPr>
            <w:r>
              <w:t>483</w:t>
            </w:r>
          </w:p>
        </w:tc>
        <w:tc>
          <w:tcPr>
            <w:tcW w:w="889" w:type="dxa"/>
            <w:tcBorders>
              <w:bottom w:val="nil"/>
            </w:tcBorders>
          </w:tcPr>
          <w:p w:rsidR="00000000" w:rsidRDefault="00000000">
            <w:pPr>
              <w:tabs>
                <w:tab w:val="clear" w:pos="1134"/>
                <w:tab w:val="clear" w:pos="1701"/>
                <w:tab w:val="clear" w:pos="2268"/>
                <w:tab w:val="clear" w:pos="6237"/>
                <w:tab w:val="decimal" w:pos="567"/>
              </w:tabs>
            </w:pPr>
            <w:r>
              <w:t>454</w:t>
            </w:r>
          </w:p>
        </w:tc>
        <w:tc>
          <w:tcPr>
            <w:tcW w:w="889" w:type="dxa"/>
            <w:tcBorders>
              <w:bottom w:val="nil"/>
            </w:tcBorders>
          </w:tcPr>
          <w:p w:rsidR="00000000" w:rsidRDefault="00000000">
            <w:pPr>
              <w:tabs>
                <w:tab w:val="clear" w:pos="1134"/>
                <w:tab w:val="clear" w:pos="1701"/>
                <w:tab w:val="clear" w:pos="2268"/>
                <w:tab w:val="clear" w:pos="6237"/>
                <w:tab w:val="decimal" w:pos="567"/>
              </w:tabs>
            </w:pPr>
            <w:r>
              <w:t>407</w:t>
            </w:r>
          </w:p>
        </w:tc>
        <w:tc>
          <w:tcPr>
            <w:tcW w:w="889" w:type="dxa"/>
            <w:tcBorders>
              <w:bottom w:val="nil"/>
            </w:tcBorders>
          </w:tcPr>
          <w:p w:rsidR="00000000" w:rsidRDefault="00000000">
            <w:pPr>
              <w:tabs>
                <w:tab w:val="clear" w:pos="1134"/>
                <w:tab w:val="clear" w:pos="1701"/>
                <w:tab w:val="clear" w:pos="2268"/>
                <w:tab w:val="clear" w:pos="6237"/>
                <w:tab w:val="decimal" w:pos="567"/>
              </w:tabs>
            </w:pPr>
            <w:r>
              <w:t>413</w:t>
            </w:r>
          </w:p>
        </w:tc>
        <w:tc>
          <w:tcPr>
            <w:tcW w:w="889" w:type="dxa"/>
            <w:tcBorders>
              <w:bottom w:val="nil"/>
            </w:tcBorders>
          </w:tcPr>
          <w:p w:rsidR="00000000" w:rsidRDefault="00000000">
            <w:pPr>
              <w:tabs>
                <w:tab w:val="clear" w:pos="1134"/>
                <w:tab w:val="clear" w:pos="1701"/>
                <w:tab w:val="clear" w:pos="2268"/>
                <w:tab w:val="clear" w:pos="6237"/>
                <w:tab w:val="decimal" w:pos="567"/>
              </w:tabs>
            </w:pPr>
            <w:r>
              <w:t>430</w:t>
            </w:r>
          </w:p>
        </w:tc>
        <w:tc>
          <w:tcPr>
            <w:tcW w:w="889" w:type="dxa"/>
            <w:tcBorders>
              <w:bottom w:val="nil"/>
            </w:tcBorders>
          </w:tcPr>
          <w:p w:rsidR="00000000" w:rsidRDefault="00000000">
            <w:pPr>
              <w:tabs>
                <w:tab w:val="clear" w:pos="1134"/>
                <w:tab w:val="clear" w:pos="1701"/>
                <w:tab w:val="clear" w:pos="2268"/>
                <w:tab w:val="clear" w:pos="6237"/>
                <w:tab w:val="decimal" w:pos="567"/>
              </w:tabs>
            </w:pPr>
            <w:r>
              <w:t>436</w:t>
            </w:r>
          </w:p>
        </w:tc>
      </w:tr>
      <w:tr w:rsidR="00000000">
        <w:trPr>
          <w:cantSplit/>
        </w:trPr>
        <w:tc>
          <w:tcPr>
            <w:tcW w:w="4018" w:type="dxa"/>
            <w:tcBorders>
              <w:top w:val="nil"/>
              <w:bottom w:val="nil"/>
            </w:tcBorders>
          </w:tcPr>
          <w:p w:rsidR="00000000" w:rsidRDefault="00000000">
            <w:r>
              <w:t>Жилищные пособия для пенсионеров</w:t>
            </w:r>
          </w:p>
        </w:tc>
        <w:tc>
          <w:tcPr>
            <w:tcW w:w="888" w:type="dxa"/>
            <w:tcBorders>
              <w:top w:val="nil"/>
              <w:bottom w:val="nil"/>
            </w:tcBorders>
          </w:tcPr>
          <w:p w:rsidR="00000000" w:rsidRDefault="00000000">
            <w:pPr>
              <w:tabs>
                <w:tab w:val="clear" w:pos="1134"/>
                <w:tab w:val="clear" w:pos="1701"/>
                <w:tab w:val="clear" w:pos="2268"/>
                <w:tab w:val="clear" w:pos="6237"/>
                <w:tab w:val="decimal" w:pos="567"/>
              </w:tabs>
            </w:pPr>
            <w:r>
              <w:t>219</w:t>
            </w:r>
          </w:p>
        </w:tc>
        <w:tc>
          <w:tcPr>
            <w:tcW w:w="889" w:type="dxa"/>
            <w:tcBorders>
              <w:top w:val="nil"/>
              <w:bottom w:val="nil"/>
            </w:tcBorders>
          </w:tcPr>
          <w:p w:rsidR="00000000" w:rsidRDefault="00000000">
            <w:pPr>
              <w:tabs>
                <w:tab w:val="clear" w:pos="1134"/>
                <w:tab w:val="clear" w:pos="1701"/>
                <w:tab w:val="clear" w:pos="2268"/>
                <w:tab w:val="clear" w:pos="6237"/>
                <w:tab w:val="decimal" w:pos="567"/>
              </w:tabs>
            </w:pPr>
            <w:r>
              <w:t>230</w:t>
            </w:r>
          </w:p>
        </w:tc>
        <w:tc>
          <w:tcPr>
            <w:tcW w:w="889" w:type="dxa"/>
            <w:tcBorders>
              <w:top w:val="nil"/>
              <w:bottom w:val="nil"/>
            </w:tcBorders>
          </w:tcPr>
          <w:p w:rsidR="00000000" w:rsidRDefault="00000000">
            <w:pPr>
              <w:tabs>
                <w:tab w:val="clear" w:pos="1134"/>
                <w:tab w:val="clear" w:pos="1701"/>
                <w:tab w:val="clear" w:pos="2268"/>
                <w:tab w:val="clear" w:pos="6237"/>
                <w:tab w:val="decimal" w:pos="567"/>
              </w:tabs>
            </w:pPr>
            <w:r>
              <w:t>246</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t>2</w:t>
            </w:r>
            <w:r>
              <w:rPr>
                <w:lang w:val="en-GB"/>
              </w:rPr>
              <w:t>59</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270</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283</w:t>
            </w:r>
          </w:p>
        </w:tc>
      </w:tr>
      <w:tr w:rsidR="00000000">
        <w:trPr>
          <w:cantSplit/>
        </w:trPr>
        <w:tc>
          <w:tcPr>
            <w:tcW w:w="4018" w:type="dxa"/>
            <w:tcBorders>
              <w:top w:val="nil"/>
              <w:bottom w:val="nil"/>
            </w:tcBorders>
          </w:tcPr>
          <w:p w:rsidR="00000000" w:rsidRDefault="00000000">
            <w:r>
              <w:t>Жилищные пособия для студентов</w:t>
            </w:r>
          </w:p>
        </w:tc>
        <w:tc>
          <w:tcPr>
            <w:tcW w:w="888"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101</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147</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209</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220</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225</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228</w:t>
            </w:r>
          </w:p>
        </w:tc>
      </w:tr>
      <w:tr w:rsidR="00000000">
        <w:trPr>
          <w:cantSplit/>
        </w:trPr>
        <w:tc>
          <w:tcPr>
            <w:tcW w:w="4018" w:type="dxa"/>
            <w:tcBorders>
              <w:top w:val="nil"/>
              <w:bottom w:val="nil"/>
            </w:tcBorders>
          </w:tcPr>
          <w:p w:rsidR="00000000" w:rsidRDefault="00000000">
            <w:r>
              <w:t>Процентные субсидии под жилье,</w:t>
            </w:r>
          </w:p>
          <w:p w:rsidR="00000000" w:rsidRDefault="00000000">
            <w:r>
              <w:t xml:space="preserve">   сдаваемое в аренду и занимаемое </w:t>
            </w:r>
          </w:p>
          <w:p w:rsidR="00000000" w:rsidRDefault="00000000">
            <w:r>
              <w:t xml:space="preserve">   владельцем</w:t>
            </w:r>
          </w:p>
        </w:tc>
        <w:tc>
          <w:tcPr>
            <w:tcW w:w="888"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87</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97</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109</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90</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73</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47</w:t>
            </w:r>
          </w:p>
        </w:tc>
      </w:tr>
      <w:tr w:rsidR="00000000">
        <w:trPr>
          <w:cantSplit/>
        </w:trPr>
        <w:tc>
          <w:tcPr>
            <w:tcW w:w="4018" w:type="dxa"/>
            <w:tcBorders>
              <w:top w:val="nil"/>
              <w:bottom w:val="nil"/>
            </w:tcBorders>
          </w:tcPr>
          <w:p w:rsidR="00000000" w:rsidRDefault="00000000">
            <w:r>
              <w:t>Субсидирование государственных</w:t>
            </w:r>
          </w:p>
          <w:p w:rsidR="00000000" w:rsidRDefault="00000000">
            <w:r>
              <w:t xml:space="preserve">   жилищных займов</w:t>
            </w:r>
          </w:p>
        </w:tc>
        <w:tc>
          <w:tcPr>
            <w:tcW w:w="888"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207</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210</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123</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31</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0</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18</w:t>
            </w:r>
          </w:p>
        </w:tc>
      </w:tr>
      <w:tr w:rsidR="00000000">
        <w:trPr>
          <w:cantSplit/>
        </w:trPr>
        <w:tc>
          <w:tcPr>
            <w:tcW w:w="4018" w:type="dxa"/>
            <w:tcBorders>
              <w:top w:val="nil"/>
              <w:bottom w:val="nil"/>
            </w:tcBorders>
          </w:tcPr>
          <w:p w:rsidR="00000000" w:rsidRDefault="00000000">
            <w:r>
              <w:t>Дотации на ремонт жилых</w:t>
            </w:r>
          </w:p>
          <w:p w:rsidR="00000000" w:rsidRDefault="00000000">
            <w:r>
              <w:t xml:space="preserve">   помещений</w:t>
            </w:r>
          </w:p>
        </w:tc>
        <w:tc>
          <w:tcPr>
            <w:tcW w:w="888"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40</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28</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31</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31</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33</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37</w:t>
            </w:r>
          </w:p>
        </w:tc>
      </w:tr>
      <w:tr w:rsidR="00000000">
        <w:trPr>
          <w:cantSplit/>
        </w:trPr>
        <w:tc>
          <w:tcPr>
            <w:tcW w:w="4018" w:type="dxa"/>
            <w:tcBorders>
              <w:top w:val="nil"/>
              <w:bottom w:val="nil"/>
            </w:tcBorders>
          </w:tcPr>
          <w:p w:rsidR="00000000" w:rsidRDefault="00000000">
            <w:r>
              <w:t xml:space="preserve">Дотации на ремонт системы </w:t>
            </w:r>
          </w:p>
          <w:p w:rsidR="00000000" w:rsidRDefault="00000000">
            <w:r>
              <w:t xml:space="preserve">   энергоснабжения</w:t>
            </w:r>
          </w:p>
        </w:tc>
        <w:tc>
          <w:tcPr>
            <w:tcW w:w="888"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1</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6</w:t>
            </w:r>
          </w:p>
        </w:tc>
      </w:tr>
      <w:tr w:rsidR="00000000">
        <w:trPr>
          <w:cantSplit/>
        </w:trPr>
        <w:tc>
          <w:tcPr>
            <w:tcW w:w="4018" w:type="dxa"/>
            <w:tcBorders>
              <w:top w:val="nil"/>
              <w:bottom w:val="nil"/>
            </w:tcBorders>
          </w:tcPr>
          <w:p w:rsidR="00000000" w:rsidRDefault="00000000">
            <w:r>
              <w:t>Прочие дотации</w:t>
            </w:r>
          </w:p>
        </w:tc>
        <w:tc>
          <w:tcPr>
            <w:tcW w:w="888"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4</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6</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6</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7</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16</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13</w:t>
            </w:r>
          </w:p>
        </w:tc>
      </w:tr>
      <w:tr w:rsidR="00000000">
        <w:trPr>
          <w:cantSplit/>
        </w:trPr>
        <w:tc>
          <w:tcPr>
            <w:tcW w:w="4018" w:type="dxa"/>
            <w:tcBorders>
              <w:top w:val="nil"/>
              <w:bottom w:val="nil"/>
            </w:tcBorders>
          </w:tcPr>
          <w:p w:rsidR="00000000" w:rsidRDefault="00000000">
            <w:r>
              <w:t xml:space="preserve">Дотации по линии </w:t>
            </w:r>
            <w:r>
              <w:rPr>
                <w:lang w:val="en-GB"/>
              </w:rPr>
              <w:t>RAY</w:t>
            </w:r>
          </w:p>
        </w:tc>
        <w:tc>
          <w:tcPr>
            <w:tcW w:w="888" w:type="dxa"/>
            <w:tcBorders>
              <w:top w:val="nil"/>
              <w:bottom w:val="nil"/>
            </w:tcBorders>
          </w:tcPr>
          <w:p w:rsidR="00000000" w:rsidRDefault="00000000">
            <w:pPr>
              <w:tabs>
                <w:tab w:val="clear" w:pos="1134"/>
                <w:tab w:val="clear" w:pos="1701"/>
                <w:tab w:val="clear" w:pos="2268"/>
                <w:tab w:val="clear" w:pos="6237"/>
                <w:tab w:val="decimal" w:pos="567"/>
              </w:tabs>
            </w:pPr>
            <w:r>
              <w:t>46</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49</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52</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57</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56</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62</w:t>
            </w:r>
          </w:p>
        </w:tc>
      </w:tr>
      <w:tr w:rsidR="00000000">
        <w:trPr>
          <w:cantSplit/>
        </w:trPr>
        <w:tc>
          <w:tcPr>
            <w:tcW w:w="4018" w:type="dxa"/>
            <w:tcBorders>
              <w:top w:val="nil"/>
              <w:bottom w:val="nil"/>
            </w:tcBorders>
          </w:tcPr>
          <w:p w:rsidR="00000000" w:rsidRDefault="00000000">
            <w:r>
              <w:t xml:space="preserve">Понижение процентной ставки по </w:t>
            </w:r>
          </w:p>
          <w:p w:rsidR="00000000" w:rsidRDefault="00000000">
            <w:r>
              <w:t xml:space="preserve">   ипотеке</w:t>
            </w:r>
          </w:p>
        </w:tc>
        <w:tc>
          <w:tcPr>
            <w:tcW w:w="888"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353</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340</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440</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420</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390</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440</w:t>
            </w:r>
          </w:p>
        </w:tc>
      </w:tr>
      <w:tr w:rsidR="00000000">
        <w:trPr>
          <w:cantSplit/>
        </w:trPr>
        <w:tc>
          <w:tcPr>
            <w:tcW w:w="4018" w:type="dxa"/>
            <w:tcBorders>
              <w:top w:val="nil"/>
              <w:bottom w:val="nil"/>
            </w:tcBorders>
          </w:tcPr>
          <w:p w:rsidR="00000000" w:rsidRDefault="00000000">
            <w:r>
              <w:t xml:space="preserve">Льготы для лиц, покупающих </w:t>
            </w:r>
          </w:p>
          <w:p w:rsidR="00000000" w:rsidRDefault="00000000">
            <w:r>
              <w:t xml:space="preserve">   недвижимость впервые в рамках </w:t>
            </w:r>
          </w:p>
          <w:p w:rsidR="00000000" w:rsidRDefault="00000000">
            <w:r>
              <w:t xml:space="preserve">   системы АСП</w:t>
            </w:r>
          </w:p>
        </w:tc>
        <w:tc>
          <w:tcPr>
            <w:tcW w:w="888"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7</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11</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3</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1</w:t>
            </w:r>
          </w:p>
        </w:tc>
        <w:tc>
          <w:tcPr>
            <w:tcW w:w="889" w:type="dxa"/>
            <w:tcBorders>
              <w:top w:val="nil"/>
              <w:bottom w:val="nil"/>
            </w:tcBorders>
          </w:tcPr>
          <w:p w:rsidR="00000000" w:rsidRDefault="00000000">
            <w:pPr>
              <w:tabs>
                <w:tab w:val="clear" w:pos="1134"/>
                <w:tab w:val="clear" w:pos="1701"/>
                <w:tab w:val="clear" w:pos="2268"/>
                <w:tab w:val="clear" w:pos="6237"/>
                <w:tab w:val="decimal" w:pos="567"/>
              </w:tabs>
              <w:rPr>
                <w:lang w:val="en-GB"/>
              </w:rPr>
            </w:pPr>
            <w:r>
              <w:rPr>
                <w:lang w:val="en-GB"/>
              </w:rPr>
              <w:t>0</w:t>
            </w:r>
          </w:p>
        </w:tc>
      </w:tr>
      <w:tr w:rsidR="00000000">
        <w:trPr>
          <w:cantSplit/>
        </w:trPr>
        <w:tc>
          <w:tcPr>
            <w:tcW w:w="4018" w:type="dxa"/>
            <w:tcBorders>
              <w:top w:val="nil"/>
            </w:tcBorders>
          </w:tcPr>
          <w:p w:rsidR="00000000" w:rsidRDefault="00000000">
            <w:r>
              <w:t xml:space="preserve">Общее количество жилищных </w:t>
            </w:r>
          </w:p>
          <w:p w:rsidR="00000000" w:rsidRDefault="00000000">
            <w:r>
              <w:t xml:space="preserve">   субсидий</w:t>
            </w:r>
          </w:p>
        </w:tc>
        <w:tc>
          <w:tcPr>
            <w:tcW w:w="888" w:type="dxa"/>
            <w:tcBorders>
              <w:top w:val="nil"/>
            </w:tcBorders>
          </w:tcPr>
          <w:p w:rsidR="00000000" w:rsidRDefault="00000000">
            <w:pPr>
              <w:tabs>
                <w:tab w:val="clear" w:pos="1134"/>
                <w:tab w:val="clear" w:pos="1701"/>
                <w:tab w:val="clear" w:pos="2268"/>
                <w:tab w:val="clear" w:pos="6237"/>
                <w:tab w:val="decimal" w:pos="567"/>
              </w:tabs>
            </w:pPr>
            <w:r>
              <w:t>1 551</w:t>
            </w:r>
          </w:p>
        </w:tc>
        <w:tc>
          <w:tcPr>
            <w:tcW w:w="889" w:type="dxa"/>
            <w:tcBorders>
              <w:top w:val="nil"/>
            </w:tcBorders>
          </w:tcPr>
          <w:p w:rsidR="00000000" w:rsidRDefault="00000000">
            <w:pPr>
              <w:tabs>
                <w:tab w:val="clear" w:pos="1134"/>
                <w:tab w:val="clear" w:pos="1701"/>
                <w:tab w:val="clear" w:pos="2268"/>
                <w:tab w:val="clear" w:pos="6237"/>
                <w:tab w:val="decimal" w:pos="567"/>
              </w:tabs>
            </w:pPr>
            <w:r>
              <w:t>1 569</w:t>
            </w:r>
          </w:p>
        </w:tc>
        <w:tc>
          <w:tcPr>
            <w:tcW w:w="889" w:type="dxa"/>
            <w:tcBorders>
              <w:top w:val="nil"/>
            </w:tcBorders>
          </w:tcPr>
          <w:p w:rsidR="00000000" w:rsidRDefault="00000000">
            <w:pPr>
              <w:tabs>
                <w:tab w:val="clear" w:pos="1134"/>
                <w:tab w:val="clear" w:pos="1701"/>
                <w:tab w:val="clear" w:pos="2268"/>
                <w:tab w:val="clear" w:pos="6237"/>
                <w:tab w:val="decimal" w:pos="567"/>
              </w:tabs>
            </w:pPr>
            <w:r>
              <w:t>1 639</w:t>
            </w:r>
          </w:p>
        </w:tc>
        <w:tc>
          <w:tcPr>
            <w:tcW w:w="889" w:type="dxa"/>
            <w:tcBorders>
              <w:top w:val="nil"/>
            </w:tcBorders>
          </w:tcPr>
          <w:p w:rsidR="00000000" w:rsidRDefault="00000000">
            <w:pPr>
              <w:tabs>
                <w:tab w:val="clear" w:pos="1134"/>
                <w:tab w:val="clear" w:pos="1701"/>
                <w:tab w:val="clear" w:pos="2268"/>
                <w:tab w:val="clear" w:pos="6237"/>
                <w:tab w:val="decimal" w:pos="567"/>
              </w:tabs>
            </w:pPr>
            <w:r>
              <w:t>1 532</w:t>
            </w:r>
          </w:p>
        </w:tc>
        <w:tc>
          <w:tcPr>
            <w:tcW w:w="889" w:type="dxa"/>
            <w:tcBorders>
              <w:top w:val="nil"/>
            </w:tcBorders>
          </w:tcPr>
          <w:p w:rsidR="00000000" w:rsidRDefault="00000000">
            <w:pPr>
              <w:tabs>
                <w:tab w:val="clear" w:pos="1134"/>
                <w:tab w:val="clear" w:pos="1701"/>
                <w:tab w:val="clear" w:pos="2268"/>
                <w:tab w:val="clear" w:pos="6237"/>
                <w:tab w:val="decimal" w:pos="567"/>
              </w:tabs>
            </w:pPr>
            <w:r>
              <w:t>1 495</w:t>
            </w:r>
          </w:p>
        </w:tc>
        <w:tc>
          <w:tcPr>
            <w:tcW w:w="889" w:type="dxa"/>
            <w:tcBorders>
              <w:top w:val="nil"/>
            </w:tcBorders>
          </w:tcPr>
          <w:p w:rsidR="00000000" w:rsidRDefault="00000000">
            <w:pPr>
              <w:tabs>
                <w:tab w:val="clear" w:pos="1134"/>
                <w:tab w:val="clear" w:pos="1701"/>
                <w:tab w:val="clear" w:pos="2268"/>
                <w:tab w:val="clear" w:pos="6237"/>
                <w:tab w:val="decimal" w:pos="567"/>
              </w:tabs>
            </w:pPr>
            <w:r>
              <w:t>1 552</w:t>
            </w:r>
          </w:p>
        </w:tc>
      </w:tr>
    </w:tbl>
    <w:p w:rsidR="00000000" w:rsidRDefault="00000000">
      <w:pPr>
        <w:rPr>
          <w:sz w:val="22"/>
        </w:rPr>
      </w:pPr>
    </w:p>
    <w:p w:rsidR="00000000" w:rsidRDefault="00000000">
      <w:pPr>
        <w:keepNext/>
        <w:jc w:val="center"/>
        <w:rPr>
          <w:b/>
          <w:bCs/>
        </w:rPr>
      </w:pPr>
      <w:r>
        <w:rPr>
          <w:b/>
          <w:bCs/>
        </w:rPr>
        <w:t>Статья</w:t>
      </w:r>
      <w:r>
        <w:rPr>
          <w:b/>
          <w:bCs/>
          <w:lang w:val="en-GB"/>
        </w:rPr>
        <w:t xml:space="preserve"> 12</w:t>
      </w:r>
    </w:p>
    <w:p w:rsidR="00000000" w:rsidRDefault="00000000">
      <w:pPr>
        <w:keepNext/>
        <w:jc w:val="center"/>
        <w:rPr>
          <w:b/>
          <w:bCs/>
        </w:rPr>
      </w:pPr>
    </w:p>
    <w:p w:rsidR="00000000" w:rsidRDefault="00000000">
      <w:pPr>
        <w:keepNext/>
        <w:jc w:val="center"/>
        <w:rPr>
          <w:b/>
          <w:bCs/>
        </w:rPr>
      </w:pPr>
      <w:bookmarkStart w:id="6" w:name="_Toc116721109"/>
      <w:r>
        <w:rPr>
          <w:b/>
          <w:bCs/>
        </w:rPr>
        <w:t>1.</w:t>
      </w:r>
      <w:r>
        <w:rPr>
          <w:b/>
          <w:bCs/>
        </w:rPr>
        <w:tab/>
        <w:t>Физическое и психическое здоровье населения</w:t>
      </w:r>
    </w:p>
    <w:p w:rsidR="00000000" w:rsidRDefault="00000000">
      <w:pPr>
        <w:keepNext/>
        <w:jc w:val="center"/>
        <w:rPr>
          <w:b/>
          <w:bCs/>
        </w:rPr>
      </w:pPr>
    </w:p>
    <w:bookmarkEnd w:id="6"/>
    <w:p w:rsidR="00000000" w:rsidRDefault="00000000">
      <w:r>
        <w:t>507.</w:t>
      </w:r>
      <w:r>
        <w:tab/>
        <w:t>Основная часть информации о тенденциях в области социального обеспечения построена на сопоставлениях между двумя национальными обследованиями ОДДХ/ОРДХ, проведенными в 1978</w:t>
      </w:r>
      <w:r>
        <w:noBreakHyphen/>
        <w:t>1980 годах и 2000</w:t>
      </w:r>
      <w:r>
        <w:noBreakHyphen/>
        <w:t xml:space="preserve">2001 годах (Aromaa A &amp; Koskinen S.  </w:t>
      </w:r>
      <w:r>
        <w:rPr>
          <w:lang w:val="en-GB"/>
        </w:rPr>
        <w:t xml:space="preserve">Health and Funtional Capacity in Finland, Helsinki 2004;  </w:t>
      </w:r>
      <w:hyperlink r:id="rId12" w:history="1">
        <w:r>
          <w:rPr>
            <w:rStyle w:val="Hyperlink"/>
            <w:u w:val="none"/>
            <w:lang w:val="en-GB"/>
          </w:rPr>
          <w:t>www.ktl.fi/terveys2000</w:t>
        </w:r>
      </w:hyperlink>
      <w:r>
        <w:rPr>
          <w:lang w:val="en-GB"/>
        </w:rPr>
        <w:t xml:space="preserve">).  </w:t>
      </w:r>
      <w:r>
        <w:t>Кроме того, соответствующие регистры служат источником данных о смертности и заболеваемости.</w:t>
      </w:r>
    </w:p>
    <w:p w:rsidR="00000000" w:rsidRDefault="00000000"/>
    <w:p w:rsidR="00000000" w:rsidRDefault="00000000">
      <w:r>
        <w:t>508.</w:t>
      </w:r>
      <w:r>
        <w:tab/>
        <w:t>Большинство данных свидетельствуют о том, что хронические физические недостатки и психические заболевания и признаки, их определяющие, чаще присущи менее просвещенным представителям населения, чем людям с более высоким уровнем образования.  Кроме того, довольно значительные различия прослеживаются между мужчинами и женщинами.  Женщины, как правило, живут дольше.  Если не считать гипертонии, у мужчин по сравнению с женщинами чаще встречаются сердечно-сосудистые заболевания.  Это также касается хронических бронхитов и многих нарушений в опорно-двигательном аппарате.  Мужчины больше выпивают, и поэтому им в большей степени присущи проблемы, связанные с потреблением алкоголя.  Женщины, в свою очередь, чаще страдают от депрессии.  По</w:t>
      </w:r>
      <w:r>
        <w:noBreakHyphen/>
        <w:t>прежнему более характерным явлением для мужчин в сравнении с женщинами является рак легких (из-за курения).</w:t>
      </w:r>
    </w:p>
    <w:p w:rsidR="00000000" w:rsidRDefault="00000000"/>
    <w:p w:rsidR="00000000" w:rsidRDefault="00000000">
      <w:r>
        <w:t>509.</w:t>
      </w:r>
      <w:r>
        <w:tab/>
      </w:r>
      <w:r>
        <w:rPr>
          <w:i/>
          <w:iCs/>
        </w:rPr>
        <w:t>Физическое здоровье</w:t>
      </w:r>
      <w:r>
        <w:t xml:space="preserve">.  Если говорить о сердечно-сосудистых заболеваниях, то за период </w:t>
      </w:r>
      <w:r>
        <w:rPr>
          <w:lang w:val="en-US"/>
        </w:rPr>
        <w:t>c</w:t>
      </w:r>
      <w:r>
        <w:t xml:space="preserve"> 70</w:t>
      </w:r>
      <w:r>
        <w:noBreakHyphen/>
        <w:t xml:space="preserve">х годов сократилось количество таких заболеваний, как ишемическая болезнь сердца, инсульты и застойная сердечная недостаточность.  Это, с одной стороны, вызвано ведением более здорового образа жизни, а с другой </w:t>
      </w:r>
      <w:r>
        <w:noBreakHyphen/>
        <w:t xml:space="preserve"> улучшением методов лечения.  Широкое распространение получили методы лечения, связанные с применением лекарственных препаратов от высокого давления, и уровень кровяного давления у населения снизился, что также в некоторой степени объясняется наличием надлежащих лекарственных препаратов и отчасти ведением более здорового образа жизни.  Самые существенные улучшения связаны с рационом питания.  Применительно к факторам риска сердечно-сосудистых заболеваний можно отметить снижение уровня холестерина в крови, а также сокращение табакокурения среди мужчин, хотя женщины стали курить несколько больше.</w:t>
      </w:r>
    </w:p>
    <w:p w:rsidR="00000000" w:rsidRDefault="00000000"/>
    <w:p w:rsidR="00000000" w:rsidRDefault="00000000">
      <w:r>
        <w:t>510.</w:t>
      </w:r>
      <w:r>
        <w:tab/>
        <w:t>С 80</w:t>
      </w:r>
      <w:r>
        <w:noBreakHyphen/>
        <w:t>х годов наблюдается значительное обострение проблемы лишнего веса.  Соответственно за последнее десятилетие увеличилось количество случаев заболевания диабетом второго типа, тогда как заболеваемость диабетом первого типа растет с 50</w:t>
      </w:r>
      <w:r>
        <w:noBreakHyphen/>
        <w:t>х годов.</w:t>
      </w:r>
    </w:p>
    <w:p w:rsidR="00000000" w:rsidRDefault="00000000"/>
    <w:p w:rsidR="00000000" w:rsidRDefault="00000000">
      <w:r>
        <w:t>511.</w:t>
      </w:r>
      <w:r>
        <w:tab/>
        <w:t>Респираторные заболевания характеризуются двумя тенденциями.  Количество случаев заболевания хроническим бронхитом снизилось среди мужчин, но возросло среди женщин вследствие изменений, связанных с их склонностью к курению.  Количество астматических заболеваний, как предполагается, растет на фоне других проявлений аллергии.  Однако за последние 20 лет налицо расширение использования противоастматических препаратов.</w:t>
      </w:r>
    </w:p>
    <w:p w:rsidR="00000000" w:rsidRDefault="00000000"/>
    <w:p w:rsidR="00000000" w:rsidRDefault="00000000">
      <w:r>
        <w:t>512.</w:t>
      </w:r>
      <w:r>
        <w:tab/>
        <w:t>Главным образом вследствие трудностей с диагностикой имеется меньше информации о дисфункциях опорно-двигательного аппарата.  Однако можно отметить явное сокращение случаев заболевания артрозом (остеоартритом) среди женщин, что, вероятно, вызвано тем, что их труд стал менее тяжелым физически.</w:t>
      </w:r>
    </w:p>
    <w:p w:rsidR="00000000" w:rsidRDefault="00000000"/>
    <w:p w:rsidR="00000000" w:rsidRDefault="00000000">
      <w:r>
        <w:t>513.</w:t>
      </w:r>
      <w:r>
        <w:tab/>
        <w:t>Общая ситуация в области раковых заболеваний сильно не изменилась, однако при этом прослеживаются значительные сдвиги в характере этих заболеваний, а также в практике раннего их выявления и лечения в целях спасения жизни пациентов.  Число случаев заболевания раком легких снижается среди мужчин, но растет среди женщин.  Рак желудка стал менее частым заболеванием как у мужчин, так и у женщин.  Участились случаи рака молочной железы, рака матки и рака кишечника среди женщин, а также рака кишечника и рака простаты среди мужчин.  Все чаще встречаются меланомы (хотя они еще не приобрели характер массового заболевания) и другие случаи рака кожи.  От раковых заболеваний, которые являются объектом периодического скрининга и выявляются на раннем этапе (рак шейки матки, рак молочной железы), сейчас умирает все меньше людей, и это указывает на улучшение качества диагностики и лечения.</w:t>
      </w:r>
    </w:p>
    <w:p w:rsidR="00000000" w:rsidRDefault="00000000"/>
    <w:p w:rsidR="00000000" w:rsidRDefault="00000000">
      <w:r>
        <w:t>514.</w:t>
      </w:r>
      <w:r>
        <w:tab/>
        <w:t>Значительно сократились случаи дорожно-транспортного травматизма;  в настоящее время в дорожно-транспортных происшествиях гибнет примерно 400 человек в год.  Вместе с тем важными причинами смертности остается другой травматизм и насилие.</w:t>
      </w:r>
    </w:p>
    <w:p w:rsidR="00000000" w:rsidRDefault="00000000"/>
    <w:p w:rsidR="00000000" w:rsidRDefault="00000000">
      <w:r>
        <w:t>515.</w:t>
      </w:r>
      <w:r>
        <w:tab/>
      </w:r>
      <w:r>
        <w:rPr>
          <w:i/>
          <w:iCs/>
        </w:rPr>
        <w:t>Психическое здоровье</w:t>
      </w:r>
      <w:r>
        <w:t xml:space="preserve">.  Существует ограниченная информация о психическом здоровье всего населения и отдельных его подгрупп.  Однако психические расстройства стали важнейшей причиной выплаты пенсий по нетрудоспособности.  Это следует толковать никак не в качестве признака изменений психического здоровья населения, а как свидетельство изменений в соответствующей практике вследствие дестигматизации психических расстройств.  Вместе с тем наряду с увеличением потребления алкоголя ширятся масштабы токсикомании.  В последние десять лет в значительной степени возросло использование антидепрессантов, что, скорее всего, указывает на расширение сферы охвата лечебной практики.  За прошедшие годы отмечалось снижение показателей смертности от самоубийств, отражающее улучшение лечения от депрессии.  Сопоставление суммарных результатов ответов на вопросник </w:t>
      </w:r>
      <w:r>
        <w:rPr>
          <w:lang w:val="en-US"/>
        </w:rPr>
        <w:t>GHQ</w:t>
      </w:r>
      <w:r>
        <w:noBreakHyphen/>
        <w:t>12 в ходе мини-финляндского обследования состояния здравоохранения 1978</w:t>
      </w:r>
      <w:r>
        <w:noBreakHyphen/>
        <w:t>1980 годов и обследования "Состояния здравоохранения </w:t>
      </w:r>
      <w:r>
        <w:noBreakHyphen/>
        <w:t xml:space="preserve"> 2000", которое было проведено в 2000</w:t>
      </w:r>
      <w:r>
        <w:noBreakHyphen/>
        <w:t>2001 годах, свидетельствует об отсутствии изменений в показателях заболеваемости.</w:t>
      </w:r>
    </w:p>
    <w:p w:rsidR="00000000" w:rsidRDefault="00000000"/>
    <w:p w:rsidR="00000000" w:rsidRDefault="00000000">
      <w:r>
        <w:t>516.</w:t>
      </w:r>
      <w:r>
        <w:tab/>
        <w:t>Злоупотребление наркотиками, в частности внутривенное потребление героина, увеличилось в 90</w:t>
      </w:r>
      <w:r>
        <w:noBreakHyphen/>
        <w:t>е годы, однако в настоящее время его масштабы, как представляется, стабилизировались.  Из</w:t>
      </w:r>
      <w:r>
        <w:noBreakHyphen/>
        <w:t>за проблемы наркомании повышается риск ВИЧ-инфицирования и заболевания гепатитом С.  Обеспечены услуги по замене игл и базовому консультированию, которые сейчас можно получить в большинстве аптек.  Существенно расширилась практика лечения с использованием бупренорфина, которая, похоже, способствовала приостановке роста потребления героина.</w:t>
      </w:r>
    </w:p>
    <w:p w:rsidR="00000000" w:rsidRDefault="00000000"/>
    <w:p w:rsidR="00000000" w:rsidRDefault="00000000">
      <w:r>
        <w:t>517.</w:t>
      </w:r>
      <w:r>
        <w:tab/>
        <w:t>В последние несколько лет пристальное внимание уделяется предупреждению потребления токсических веществ и наркотиков молодежью.  Выделяются конкретные субсидии на проекты, цель которых заключается в организации подготовки лиц, работающих с молодежью, по решению вопросов, касающихся токсических веществ и наркотиков, в разработке профилактических мер для работы с молодежью, в поддержке многопрофильного сотрудничества на местном и региональном уровнях и в содействии осуществлению деятельности на местах.  Идея сводится к тому, чтобы скоординированная работа с молодежью и деятельность в их интересах служили основой для предотвращения наркомании.</w:t>
      </w:r>
    </w:p>
    <w:p w:rsidR="00000000" w:rsidRDefault="00000000"/>
    <w:p w:rsidR="00000000" w:rsidRDefault="00000000">
      <w:pPr>
        <w:jc w:val="center"/>
        <w:rPr>
          <w:b/>
          <w:bCs/>
        </w:rPr>
      </w:pPr>
      <w:r>
        <w:rPr>
          <w:b/>
          <w:bCs/>
        </w:rPr>
        <w:t>2.</w:t>
      </w:r>
      <w:r>
        <w:rPr>
          <w:b/>
          <w:bCs/>
        </w:rPr>
        <w:tab/>
        <w:t>Национальная политика в области здравоохранения</w:t>
      </w:r>
    </w:p>
    <w:p w:rsidR="00000000" w:rsidRDefault="00000000">
      <w:pPr>
        <w:rPr>
          <w:b/>
          <w:bCs/>
        </w:rPr>
      </w:pPr>
    </w:p>
    <w:p w:rsidR="00000000" w:rsidRDefault="00000000">
      <w:r>
        <w:t>518.</w:t>
      </w:r>
      <w:r>
        <w:tab/>
        <w:t>На основании решения правительства была принята программа "Здравоохранение </w:t>
      </w:r>
      <w:r>
        <w:noBreakHyphen/>
        <w:t xml:space="preserve"> 2015", касающаяся национальной политики в области здравоохранения.  В этой программе отражены принципы программы ВОЗ "Здоровье для всех" при подчеркивании важного значения создания повседневных условий для охраны здоровья и содержатся количественные и качественные целевые показатели.  Начат среднесрочный обзор программы, результаты которого будут доведены до сведения парламента в начале 2006 года.  Программа представлена на сайте </w:t>
      </w:r>
      <w:r>
        <w:rPr>
          <w:lang w:val="en-US"/>
        </w:rPr>
        <w:t>www</w:t>
      </w:r>
      <w:r>
        <w:t>.</w:t>
      </w:r>
      <w:r>
        <w:rPr>
          <w:lang w:val="en-US"/>
        </w:rPr>
        <w:t>stm</w:t>
      </w:r>
      <w:r>
        <w:t>.</w:t>
      </w:r>
      <w:r>
        <w:rPr>
          <w:lang w:val="en-US"/>
        </w:rPr>
        <w:t>fi</w:t>
      </w:r>
      <w:r>
        <w:t>.</w:t>
      </w:r>
    </w:p>
    <w:p w:rsidR="00000000" w:rsidRDefault="00000000"/>
    <w:p w:rsidR="00000000" w:rsidRDefault="00000000">
      <w:r>
        <w:t>519.</w:t>
      </w:r>
      <w:r>
        <w:tab/>
        <w:t>Нынешняя система первичной медико-санитарной помощи была создана в 70-е годы.  Приблизительно 450 муниципалитетов обязаны организовывать оказание первичной медико-санитарной помощи для своего населения в соответствии с принципами, закрепленными законом.  Предусмотренные услуги включают, в частности, охрану материнства, обслуживание по линии детских клиник (с охватом почти 100% детей), охрану здоровья в школах, гигиену труда и диагностические услуги.  Первичная медико-санитарная помощь закладывает основу для оказания вторичной медицинской помощи по соответствующим больничным округам.</w:t>
      </w:r>
    </w:p>
    <w:p w:rsidR="00000000" w:rsidRDefault="00000000"/>
    <w:p w:rsidR="00000000" w:rsidRDefault="00000000">
      <w:r>
        <w:t>520.</w:t>
      </w:r>
      <w:r>
        <w:tab/>
        <w:t>В настоящее время осуществляется широкомасштабный национальный проект в области здравоохранения, преследующий цель повысить эффективность системы медицинской помощи.  Этот проект направлен, в частности, на принятие мер профилактики, укрепление регионального сотрудничества и развитие ИКТ и проведение экспериментов по разделению служебных обязанностей между врачами и сестринским персоналом.  В число приоритетных задач проекта входит развитие услуг в области психического здоровья (просвещение, профилактика и лечение).</w:t>
      </w:r>
    </w:p>
    <w:p w:rsidR="00000000" w:rsidRDefault="00000000"/>
    <w:p w:rsidR="00000000" w:rsidRDefault="00000000">
      <w:r>
        <w:t>521.</w:t>
      </w:r>
      <w:r>
        <w:tab/>
        <w:t xml:space="preserve">Парламентский омбудсмен получает значительное число жалоб по поводу оказания медицинской помощи.  Большинство этих жалоб касается проблем, связанных с гарантиями надлежащего медицинского обслуживания, предусмотренными пунктом 3 статьи 19 Конституции.  К другим важным вопросом, являющимся объектом надзора со стороны парламентского омбудсмена, относятся принудительное лечение в психиатрических больницах и основные права детей и подростков при использовании психиатрических услуг.  </w:t>
      </w:r>
    </w:p>
    <w:p w:rsidR="00000000" w:rsidRDefault="00000000"/>
    <w:p w:rsidR="00000000" w:rsidRDefault="00000000">
      <w:r>
        <w:t>522.</w:t>
      </w:r>
      <w:r>
        <w:tab/>
        <w:t>В целях улучшения доступа к медицинскому обслуживанию в 2004 году были приняты новые нормативно-правовые положения, направленные на обеспечение доступа к услугам в установленные сроки.  Несмотря на определенные проблемы, связанные с доступом к медицинской помощи, финны, согласно опросам общественного мнения, проведенным Евростатом, входят в число европейцев, в наибольшей степени удовлетворенных своей системой медицинского обслуживания.</w:t>
      </w:r>
    </w:p>
    <w:p w:rsidR="00000000" w:rsidRDefault="00000000"/>
    <w:p w:rsidR="00000000" w:rsidRDefault="00000000">
      <w:r>
        <w:t>523.</w:t>
      </w:r>
      <w:r>
        <w:tab/>
        <w:t>В дополнение к системам первичной, вторичной и третичной медицинской помощи, обеспечивающим равный доступ всего населения к соответствующим услугам, существует также система услуг в области гигиены труда, охватывающая практически все работающее население.  Основная задача услуг в области гигиены труда сводится к охране здоровья на рабочих местах и контролю за воздействием смежных рисков на состояние здоровья, однако они также включают в себя обслуживание общепрактикующими врачами и специалистами.</w:t>
      </w:r>
    </w:p>
    <w:p w:rsidR="00000000" w:rsidRDefault="00000000"/>
    <w:p w:rsidR="00000000" w:rsidRDefault="00000000">
      <w:pPr>
        <w:keepNext/>
        <w:jc w:val="center"/>
        <w:rPr>
          <w:b/>
          <w:bCs/>
        </w:rPr>
      </w:pPr>
      <w:r>
        <w:rPr>
          <w:b/>
          <w:bCs/>
        </w:rPr>
        <w:t>4 а)</w:t>
      </w:r>
      <w:r>
        <w:rPr>
          <w:b/>
          <w:bCs/>
        </w:rPr>
        <w:tab/>
        <w:t>Уровень младенческой смертности</w:t>
      </w:r>
    </w:p>
    <w:p w:rsidR="00000000" w:rsidRDefault="00000000">
      <w:pPr>
        <w:keepNext/>
        <w:rPr>
          <w:b/>
          <w:bCs/>
        </w:rPr>
      </w:pPr>
    </w:p>
    <w:p w:rsidR="00000000" w:rsidRDefault="00000000">
      <w:r>
        <w:t>524.</w:t>
      </w:r>
      <w:r>
        <w:tab/>
        <w:t>Согласно специализированным источникам, в 2000-2003 годах коэффициент младенческой смертности составлял 3,2 на 1 000 живорожденных детей (годовая вариация составляла 3,0-3,6 на 1 000).  Этот официальный показатель близок к оценке ЮНИСЕФ-ВОЗ - 4 на 1 000 живорожденных детей за 2000 год.  Для мальчиков был характерен более высокий показатель младенческой смертности (3,7 на 1 000), чем для девочек (2,7 на 1 000).  Лишь незначительные различия в уровне младенческой смертности прослеживались между городскими</w:t>
      </w:r>
      <w:r>
        <w:rPr>
          <w:rStyle w:val="FootnoteReference"/>
        </w:rPr>
        <w:footnoteReference w:id="10"/>
      </w:r>
      <w:r>
        <w:t xml:space="preserve"> (3,3 на 1 000) и сельскими районами (3,1 на 1 000).  Более существенные различия в коэффициенте младенческой смертности отмечались в разбивке по областям (среди шести областей):  с 2,7 на 1 000 до 3,8 на 1 000.  Эти различия отчасти объясняются разной средой происхождения родителей (</w:t>
      </w:r>
      <w:r>
        <w:rPr>
          <w:lang w:val="en-US"/>
        </w:rPr>
        <w:t>Gissler</w:t>
      </w:r>
      <w:r>
        <w:t xml:space="preserve"> </w:t>
      </w:r>
      <w:r>
        <w:rPr>
          <w:lang w:val="en-US"/>
        </w:rPr>
        <w:t>et</w:t>
      </w:r>
      <w:r>
        <w:t xml:space="preserve"> </w:t>
      </w:r>
      <w:r>
        <w:rPr>
          <w:lang w:val="en-US"/>
        </w:rPr>
        <w:t>al</w:t>
      </w:r>
      <w:r>
        <w:t>. 2000).</w:t>
      </w:r>
    </w:p>
    <w:p w:rsidR="00000000" w:rsidRDefault="00000000"/>
    <w:p w:rsidR="00000000" w:rsidRDefault="00000000">
      <w:r>
        <w:t>525.</w:t>
      </w:r>
      <w:r>
        <w:tab/>
        <w:t>При проведении оценки с учетом социально-экономического статуса матери ребенка можно отметить, что самый низкий показатель младенческой смертности был характерен для служащих низшего звена и предпринимателей (2,7 на 1 000), за которыми следуют служащие высшего звена (3,2 на 1 000).  Уровень младенческой смертности был выше среди производственных рабочих (3,7 на 1 000), а также в рамках группы, в которую входят студенты, домашние хозяйки и т.д. (3,6 на 1 000).  Эти различия дополнительно сглаживаются при внесении коррективов на биологические факторы риска, такие, как возраст и число детей (</w:t>
      </w:r>
      <w:r>
        <w:rPr>
          <w:lang w:val="en-US"/>
        </w:rPr>
        <w:t>Gissler</w:t>
      </w:r>
      <w:r>
        <w:t xml:space="preserve"> </w:t>
      </w:r>
      <w:r>
        <w:rPr>
          <w:lang w:val="en-US"/>
        </w:rPr>
        <w:t>et</w:t>
      </w:r>
      <w:r>
        <w:t xml:space="preserve"> </w:t>
      </w:r>
      <w:r>
        <w:rPr>
          <w:lang w:val="en-US"/>
        </w:rPr>
        <w:t>al</w:t>
      </w:r>
      <w:r>
        <w:t>. 2003).</w:t>
      </w:r>
    </w:p>
    <w:p w:rsidR="00000000" w:rsidRDefault="00000000"/>
    <w:p w:rsidR="00000000" w:rsidRDefault="00000000">
      <w:r>
        <w:t>526.</w:t>
      </w:r>
      <w:r>
        <w:tab/>
        <w:t>Согласно пока еще не опубликованным данным о перинатальном здоровье иммигрантов, для детей, родившихся от финской матери, был характерен показатель перинатальной смертности в размере 5,7 на 1 000 новорожденных, тогда как для новорожденных, мать которых являлась не финкой, соответствующий показатель составлял 5,9 на 1 000.  Значительно более высокий коэффициент младенческой смертности наблюдался среди африканских женщин (исключая Северную Африку и Сомали) и сомалиек, для которых он составлял соответственно 28 на 1 000 и 12 на 1 000.</w:t>
      </w:r>
    </w:p>
    <w:p w:rsidR="00000000" w:rsidRDefault="00000000"/>
    <w:p w:rsidR="00000000" w:rsidRDefault="00000000">
      <w:pPr>
        <w:jc w:val="center"/>
        <w:rPr>
          <w:b/>
          <w:bCs/>
        </w:rPr>
      </w:pPr>
      <w:r>
        <w:rPr>
          <w:b/>
          <w:bCs/>
        </w:rPr>
        <w:t>4 b)</w:t>
      </w:r>
      <w:r>
        <w:rPr>
          <w:b/>
          <w:bCs/>
        </w:rPr>
        <w:tab/>
        <w:t>Доступ к безопасной воде</w:t>
      </w:r>
    </w:p>
    <w:p w:rsidR="00000000" w:rsidRDefault="00000000">
      <w:pPr>
        <w:rPr>
          <w:b/>
          <w:bCs/>
        </w:rPr>
      </w:pPr>
    </w:p>
    <w:p w:rsidR="00000000" w:rsidRDefault="00000000">
      <w:r>
        <w:t>527.</w:t>
      </w:r>
      <w:r>
        <w:tab/>
        <w:t xml:space="preserve">Все население Финляндии имеет доступ к чистой и безопасной воде.  Система централизованного водоснабжения доступна приблизительно 90% населения, тогда как 10% забирают воду из колодцев.  Граждане, пользующиеся своими собственными колодцами, проживают в основном в слабо заселенных районах.  </w:t>
      </w:r>
    </w:p>
    <w:p w:rsidR="00000000" w:rsidRDefault="00000000"/>
    <w:p w:rsidR="00000000" w:rsidRDefault="00000000">
      <w:pPr>
        <w:jc w:val="center"/>
        <w:rPr>
          <w:b/>
          <w:bCs/>
        </w:rPr>
      </w:pPr>
      <w:r>
        <w:rPr>
          <w:b/>
          <w:bCs/>
        </w:rPr>
        <w:t>4 с)</w:t>
      </w:r>
      <w:r>
        <w:rPr>
          <w:b/>
          <w:bCs/>
        </w:rPr>
        <w:tab/>
        <w:t>Доступ к санитарно-техническим средствам</w:t>
      </w:r>
    </w:p>
    <w:p w:rsidR="00000000" w:rsidRDefault="00000000">
      <w:pPr>
        <w:rPr>
          <w:b/>
          <w:bCs/>
        </w:rPr>
      </w:pPr>
    </w:p>
    <w:p w:rsidR="00000000" w:rsidRDefault="00000000">
      <w:r>
        <w:t>528.</w:t>
      </w:r>
      <w:r>
        <w:tab/>
        <w:t xml:space="preserve">Все население имеет доступ к санитарно-техническим средствам.  Централизованная канализационная сеть охватывает приблизительно 81% населения (4,2 млн. человек), тогда как 19% (1 млн. человек) располагают индивидуальными системами обработки коммунально-бытовых сточных вод.  Такие системы используются главным образом в слабо заселенной местности.  </w:t>
      </w:r>
    </w:p>
    <w:p w:rsidR="00000000" w:rsidRDefault="00000000"/>
    <w:p w:rsidR="00000000" w:rsidRDefault="00000000">
      <w:pPr>
        <w:jc w:val="center"/>
        <w:rPr>
          <w:b/>
          <w:bCs/>
        </w:rPr>
      </w:pPr>
      <w:r>
        <w:rPr>
          <w:b/>
          <w:bCs/>
        </w:rPr>
        <w:t>4 d)</w:t>
      </w:r>
      <w:r>
        <w:rPr>
          <w:b/>
          <w:bCs/>
        </w:rPr>
        <w:tab/>
        <w:t>Вакцинация детей</w:t>
      </w:r>
    </w:p>
    <w:p w:rsidR="00000000" w:rsidRDefault="00000000">
      <w:pPr>
        <w:rPr>
          <w:b/>
          <w:bCs/>
        </w:rPr>
      </w:pPr>
    </w:p>
    <w:p w:rsidR="00000000" w:rsidRDefault="00000000">
      <w:r>
        <w:t>529.</w:t>
      </w:r>
      <w:r>
        <w:tab/>
        <w:t>Детям делаются прививки от указанных в приводимой ниже таблице заболеваний, упоминаемых в Общих руководящих принципах.  Охват программы вакцинации был проанализирован на основе выборочного изучения данных о вакцинации 1 000 детей, родившихся в 1997 году.  Эти данные касаются охвата вакцинацией детей в возрасте двух лет.  Чем моложе дети, данные о вакцинации которых рассматриваются, тем комплекснее является их вакцинация.  Охват программой вакцинации в Финляндии по</w:t>
      </w:r>
      <w:r>
        <w:noBreakHyphen/>
        <w:t xml:space="preserve">прежнему является весьма значительным, хотя и не таким высоким, как два года назад.  </w:t>
      </w:r>
    </w:p>
    <w:p w:rsidR="00000000" w:rsidRDefault="00000000"/>
    <w:p w:rsidR="00000000" w:rsidRDefault="00000000">
      <w:pPr>
        <w:jc w:val="center"/>
        <w:rPr>
          <w:b/>
          <w:bCs/>
        </w:rPr>
      </w:pPr>
      <w:r>
        <w:rPr>
          <w:b/>
          <w:bCs/>
        </w:rPr>
        <w:t>Таблица 28</w:t>
      </w:r>
    </w:p>
    <w:p w:rsidR="00000000" w:rsidRDefault="00000000">
      <w:pPr>
        <w:jc w:val="center"/>
        <w:rPr>
          <w:b/>
          <w:bCs/>
        </w:rPr>
      </w:pPr>
    </w:p>
    <w:p w:rsidR="00000000" w:rsidRDefault="00000000">
      <w:pPr>
        <w:jc w:val="center"/>
        <w:rPr>
          <w:b/>
          <w:bCs/>
        </w:rPr>
      </w:pPr>
      <w:r>
        <w:rPr>
          <w:b/>
          <w:bCs/>
        </w:rPr>
        <w:t>Данные о вакцинации, 2000 год</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38"/>
        <w:gridCol w:w="3773"/>
      </w:tblGrid>
      <w:tr w:rsidR="00000000">
        <w:tblPrEx>
          <w:tblCellMar>
            <w:top w:w="0" w:type="dxa"/>
            <w:bottom w:w="0" w:type="dxa"/>
          </w:tblCellMar>
        </w:tblPrEx>
        <w:trPr>
          <w:cantSplit/>
        </w:trPr>
        <w:tc>
          <w:tcPr>
            <w:tcW w:w="5638" w:type="dxa"/>
            <w:tcBorders>
              <w:bottom w:val="single" w:sz="4" w:space="0" w:color="auto"/>
            </w:tcBorders>
          </w:tcPr>
          <w:p w:rsidR="00000000" w:rsidRDefault="00000000">
            <w:pPr>
              <w:jc w:val="center"/>
            </w:pPr>
            <w:r>
              <w:t>Вакцинация</w:t>
            </w:r>
          </w:p>
        </w:tc>
        <w:tc>
          <w:tcPr>
            <w:tcW w:w="3773" w:type="dxa"/>
            <w:tcBorders>
              <w:bottom w:val="single" w:sz="4" w:space="0" w:color="auto"/>
            </w:tcBorders>
          </w:tcPr>
          <w:p w:rsidR="00000000" w:rsidRDefault="00000000">
            <w:pPr>
              <w:jc w:val="center"/>
            </w:pPr>
            <w:r>
              <w:t>Охват детей (%)</w:t>
            </w:r>
          </w:p>
        </w:tc>
      </w:tr>
      <w:tr w:rsidR="00000000">
        <w:tblPrEx>
          <w:tblCellMar>
            <w:top w:w="0" w:type="dxa"/>
            <w:bottom w:w="0" w:type="dxa"/>
          </w:tblCellMar>
        </w:tblPrEx>
        <w:trPr>
          <w:cantSplit/>
        </w:trPr>
        <w:tc>
          <w:tcPr>
            <w:tcW w:w="5638" w:type="dxa"/>
            <w:tcBorders>
              <w:bottom w:val="nil"/>
            </w:tcBorders>
          </w:tcPr>
          <w:p w:rsidR="00000000" w:rsidRDefault="00000000">
            <w:r>
              <w:t>Туберкулез (новорожденные)</w:t>
            </w:r>
          </w:p>
        </w:tc>
        <w:tc>
          <w:tcPr>
            <w:tcW w:w="3773" w:type="dxa"/>
            <w:tcBorders>
              <w:bottom w:val="nil"/>
            </w:tcBorders>
          </w:tcPr>
          <w:p w:rsidR="00000000" w:rsidRDefault="00000000">
            <w:pPr>
              <w:jc w:val="center"/>
            </w:pPr>
            <w:r>
              <w:t>98,9</w:t>
            </w:r>
          </w:p>
        </w:tc>
      </w:tr>
      <w:tr w:rsidR="00000000">
        <w:tblPrEx>
          <w:tblCellMar>
            <w:top w:w="0" w:type="dxa"/>
            <w:bottom w:w="0" w:type="dxa"/>
          </w:tblCellMar>
        </w:tblPrEx>
        <w:trPr>
          <w:cantSplit/>
        </w:trPr>
        <w:tc>
          <w:tcPr>
            <w:tcW w:w="5638" w:type="dxa"/>
            <w:tcBorders>
              <w:top w:val="nil"/>
              <w:bottom w:val="nil"/>
            </w:tcBorders>
          </w:tcPr>
          <w:p w:rsidR="00000000" w:rsidRDefault="00000000">
            <w:r>
              <w:t>Коклюш, дифтерия и столбняк</w:t>
            </w:r>
          </w:p>
        </w:tc>
        <w:tc>
          <w:tcPr>
            <w:tcW w:w="3773" w:type="dxa"/>
            <w:tcBorders>
              <w:top w:val="nil"/>
              <w:bottom w:val="nil"/>
            </w:tcBorders>
          </w:tcPr>
          <w:p w:rsidR="00000000" w:rsidRDefault="00000000">
            <w:pPr>
              <w:jc w:val="center"/>
            </w:pPr>
            <w:r>
              <w:t>94,7</w:t>
            </w:r>
          </w:p>
        </w:tc>
      </w:tr>
      <w:tr w:rsidR="00000000">
        <w:tblPrEx>
          <w:tblCellMar>
            <w:top w:w="0" w:type="dxa"/>
            <w:bottom w:w="0" w:type="dxa"/>
          </w:tblCellMar>
        </w:tblPrEx>
        <w:trPr>
          <w:cantSplit/>
        </w:trPr>
        <w:tc>
          <w:tcPr>
            <w:tcW w:w="5638" w:type="dxa"/>
            <w:tcBorders>
              <w:top w:val="nil"/>
              <w:bottom w:val="nil"/>
            </w:tcBorders>
          </w:tcPr>
          <w:p w:rsidR="00000000" w:rsidRDefault="00000000">
            <w:r>
              <w:t>Полиомиелит</w:t>
            </w:r>
          </w:p>
        </w:tc>
        <w:tc>
          <w:tcPr>
            <w:tcW w:w="3773" w:type="dxa"/>
            <w:tcBorders>
              <w:top w:val="nil"/>
              <w:bottom w:val="nil"/>
            </w:tcBorders>
          </w:tcPr>
          <w:p w:rsidR="00000000" w:rsidRDefault="00000000">
            <w:pPr>
              <w:jc w:val="center"/>
            </w:pPr>
            <w:r>
              <w:t>95,7</w:t>
            </w:r>
          </w:p>
        </w:tc>
      </w:tr>
      <w:tr w:rsidR="00000000">
        <w:tblPrEx>
          <w:tblCellMar>
            <w:top w:w="0" w:type="dxa"/>
            <w:bottom w:w="0" w:type="dxa"/>
          </w:tblCellMar>
        </w:tblPrEx>
        <w:trPr>
          <w:cantSplit/>
        </w:trPr>
        <w:tc>
          <w:tcPr>
            <w:tcW w:w="5638" w:type="dxa"/>
            <w:tcBorders>
              <w:top w:val="nil"/>
            </w:tcBorders>
          </w:tcPr>
          <w:p w:rsidR="00000000" w:rsidRDefault="00000000">
            <w:r>
              <w:t>Корь, паротит и краснуха (коревая краснуха)</w:t>
            </w:r>
          </w:p>
        </w:tc>
        <w:tc>
          <w:tcPr>
            <w:tcW w:w="3773" w:type="dxa"/>
            <w:tcBorders>
              <w:top w:val="nil"/>
            </w:tcBorders>
          </w:tcPr>
          <w:p w:rsidR="00000000" w:rsidRDefault="00000000">
            <w:pPr>
              <w:jc w:val="center"/>
            </w:pPr>
            <w:r>
              <w:t>95,7</w:t>
            </w:r>
          </w:p>
        </w:tc>
      </w:tr>
    </w:tbl>
    <w:p w:rsidR="00000000" w:rsidRDefault="00000000"/>
    <w:p w:rsidR="00000000" w:rsidRDefault="00000000">
      <w:r>
        <w:tab/>
      </w:r>
      <w:r>
        <w:rPr>
          <w:i/>
          <w:iCs/>
        </w:rPr>
        <w:t>Источник</w:t>
      </w:r>
      <w:r>
        <w:t>:  Национальный институт общественного здравоохранения.</w:t>
      </w:r>
    </w:p>
    <w:p w:rsidR="00000000" w:rsidRDefault="00000000"/>
    <w:p w:rsidR="00000000" w:rsidRDefault="00000000">
      <w:r>
        <w:t>530.</w:t>
      </w:r>
      <w:r>
        <w:tab/>
        <w:t>В Финляндии не прослеживается никаких различий в охвате вакцинацией по признаку пола или местожительства.</w:t>
      </w:r>
    </w:p>
    <w:p w:rsidR="00000000" w:rsidRDefault="00000000"/>
    <w:p w:rsidR="00000000" w:rsidRDefault="00000000">
      <w:pPr>
        <w:jc w:val="center"/>
      </w:pPr>
      <w:r>
        <w:rPr>
          <w:b/>
          <w:bCs/>
        </w:rPr>
        <w:t>4 е)</w:t>
      </w:r>
      <w:r>
        <w:rPr>
          <w:b/>
          <w:bCs/>
        </w:rPr>
        <w:tab/>
        <w:t>Ожидаемая продолжительность жизни</w:t>
      </w:r>
    </w:p>
    <w:p w:rsidR="00000000" w:rsidRDefault="00000000"/>
    <w:p w:rsidR="00000000" w:rsidRDefault="00000000">
      <w:r>
        <w:t>531.</w:t>
      </w:r>
      <w:r>
        <w:tab/>
        <w:t>В 2003 году средняя ожидаемая продолжительность жизни при рождении в Финляндии составляла 78,5 года, что примерно на 8 лет больше, чем в 1970 году и на 4,9 года больше, чем в 1980 году.  Указанный прирост был более значительным для мужчин (6,1 года с 1980 года;  этот показатель выше среднего прироста по ЕС), чем для женщин (4,1 года;  этот показатель ниже среднего прироста по ЕС).  Однако средняя продолжительность у женщин по</w:t>
      </w:r>
      <w:r>
        <w:noBreakHyphen/>
        <w:t>прежнему значительно выше, чем у мужчин:  81,8 года против 75,1 года в 2003 году (таблица 29).  С конца 70-х годов средняя продолжительность жизни у мужчин в Финляндии была на 1-2 года меньше, чем в среднем по ЕС.  Средняя ожидаемая продолжительность жизни у женщин была выше по сравнению со средним показателем по ЕС в период с середины 70</w:t>
      </w:r>
      <w:r>
        <w:noBreakHyphen/>
        <w:t>х годов по 80-е годы, однако впоследствии оставалась на несколько более низком уровне.  Несмотря на существенные улучшения, произошедшие за период с 70-х годов, средняя ожидаемая продолжительность жизни финнов в возрасте 65 лет была на 0,5-1 год ниже, чем в среднем по ЕС.  Для мужчин такое различие было несколько более высоким, чем для женщин.</w:t>
      </w:r>
    </w:p>
    <w:p w:rsidR="00000000" w:rsidRDefault="00000000"/>
    <w:p w:rsidR="00000000" w:rsidRDefault="00000000">
      <w:r>
        <w:t>532.</w:t>
      </w:r>
      <w:r>
        <w:tab/>
        <w:t>Средняя ожидаемая продолжительность жизни при рождении ниже в Восточной Финляндии по сравнению с Западной Финляндией, особенно для мужчин (более чем полтора года).  Аналогичное различие наблюдается при сопоставлениях между сельским и городским мужским населением, тогда как различия между женщинами являются гораздо менее выраженными (таблица 29).</w:t>
      </w:r>
    </w:p>
    <w:p w:rsidR="00000000" w:rsidRDefault="00000000"/>
    <w:p w:rsidR="00000000" w:rsidRDefault="00000000">
      <w:r>
        <w:t>533.</w:t>
      </w:r>
      <w:r>
        <w:tab/>
        <w:t>Различия социально-экономического характера можно наблюдать в показателях общей смертности, а также смертности, вызванной конкретными причинами.  По имеющимся данным, относительные колебания в общем уровне смертности возросли в 90</w:t>
      </w:r>
      <w:r>
        <w:noBreakHyphen/>
        <w:t>е годы, однако в Финляндии также увеличились абсолютные различия (</w:t>
      </w:r>
      <w:r>
        <w:rPr>
          <w:lang w:val="en-US"/>
        </w:rPr>
        <w:t>Mackenbach</w:t>
      </w:r>
      <w:r>
        <w:t xml:space="preserve"> </w:t>
      </w:r>
      <w:r>
        <w:rPr>
          <w:lang w:val="en-US"/>
        </w:rPr>
        <w:t>et al</w:t>
      </w:r>
      <w:r>
        <w:t>. 2003).  С начала 70-х годов по середину 90-х годов прирост ожидаемой продолжительности жизни составлял 5,1 года для работников умственного труда и 3,8 года для работников физического труда мужского пола;  соответствующие показатели для женщин исчислялись 3,6 и 3,0 лет.  В 80-е годы, когда различия в ожидаемой продолжительности жизни увеличивались наиболее быстрыми темпами, сокращение смертности, вызванной сердечно-сосудистыми заболеваниями, было более выраженным среди работников умственного труда по сравнению с работниками физического труда.  Кроме того, характерным явлением для работников физического труда было повышение смертности вследствие заболеваний, вызванных злоупотреблением токсическими веществами, "прочих заболеваний" и несчастных случаев и насилия (</w:t>
      </w:r>
      <w:r>
        <w:rPr>
          <w:lang w:val="en-US"/>
        </w:rPr>
        <w:t>Martikainen</w:t>
      </w:r>
      <w:r>
        <w:t xml:space="preserve"> </w:t>
      </w:r>
      <w:r>
        <w:rPr>
          <w:lang w:val="en-US"/>
        </w:rPr>
        <w:t>et</w:t>
      </w:r>
      <w:r>
        <w:t xml:space="preserve"> </w:t>
      </w:r>
      <w:r>
        <w:rPr>
          <w:lang w:val="en-US"/>
        </w:rPr>
        <w:t>al</w:t>
      </w:r>
      <w:r>
        <w:t>. 2001).  Действие этой неблагоприятной тенденции продолжилось и в конце 90-х годов (</w:t>
      </w:r>
      <w:r>
        <w:rPr>
          <w:lang w:val="en-US"/>
        </w:rPr>
        <w:t>Valkonen</w:t>
      </w:r>
      <w:r>
        <w:t xml:space="preserve"> </w:t>
      </w:r>
      <w:r>
        <w:rPr>
          <w:lang w:val="en-US"/>
        </w:rPr>
        <w:t>et</w:t>
      </w:r>
      <w:r>
        <w:t xml:space="preserve"> </w:t>
      </w:r>
      <w:r>
        <w:rPr>
          <w:lang w:val="en-US"/>
        </w:rPr>
        <w:t>al</w:t>
      </w:r>
      <w:r>
        <w:t>. 2003).</w:t>
      </w:r>
    </w:p>
    <w:p w:rsidR="00000000" w:rsidRDefault="00000000"/>
    <w:p w:rsidR="00000000" w:rsidRDefault="00000000">
      <w:pPr>
        <w:ind w:left="1701" w:hanging="1701"/>
        <w:jc w:val="center"/>
        <w:rPr>
          <w:b/>
          <w:bCs/>
          <w:lang w:val="en-US"/>
        </w:rPr>
      </w:pPr>
      <w:r>
        <w:rPr>
          <w:b/>
          <w:bCs/>
        </w:rPr>
        <w:br w:type="page"/>
        <w:t>Таблица 29</w:t>
      </w:r>
    </w:p>
    <w:p w:rsidR="00000000" w:rsidRDefault="00000000">
      <w:pPr>
        <w:ind w:left="1701" w:hanging="1701"/>
        <w:jc w:val="center"/>
        <w:rPr>
          <w:b/>
          <w:bCs/>
          <w:lang w:val="en-US"/>
        </w:rPr>
      </w:pPr>
    </w:p>
    <w:p w:rsidR="00000000" w:rsidRDefault="00000000">
      <w:pPr>
        <w:tabs>
          <w:tab w:val="clear" w:pos="1701"/>
        </w:tabs>
        <w:jc w:val="center"/>
        <w:rPr>
          <w:b/>
          <w:bCs/>
        </w:rPr>
      </w:pPr>
      <w:r>
        <w:rPr>
          <w:b/>
          <w:bCs/>
        </w:rPr>
        <w:t>Ожидаемая продолжительность жизни в разбивке по признакам пола и по географическому признаку в 2003 году</w:t>
      </w:r>
    </w:p>
    <w:p w:rsidR="00000000" w:rsidRDefault="00000000">
      <w:pPr>
        <w:jc w:val="center"/>
        <w:rPr>
          <w:b/>
          <w:bCs/>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04"/>
        <w:gridCol w:w="6"/>
        <w:gridCol w:w="1412"/>
        <w:gridCol w:w="7"/>
        <w:gridCol w:w="1428"/>
        <w:gridCol w:w="1429"/>
        <w:gridCol w:w="13"/>
        <w:gridCol w:w="1412"/>
      </w:tblGrid>
      <w:tr w:rsidR="00000000">
        <w:tblPrEx>
          <w:tblCellMar>
            <w:top w:w="0" w:type="dxa"/>
            <w:bottom w:w="0" w:type="dxa"/>
          </w:tblCellMar>
        </w:tblPrEx>
        <w:trPr>
          <w:cantSplit/>
        </w:trPr>
        <w:tc>
          <w:tcPr>
            <w:tcW w:w="3704" w:type="dxa"/>
            <w:tcBorders>
              <w:bottom w:val="single" w:sz="4" w:space="0" w:color="auto"/>
            </w:tcBorders>
          </w:tcPr>
          <w:p w:rsidR="00000000" w:rsidRDefault="00000000"/>
        </w:tc>
        <w:tc>
          <w:tcPr>
            <w:tcW w:w="1425" w:type="dxa"/>
            <w:gridSpan w:val="3"/>
            <w:tcBorders>
              <w:bottom w:val="single" w:sz="4" w:space="0" w:color="auto"/>
            </w:tcBorders>
          </w:tcPr>
          <w:p w:rsidR="00000000" w:rsidRDefault="00000000">
            <w:pPr>
              <w:jc w:val="center"/>
            </w:pPr>
            <w:r>
              <w:t>Всего</w:t>
            </w:r>
          </w:p>
        </w:tc>
        <w:tc>
          <w:tcPr>
            <w:tcW w:w="1428" w:type="dxa"/>
            <w:tcBorders>
              <w:bottom w:val="single" w:sz="4" w:space="0" w:color="auto"/>
            </w:tcBorders>
          </w:tcPr>
          <w:p w:rsidR="00000000" w:rsidRDefault="00000000">
            <w:pPr>
              <w:jc w:val="center"/>
            </w:pPr>
            <w:r>
              <w:t>Мужчины</w:t>
            </w:r>
          </w:p>
        </w:tc>
        <w:tc>
          <w:tcPr>
            <w:tcW w:w="1429" w:type="dxa"/>
            <w:tcBorders>
              <w:bottom w:val="single" w:sz="4" w:space="0" w:color="auto"/>
            </w:tcBorders>
          </w:tcPr>
          <w:p w:rsidR="00000000" w:rsidRDefault="00000000">
            <w:pPr>
              <w:jc w:val="center"/>
            </w:pPr>
            <w:r>
              <w:t>Женщины</w:t>
            </w:r>
          </w:p>
        </w:tc>
        <w:tc>
          <w:tcPr>
            <w:tcW w:w="1425" w:type="dxa"/>
            <w:gridSpan w:val="2"/>
            <w:tcBorders>
              <w:bottom w:val="single" w:sz="4" w:space="0" w:color="auto"/>
            </w:tcBorders>
          </w:tcPr>
          <w:p w:rsidR="00000000" w:rsidRDefault="00000000">
            <w:pPr>
              <w:jc w:val="center"/>
            </w:pPr>
            <w:r>
              <w:t>Разница</w:t>
            </w:r>
          </w:p>
        </w:tc>
      </w:tr>
      <w:tr w:rsidR="00000000">
        <w:tblPrEx>
          <w:tblCellMar>
            <w:top w:w="0" w:type="dxa"/>
            <w:bottom w:w="0" w:type="dxa"/>
          </w:tblCellMar>
        </w:tblPrEx>
        <w:trPr>
          <w:cantSplit/>
        </w:trPr>
        <w:tc>
          <w:tcPr>
            <w:tcW w:w="3704" w:type="dxa"/>
            <w:tcBorders>
              <w:bottom w:val="nil"/>
              <w:right w:val="single" w:sz="4" w:space="0" w:color="auto"/>
            </w:tcBorders>
          </w:tcPr>
          <w:p w:rsidR="00000000" w:rsidRDefault="00000000">
            <w:r>
              <w:t>Финляндия</w:t>
            </w:r>
          </w:p>
        </w:tc>
        <w:tc>
          <w:tcPr>
            <w:tcW w:w="1425" w:type="dxa"/>
            <w:gridSpan w:val="3"/>
            <w:tcBorders>
              <w:left w:val="single" w:sz="4" w:space="0" w:color="auto"/>
              <w:bottom w:val="nil"/>
              <w:right w:val="single" w:sz="4" w:space="0" w:color="auto"/>
            </w:tcBorders>
          </w:tcPr>
          <w:p w:rsidR="00000000" w:rsidRDefault="00000000">
            <w:pPr>
              <w:tabs>
                <w:tab w:val="clear" w:pos="567"/>
                <w:tab w:val="clear" w:pos="1134"/>
              </w:tabs>
              <w:jc w:val="center"/>
            </w:pPr>
            <w:r>
              <w:t>78,5</w:t>
            </w:r>
          </w:p>
        </w:tc>
        <w:tc>
          <w:tcPr>
            <w:tcW w:w="1428" w:type="dxa"/>
            <w:tcBorders>
              <w:left w:val="single" w:sz="4" w:space="0" w:color="auto"/>
              <w:bottom w:val="nil"/>
              <w:right w:val="single" w:sz="4" w:space="0" w:color="auto"/>
            </w:tcBorders>
          </w:tcPr>
          <w:p w:rsidR="00000000" w:rsidRDefault="00000000">
            <w:pPr>
              <w:tabs>
                <w:tab w:val="clear" w:pos="567"/>
                <w:tab w:val="clear" w:pos="1134"/>
              </w:tabs>
              <w:jc w:val="center"/>
            </w:pPr>
            <w:r>
              <w:t>75,1</w:t>
            </w:r>
          </w:p>
        </w:tc>
        <w:tc>
          <w:tcPr>
            <w:tcW w:w="1429" w:type="dxa"/>
            <w:tcBorders>
              <w:left w:val="single" w:sz="4" w:space="0" w:color="auto"/>
              <w:bottom w:val="nil"/>
              <w:right w:val="single" w:sz="4" w:space="0" w:color="auto"/>
            </w:tcBorders>
          </w:tcPr>
          <w:p w:rsidR="00000000" w:rsidRDefault="00000000">
            <w:pPr>
              <w:tabs>
                <w:tab w:val="clear" w:pos="567"/>
                <w:tab w:val="clear" w:pos="1134"/>
              </w:tabs>
              <w:jc w:val="center"/>
            </w:pPr>
            <w:r>
              <w:t>81,8</w:t>
            </w:r>
          </w:p>
        </w:tc>
        <w:tc>
          <w:tcPr>
            <w:tcW w:w="1425" w:type="dxa"/>
            <w:gridSpan w:val="2"/>
            <w:tcBorders>
              <w:left w:val="single" w:sz="4" w:space="0" w:color="auto"/>
              <w:bottom w:val="nil"/>
            </w:tcBorders>
          </w:tcPr>
          <w:p w:rsidR="00000000" w:rsidRDefault="00000000">
            <w:pPr>
              <w:tabs>
                <w:tab w:val="clear" w:pos="567"/>
                <w:tab w:val="clear" w:pos="1134"/>
              </w:tabs>
              <w:jc w:val="center"/>
            </w:pPr>
            <w:r>
              <w:t>-6,7</w:t>
            </w:r>
          </w:p>
        </w:tc>
      </w:tr>
      <w:tr w:rsidR="00000000">
        <w:tblPrEx>
          <w:tblCellMar>
            <w:top w:w="0" w:type="dxa"/>
            <w:bottom w:w="0" w:type="dxa"/>
          </w:tblCellMar>
        </w:tblPrEx>
        <w:trPr>
          <w:cantSplit/>
        </w:trPr>
        <w:tc>
          <w:tcPr>
            <w:tcW w:w="3704" w:type="dxa"/>
            <w:tcBorders>
              <w:top w:val="nil"/>
              <w:bottom w:val="nil"/>
            </w:tcBorders>
          </w:tcPr>
          <w:p w:rsidR="00000000" w:rsidRDefault="00000000">
            <w:pPr>
              <w:tabs>
                <w:tab w:val="clear" w:pos="567"/>
                <w:tab w:val="clear" w:pos="1134"/>
                <w:tab w:val="left" w:pos="284"/>
              </w:tabs>
            </w:pPr>
            <w:r>
              <w:tab/>
              <w:t>По степени урбанизации</w:t>
            </w:r>
          </w:p>
        </w:tc>
        <w:tc>
          <w:tcPr>
            <w:tcW w:w="1425" w:type="dxa"/>
            <w:gridSpan w:val="3"/>
            <w:tcBorders>
              <w:top w:val="nil"/>
              <w:bottom w:val="nil"/>
            </w:tcBorders>
          </w:tcPr>
          <w:p w:rsidR="00000000" w:rsidRDefault="00000000">
            <w:pPr>
              <w:tabs>
                <w:tab w:val="clear" w:pos="567"/>
                <w:tab w:val="clear" w:pos="1134"/>
              </w:tabs>
              <w:jc w:val="center"/>
            </w:pPr>
          </w:p>
        </w:tc>
        <w:tc>
          <w:tcPr>
            <w:tcW w:w="1428" w:type="dxa"/>
            <w:tcBorders>
              <w:top w:val="nil"/>
              <w:bottom w:val="nil"/>
            </w:tcBorders>
          </w:tcPr>
          <w:p w:rsidR="00000000" w:rsidRDefault="00000000">
            <w:pPr>
              <w:tabs>
                <w:tab w:val="clear" w:pos="567"/>
                <w:tab w:val="clear" w:pos="1134"/>
              </w:tabs>
              <w:jc w:val="center"/>
            </w:pPr>
          </w:p>
        </w:tc>
        <w:tc>
          <w:tcPr>
            <w:tcW w:w="1442" w:type="dxa"/>
            <w:gridSpan w:val="2"/>
            <w:tcBorders>
              <w:top w:val="nil"/>
              <w:bottom w:val="nil"/>
            </w:tcBorders>
          </w:tcPr>
          <w:p w:rsidR="00000000" w:rsidRDefault="00000000">
            <w:pPr>
              <w:tabs>
                <w:tab w:val="clear" w:pos="567"/>
                <w:tab w:val="clear" w:pos="1134"/>
              </w:tabs>
              <w:jc w:val="center"/>
            </w:pPr>
          </w:p>
        </w:tc>
        <w:tc>
          <w:tcPr>
            <w:tcW w:w="1412" w:type="dxa"/>
            <w:tcBorders>
              <w:top w:val="nil"/>
              <w:bottom w:val="nil"/>
            </w:tcBorders>
          </w:tcPr>
          <w:p w:rsidR="00000000" w:rsidRDefault="00000000">
            <w:pPr>
              <w:tabs>
                <w:tab w:val="clear" w:pos="567"/>
                <w:tab w:val="clear" w:pos="1134"/>
              </w:tabs>
              <w:jc w:val="center"/>
            </w:pPr>
          </w:p>
        </w:tc>
      </w:tr>
      <w:tr w:rsidR="00000000">
        <w:tblPrEx>
          <w:tblCellMar>
            <w:top w:w="0" w:type="dxa"/>
            <w:bottom w:w="0" w:type="dxa"/>
          </w:tblCellMar>
        </w:tblPrEx>
        <w:trPr>
          <w:cantSplit/>
        </w:trPr>
        <w:tc>
          <w:tcPr>
            <w:tcW w:w="3704" w:type="dxa"/>
            <w:tcBorders>
              <w:top w:val="nil"/>
              <w:bottom w:val="nil"/>
              <w:right w:val="single" w:sz="4" w:space="0" w:color="auto"/>
            </w:tcBorders>
          </w:tcPr>
          <w:p w:rsidR="00000000" w:rsidRDefault="00000000">
            <w:r>
              <w:tab/>
              <w:t>Городские районы</w:t>
            </w:r>
          </w:p>
        </w:tc>
        <w:tc>
          <w:tcPr>
            <w:tcW w:w="1425" w:type="dxa"/>
            <w:gridSpan w:val="3"/>
            <w:tcBorders>
              <w:top w:val="nil"/>
              <w:left w:val="single" w:sz="4" w:space="0" w:color="auto"/>
              <w:bottom w:val="nil"/>
              <w:right w:val="single" w:sz="4" w:space="0" w:color="auto"/>
            </w:tcBorders>
          </w:tcPr>
          <w:p w:rsidR="00000000" w:rsidRDefault="00000000">
            <w:pPr>
              <w:tabs>
                <w:tab w:val="clear" w:pos="567"/>
                <w:tab w:val="clear" w:pos="1134"/>
              </w:tabs>
              <w:jc w:val="center"/>
            </w:pPr>
            <w:r>
              <w:t>78,9</w:t>
            </w:r>
          </w:p>
        </w:tc>
        <w:tc>
          <w:tcPr>
            <w:tcW w:w="1428" w:type="dxa"/>
            <w:tcBorders>
              <w:top w:val="nil"/>
              <w:left w:val="single" w:sz="4" w:space="0" w:color="auto"/>
              <w:bottom w:val="nil"/>
              <w:right w:val="single" w:sz="4" w:space="0" w:color="auto"/>
            </w:tcBorders>
          </w:tcPr>
          <w:p w:rsidR="00000000" w:rsidRDefault="00000000">
            <w:pPr>
              <w:tabs>
                <w:tab w:val="clear" w:pos="567"/>
                <w:tab w:val="clear" w:pos="1134"/>
              </w:tabs>
              <w:jc w:val="center"/>
            </w:pPr>
            <w:r>
              <w:t>75,5</w:t>
            </w:r>
          </w:p>
        </w:tc>
        <w:tc>
          <w:tcPr>
            <w:tcW w:w="1429" w:type="dxa"/>
            <w:tcBorders>
              <w:top w:val="nil"/>
              <w:left w:val="single" w:sz="4" w:space="0" w:color="auto"/>
              <w:bottom w:val="nil"/>
              <w:right w:val="single" w:sz="4" w:space="0" w:color="auto"/>
            </w:tcBorders>
          </w:tcPr>
          <w:p w:rsidR="00000000" w:rsidRDefault="00000000">
            <w:pPr>
              <w:tabs>
                <w:tab w:val="clear" w:pos="567"/>
                <w:tab w:val="clear" w:pos="1134"/>
              </w:tabs>
              <w:jc w:val="center"/>
            </w:pPr>
            <w:r>
              <w:t>81,9</w:t>
            </w:r>
          </w:p>
        </w:tc>
        <w:tc>
          <w:tcPr>
            <w:tcW w:w="1425" w:type="dxa"/>
            <w:gridSpan w:val="2"/>
            <w:tcBorders>
              <w:top w:val="nil"/>
              <w:left w:val="single" w:sz="4" w:space="0" w:color="auto"/>
              <w:bottom w:val="nil"/>
            </w:tcBorders>
          </w:tcPr>
          <w:p w:rsidR="00000000" w:rsidRDefault="00000000">
            <w:pPr>
              <w:tabs>
                <w:tab w:val="clear" w:pos="567"/>
                <w:tab w:val="clear" w:pos="1134"/>
              </w:tabs>
              <w:jc w:val="center"/>
            </w:pPr>
            <w:r>
              <w:t>-6,5</w:t>
            </w:r>
          </w:p>
        </w:tc>
      </w:tr>
      <w:tr w:rsidR="00000000">
        <w:tblPrEx>
          <w:tblCellMar>
            <w:top w:w="0" w:type="dxa"/>
            <w:bottom w:w="0" w:type="dxa"/>
          </w:tblCellMar>
        </w:tblPrEx>
        <w:trPr>
          <w:cantSplit/>
        </w:trPr>
        <w:tc>
          <w:tcPr>
            <w:tcW w:w="3704" w:type="dxa"/>
            <w:tcBorders>
              <w:top w:val="nil"/>
              <w:bottom w:val="nil"/>
              <w:right w:val="single" w:sz="4" w:space="0" w:color="auto"/>
            </w:tcBorders>
          </w:tcPr>
          <w:p w:rsidR="00000000" w:rsidRDefault="00000000">
            <w:r>
              <w:tab/>
              <w:t>Полугородские районы</w:t>
            </w:r>
          </w:p>
        </w:tc>
        <w:tc>
          <w:tcPr>
            <w:tcW w:w="1425" w:type="dxa"/>
            <w:gridSpan w:val="3"/>
            <w:tcBorders>
              <w:top w:val="nil"/>
              <w:left w:val="single" w:sz="4" w:space="0" w:color="auto"/>
              <w:bottom w:val="nil"/>
              <w:right w:val="single" w:sz="4" w:space="0" w:color="auto"/>
            </w:tcBorders>
          </w:tcPr>
          <w:p w:rsidR="00000000" w:rsidRDefault="00000000">
            <w:pPr>
              <w:tabs>
                <w:tab w:val="clear" w:pos="567"/>
                <w:tab w:val="clear" w:pos="1134"/>
              </w:tabs>
              <w:jc w:val="center"/>
            </w:pPr>
            <w:r>
              <w:t>78,2</w:t>
            </w:r>
          </w:p>
        </w:tc>
        <w:tc>
          <w:tcPr>
            <w:tcW w:w="1428" w:type="dxa"/>
            <w:tcBorders>
              <w:top w:val="nil"/>
              <w:left w:val="single" w:sz="4" w:space="0" w:color="auto"/>
              <w:bottom w:val="nil"/>
              <w:right w:val="single" w:sz="4" w:space="0" w:color="auto"/>
            </w:tcBorders>
          </w:tcPr>
          <w:p w:rsidR="00000000" w:rsidRDefault="00000000">
            <w:pPr>
              <w:tabs>
                <w:tab w:val="clear" w:pos="567"/>
                <w:tab w:val="clear" w:pos="1134"/>
              </w:tabs>
              <w:jc w:val="center"/>
            </w:pPr>
            <w:r>
              <w:t>74,8</w:t>
            </w:r>
          </w:p>
        </w:tc>
        <w:tc>
          <w:tcPr>
            <w:tcW w:w="1429" w:type="dxa"/>
            <w:tcBorders>
              <w:top w:val="nil"/>
              <w:left w:val="single" w:sz="4" w:space="0" w:color="auto"/>
              <w:bottom w:val="nil"/>
              <w:right w:val="single" w:sz="4" w:space="0" w:color="auto"/>
            </w:tcBorders>
          </w:tcPr>
          <w:p w:rsidR="00000000" w:rsidRDefault="00000000">
            <w:pPr>
              <w:tabs>
                <w:tab w:val="clear" w:pos="567"/>
                <w:tab w:val="clear" w:pos="1134"/>
              </w:tabs>
              <w:jc w:val="center"/>
            </w:pPr>
            <w:r>
              <w:t>81,8</w:t>
            </w:r>
          </w:p>
        </w:tc>
        <w:tc>
          <w:tcPr>
            <w:tcW w:w="1425" w:type="dxa"/>
            <w:gridSpan w:val="2"/>
            <w:tcBorders>
              <w:top w:val="nil"/>
              <w:left w:val="single" w:sz="4" w:space="0" w:color="auto"/>
              <w:bottom w:val="nil"/>
            </w:tcBorders>
          </w:tcPr>
          <w:p w:rsidR="00000000" w:rsidRDefault="00000000">
            <w:pPr>
              <w:tabs>
                <w:tab w:val="clear" w:pos="567"/>
                <w:tab w:val="clear" w:pos="1134"/>
              </w:tabs>
              <w:jc w:val="center"/>
            </w:pPr>
            <w:r>
              <w:t>-7,0</w:t>
            </w:r>
          </w:p>
        </w:tc>
      </w:tr>
      <w:tr w:rsidR="00000000">
        <w:tblPrEx>
          <w:tblCellMar>
            <w:top w:w="0" w:type="dxa"/>
            <w:bottom w:w="0" w:type="dxa"/>
          </w:tblCellMar>
        </w:tblPrEx>
        <w:trPr>
          <w:cantSplit/>
        </w:trPr>
        <w:tc>
          <w:tcPr>
            <w:tcW w:w="3704" w:type="dxa"/>
            <w:tcBorders>
              <w:top w:val="nil"/>
              <w:bottom w:val="nil"/>
              <w:right w:val="single" w:sz="4" w:space="0" w:color="auto"/>
            </w:tcBorders>
          </w:tcPr>
          <w:p w:rsidR="00000000" w:rsidRDefault="00000000">
            <w:r>
              <w:tab/>
              <w:t>Сельские районы</w:t>
            </w:r>
          </w:p>
        </w:tc>
        <w:tc>
          <w:tcPr>
            <w:tcW w:w="1425" w:type="dxa"/>
            <w:gridSpan w:val="3"/>
            <w:tcBorders>
              <w:top w:val="nil"/>
              <w:left w:val="single" w:sz="4" w:space="0" w:color="auto"/>
              <w:bottom w:val="nil"/>
              <w:right w:val="single" w:sz="4" w:space="0" w:color="auto"/>
            </w:tcBorders>
          </w:tcPr>
          <w:p w:rsidR="00000000" w:rsidRDefault="00000000">
            <w:pPr>
              <w:tabs>
                <w:tab w:val="clear" w:pos="567"/>
                <w:tab w:val="clear" w:pos="1134"/>
              </w:tabs>
              <w:jc w:val="center"/>
            </w:pPr>
            <w:r>
              <w:t>77,7</w:t>
            </w:r>
          </w:p>
        </w:tc>
        <w:tc>
          <w:tcPr>
            <w:tcW w:w="1428" w:type="dxa"/>
            <w:tcBorders>
              <w:top w:val="nil"/>
              <w:left w:val="single" w:sz="4" w:space="0" w:color="auto"/>
              <w:bottom w:val="nil"/>
              <w:right w:val="single" w:sz="4" w:space="0" w:color="auto"/>
            </w:tcBorders>
          </w:tcPr>
          <w:p w:rsidR="00000000" w:rsidRDefault="00000000">
            <w:pPr>
              <w:tabs>
                <w:tab w:val="clear" w:pos="567"/>
                <w:tab w:val="clear" w:pos="1134"/>
              </w:tabs>
              <w:jc w:val="center"/>
            </w:pPr>
            <w:r>
              <w:t>74,3</w:t>
            </w:r>
          </w:p>
        </w:tc>
        <w:tc>
          <w:tcPr>
            <w:tcW w:w="1429" w:type="dxa"/>
            <w:tcBorders>
              <w:top w:val="nil"/>
              <w:left w:val="single" w:sz="4" w:space="0" w:color="auto"/>
              <w:bottom w:val="nil"/>
              <w:right w:val="single" w:sz="4" w:space="0" w:color="auto"/>
            </w:tcBorders>
          </w:tcPr>
          <w:p w:rsidR="00000000" w:rsidRDefault="00000000">
            <w:pPr>
              <w:tabs>
                <w:tab w:val="clear" w:pos="567"/>
                <w:tab w:val="clear" w:pos="1134"/>
              </w:tabs>
              <w:jc w:val="center"/>
            </w:pPr>
            <w:r>
              <w:t>81,5</w:t>
            </w:r>
          </w:p>
        </w:tc>
        <w:tc>
          <w:tcPr>
            <w:tcW w:w="1425" w:type="dxa"/>
            <w:gridSpan w:val="2"/>
            <w:tcBorders>
              <w:top w:val="nil"/>
              <w:left w:val="single" w:sz="4" w:space="0" w:color="auto"/>
              <w:bottom w:val="nil"/>
            </w:tcBorders>
          </w:tcPr>
          <w:p w:rsidR="00000000" w:rsidRDefault="00000000">
            <w:pPr>
              <w:tabs>
                <w:tab w:val="clear" w:pos="567"/>
                <w:tab w:val="clear" w:pos="1134"/>
              </w:tabs>
              <w:jc w:val="center"/>
            </w:pPr>
            <w:r>
              <w:t>-7,1</w:t>
            </w:r>
          </w:p>
        </w:tc>
      </w:tr>
      <w:tr w:rsidR="00000000">
        <w:tblPrEx>
          <w:tblCellMar>
            <w:top w:w="0" w:type="dxa"/>
            <w:bottom w:w="0" w:type="dxa"/>
          </w:tblCellMar>
        </w:tblPrEx>
        <w:trPr>
          <w:cantSplit/>
        </w:trPr>
        <w:tc>
          <w:tcPr>
            <w:tcW w:w="3710" w:type="dxa"/>
            <w:gridSpan w:val="2"/>
            <w:tcBorders>
              <w:top w:val="nil"/>
              <w:bottom w:val="nil"/>
            </w:tcBorders>
          </w:tcPr>
          <w:p w:rsidR="00000000" w:rsidRDefault="00000000">
            <w:pPr>
              <w:tabs>
                <w:tab w:val="clear" w:pos="567"/>
                <w:tab w:val="clear" w:pos="1134"/>
                <w:tab w:val="left" w:pos="284"/>
              </w:tabs>
            </w:pPr>
            <w:r>
              <w:tab/>
              <w:t>По регионам</w:t>
            </w:r>
          </w:p>
        </w:tc>
        <w:tc>
          <w:tcPr>
            <w:tcW w:w="1412" w:type="dxa"/>
            <w:tcBorders>
              <w:top w:val="nil"/>
              <w:bottom w:val="nil"/>
            </w:tcBorders>
          </w:tcPr>
          <w:p w:rsidR="00000000" w:rsidRDefault="00000000">
            <w:pPr>
              <w:tabs>
                <w:tab w:val="clear" w:pos="567"/>
                <w:tab w:val="clear" w:pos="1134"/>
                <w:tab w:val="left" w:pos="284"/>
              </w:tabs>
            </w:pPr>
          </w:p>
        </w:tc>
        <w:tc>
          <w:tcPr>
            <w:tcW w:w="1435" w:type="dxa"/>
            <w:gridSpan w:val="2"/>
            <w:tcBorders>
              <w:top w:val="nil"/>
              <w:bottom w:val="nil"/>
            </w:tcBorders>
          </w:tcPr>
          <w:p w:rsidR="00000000" w:rsidRDefault="00000000">
            <w:pPr>
              <w:tabs>
                <w:tab w:val="clear" w:pos="567"/>
                <w:tab w:val="clear" w:pos="1134"/>
                <w:tab w:val="left" w:pos="284"/>
              </w:tabs>
              <w:jc w:val="center"/>
            </w:pPr>
          </w:p>
        </w:tc>
        <w:tc>
          <w:tcPr>
            <w:tcW w:w="1429" w:type="dxa"/>
            <w:tcBorders>
              <w:top w:val="nil"/>
              <w:bottom w:val="nil"/>
            </w:tcBorders>
          </w:tcPr>
          <w:p w:rsidR="00000000" w:rsidRDefault="00000000">
            <w:pPr>
              <w:tabs>
                <w:tab w:val="clear" w:pos="567"/>
                <w:tab w:val="clear" w:pos="1134"/>
                <w:tab w:val="left" w:pos="284"/>
              </w:tabs>
              <w:jc w:val="center"/>
            </w:pPr>
          </w:p>
        </w:tc>
        <w:tc>
          <w:tcPr>
            <w:tcW w:w="1425" w:type="dxa"/>
            <w:gridSpan w:val="2"/>
            <w:tcBorders>
              <w:top w:val="nil"/>
              <w:bottom w:val="nil"/>
            </w:tcBorders>
          </w:tcPr>
          <w:p w:rsidR="00000000" w:rsidRDefault="00000000">
            <w:pPr>
              <w:tabs>
                <w:tab w:val="clear" w:pos="567"/>
                <w:tab w:val="clear" w:pos="1134"/>
                <w:tab w:val="left" w:pos="284"/>
              </w:tabs>
              <w:jc w:val="center"/>
            </w:pPr>
          </w:p>
        </w:tc>
      </w:tr>
      <w:tr w:rsidR="00000000">
        <w:tblPrEx>
          <w:tblCellMar>
            <w:top w:w="0" w:type="dxa"/>
            <w:bottom w:w="0" w:type="dxa"/>
          </w:tblCellMar>
        </w:tblPrEx>
        <w:trPr>
          <w:cantSplit/>
        </w:trPr>
        <w:tc>
          <w:tcPr>
            <w:tcW w:w="3704" w:type="dxa"/>
            <w:tcBorders>
              <w:top w:val="nil"/>
              <w:bottom w:val="nil"/>
              <w:right w:val="single" w:sz="4" w:space="0" w:color="auto"/>
            </w:tcBorders>
          </w:tcPr>
          <w:p w:rsidR="00000000" w:rsidRDefault="00000000">
            <w:r>
              <w:tab/>
              <w:t>Южная Финляндия</w:t>
            </w:r>
          </w:p>
        </w:tc>
        <w:tc>
          <w:tcPr>
            <w:tcW w:w="1425" w:type="dxa"/>
            <w:gridSpan w:val="3"/>
            <w:tcBorders>
              <w:top w:val="nil"/>
              <w:left w:val="single" w:sz="4" w:space="0" w:color="auto"/>
              <w:bottom w:val="nil"/>
              <w:right w:val="single" w:sz="4" w:space="0" w:color="auto"/>
            </w:tcBorders>
          </w:tcPr>
          <w:p w:rsidR="00000000" w:rsidRDefault="00000000">
            <w:pPr>
              <w:tabs>
                <w:tab w:val="clear" w:pos="567"/>
                <w:tab w:val="clear" w:pos="1134"/>
              </w:tabs>
              <w:jc w:val="center"/>
            </w:pPr>
            <w:r>
              <w:t>78,7</w:t>
            </w:r>
          </w:p>
        </w:tc>
        <w:tc>
          <w:tcPr>
            <w:tcW w:w="1428" w:type="dxa"/>
            <w:tcBorders>
              <w:top w:val="nil"/>
              <w:left w:val="single" w:sz="4" w:space="0" w:color="auto"/>
              <w:bottom w:val="nil"/>
              <w:right w:val="single" w:sz="4" w:space="0" w:color="auto"/>
            </w:tcBorders>
          </w:tcPr>
          <w:p w:rsidR="00000000" w:rsidRDefault="00000000">
            <w:pPr>
              <w:tabs>
                <w:tab w:val="clear" w:pos="567"/>
                <w:tab w:val="clear" w:pos="1134"/>
              </w:tabs>
              <w:jc w:val="center"/>
            </w:pPr>
            <w:r>
              <w:t>75,5</w:t>
            </w:r>
          </w:p>
        </w:tc>
        <w:tc>
          <w:tcPr>
            <w:tcW w:w="1429" w:type="dxa"/>
            <w:tcBorders>
              <w:top w:val="nil"/>
              <w:left w:val="single" w:sz="4" w:space="0" w:color="auto"/>
              <w:bottom w:val="nil"/>
              <w:right w:val="single" w:sz="4" w:space="0" w:color="auto"/>
            </w:tcBorders>
          </w:tcPr>
          <w:p w:rsidR="00000000" w:rsidRDefault="00000000">
            <w:pPr>
              <w:tabs>
                <w:tab w:val="clear" w:pos="567"/>
                <w:tab w:val="clear" w:pos="1134"/>
              </w:tabs>
              <w:jc w:val="center"/>
            </w:pPr>
            <w:r>
              <w:t>81,7</w:t>
            </w:r>
          </w:p>
        </w:tc>
        <w:tc>
          <w:tcPr>
            <w:tcW w:w="1425" w:type="dxa"/>
            <w:gridSpan w:val="2"/>
            <w:tcBorders>
              <w:top w:val="nil"/>
              <w:left w:val="single" w:sz="4" w:space="0" w:color="auto"/>
              <w:bottom w:val="nil"/>
            </w:tcBorders>
          </w:tcPr>
          <w:p w:rsidR="00000000" w:rsidRDefault="00000000">
            <w:pPr>
              <w:tabs>
                <w:tab w:val="clear" w:pos="567"/>
                <w:tab w:val="clear" w:pos="1134"/>
              </w:tabs>
              <w:jc w:val="center"/>
            </w:pPr>
            <w:r>
              <w:t>-6,3</w:t>
            </w:r>
          </w:p>
        </w:tc>
      </w:tr>
      <w:tr w:rsidR="00000000">
        <w:tblPrEx>
          <w:tblCellMar>
            <w:top w:w="0" w:type="dxa"/>
            <w:bottom w:w="0" w:type="dxa"/>
          </w:tblCellMar>
        </w:tblPrEx>
        <w:trPr>
          <w:cantSplit/>
        </w:trPr>
        <w:tc>
          <w:tcPr>
            <w:tcW w:w="3704" w:type="dxa"/>
            <w:tcBorders>
              <w:top w:val="nil"/>
              <w:bottom w:val="nil"/>
              <w:right w:val="single" w:sz="4" w:space="0" w:color="auto"/>
            </w:tcBorders>
          </w:tcPr>
          <w:p w:rsidR="00000000" w:rsidRDefault="00000000">
            <w:r>
              <w:rPr>
                <w:lang w:val="en-US"/>
              </w:rPr>
              <w:tab/>
            </w:r>
            <w:r>
              <w:t>Западная Финляндия</w:t>
            </w:r>
          </w:p>
        </w:tc>
        <w:tc>
          <w:tcPr>
            <w:tcW w:w="1425" w:type="dxa"/>
            <w:gridSpan w:val="3"/>
            <w:tcBorders>
              <w:top w:val="nil"/>
              <w:left w:val="single" w:sz="4" w:space="0" w:color="auto"/>
              <w:bottom w:val="nil"/>
              <w:right w:val="single" w:sz="4" w:space="0" w:color="auto"/>
            </w:tcBorders>
          </w:tcPr>
          <w:p w:rsidR="00000000" w:rsidRDefault="00000000">
            <w:pPr>
              <w:tabs>
                <w:tab w:val="clear" w:pos="567"/>
                <w:tab w:val="clear" w:pos="1134"/>
              </w:tabs>
              <w:jc w:val="center"/>
            </w:pPr>
            <w:r>
              <w:t>78,8</w:t>
            </w:r>
          </w:p>
        </w:tc>
        <w:tc>
          <w:tcPr>
            <w:tcW w:w="1428" w:type="dxa"/>
            <w:tcBorders>
              <w:top w:val="nil"/>
              <w:left w:val="single" w:sz="4" w:space="0" w:color="auto"/>
              <w:bottom w:val="nil"/>
              <w:right w:val="single" w:sz="4" w:space="0" w:color="auto"/>
            </w:tcBorders>
          </w:tcPr>
          <w:p w:rsidR="00000000" w:rsidRDefault="00000000">
            <w:pPr>
              <w:tabs>
                <w:tab w:val="clear" w:pos="567"/>
                <w:tab w:val="clear" w:pos="1134"/>
              </w:tabs>
              <w:jc w:val="center"/>
            </w:pPr>
            <w:r>
              <w:t>75,4</w:t>
            </w:r>
          </w:p>
        </w:tc>
        <w:tc>
          <w:tcPr>
            <w:tcW w:w="1429" w:type="dxa"/>
            <w:tcBorders>
              <w:top w:val="nil"/>
              <w:left w:val="single" w:sz="4" w:space="0" w:color="auto"/>
              <w:bottom w:val="nil"/>
              <w:right w:val="single" w:sz="4" w:space="0" w:color="auto"/>
            </w:tcBorders>
          </w:tcPr>
          <w:p w:rsidR="00000000" w:rsidRDefault="00000000">
            <w:pPr>
              <w:tabs>
                <w:tab w:val="clear" w:pos="567"/>
                <w:tab w:val="clear" w:pos="1134"/>
              </w:tabs>
              <w:jc w:val="center"/>
            </w:pPr>
            <w:r>
              <w:t>82,2</w:t>
            </w:r>
          </w:p>
        </w:tc>
        <w:tc>
          <w:tcPr>
            <w:tcW w:w="1425" w:type="dxa"/>
            <w:gridSpan w:val="2"/>
            <w:tcBorders>
              <w:top w:val="nil"/>
              <w:left w:val="single" w:sz="4" w:space="0" w:color="auto"/>
              <w:bottom w:val="nil"/>
            </w:tcBorders>
          </w:tcPr>
          <w:p w:rsidR="00000000" w:rsidRDefault="00000000">
            <w:pPr>
              <w:tabs>
                <w:tab w:val="clear" w:pos="567"/>
                <w:tab w:val="clear" w:pos="1134"/>
              </w:tabs>
              <w:jc w:val="center"/>
            </w:pPr>
            <w:r>
              <w:t>-6,8</w:t>
            </w:r>
          </w:p>
        </w:tc>
      </w:tr>
      <w:tr w:rsidR="00000000">
        <w:tblPrEx>
          <w:tblCellMar>
            <w:top w:w="0" w:type="dxa"/>
            <w:bottom w:w="0" w:type="dxa"/>
          </w:tblCellMar>
        </w:tblPrEx>
        <w:trPr>
          <w:cantSplit/>
        </w:trPr>
        <w:tc>
          <w:tcPr>
            <w:tcW w:w="3704" w:type="dxa"/>
            <w:tcBorders>
              <w:top w:val="nil"/>
              <w:bottom w:val="nil"/>
              <w:right w:val="single" w:sz="4" w:space="0" w:color="auto"/>
            </w:tcBorders>
          </w:tcPr>
          <w:p w:rsidR="00000000" w:rsidRDefault="00000000">
            <w:r>
              <w:rPr>
                <w:lang w:val="en-US"/>
              </w:rPr>
              <w:tab/>
            </w:r>
            <w:r>
              <w:t>Восточная Финляндия</w:t>
            </w:r>
          </w:p>
        </w:tc>
        <w:tc>
          <w:tcPr>
            <w:tcW w:w="1425" w:type="dxa"/>
            <w:gridSpan w:val="3"/>
            <w:tcBorders>
              <w:top w:val="nil"/>
              <w:left w:val="single" w:sz="4" w:space="0" w:color="auto"/>
              <w:bottom w:val="nil"/>
              <w:right w:val="single" w:sz="4" w:space="0" w:color="auto"/>
            </w:tcBorders>
          </w:tcPr>
          <w:p w:rsidR="00000000" w:rsidRDefault="00000000">
            <w:pPr>
              <w:tabs>
                <w:tab w:val="clear" w:pos="567"/>
                <w:tab w:val="clear" w:pos="1134"/>
              </w:tabs>
              <w:jc w:val="center"/>
            </w:pPr>
            <w:r>
              <w:t>77,4</w:t>
            </w:r>
          </w:p>
        </w:tc>
        <w:tc>
          <w:tcPr>
            <w:tcW w:w="1428" w:type="dxa"/>
            <w:tcBorders>
              <w:top w:val="nil"/>
              <w:left w:val="single" w:sz="4" w:space="0" w:color="auto"/>
              <w:bottom w:val="nil"/>
              <w:right w:val="single" w:sz="4" w:space="0" w:color="auto"/>
            </w:tcBorders>
          </w:tcPr>
          <w:p w:rsidR="00000000" w:rsidRDefault="00000000">
            <w:pPr>
              <w:tabs>
                <w:tab w:val="clear" w:pos="567"/>
                <w:tab w:val="clear" w:pos="1134"/>
              </w:tabs>
              <w:jc w:val="center"/>
            </w:pPr>
            <w:r>
              <w:t>73,7</w:t>
            </w:r>
          </w:p>
        </w:tc>
        <w:tc>
          <w:tcPr>
            <w:tcW w:w="1429" w:type="dxa"/>
            <w:tcBorders>
              <w:top w:val="nil"/>
              <w:left w:val="single" w:sz="4" w:space="0" w:color="auto"/>
              <w:bottom w:val="nil"/>
              <w:right w:val="single" w:sz="4" w:space="0" w:color="auto"/>
            </w:tcBorders>
          </w:tcPr>
          <w:p w:rsidR="00000000" w:rsidRDefault="00000000">
            <w:pPr>
              <w:tabs>
                <w:tab w:val="clear" w:pos="567"/>
                <w:tab w:val="clear" w:pos="1134"/>
              </w:tabs>
              <w:jc w:val="center"/>
            </w:pPr>
            <w:r>
              <w:t>81,3</w:t>
            </w:r>
          </w:p>
        </w:tc>
        <w:tc>
          <w:tcPr>
            <w:tcW w:w="1425" w:type="dxa"/>
            <w:gridSpan w:val="2"/>
            <w:tcBorders>
              <w:top w:val="nil"/>
              <w:left w:val="single" w:sz="4" w:space="0" w:color="auto"/>
              <w:bottom w:val="nil"/>
            </w:tcBorders>
          </w:tcPr>
          <w:p w:rsidR="00000000" w:rsidRDefault="00000000">
            <w:pPr>
              <w:tabs>
                <w:tab w:val="clear" w:pos="567"/>
                <w:tab w:val="clear" w:pos="1134"/>
              </w:tabs>
              <w:jc w:val="center"/>
            </w:pPr>
            <w:r>
              <w:t>-7,6</w:t>
            </w:r>
          </w:p>
        </w:tc>
      </w:tr>
      <w:tr w:rsidR="00000000">
        <w:tblPrEx>
          <w:tblCellMar>
            <w:top w:w="0" w:type="dxa"/>
            <w:bottom w:w="0" w:type="dxa"/>
          </w:tblCellMar>
        </w:tblPrEx>
        <w:trPr>
          <w:cantSplit/>
        </w:trPr>
        <w:tc>
          <w:tcPr>
            <w:tcW w:w="3704" w:type="dxa"/>
            <w:tcBorders>
              <w:top w:val="nil"/>
              <w:bottom w:val="nil"/>
              <w:right w:val="single" w:sz="4" w:space="0" w:color="auto"/>
            </w:tcBorders>
          </w:tcPr>
          <w:p w:rsidR="00000000" w:rsidRDefault="00000000">
            <w:r>
              <w:rPr>
                <w:lang w:val="en-US"/>
              </w:rPr>
              <w:tab/>
            </w:r>
            <w:r>
              <w:t>Северная Финляндия</w:t>
            </w:r>
          </w:p>
        </w:tc>
        <w:tc>
          <w:tcPr>
            <w:tcW w:w="1425" w:type="dxa"/>
            <w:gridSpan w:val="3"/>
            <w:tcBorders>
              <w:top w:val="nil"/>
              <w:left w:val="single" w:sz="4" w:space="0" w:color="auto"/>
              <w:bottom w:val="nil"/>
              <w:right w:val="single" w:sz="4" w:space="0" w:color="auto"/>
            </w:tcBorders>
          </w:tcPr>
          <w:p w:rsidR="00000000" w:rsidRDefault="00000000">
            <w:pPr>
              <w:tabs>
                <w:tab w:val="clear" w:pos="567"/>
                <w:tab w:val="clear" w:pos="1134"/>
              </w:tabs>
              <w:jc w:val="center"/>
            </w:pPr>
            <w:r>
              <w:t>78,1</w:t>
            </w:r>
          </w:p>
        </w:tc>
        <w:tc>
          <w:tcPr>
            <w:tcW w:w="1428" w:type="dxa"/>
            <w:tcBorders>
              <w:top w:val="nil"/>
              <w:left w:val="single" w:sz="4" w:space="0" w:color="auto"/>
              <w:bottom w:val="nil"/>
              <w:right w:val="single" w:sz="4" w:space="0" w:color="auto"/>
            </w:tcBorders>
          </w:tcPr>
          <w:p w:rsidR="00000000" w:rsidRDefault="00000000">
            <w:pPr>
              <w:tabs>
                <w:tab w:val="clear" w:pos="567"/>
                <w:tab w:val="clear" w:pos="1134"/>
              </w:tabs>
              <w:jc w:val="center"/>
            </w:pPr>
            <w:r>
              <w:t>74,6</w:t>
            </w:r>
          </w:p>
        </w:tc>
        <w:tc>
          <w:tcPr>
            <w:tcW w:w="1429" w:type="dxa"/>
            <w:tcBorders>
              <w:top w:val="nil"/>
              <w:left w:val="single" w:sz="4" w:space="0" w:color="auto"/>
              <w:bottom w:val="nil"/>
              <w:right w:val="single" w:sz="4" w:space="0" w:color="auto"/>
            </w:tcBorders>
          </w:tcPr>
          <w:p w:rsidR="00000000" w:rsidRDefault="00000000">
            <w:pPr>
              <w:tabs>
                <w:tab w:val="clear" w:pos="567"/>
                <w:tab w:val="clear" w:pos="1134"/>
              </w:tabs>
              <w:jc w:val="center"/>
            </w:pPr>
            <w:r>
              <w:t>81,8</w:t>
            </w:r>
          </w:p>
        </w:tc>
        <w:tc>
          <w:tcPr>
            <w:tcW w:w="1425" w:type="dxa"/>
            <w:gridSpan w:val="2"/>
            <w:tcBorders>
              <w:top w:val="nil"/>
              <w:left w:val="single" w:sz="4" w:space="0" w:color="auto"/>
              <w:bottom w:val="nil"/>
            </w:tcBorders>
          </w:tcPr>
          <w:p w:rsidR="00000000" w:rsidRDefault="00000000">
            <w:pPr>
              <w:tabs>
                <w:tab w:val="clear" w:pos="567"/>
                <w:tab w:val="clear" w:pos="1134"/>
              </w:tabs>
              <w:jc w:val="center"/>
            </w:pPr>
            <w:r>
              <w:t>-7,2</w:t>
            </w:r>
          </w:p>
        </w:tc>
      </w:tr>
      <w:tr w:rsidR="00000000">
        <w:tblPrEx>
          <w:tblCellMar>
            <w:top w:w="0" w:type="dxa"/>
            <w:bottom w:w="0" w:type="dxa"/>
          </w:tblCellMar>
        </w:tblPrEx>
        <w:trPr>
          <w:cantSplit/>
        </w:trPr>
        <w:tc>
          <w:tcPr>
            <w:tcW w:w="3704" w:type="dxa"/>
            <w:tcBorders>
              <w:top w:val="nil"/>
              <w:right w:val="single" w:sz="4" w:space="0" w:color="auto"/>
            </w:tcBorders>
          </w:tcPr>
          <w:p w:rsidR="00000000" w:rsidRDefault="00000000">
            <w:r>
              <w:rPr>
                <w:lang w:val="en-US"/>
              </w:rPr>
              <w:tab/>
            </w:r>
            <w:r>
              <w:t>Аландские Острова</w:t>
            </w:r>
          </w:p>
        </w:tc>
        <w:tc>
          <w:tcPr>
            <w:tcW w:w="1425" w:type="dxa"/>
            <w:gridSpan w:val="3"/>
            <w:tcBorders>
              <w:top w:val="nil"/>
              <w:left w:val="single" w:sz="4" w:space="0" w:color="auto"/>
              <w:right w:val="single" w:sz="4" w:space="0" w:color="auto"/>
            </w:tcBorders>
          </w:tcPr>
          <w:p w:rsidR="00000000" w:rsidRDefault="00000000">
            <w:pPr>
              <w:tabs>
                <w:tab w:val="clear" w:pos="567"/>
                <w:tab w:val="clear" w:pos="1134"/>
              </w:tabs>
              <w:jc w:val="center"/>
            </w:pPr>
            <w:r>
              <w:t>80,6</w:t>
            </w:r>
          </w:p>
        </w:tc>
        <w:tc>
          <w:tcPr>
            <w:tcW w:w="1428" w:type="dxa"/>
            <w:tcBorders>
              <w:top w:val="nil"/>
              <w:left w:val="single" w:sz="4" w:space="0" w:color="auto"/>
              <w:right w:val="single" w:sz="4" w:space="0" w:color="auto"/>
            </w:tcBorders>
          </w:tcPr>
          <w:p w:rsidR="00000000" w:rsidRDefault="00000000">
            <w:pPr>
              <w:tabs>
                <w:tab w:val="clear" w:pos="567"/>
                <w:tab w:val="clear" w:pos="1134"/>
              </w:tabs>
              <w:jc w:val="center"/>
              <w:rPr>
                <w:lang w:val="en-US"/>
              </w:rPr>
            </w:pPr>
            <w:r>
              <w:rPr>
                <w:lang w:val="en-US"/>
              </w:rPr>
              <w:t>77,3</w:t>
            </w:r>
          </w:p>
        </w:tc>
        <w:tc>
          <w:tcPr>
            <w:tcW w:w="1429" w:type="dxa"/>
            <w:tcBorders>
              <w:top w:val="nil"/>
              <w:left w:val="single" w:sz="4" w:space="0" w:color="auto"/>
              <w:right w:val="single" w:sz="4" w:space="0" w:color="auto"/>
            </w:tcBorders>
          </w:tcPr>
          <w:p w:rsidR="00000000" w:rsidRDefault="00000000">
            <w:pPr>
              <w:tabs>
                <w:tab w:val="clear" w:pos="567"/>
                <w:tab w:val="clear" w:pos="1134"/>
              </w:tabs>
              <w:jc w:val="center"/>
              <w:rPr>
                <w:lang w:val="en-US"/>
              </w:rPr>
            </w:pPr>
            <w:r>
              <w:rPr>
                <w:lang w:val="en-US"/>
              </w:rPr>
              <w:t>84,1</w:t>
            </w:r>
          </w:p>
        </w:tc>
        <w:tc>
          <w:tcPr>
            <w:tcW w:w="1425" w:type="dxa"/>
            <w:gridSpan w:val="2"/>
            <w:tcBorders>
              <w:top w:val="nil"/>
              <w:left w:val="single" w:sz="4" w:space="0" w:color="auto"/>
            </w:tcBorders>
          </w:tcPr>
          <w:p w:rsidR="00000000" w:rsidRDefault="00000000">
            <w:pPr>
              <w:tabs>
                <w:tab w:val="clear" w:pos="567"/>
                <w:tab w:val="clear" w:pos="1134"/>
              </w:tabs>
              <w:jc w:val="center"/>
              <w:rPr>
                <w:lang w:val="en-US"/>
              </w:rPr>
            </w:pPr>
            <w:r>
              <w:rPr>
                <w:lang w:val="en-US"/>
              </w:rPr>
              <w:t>-6,7</w:t>
            </w:r>
          </w:p>
        </w:tc>
      </w:tr>
    </w:tbl>
    <w:p w:rsidR="00000000" w:rsidRDefault="00000000">
      <w:pPr>
        <w:rPr>
          <w:lang w:val="en-US"/>
        </w:rPr>
      </w:pPr>
    </w:p>
    <w:p w:rsidR="00000000" w:rsidRDefault="00000000">
      <w:pPr>
        <w:jc w:val="center"/>
        <w:rPr>
          <w:b/>
          <w:bCs/>
          <w:lang w:val="en-US"/>
        </w:rPr>
      </w:pPr>
      <w:r>
        <w:rPr>
          <w:b/>
          <w:bCs/>
        </w:rPr>
        <w:t>Таблица</w:t>
      </w:r>
      <w:r>
        <w:rPr>
          <w:b/>
          <w:bCs/>
          <w:lang w:val="en-US"/>
        </w:rPr>
        <w:t xml:space="preserve"> 30</w:t>
      </w:r>
    </w:p>
    <w:p w:rsidR="00000000" w:rsidRDefault="00000000">
      <w:pPr>
        <w:jc w:val="center"/>
        <w:rPr>
          <w:b/>
          <w:bCs/>
          <w:lang w:val="en-US"/>
        </w:rPr>
      </w:pPr>
    </w:p>
    <w:p w:rsidR="00000000" w:rsidRDefault="00000000">
      <w:pPr>
        <w:jc w:val="center"/>
        <w:rPr>
          <w:b/>
          <w:bCs/>
        </w:rPr>
      </w:pPr>
      <w:r>
        <w:rPr>
          <w:b/>
          <w:bCs/>
        </w:rPr>
        <w:t>Основные причины смертности в 2003 году</w:t>
      </w:r>
    </w:p>
    <w:p w:rsidR="00000000" w:rsidRDefault="00000000"/>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12"/>
        <w:gridCol w:w="166"/>
        <w:gridCol w:w="6"/>
        <w:gridCol w:w="1466"/>
        <w:gridCol w:w="58"/>
        <w:gridCol w:w="1176"/>
        <w:gridCol w:w="67"/>
        <w:gridCol w:w="1249"/>
        <w:gridCol w:w="15"/>
        <w:gridCol w:w="10"/>
        <w:gridCol w:w="1701"/>
        <w:gridCol w:w="25"/>
      </w:tblGrid>
      <w:tr w:rsidR="00000000">
        <w:tblPrEx>
          <w:tblCellMar>
            <w:top w:w="0" w:type="dxa"/>
            <w:bottom w:w="0" w:type="dxa"/>
          </w:tblCellMar>
        </w:tblPrEx>
        <w:trPr>
          <w:gridAfter w:val="1"/>
          <w:wAfter w:w="25" w:type="dxa"/>
          <w:cantSplit/>
          <w:tblHeader/>
        </w:trPr>
        <w:tc>
          <w:tcPr>
            <w:tcW w:w="3578" w:type="dxa"/>
            <w:gridSpan w:val="2"/>
            <w:tcBorders>
              <w:bottom w:val="single" w:sz="4" w:space="0" w:color="auto"/>
            </w:tcBorders>
          </w:tcPr>
          <w:p w:rsidR="00000000" w:rsidRDefault="00000000">
            <w:pPr>
              <w:spacing w:line="240" w:lineRule="auto"/>
              <w:jc w:val="center"/>
              <w:rPr>
                <w:sz w:val="22"/>
              </w:rPr>
            </w:pPr>
            <w:r>
              <w:rPr>
                <w:sz w:val="22"/>
              </w:rPr>
              <w:t>Причина смерти</w:t>
            </w:r>
          </w:p>
        </w:tc>
        <w:tc>
          <w:tcPr>
            <w:tcW w:w="1530" w:type="dxa"/>
            <w:gridSpan w:val="3"/>
            <w:tcBorders>
              <w:bottom w:val="single" w:sz="4" w:space="0" w:color="auto"/>
            </w:tcBorders>
          </w:tcPr>
          <w:p w:rsidR="00000000" w:rsidRDefault="00000000">
            <w:pPr>
              <w:spacing w:line="240" w:lineRule="auto"/>
              <w:jc w:val="center"/>
              <w:rPr>
                <w:sz w:val="22"/>
              </w:rPr>
            </w:pPr>
            <w:r>
              <w:rPr>
                <w:sz w:val="22"/>
              </w:rPr>
              <w:t>Общее количество смертей</w:t>
            </w:r>
          </w:p>
        </w:tc>
        <w:tc>
          <w:tcPr>
            <w:tcW w:w="1176" w:type="dxa"/>
            <w:tcBorders>
              <w:bottom w:val="single" w:sz="4" w:space="0" w:color="auto"/>
            </w:tcBorders>
          </w:tcPr>
          <w:p w:rsidR="00000000" w:rsidRDefault="00000000">
            <w:pPr>
              <w:spacing w:line="240" w:lineRule="auto"/>
              <w:jc w:val="center"/>
              <w:rPr>
                <w:sz w:val="22"/>
              </w:rPr>
            </w:pPr>
            <w:r>
              <w:rPr>
                <w:sz w:val="22"/>
              </w:rPr>
              <w:t>Мужчины</w:t>
            </w:r>
          </w:p>
        </w:tc>
        <w:tc>
          <w:tcPr>
            <w:tcW w:w="1331" w:type="dxa"/>
            <w:gridSpan w:val="3"/>
            <w:tcBorders>
              <w:bottom w:val="single" w:sz="4" w:space="0" w:color="auto"/>
            </w:tcBorders>
          </w:tcPr>
          <w:p w:rsidR="00000000" w:rsidRDefault="00000000">
            <w:pPr>
              <w:spacing w:line="240" w:lineRule="auto"/>
              <w:jc w:val="center"/>
              <w:rPr>
                <w:sz w:val="22"/>
              </w:rPr>
            </w:pPr>
            <w:r>
              <w:rPr>
                <w:sz w:val="22"/>
              </w:rPr>
              <w:t>Женщины</w:t>
            </w:r>
          </w:p>
        </w:tc>
        <w:tc>
          <w:tcPr>
            <w:tcW w:w="1711" w:type="dxa"/>
            <w:gridSpan w:val="2"/>
            <w:tcBorders>
              <w:bottom w:val="single" w:sz="4" w:space="0" w:color="auto"/>
            </w:tcBorders>
          </w:tcPr>
          <w:p w:rsidR="00000000" w:rsidRDefault="00000000">
            <w:pPr>
              <w:spacing w:line="240" w:lineRule="auto"/>
              <w:jc w:val="center"/>
              <w:rPr>
                <w:sz w:val="22"/>
              </w:rPr>
            </w:pPr>
            <w:r>
              <w:rPr>
                <w:sz w:val="22"/>
              </w:rPr>
              <w:t xml:space="preserve">Мужчины </w:t>
            </w:r>
            <w:r>
              <w:rPr>
                <w:sz w:val="22"/>
                <w:lang w:val="en-US"/>
              </w:rPr>
              <w:t>= 100</w:t>
            </w:r>
          </w:p>
        </w:tc>
      </w:tr>
      <w:tr w:rsidR="00000000">
        <w:tblPrEx>
          <w:tblCellMar>
            <w:top w:w="0" w:type="dxa"/>
            <w:bottom w:w="0" w:type="dxa"/>
          </w:tblCellMar>
        </w:tblPrEx>
        <w:trPr>
          <w:gridAfter w:val="1"/>
          <w:wAfter w:w="25" w:type="dxa"/>
          <w:cantSplit/>
        </w:trPr>
        <w:tc>
          <w:tcPr>
            <w:tcW w:w="3578" w:type="dxa"/>
            <w:gridSpan w:val="2"/>
            <w:tcBorders>
              <w:bottom w:val="nil"/>
            </w:tcBorders>
          </w:tcPr>
          <w:p w:rsidR="00000000" w:rsidRDefault="00000000">
            <w:pPr>
              <w:rPr>
                <w:sz w:val="22"/>
              </w:rPr>
            </w:pPr>
            <w:r>
              <w:rPr>
                <w:sz w:val="22"/>
              </w:rPr>
              <w:t>Сердечно-сосудистые заболевания</w:t>
            </w:r>
          </w:p>
        </w:tc>
        <w:tc>
          <w:tcPr>
            <w:tcW w:w="1530" w:type="dxa"/>
            <w:gridSpan w:val="3"/>
            <w:tcBorders>
              <w:bottom w:val="nil"/>
            </w:tcBorders>
          </w:tcPr>
          <w:p w:rsidR="00000000" w:rsidRDefault="00000000">
            <w:pPr>
              <w:tabs>
                <w:tab w:val="clear" w:pos="567"/>
                <w:tab w:val="clear" w:pos="1134"/>
                <w:tab w:val="clear" w:pos="1701"/>
              </w:tabs>
              <w:jc w:val="right"/>
              <w:rPr>
                <w:sz w:val="22"/>
              </w:rPr>
            </w:pPr>
            <w:r>
              <w:rPr>
                <w:sz w:val="22"/>
              </w:rPr>
              <w:t>20 775</w:t>
            </w:r>
          </w:p>
        </w:tc>
        <w:tc>
          <w:tcPr>
            <w:tcW w:w="1176" w:type="dxa"/>
            <w:tcBorders>
              <w:bottom w:val="nil"/>
            </w:tcBorders>
          </w:tcPr>
          <w:p w:rsidR="00000000" w:rsidRDefault="00000000">
            <w:pPr>
              <w:tabs>
                <w:tab w:val="clear" w:pos="567"/>
                <w:tab w:val="clear" w:pos="1134"/>
              </w:tabs>
              <w:jc w:val="right"/>
              <w:rPr>
                <w:sz w:val="22"/>
              </w:rPr>
            </w:pPr>
            <w:r>
              <w:rPr>
                <w:sz w:val="22"/>
              </w:rPr>
              <w:t>9 687</w:t>
            </w:r>
          </w:p>
        </w:tc>
        <w:tc>
          <w:tcPr>
            <w:tcW w:w="1331" w:type="dxa"/>
            <w:gridSpan w:val="3"/>
            <w:tcBorders>
              <w:bottom w:val="nil"/>
            </w:tcBorders>
          </w:tcPr>
          <w:p w:rsidR="00000000" w:rsidRDefault="00000000">
            <w:pPr>
              <w:tabs>
                <w:tab w:val="clear" w:pos="567"/>
                <w:tab w:val="clear" w:pos="1134"/>
              </w:tabs>
              <w:jc w:val="right"/>
              <w:rPr>
                <w:sz w:val="22"/>
              </w:rPr>
            </w:pPr>
            <w:r>
              <w:rPr>
                <w:sz w:val="22"/>
              </w:rPr>
              <w:t>11 088</w:t>
            </w:r>
          </w:p>
        </w:tc>
        <w:tc>
          <w:tcPr>
            <w:tcW w:w="1711" w:type="dxa"/>
            <w:gridSpan w:val="2"/>
            <w:tcBorders>
              <w:bottom w:val="nil"/>
            </w:tcBorders>
          </w:tcPr>
          <w:p w:rsidR="00000000" w:rsidRDefault="00000000">
            <w:pPr>
              <w:tabs>
                <w:tab w:val="clear" w:pos="567"/>
                <w:tab w:val="clear" w:pos="1134"/>
                <w:tab w:val="clear" w:pos="1701"/>
              </w:tabs>
              <w:jc w:val="right"/>
              <w:rPr>
                <w:sz w:val="22"/>
                <w:lang w:val="en-US"/>
              </w:rPr>
            </w:pPr>
            <w:r>
              <w:rPr>
                <w:sz w:val="22"/>
                <w:lang w:val="en-US"/>
              </w:rPr>
              <w:t>114</w:t>
            </w:r>
          </w:p>
        </w:tc>
      </w:tr>
      <w:tr w:rsidR="00000000">
        <w:tblPrEx>
          <w:tblCellMar>
            <w:top w:w="0" w:type="dxa"/>
            <w:bottom w:w="0" w:type="dxa"/>
          </w:tblCellMar>
        </w:tblPrEx>
        <w:trPr>
          <w:gridAfter w:val="1"/>
          <w:wAfter w:w="25" w:type="dxa"/>
          <w:cantSplit/>
        </w:trPr>
        <w:tc>
          <w:tcPr>
            <w:tcW w:w="3578" w:type="dxa"/>
            <w:gridSpan w:val="2"/>
            <w:tcBorders>
              <w:top w:val="nil"/>
              <w:bottom w:val="nil"/>
            </w:tcBorders>
          </w:tcPr>
          <w:p w:rsidR="00000000" w:rsidRDefault="00000000">
            <w:pPr>
              <w:rPr>
                <w:sz w:val="22"/>
              </w:rPr>
            </w:pPr>
            <w:r>
              <w:rPr>
                <w:sz w:val="22"/>
              </w:rPr>
              <w:t>Раковые заболевания</w:t>
            </w:r>
          </w:p>
        </w:tc>
        <w:tc>
          <w:tcPr>
            <w:tcW w:w="1530" w:type="dxa"/>
            <w:gridSpan w:val="3"/>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10 705</w:t>
            </w:r>
          </w:p>
        </w:tc>
        <w:tc>
          <w:tcPr>
            <w:tcW w:w="1176" w:type="dxa"/>
            <w:tcBorders>
              <w:top w:val="nil"/>
              <w:bottom w:val="nil"/>
            </w:tcBorders>
          </w:tcPr>
          <w:p w:rsidR="00000000" w:rsidRDefault="00000000">
            <w:pPr>
              <w:tabs>
                <w:tab w:val="clear" w:pos="567"/>
                <w:tab w:val="clear" w:pos="1134"/>
              </w:tabs>
              <w:jc w:val="right"/>
              <w:rPr>
                <w:sz w:val="22"/>
                <w:lang w:val="en-US"/>
              </w:rPr>
            </w:pPr>
            <w:r>
              <w:rPr>
                <w:sz w:val="22"/>
                <w:lang w:val="en-US"/>
              </w:rPr>
              <w:t>5 499</w:t>
            </w:r>
          </w:p>
        </w:tc>
        <w:tc>
          <w:tcPr>
            <w:tcW w:w="1331"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5 206</w:t>
            </w:r>
          </w:p>
        </w:tc>
        <w:tc>
          <w:tcPr>
            <w:tcW w:w="1711" w:type="dxa"/>
            <w:gridSpan w:val="2"/>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95</w:t>
            </w:r>
          </w:p>
        </w:tc>
      </w:tr>
      <w:tr w:rsidR="00000000">
        <w:tblPrEx>
          <w:tblCellMar>
            <w:top w:w="0" w:type="dxa"/>
            <w:bottom w:w="0" w:type="dxa"/>
          </w:tblCellMar>
        </w:tblPrEx>
        <w:trPr>
          <w:gridAfter w:val="1"/>
          <w:wAfter w:w="25" w:type="dxa"/>
          <w:cantSplit/>
        </w:trPr>
        <w:tc>
          <w:tcPr>
            <w:tcW w:w="3578" w:type="dxa"/>
            <w:gridSpan w:val="2"/>
            <w:tcBorders>
              <w:top w:val="nil"/>
              <w:bottom w:val="nil"/>
            </w:tcBorders>
          </w:tcPr>
          <w:p w:rsidR="00000000" w:rsidRDefault="00000000">
            <w:pPr>
              <w:rPr>
                <w:sz w:val="22"/>
              </w:rPr>
            </w:pPr>
            <w:r>
              <w:rPr>
                <w:sz w:val="22"/>
              </w:rPr>
              <w:t>Респираторные заболевания</w:t>
            </w:r>
          </w:p>
        </w:tc>
        <w:tc>
          <w:tcPr>
            <w:tcW w:w="1530" w:type="dxa"/>
            <w:gridSpan w:val="3"/>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3 667</w:t>
            </w:r>
          </w:p>
        </w:tc>
        <w:tc>
          <w:tcPr>
            <w:tcW w:w="1176" w:type="dxa"/>
            <w:tcBorders>
              <w:top w:val="nil"/>
              <w:bottom w:val="nil"/>
            </w:tcBorders>
          </w:tcPr>
          <w:p w:rsidR="00000000" w:rsidRDefault="00000000">
            <w:pPr>
              <w:tabs>
                <w:tab w:val="clear" w:pos="567"/>
                <w:tab w:val="clear" w:pos="1134"/>
              </w:tabs>
              <w:jc w:val="right"/>
              <w:rPr>
                <w:sz w:val="22"/>
                <w:lang w:val="en-US"/>
              </w:rPr>
            </w:pPr>
            <w:r>
              <w:rPr>
                <w:sz w:val="22"/>
                <w:lang w:val="en-US"/>
              </w:rPr>
              <w:t>1 950</w:t>
            </w:r>
          </w:p>
        </w:tc>
        <w:tc>
          <w:tcPr>
            <w:tcW w:w="1331"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1 717</w:t>
            </w:r>
          </w:p>
        </w:tc>
        <w:tc>
          <w:tcPr>
            <w:tcW w:w="1711" w:type="dxa"/>
            <w:gridSpan w:val="2"/>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88</w:t>
            </w:r>
          </w:p>
        </w:tc>
      </w:tr>
      <w:tr w:rsidR="00000000">
        <w:tblPrEx>
          <w:tblCellMar>
            <w:top w:w="0" w:type="dxa"/>
            <w:bottom w:w="0" w:type="dxa"/>
          </w:tblCellMar>
        </w:tblPrEx>
        <w:trPr>
          <w:gridAfter w:val="1"/>
          <w:wAfter w:w="25" w:type="dxa"/>
          <w:cantSplit/>
        </w:trPr>
        <w:tc>
          <w:tcPr>
            <w:tcW w:w="3578" w:type="dxa"/>
            <w:gridSpan w:val="2"/>
            <w:tcBorders>
              <w:top w:val="nil"/>
              <w:bottom w:val="nil"/>
            </w:tcBorders>
          </w:tcPr>
          <w:p w:rsidR="00000000" w:rsidRDefault="00000000">
            <w:pPr>
              <w:rPr>
                <w:sz w:val="22"/>
              </w:rPr>
            </w:pPr>
            <w:r>
              <w:rPr>
                <w:sz w:val="22"/>
              </w:rPr>
              <w:t>Желудочно-кишечные заболевания</w:t>
            </w:r>
          </w:p>
        </w:tc>
        <w:tc>
          <w:tcPr>
            <w:tcW w:w="1530" w:type="dxa"/>
            <w:gridSpan w:val="3"/>
            <w:tcBorders>
              <w:top w:val="nil"/>
              <w:bottom w:val="nil"/>
            </w:tcBorders>
          </w:tcPr>
          <w:p w:rsidR="00000000" w:rsidRDefault="00000000">
            <w:pPr>
              <w:tabs>
                <w:tab w:val="clear" w:pos="567"/>
                <w:tab w:val="clear" w:pos="1134"/>
                <w:tab w:val="clear" w:pos="1701"/>
              </w:tabs>
              <w:jc w:val="right"/>
              <w:rPr>
                <w:sz w:val="22"/>
              </w:rPr>
            </w:pPr>
            <w:r>
              <w:rPr>
                <w:sz w:val="22"/>
              </w:rPr>
              <w:t>2 011</w:t>
            </w:r>
          </w:p>
        </w:tc>
        <w:tc>
          <w:tcPr>
            <w:tcW w:w="1176" w:type="dxa"/>
            <w:tcBorders>
              <w:top w:val="nil"/>
              <w:bottom w:val="nil"/>
            </w:tcBorders>
          </w:tcPr>
          <w:p w:rsidR="00000000" w:rsidRDefault="00000000">
            <w:pPr>
              <w:tabs>
                <w:tab w:val="clear" w:pos="567"/>
                <w:tab w:val="clear" w:pos="1134"/>
              </w:tabs>
              <w:jc w:val="right"/>
              <w:rPr>
                <w:sz w:val="22"/>
              </w:rPr>
            </w:pPr>
            <w:r>
              <w:rPr>
                <w:sz w:val="22"/>
              </w:rPr>
              <w:t>1 108</w:t>
            </w:r>
          </w:p>
        </w:tc>
        <w:tc>
          <w:tcPr>
            <w:tcW w:w="1331"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903</w:t>
            </w:r>
          </w:p>
        </w:tc>
        <w:tc>
          <w:tcPr>
            <w:tcW w:w="1711" w:type="dxa"/>
            <w:gridSpan w:val="2"/>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81</w:t>
            </w:r>
          </w:p>
        </w:tc>
      </w:tr>
      <w:tr w:rsidR="00000000">
        <w:tblPrEx>
          <w:tblCellMar>
            <w:top w:w="0" w:type="dxa"/>
            <w:bottom w:w="0" w:type="dxa"/>
          </w:tblCellMar>
        </w:tblPrEx>
        <w:trPr>
          <w:gridAfter w:val="1"/>
          <w:wAfter w:w="25" w:type="dxa"/>
          <w:cantSplit/>
        </w:trPr>
        <w:tc>
          <w:tcPr>
            <w:tcW w:w="3578" w:type="dxa"/>
            <w:gridSpan w:val="2"/>
            <w:tcBorders>
              <w:top w:val="nil"/>
              <w:bottom w:val="nil"/>
            </w:tcBorders>
          </w:tcPr>
          <w:p w:rsidR="00000000" w:rsidRDefault="00000000">
            <w:pPr>
              <w:rPr>
                <w:sz w:val="22"/>
              </w:rPr>
            </w:pPr>
            <w:r>
              <w:rPr>
                <w:sz w:val="22"/>
              </w:rPr>
              <w:t>Прочие заболевания</w:t>
            </w:r>
          </w:p>
        </w:tc>
        <w:tc>
          <w:tcPr>
            <w:tcW w:w="1530" w:type="dxa"/>
            <w:gridSpan w:val="3"/>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7 750</w:t>
            </w:r>
          </w:p>
        </w:tc>
        <w:tc>
          <w:tcPr>
            <w:tcW w:w="1176" w:type="dxa"/>
            <w:tcBorders>
              <w:top w:val="nil"/>
              <w:bottom w:val="nil"/>
            </w:tcBorders>
          </w:tcPr>
          <w:p w:rsidR="00000000" w:rsidRDefault="00000000">
            <w:pPr>
              <w:tabs>
                <w:tab w:val="clear" w:pos="567"/>
                <w:tab w:val="clear" w:pos="1134"/>
              </w:tabs>
              <w:jc w:val="right"/>
              <w:rPr>
                <w:sz w:val="22"/>
                <w:lang w:val="en-US"/>
              </w:rPr>
            </w:pPr>
            <w:r>
              <w:rPr>
                <w:sz w:val="22"/>
                <w:lang w:val="en-US"/>
              </w:rPr>
              <w:t>2 837</w:t>
            </w:r>
          </w:p>
        </w:tc>
        <w:tc>
          <w:tcPr>
            <w:tcW w:w="1331"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4 913</w:t>
            </w:r>
          </w:p>
        </w:tc>
        <w:tc>
          <w:tcPr>
            <w:tcW w:w="1711" w:type="dxa"/>
            <w:gridSpan w:val="2"/>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173</w:t>
            </w:r>
          </w:p>
        </w:tc>
      </w:tr>
      <w:tr w:rsidR="00000000">
        <w:tblPrEx>
          <w:tblCellMar>
            <w:top w:w="0" w:type="dxa"/>
            <w:bottom w:w="0" w:type="dxa"/>
          </w:tblCellMar>
        </w:tblPrEx>
        <w:trPr>
          <w:gridAfter w:val="1"/>
          <w:wAfter w:w="25" w:type="dxa"/>
          <w:cantSplit/>
        </w:trPr>
        <w:tc>
          <w:tcPr>
            <w:tcW w:w="3578" w:type="dxa"/>
            <w:gridSpan w:val="2"/>
            <w:tcBorders>
              <w:top w:val="nil"/>
              <w:bottom w:val="nil"/>
            </w:tcBorders>
          </w:tcPr>
          <w:p w:rsidR="00000000" w:rsidRDefault="00000000">
            <w:pPr>
              <w:rPr>
                <w:sz w:val="22"/>
              </w:rPr>
            </w:pPr>
            <w:r>
              <w:rPr>
                <w:sz w:val="22"/>
              </w:rPr>
              <w:t>Несчастные случаи и насилие</w:t>
            </w:r>
          </w:p>
        </w:tc>
        <w:tc>
          <w:tcPr>
            <w:tcW w:w="1530" w:type="dxa"/>
            <w:gridSpan w:val="3"/>
            <w:tcBorders>
              <w:top w:val="nil"/>
              <w:bottom w:val="nil"/>
            </w:tcBorders>
          </w:tcPr>
          <w:p w:rsidR="00000000" w:rsidRDefault="00000000">
            <w:pPr>
              <w:tabs>
                <w:tab w:val="clear" w:pos="567"/>
                <w:tab w:val="clear" w:pos="1134"/>
                <w:tab w:val="clear" w:pos="1701"/>
              </w:tabs>
              <w:jc w:val="right"/>
              <w:rPr>
                <w:sz w:val="22"/>
              </w:rPr>
            </w:pPr>
            <w:r>
              <w:rPr>
                <w:sz w:val="22"/>
              </w:rPr>
              <w:t>4 125</w:t>
            </w:r>
          </w:p>
        </w:tc>
        <w:tc>
          <w:tcPr>
            <w:tcW w:w="1176" w:type="dxa"/>
            <w:tcBorders>
              <w:top w:val="nil"/>
              <w:bottom w:val="nil"/>
            </w:tcBorders>
          </w:tcPr>
          <w:p w:rsidR="00000000" w:rsidRDefault="00000000">
            <w:pPr>
              <w:tabs>
                <w:tab w:val="clear" w:pos="567"/>
                <w:tab w:val="clear" w:pos="1134"/>
              </w:tabs>
              <w:jc w:val="right"/>
              <w:rPr>
                <w:sz w:val="22"/>
              </w:rPr>
            </w:pPr>
            <w:r>
              <w:rPr>
                <w:sz w:val="22"/>
              </w:rPr>
              <w:t>2 854</w:t>
            </w:r>
          </w:p>
        </w:tc>
        <w:tc>
          <w:tcPr>
            <w:tcW w:w="1331" w:type="dxa"/>
            <w:gridSpan w:val="3"/>
            <w:tcBorders>
              <w:top w:val="nil"/>
              <w:bottom w:val="nil"/>
            </w:tcBorders>
          </w:tcPr>
          <w:p w:rsidR="00000000" w:rsidRDefault="00000000">
            <w:pPr>
              <w:tabs>
                <w:tab w:val="clear" w:pos="567"/>
                <w:tab w:val="clear" w:pos="1134"/>
              </w:tabs>
              <w:jc w:val="right"/>
              <w:rPr>
                <w:sz w:val="22"/>
              </w:rPr>
            </w:pPr>
            <w:r>
              <w:rPr>
                <w:sz w:val="22"/>
              </w:rPr>
              <w:t>1 271</w:t>
            </w:r>
          </w:p>
        </w:tc>
        <w:tc>
          <w:tcPr>
            <w:tcW w:w="1711" w:type="dxa"/>
            <w:gridSpan w:val="2"/>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45</w:t>
            </w:r>
          </w:p>
        </w:tc>
      </w:tr>
      <w:tr w:rsidR="00000000">
        <w:tblPrEx>
          <w:tblCellMar>
            <w:top w:w="0" w:type="dxa"/>
            <w:bottom w:w="0" w:type="dxa"/>
          </w:tblCellMar>
        </w:tblPrEx>
        <w:trPr>
          <w:gridAfter w:val="1"/>
          <w:wAfter w:w="25" w:type="dxa"/>
          <w:cantSplit/>
        </w:trPr>
        <w:tc>
          <w:tcPr>
            <w:tcW w:w="3578" w:type="dxa"/>
            <w:gridSpan w:val="2"/>
            <w:tcBorders>
              <w:top w:val="nil"/>
              <w:bottom w:val="nil"/>
            </w:tcBorders>
          </w:tcPr>
          <w:p w:rsidR="00000000" w:rsidRDefault="00000000">
            <w:pPr>
              <w:rPr>
                <w:sz w:val="22"/>
              </w:rPr>
            </w:pPr>
            <w:r>
              <w:rPr>
                <w:sz w:val="22"/>
              </w:rPr>
              <w:t>- в том числе самоубийства</w:t>
            </w:r>
          </w:p>
        </w:tc>
        <w:tc>
          <w:tcPr>
            <w:tcW w:w="1530" w:type="dxa"/>
            <w:gridSpan w:val="3"/>
            <w:tcBorders>
              <w:top w:val="nil"/>
              <w:bottom w:val="nil"/>
            </w:tcBorders>
          </w:tcPr>
          <w:p w:rsidR="00000000" w:rsidRDefault="00000000">
            <w:pPr>
              <w:tabs>
                <w:tab w:val="clear" w:pos="567"/>
                <w:tab w:val="clear" w:pos="1134"/>
                <w:tab w:val="clear" w:pos="1701"/>
              </w:tabs>
              <w:jc w:val="right"/>
              <w:rPr>
                <w:sz w:val="22"/>
              </w:rPr>
            </w:pPr>
            <w:r>
              <w:rPr>
                <w:sz w:val="22"/>
              </w:rPr>
              <w:t>1 075</w:t>
            </w:r>
          </w:p>
        </w:tc>
        <w:tc>
          <w:tcPr>
            <w:tcW w:w="1176" w:type="dxa"/>
            <w:tcBorders>
              <w:top w:val="nil"/>
              <w:bottom w:val="nil"/>
            </w:tcBorders>
          </w:tcPr>
          <w:p w:rsidR="00000000" w:rsidRDefault="00000000">
            <w:pPr>
              <w:tabs>
                <w:tab w:val="clear" w:pos="567"/>
                <w:tab w:val="clear" w:pos="1134"/>
              </w:tabs>
              <w:jc w:val="right"/>
              <w:rPr>
                <w:sz w:val="22"/>
                <w:lang w:val="en-US"/>
              </w:rPr>
            </w:pPr>
            <w:r>
              <w:rPr>
                <w:sz w:val="22"/>
                <w:lang w:val="en-US"/>
              </w:rPr>
              <w:t>815</w:t>
            </w:r>
          </w:p>
        </w:tc>
        <w:tc>
          <w:tcPr>
            <w:tcW w:w="1331"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260</w:t>
            </w:r>
          </w:p>
        </w:tc>
        <w:tc>
          <w:tcPr>
            <w:tcW w:w="1711" w:type="dxa"/>
            <w:gridSpan w:val="2"/>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32</w:t>
            </w:r>
          </w:p>
        </w:tc>
      </w:tr>
      <w:tr w:rsidR="00000000">
        <w:tblPrEx>
          <w:tblCellMar>
            <w:top w:w="0" w:type="dxa"/>
            <w:bottom w:w="0" w:type="dxa"/>
          </w:tblCellMar>
        </w:tblPrEx>
        <w:trPr>
          <w:gridAfter w:val="1"/>
          <w:wAfter w:w="25" w:type="dxa"/>
          <w:cantSplit/>
        </w:trPr>
        <w:tc>
          <w:tcPr>
            <w:tcW w:w="3578" w:type="dxa"/>
            <w:gridSpan w:val="2"/>
            <w:tcBorders>
              <w:top w:val="nil"/>
            </w:tcBorders>
          </w:tcPr>
          <w:p w:rsidR="00000000" w:rsidRDefault="00000000">
            <w:pPr>
              <w:rPr>
                <w:sz w:val="22"/>
              </w:rPr>
            </w:pPr>
            <w:r>
              <w:rPr>
                <w:sz w:val="22"/>
                <w:lang w:val="en-US"/>
              </w:rPr>
              <w:tab/>
            </w:r>
            <w:r>
              <w:rPr>
                <w:sz w:val="22"/>
              </w:rPr>
              <w:t>Всего</w:t>
            </w:r>
          </w:p>
        </w:tc>
        <w:tc>
          <w:tcPr>
            <w:tcW w:w="1530" w:type="dxa"/>
            <w:gridSpan w:val="3"/>
            <w:tcBorders>
              <w:top w:val="nil"/>
            </w:tcBorders>
          </w:tcPr>
          <w:p w:rsidR="00000000" w:rsidRDefault="00000000">
            <w:pPr>
              <w:tabs>
                <w:tab w:val="clear" w:pos="567"/>
                <w:tab w:val="clear" w:pos="1134"/>
                <w:tab w:val="clear" w:pos="1701"/>
              </w:tabs>
              <w:jc w:val="right"/>
              <w:rPr>
                <w:sz w:val="22"/>
                <w:lang w:val="en-US"/>
              </w:rPr>
            </w:pPr>
            <w:r>
              <w:rPr>
                <w:sz w:val="22"/>
                <w:lang w:val="en-US"/>
              </w:rPr>
              <w:t>49 033</w:t>
            </w:r>
          </w:p>
        </w:tc>
        <w:tc>
          <w:tcPr>
            <w:tcW w:w="1176" w:type="dxa"/>
            <w:tcBorders>
              <w:top w:val="nil"/>
            </w:tcBorders>
          </w:tcPr>
          <w:p w:rsidR="00000000" w:rsidRDefault="00000000">
            <w:pPr>
              <w:tabs>
                <w:tab w:val="clear" w:pos="567"/>
                <w:tab w:val="clear" w:pos="1134"/>
              </w:tabs>
              <w:jc w:val="right"/>
              <w:rPr>
                <w:sz w:val="22"/>
                <w:lang w:val="en-US"/>
              </w:rPr>
            </w:pPr>
            <w:r>
              <w:rPr>
                <w:sz w:val="22"/>
                <w:lang w:val="en-US"/>
              </w:rPr>
              <w:t>23 935</w:t>
            </w:r>
          </w:p>
        </w:tc>
        <w:tc>
          <w:tcPr>
            <w:tcW w:w="1331" w:type="dxa"/>
            <w:gridSpan w:val="3"/>
            <w:tcBorders>
              <w:top w:val="nil"/>
            </w:tcBorders>
          </w:tcPr>
          <w:p w:rsidR="00000000" w:rsidRDefault="00000000">
            <w:pPr>
              <w:tabs>
                <w:tab w:val="clear" w:pos="567"/>
                <w:tab w:val="clear" w:pos="1134"/>
              </w:tabs>
              <w:jc w:val="right"/>
              <w:rPr>
                <w:sz w:val="22"/>
                <w:lang w:val="en-US"/>
              </w:rPr>
            </w:pPr>
            <w:r>
              <w:rPr>
                <w:sz w:val="22"/>
                <w:lang w:val="en-US"/>
              </w:rPr>
              <w:t>25 098</w:t>
            </w:r>
          </w:p>
        </w:tc>
        <w:tc>
          <w:tcPr>
            <w:tcW w:w="1711" w:type="dxa"/>
            <w:gridSpan w:val="2"/>
            <w:tcBorders>
              <w:top w:val="nil"/>
            </w:tcBorders>
          </w:tcPr>
          <w:p w:rsidR="00000000" w:rsidRDefault="00000000">
            <w:pPr>
              <w:tabs>
                <w:tab w:val="clear" w:pos="567"/>
                <w:tab w:val="clear" w:pos="1134"/>
                <w:tab w:val="clear" w:pos="1701"/>
              </w:tabs>
              <w:jc w:val="right"/>
              <w:rPr>
                <w:sz w:val="22"/>
                <w:lang w:val="en-US"/>
              </w:rPr>
            </w:pPr>
            <w:r>
              <w:rPr>
                <w:sz w:val="22"/>
                <w:lang w:val="en-US"/>
              </w:rPr>
              <w:t>105</w:t>
            </w:r>
          </w:p>
        </w:tc>
      </w:tr>
      <w:tr w:rsidR="00000000">
        <w:tblPrEx>
          <w:tblCellMar>
            <w:top w:w="0" w:type="dxa"/>
            <w:bottom w:w="0" w:type="dxa"/>
          </w:tblCellMar>
        </w:tblPrEx>
        <w:trPr>
          <w:cantSplit/>
        </w:trPr>
        <w:tc>
          <w:tcPr>
            <w:tcW w:w="9351" w:type="dxa"/>
            <w:gridSpan w:val="12"/>
            <w:tcBorders>
              <w:bottom w:val="single" w:sz="4" w:space="0" w:color="auto"/>
            </w:tcBorders>
          </w:tcPr>
          <w:p w:rsidR="00000000" w:rsidRDefault="00000000">
            <w:pPr>
              <w:rPr>
                <w:sz w:val="22"/>
              </w:rPr>
            </w:pPr>
            <w:r>
              <w:rPr>
                <w:sz w:val="22"/>
              </w:rPr>
              <w:t>Общий коэффициент смертности в расчете 100 000 человек населения.</w:t>
            </w:r>
          </w:p>
        </w:tc>
      </w:tr>
      <w:tr w:rsidR="00000000">
        <w:tblPrEx>
          <w:tblCellMar>
            <w:top w:w="0" w:type="dxa"/>
            <w:bottom w:w="0" w:type="dxa"/>
          </w:tblCellMar>
        </w:tblPrEx>
        <w:trPr>
          <w:cantSplit/>
        </w:trPr>
        <w:tc>
          <w:tcPr>
            <w:tcW w:w="3584" w:type="dxa"/>
            <w:gridSpan w:val="3"/>
            <w:tcBorders>
              <w:bottom w:val="single" w:sz="4" w:space="0" w:color="auto"/>
            </w:tcBorders>
          </w:tcPr>
          <w:p w:rsidR="00000000" w:rsidRDefault="00000000">
            <w:pPr>
              <w:spacing w:line="240" w:lineRule="auto"/>
              <w:jc w:val="center"/>
              <w:rPr>
                <w:sz w:val="22"/>
              </w:rPr>
            </w:pPr>
            <w:r>
              <w:rPr>
                <w:sz w:val="22"/>
              </w:rPr>
              <w:t>Причина смерти</w:t>
            </w:r>
          </w:p>
        </w:tc>
        <w:tc>
          <w:tcPr>
            <w:tcW w:w="1524" w:type="dxa"/>
            <w:gridSpan w:val="2"/>
            <w:tcBorders>
              <w:bottom w:val="single" w:sz="4" w:space="0" w:color="auto"/>
            </w:tcBorders>
          </w:tcPr>
          <w:p w:rsidR="00000000" w:rsidRDefault="00000000">
            <w:pPr>
              <w:spacing w:line="240" w:lineRule="auto"/>
              <w:jc w:val="center"/>
              <w:rPr>
                <w:sz w:val="22"/>
              </w:rPr>
            </w:pPr>
            <w:r>
              <w:rPr>
                <w:sz w:val="22"/>
              </w:rPr>
              <w:t>Общее количество смертей</w:t>
            </w:r>
          </w:p>
        </w:tc>
        <w:tc>
          <w:tcPr>
            <w:tcW w:w="1176" w:type="dxa"/>
            <w:tcBorders>
              <w:bottom w:val="single" w:sz="4" w:space="0" w:color="auto"/>
            </w:tcBorders>
          </w:tcPr>
          <w:p w:rsidR="00000000" w:rsidRDefault="00000000">
            <w:pPr>
              <w:spacing w:line="240" w:lineRule="auto"/>
              <w:jc w:val="center"/>
              <w:rPr>
                <w:sz w:val="22"/>
              </w:rPr>
            </w:pPr>
            <w:r>
              <w:rPr>
                <w:sz w:val="22"/>
              </w:rPr>
              <w:t>Мужчины</w:t>
            </w:r>
          </w:p>
        </w:tc>
        <w:tc>
          <w:tcPr>
            <w:tcW w:w="1316" w:type="dxa"/>
            <w:gridSpan w:val="2"/>
            <w:tcBorders>
              <w:bottom w:val="single" w:sz="4" w:space="0" w:color="auto"/>
            </w:tcBorders>
          </w:tcPr>
          <w:p w:rsidR="00000000" w:rsidRDefault="00000000">
            <w:pPr>
              <w:spacing w:line="240" w:lineRule="auto"/>
              <w:jc w:val="center"/>
              <w:rPr>
                <w:sz w:val="22"/>
              </w:rPr>
            </w:pPr>
            <w:r>
              <w:rPr>
                <w:sz w:val="22"/>
              </w:rPr>
              <w:t>Женщины</w:t>
            </w:r>
          </w:p>
        </w:tc>
        <w:tc>
          <w:tcPr>
            <w:tcW w:w="1751" w:type="dxa"/>
            <w:gridSpan w:val="4"/>
            <w:tcBorders>
              <w:bottom w:val="single" w:sz="4" w:space="0" w:color="auto"/>
            </w:tcBorders>
          </w:tcPr>
          <w:p w:rsidR="00000000" w:rsidRDefault="00000000">
            <w:pPr>
              <w:spacing w:line="240" w:lineRule="auto"/>
              <w:jc w:val="center"/>
              <w:rPr>
                <w:sz w:val="22"/>
                <w:lang w:val="en-US"/>
              </w:rPr>
            </w:pPr>
            <w:r>
              <w:rPr>
                <w:sz w:val="22"/>
              </w:rPr>
              <w:t>Мужчины</w:t>
            </w:r>
            <w:r>
              <w:rPr>
                <w:sz w:val="22"/>
                <w:lang w:val="en-US"/>
              </w:rPr>
              <w:t xml:space="preserve"> = 100</w:t>
            </w:r>
          </w:p>
        </w:tc>
      </w:tr>
      <w:tr w:rsidR="00000000">
        <w:tblPrEx>
          <w:tblCellMar>
            <w:top w:w="0" w:type="dxa"/>
            <w:bottom w:w="0" w:type="dxa"/>
          </w:tblCellMar>
        </w:tblPrEx>
        <w:trPr>
          <w:cantSplit/>
        </w:trPr>
        <w:tc>
          <w:tcPr>
            <w:tcW w:w="3584" w:type="dxa"/>
            <w:gridSpan w:val="3"/>
            <w:tcBorders>
              <w:bottom w:val="nil"/>
            </w:tcBorders>
          </w:tcPr>
          <w:p w:rsidR="00000000" w:rsidRDefault="00000000">
            <w:pPr>
              <w:rPr>
                <w:sz w:val="22"/>
              </w:rPr>
            </w:pPr>
            <w:r>
              <w:rPr>
                <w:sz w:val="22"/>
              </w:rPr>
              <w:t>Сердечно-сосудистые заболевания</w:t>
            </w:r>
          </w:p>
        </w:tc>
        <w:tc>
          <w:tcPr>
            <w:tcW w:w="1524" w:type="dxa"/>
            <w:gridSpan w:val="2"/>
            <w:tcBorders>
              <w:bottom w:val="nil"/>
            </w:tcBorders>
          </w:tcPr>
          <w:p w:rsidR="00000000" w:rsidRDefault="00000000">
            <w:pPr>
              <w:tabs>
                <w:tab w:val="clear" w:pos="567"/>
                <w:tab w:val="clear" w:pos="1134"/>
              </w:tabs>
              <w:jc w:val="right"/>
              <w:rPr>
                <w:sz w:val="22"/>
                <w:lang w:val="en-US"/>
              </w:rPr>
            </w:pPr>
            <w:r>
              <w:rPr>
                <w:sz w:val="22"/>
                <w:lang w:val="en-US"/>
              </w:rPr>
              <w:t>398</w:t>
            </w:r>
          </w:p>
        </w:tc>
        <w:tc>
          <w:tcPr>
            <w:tcW w:w="1176" w:type="dxa"/>
            <w:tcBorders>
              <w:bottom w:val="nil"/>
            </w:tcBorders>
          </w:tcPr>
          <w:p w:rsidR="00000000" w:rsidRDefault="00000000">
            <w:pPr>
              <w:tabs>
                <w:tab w:val="clear" w:pos="567"/>
                <w:tab w:val="clear" w:pos="1134"/>
              </w:tabs>
              <w:jc w:val="right"/>
              <w:rPr>
                <w:sz w:val="22"/>
                <w:lang w:val="en-US"/>
              </w:rPr>
            </w:pPr>
            <w:r>
              <w:rPr>
                <w:sz w:val="22"/>
                <w:lang w:val="en-US"/>
              </w:rPr>
              <w:t>379</w:t>
            </w:r>
          </w:p>
        </w:tc>
        <w:tc>
          <w:tcPr>
            <w:tcW w:w="1316" w:type="dxa"/>
            <w:gridSpan w:val="2"/>
            <w:tcBorders>
              <w:bottom w:val="nil"/>
            </w:tcBorders>
          </w:tcPr>
          <w:p w:rsidR="00000000" w:rsidRDefault="00000000">
            <w:pPr>
              <w:tabs>
                <w:tab w:val="clear" w:pos="567"/>
                <w:tab w:val="clear" w:pos="1134"/>
              </w:tabs>
              <w:jc w:val="right"/>
              <w:rPr>
                <w:sz w:val="22"/>
                <w:lang w:val="en-US"/>
              </w:rPr>
            </w:pPr>
            <w:r>
              <w:rPr>
                <w:sz w:val="22"/>
                <w:lang w:val="en-US"/>
              </w:rPr>
              <w:t>416</w:t>
            </w:r>
          </w:p>
        </w:tc>
        <w:tc>
          <w:tcPr>
            <w:tcW w:w="1751" w:type="dxa"/>
            <w:gridSpan w:val="4"/>
            <w:tcBorders>
              <w:bottom w:val="nil"/>
            </w:tcBorders>
          </w:tcPr>
          <w:p w:rsidR="00000000" w:rsidRDefault="00000000">
            <w:pPr>
              <w:tabs>
                <w:tab w:val="clear" w:pos="567"/>
                <w:tab w:val="clear" w:pos="1134"/>
                <w:tab w:val="clear" w:pos="1701"/>
              </w:tabs>
              <w:jc w:val="right"/>
              <w:rPr>
                <w:sz w:val="22"/>
                <w:lang w:val="en-US"/>
              </w:rPr>
            </w:pPr>
            <w:r>
              <w:rPr>
                <w:sz w:val="22"/>
                <w:lang w:val="en-US"/>
              </w:rPr>
              <w:t>110</w:t>
            </w:r>
          </w:p>
        </w:tc>
      </w:tr>
      <w:tr w:rsidR="00000000">
        <w:tblPrEx>
          <w:tblCellMar>
            <w:top w:w="0" w:type="dxa"/>
            <w:bottom w:w="0" w:type="dxa"/>
          </w:tblCellMar>
        </w:tblPrEx>
        <w:trPr>
          <w:cantSplit/>
        </w:trPr>
        <w:tc>
          <w:tcPr>
            <w:tcW w:w="3584" w:type="dxa"/>
            <w:gridSpan w:val="3"/>
            <w:tcBorders>
              <w:top w:val="nil"/>
              <w:bottom w:val="nil"/>
            </w:tcBorders>
          </w:tcPr>
          <w:p w:rsidR="00000000" w:rsidRDefault="00000000">
            <w:pPr>
              <w:rPr>
                <w:sz w:val="22"/>
              </w:rPr>
            </w:pPr>
            <w:r>
              <w:rPr>
                <w:sz w:val="22"/>
              </w:rPr>
              <w:t>Раковые заболевания</w:t>
            </w:r>
          </w:p>
        </w:tc>
        <w:tc>
          <w:tcPr>
            <w:tcW w:w="1524" w:type="dxa"/>
            <w:gridSpan w:val="2"/>
            <w:tcBorders>
              <w:top w:val="nil"/>
              <w:bottom w:val="nil"/>
            </w:tcBorders>
          </w:tcPr>
          <w:p w:rsidR="00000000" w:rsidRDefault="00000000">
            <w:pPr>
              <w:tabs>
                <w:tab w:val="clear" w:pos="567"/>
                <w:tab w:val="clear" w:pos="1134"/>
              </w:tabs>
              <w:jc w:val="right"/>
              <w:rPr>
                <w:sz w:val="22"/>
                <w:lang w:val="en-US"/>
              </w:rPr>
            </w:pPr>
            <w:r>
              <w:rPr>
                <w:sz w:val="22"/>
                <w:lang w:val="en-US"/>
              </w:rPr>
              <w:t>205</w:t>
            </w:r>
          </w:p>
        </w:tc>
        <w:tc>
          <w:tcPr>
            <w:tcW w:w="1176" w:type="dxa"/>
            <w:tcBorders>
              <w:top w:val="nil"/>
              <w:bottom w:val="nil"/>
            </w:tcBorders>
          </w:tcPr>
          <w:p w:rsidR="00000000" w:rsidRDefault="00000000">
            <w:pPr>
              <w:tabs>
                <w:tab w:val="clear" w:pos="567"/>
                <w:tab w:val="clear" w:pos="1134"/>
              </w:tabs>
              <w:jc w:val="right"/>
              <w:rPr>
                <w:sz w:val="22"/>
                <w:lang w:val="en-US"/>
              </w:rPr>
            </w:pPr>
            <w:r>
              <w:rPr>
                <w:sz w:val="22"/>
                <w:lang w:val="en-US"/>
              </w:rPr>
              <w:t>215</w:t>
            </w:r>
          </w:p>
        </w:tc>
        <w:tc>
          <w:tcPr>
            <w:tcW w:w="1316" w:type="dxa"/>
            <w:gridSpan w:val="2"/>
            <w:tcBorders>
              <w:top w:val="nil"/>
              <w:bottom w:val="nil"/>
            </w:tcBorders>
          </w:tcPr>
          <w:p w:rsidR="00000000" w:rsidRDefault="00000000">
            <w:pPr>
              <w:tabs>
                <w:tab w:val="clear" w:pos="567"/>
                <w:tab w:val="clear" w:pos="1134"/>
              </w:tabs>
              <w:jc w:val="right"/>
              <w:rPr>
                <w:sz w:val="22"/>
                <w:lang w:val="en-US"/>
              </w:rPr>
            </w:pPr>
            <w:r>
              <w:rPr>
                <w:sz w:val="22"/>
                <w:lang w:val="en-US"/>
              </w:rPr>
              <w:t>195</w:t>
            </w:r>
          </w:p>
        </w:tc>
        <w:tc>
          <w:tcPr>
            <w:tcW w:w="1751" w:type="dxa"/>
            <w:gridSpan w:val="4"/>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91</w:t>
            </w:r>
          </w:p>
        </w:tc>
      </w:tr>
      <w:tr w:rsidR="00000000">
        <w:tblPrEx>
          <w:tblCellMar>
            <w:top w:w="0" w:type="dxa"/>
            <w:bottom w:w="0" w:type="dxa"/>
          </w:tblCellMar>
        </w:tblPrEx>
        <w:trPr>
          <w:cantSplit/>
        </w:trPr>
        <w:tc>
          <w:tcPr>
            <w:tcW w:w="3584" w:type="dxa"/>
            <w:gridSpan w:val="3"/>
            <w:tcBorders>
              <w:top w:val="nil"/>
              <w:bottom w:val="nil"/>
            </w:tcBorders>
          </w:tcPr>
          <w:p w:rsidR="00000000" w:rsidRDefault="00000000">
            <w:pPr>
              <w:rPr>
                <w:sz w:val="22"/>
              </w:rPr>
            </w:pPr>
            <w:r>
              <w:rPr>
                <w:sz w:val="22"/>
              </w:rPr>
              <w:t>Респираторные заболевания</w:t>
            </w:r>
          </w:p>
        </w:tc>
        <w:tc>
          <w:tcPr>
            <w:tcW w:w="1524" w:type="dxa"/>
            <w:gridSpan w:val="2"/>
            <w:tcBorders>
              <w:top w:val="nil"/>
              <w:bottom w:val="nil"/>
            </w:tcBorders>
          </w:tcPr>
          <w:p w:rsidR="00000000" w:rsidRDefault="00000000">
            <w:pPr>
              <w:tabs>
                <w:tab w:val="clear" w:pos="567"/>
                <w:tab w:val="clear" w:pos="1134"/>
              </w:tabs>
              <w:jc w:val="right"/>
              <w:rPr>
                <w:sz w:val="22"/>
                <w:lang w:val="en-US"/>
              </w:rPr>
            </w:pPr>
            <w:r>
              <w:rPr>
                <w:sz w:val="22"/>
                <w:lang w:val="en-US"/>
              </w:rPr>
              <w:t>70</w:t>
            </w:r>
          </w:p>
        </w:tc>
        <w:tc>
          <w:tcPr>
            <w:tcW w:w="1176" w:type="dxa"/>
            <w:tcBorders>
              <w:top w:val="nil"/>
              <w:bottom w:val="nil"/>
            </w:tcBorders>
          </w:tcPr>
          <w:p w:rsidR="00000000" w:rsidRDefault="00000000">
            <w:pPr>
              <w:tabs>
                <w:tab w:val="clear" w:pos="567"/>
                <w:tab w:val="clear" w:pos="1134"/>
              </w:tabs>
              <w:jc w:val="right"/>
              <w:rPr>
                <w:sz w:val="22"/>
                <w:lang w:val="en-US"/>
              </w:rPr>
            </w:pPr>
            <w:r>
              <w:rPr>
                <w:sz w:val="22"/>
                <w:lang w:val="en-US"/>
              </w:rPr>
              <w:t>76</w:t>
            </w:r>
          </w:p>
        </w:tc>
        <w:tc>
          <w:tcPr>
            <w:tcW w:w="1316" w:type="dxa"/>
            <w:gridSpan w:val="2"/>
            <w:tcBorders>
              <w:top w:val="nil"/>
              <w:bottom w:val="nil"/>
            </w:tcBorders>
          </w:tcPr>
          <w:p w:rsidR="00000000" w:rsidRDefault="00000000">
            <w:pPr>
              <w:tabs>
                <w:tab w:val="clear" w:pos="567"/>
                <w:tab w:val="clear" w:pos="1134"/>
              </w:tabs>
              <w:jc w:val="right"/>
              <w:rPr>
                <w:sz w:val="22"/>
                <w:lang w:val="en-US"/>
              </w:rPr>
            </w:pPr>
            <w:r>
              <w:rPr>
                <w:sz w:val="22"/>
                <w:lang w:val="en-US"/>
              </w:rPr>
              <w:t>64</w:t>
            </w:r>
          </w:p>
        </w:tc>
        <w:tc>
          <w:tcPr>
            <w:tcW w:w="1751" w:type="dxa"/>
            <w:gridSpan w:val="4"/>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84</w:t>
            </w:r>
          </w:p>
        </w:tc>
      </w:tr>
      <w:tr w:rsidR="00000000">
        <w:tblPrEx>
          <w:tblCellMar>
            <w:top w:w="0" w:type="dxa"/>
            <w:bottom w:w="0" w:type="dxa"/>
          </w:tblCellMar>
        </w:tblPrEx>
        <w:trPr>
          <w:cantSplit/>
        </w:trPr>
        <w:tc>
          <w:tcPr>
            <w:tcW w:w="3584" w:type="dxa"/>
            <w:gridSpan w:val="3"/>
            <w:tcBorders>
              <w:top w:val="nil"/>
              <w:bottom w:val="nil"/>
            </w:tcBorders>
          </w:tcPr>
          <w:p w:rsidR="00000000" w:rsidRDefault="00000000">
            <w:pPr>
              <w:rPr>
                <w:sz w:val="22"/>
              </w:rPr>
            </w:pPr>
            <w:r>
              <w:rPr>
                <w:sz w:val="22"/>
              </w:rPr>
              <w:t>Желудочно-кишечные заболевания</w:t>
            </w:r>
          </w:p>
        </w:tc>
        <w:tc>
          <w:tcPr>
            <w:tcW w:w="1524" w:type="dxa"/>
            <w:gridSpan w:val="2"/>
            <w:tcBorders>
              <w:top w:val="nil"/>
              <w:bottom w:val="nil"/>
            </w:tcBorders>
          </w:tcPr>
          <w:p w:rsidR="00000000" w:rsidRDefault="00000000">
            <w:pPr>
              <w:tabs>
                <w:tab w:val="clear" w:pos="567"/>
                <w:tab w:val="clear" w:pos="1134"/>
              </w:tabs>
              <w:jc w:val="right"/>
              <w:rPr>
                <w:sz w:val="22"/>
                <w:lang w:val="en-US"/>
              </w:rPr>
            </w:pPr>
            <w:r>
              <w:rPr>
                <w:sz w:val="22"/>
                <w:lang w:val="en-US"/>
              </w:rPr>
              <w:t>39</w:t>
            </w:r>
          </w:p>
        </w:tc>
        <w:tc>
          <w:tcPr>
            <w:tcW w:w="1176" w:type="dxa"/>
            <w:tcBorders>
              <w:top w:val="nil"/>
              <w:bottom w:val="nil"/>
            </w:tcBorders>
          </w:tcPr>
          <w:p w:rsidR="00000000" w:rsidRDefault="00000000">
            <w:pPr>
              <w:tabs>
                <w:tab w:val="clear" w:pos="567"/>
                <w:tab w:val="clear" w:pos="1134"/>
              </w:tabs>
              <w:jc w:val="right"/>
              <w:rPr>
                <w:sz w:val="22"/>
                <w:lang w:val="en-US"/>
              </w:rPr>
            </w:pPr>
            <w:r>
              <w:rPr>
                <w:sz w:val="22"/>
                <w:lang w:val="en-US"/>
              </w:rPr>
              <w:t>43</w:t>
            </w:r>
          </w:p>
        </w:tc>
        <w:tc>
          <w:tcPr>
            <w:tcW w:w="1316" w:type="dxa"/>
            <w:gridSpan w:val="2"/>
            <w:tcBorders>
              <w:top w:val="nil"/>
              <w:bottom w:val="nil"/>
            </w:tcBorders>
          </w:tcPr>
          <w:p w:rsidR="00000000" w:rsidRDefault="00000000">
            <w:pPr>
              <w:tabs>
                <w:tab w:val="clear" w:pos="567"/>
                <w:tab w:val="clear" w:pos="1134"/>
              </w:tabs>
              <w:jc w:val="right"/>
              <w:rPr>
                <w:sz w:val="22"/>
                <w:lang w:val="en-US"/>
              </w:rPr>
            </w:pPr>
            <w:r>
              <w:rPr>
                <w:sz w:val="22"/>
                <w:lang w:val="en-US"/>
              </w:rPr>
              <w:t>34</w:t>
            </w:r>
          </w:p>
        </w:tc>
        <w:tc>
          <w:tcPr>
            <w:tcW w:w="1751" w:type="dxa"/>
            <w:gridSpan w:val="4"/>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78</w:t>
            </w:r>
          </w:p>
        </w:tc>
      </w:tr>
      <w:tr w:rsidR="00000000">
        <w:tblPrEx>
          <w:tblCellMar>
            <w:top w:w="0" w:type="dxa"/>
            <w:bottom w:w="0" w:type="dxa"/>
          </w:tblCellMar>
        </w:tblPrEx>
        <w:trPr>
          <w:cantSplit/>
        </w:trPr>
        <w:tc>
          <w:tcPr>
            <w:tcW w:w="3584" w:type="dxa"/>
            <w:gridSpan w:val="3"/>
            <w:tcBorders>
              <w:top w:val="nil"/>
              <w:bottom w:val="single" w:sz="4" w:space="0" w:color="auto"/>
            </w:tcBorders>
          </w:tcPr>
          <w:p w:rsidR="00000000" w:rsidRDefault="00000000">
            <w:pPr>
              <w:rPr>
                <w:sz w:val="22"/>
              </w:rPr>
            </w:pPr>
            <w:r>
              <w:rPr>
                <w:sz w:val="22"/>
              </w:rPr>
              <w:t>Прочие заболевания</w:t>
            </w:r>
          </w:p>
        </w:tc>
        <w:tc>
          <w:tcPr>
            <w:tcW w:w="1524" w:type="dxa"/>
            <w:gridSpan w:val="2"/>
            <w:tcBorders>
              <w:top w:val="nil"/>
              <w:bottom w:val="single" w:sz="4" w:space="0" w:color="auto"/>
            </w:tcBorders>
          </w:tcPr>
          <w:p w:rsidR="00000000" w:rsidRDefault="00000000">
            <w:pPr>
              <w:tabs>
                <w:tab w:val="clear" w:pos="567"/>
                <w:tab w:val="clear" w:pos="1134"/>
              </w:tabs>
              <w:jc w:val="right"/>
              <w:rPr>
                <w:sz w:val="22"/>
                <w:lang w:val="en-US"/>
              </w:rPr>
            </w:pPr>
            <w:r>
              <w:rPr>
                <w:sz w:val="22"/>
                <w:lang w:val="en-US"/>
              </w:rPr>
              <w:t>148</w:t>
            </w:r>
          </w:p>
        </w:tc>
        <w:tc>
          <w:tcPr>
            <w:tcW w:w="1176" w:type="dxa"/>
            <w:tcBorders>
              <w:top w:val="nil"/>
              <w:bottom w:val="single" w:sz="4" w:space="0" w:color="auto"/>
            </w:tcBorders>
          </w:tcPr>
          <w:p w:rsidR="00000000" w:rsidRDefault="00000000">
            <w:pPr>
              <w:tabs>
                <w:tab w:val="clear" w:pos="567"/>
                <w:tab w:val="clear" w:pos="1134"/>
              </w:tabs>
              <w:jc w:val="right"/>
              <w:rPr>
                <w:sz w:val="22"/>
                <w:lang w:val="en-US"/>
              </w:rPr>
            </w:pPr>
            <w:r>
              <w:rPr>
                <w:sz w:val="22"/>
                <w:lang w:val="en-US"/>
              </w:rPr>
              <w:t>111</w:t>
            </w:r>
          </w:p>
        </w:tc>
        <w:tc>
          <w:tcPr>
            <w:tcW w:w="1316" w:type="dxa"/>
            <w:gridSpan w:val="2"/>
            <w:tcBorders>
              <w:top w:val="nil"/>
              <w:bottom w:val="single" w:sz="4" w:space="0" w:color="auto"/>
            </w:tcBorders>
          </w:tcPr>
          <w:p w:rsidR="00000000" w:rsidRDefault="00000000">
            <w:pPr>
              <w:tabs>
                <w:tab w:val="clear" w:pos="567"/>
                <w:tab w:val="clear" w:pos="1134"/>
              </w:tabs>
              <w:jc w:val="right"/>
              <w:rPr>
                <w:sz w:val="22"/>
                <w:lang w:val="en-US"/>
              </w:rPr>
            </w:pPr>
            <w:r>
              <w:rPr>
                <w:sz w:val="22"/>
                <w:lang w:val="en-US"/>
              </w:rPr>
              <w:t>184</w:t>
            </w:r>
          </w:p>
        </w:tc>
        <w:tc>
          <w:tcPr>
            <w:tcW w:w="1751" w:type="dxa"/>
            <w:gridSpan w:val="4"/>
            <w:tcBorders>
              <w:top w:val="nil"/>
              <w:bottom w:val="single" w:sz="4" w:space="0" w:color="auto"/>
            </w:tcBorders>
          </w:tcPr>
          <w:p w:rsidR="00000000" w:rsidRDefault="00000000">
            <w:pPr>
              <w:tabs>
                <w:tab w:val="clear" w:pos="567"/>
                <w:tab w:val="clear" w:pos="1134"/>
                <w:tab w:val="clear" w:pos="1701"/>
              </w:tabs>
              <w:jc w:val="right"/>
              <w:rPr>
                <w:sz w:val="22"/>
                <w:lang w:val="en-US"/>
              </w:rPr>
            </w:pPr>
            <w:r>
              <w:rPr>
                <w:sz w:val="22"/>
                <w:lang w:val="en-US"/>
              </w:rPr>
              <w:t>166</w:t>
            </w:r>
          </w:p>
        </w:tc>
      </w:tr>
      <w:tr w:rsidR="00000000">
        <w:tblPrEx>
          <w:tblCellMar>
            <w:top w:w="0" w:type="dxa"/>
            <w:bottom w:w="0" w:type="dxa"/>
          </w:tblCellMar>
        </w:tblPrEx>
        <w:trPr>
          <w:cantSplit/>
        </w:trPr>
        <w:tc>
          <w:tcPr>
            <w:tcW w:w="3584" w:type="dxa"/>
            <w:gridSpan w:val="3"/>
            <w:tcBorders>
              <w:bottom w:val="nil"/>
            </w:tcBorders>
          </w:tcPr>
          <w:p w:rsidR="00000000" w:rsidRDefault="00000000">
            <w:pPr>
              <w:rPr>
                <w:sz w:val="22"/>
              </w:rPr>
            </w:pPr>
            <w:r>
              <w:rPr>
                <w:sz w:val="22"/>
              </w:rPr>
              <w:t>Несчастные случаи и насилие</w:t>
            </w:r>
          </w:p>
        </w:tc>
        <w:tc>
          <w:tcPr>
            <w:tcW w:w="1524" w:type="dxa"/>
            <w:gridSpan w:val="2"/>
            <w:tcBorders>
              <w:bottom w:val="nil"/>
            </w:tcBorders>
          </w:tcPr>
          <w:p w:rsidR="00000000" w:rsidRDefault="00000000">
            <w:pPr>
              <w:tabs>
                <w:tab w:val="clear" w:pos="567"/>
                <w:tab w:val="clear" w:pos="1134"/>
              </w:tabs>
              <w:jc w:val="right"/>
              <w:rPr>
                <w:sz w:val="22"/>
                <w:lang w:val="en-US"/>
              </w:rPr>
            </w:pPr>
            <w:r>
              <w:rPr>
                <w:sz w:val="22"/>
                <w:lang w:val="en-US"/>
              </w:rPr>
              <w:t>79</w:t>
            </w:r>
          </w:p>
        </w:tc>
        <w:tc>
          <w:tcPr>
            <w:tcW w:w="1176" w:type="dxa"/>
            <w:tcBorders>
              <w:bottom w:val="nil"/>
            </w:tcBorders>
          </w:tcPr>
          <w:p w:rsidR="00000000" w:rsidRDefault="00000000">
            <w:pPr>
              <w:tabs>
                <w:tab w:val="clear" w:pos="567"/>
                <w:tab w:val="clear" w:pos="1134"/>
              </w:tabs>
              <w:jc w:val="right"/>
              <w:rPr>
                <w:sz w:val="22"/>
                <w:lang w:val="en-US"/>
              </w:rPr>
            </w:pPr>
            <w:r>
              <w:rPr>
                <w:sz w:val="22"/>
                <w:lang w:val="en-US"/>
              </w:rPr>
              <w:t>112</w:t>
            </w:r>
          </w:p>
        </w:tc>
        <w:tc>
          <w:tcPr>
            <w:tcW w:w="1316" w:type="dxa"/>
            <w:gridSpan w:val="2"/>
            <w:tcBorders>
              <w:bottom w:val="nil"/>
            </w:tcBorders>
          </w:tcPr>
          <w:p w:rsidR="00000000" w:rsidRDefault="00000000">
            <w:pPr>
              <w:tabs>
                <w:tab w:val="clear" w:pos="567"/>
                <w:tab w:val="clear" w:pos="1134"/>
              </w:tabs>
              <w:jc w:val="right"/>
              <w:rPr>
                <w:sz w:val="22"/>
                <w:lang w:val="en-US"/>
              </w:rPr>
            </w:pPr>
            <w:r>
              <w:rPr>
                <w:sz w:val="22"/>
                <w:lang w:val="en-US"/>
              </w:rPr>
              <w:t>48</w:t>
            </w:r>
          </w:p>
        </w:tc>
        <w:tc>
          <w:tcPr>
            <w:tcW w:w="1751" w:type="dxa"/>
            <w:gridSpan w:val="4"/>
            <w:tcBorders>
              <w:bottom w:val="nil"/>
            </w:tcBorders>
          </w:tcPr>
          <w:p w:rsidR="00000000" w:rsidRDefault="00000000">
            <w:pPr>
              <w:tabs>
                <w:tab w:val="clear" w:pos="567"/>
                <w:tab w:val="clear" w:pos="1134"/>
                <w:tab w:val="clear" w:pos="1701"/>
              </w:tabs>
              <w:jc w:val="right"/>
              <w:rPr>
                <w:sz w:val="22"/>
                <w:lang w:val="en-US"/>
              </w:rPr>
            </w:pPr>
            <w:r>
              <w:rPr>
                <w:sz w:val="22"/>
                <w:lang w:val="en-US"/>
              </w:rPr>
              <w:t>43</w:t>
            </w:r>
          </w:p>
        </w:tc>
      </w:tr>
      <w:tr w:rsidR="00000000">
        <w:tblPrEx>
          <w:tblCellMar>
            <w:top w:w="0" w:type="dxa"/>
            <w:bottom w:w="0" w:type="dxa"/>
          </w:tblCellMar>
        </w:tblPrEx>
        <w:trPr>
          <w:cantSplit/>
        </w:trPr>
        <w:tc>
          <w:tcPr>
            <w:tcW w:w="3584" w:type="dxa"/>
            <w:gridSpan w:val="3"/>
            <w:tcBorders>
              <w:top w:val="nil"/>
              <w:bottom w:val="nil"/>
            </w:tcBorders>
          </w:tcPr>
          <w:p w:rsidR="00000000" w:rsidRDefault="00000000">
            <w:pPr>
              <w:rPr>
                <w:sz w:val="22"/>
              </w:rPr>
            </w:pPr>
            <w:r>
              <w:rPr>
                <w:sz w:val="22"/>
              </w:rPr>
              <w:t>- в том числе самоубийства</w:t>
            </w:r>
          </w:p>
        </w:tc>
        <w:tc>
          <w:tcPr>
            <w:tcW w:w="1524" w:type="dxa"/>
            <w:gridSpan w:val="2"/>
            <w:tcBorders>
              <w:top w:val="nil"/>
              <w:bottom w:val="nil"/>
            </w:tcBorders>
          </w:tcPr>
          <w:p w:rsidR="00000000" w:rsidRDefault="00000000">
            <w:pPr>
              <w:tabs>
                <w:tab w:val="clear" w:pos="567"/>
                <w:tab w:val="clear" w:pos="1134"/>
              </w:tabs>
              <w:jc w:val="right"/>
              <w:rPr>
                <w:sz w:val="22"/>
                <w:lang w:val="en-US"/>
              </w:rPr>
            </w:pPr>
            <w:r>
              <w:rPr>
                <w:sz w:val="22"/>
                <w:lang w:val="en-US"/>
              </w:rPr>
              <w:t>21</w:t>
            </w:r>
          </w:p>
        </w:tc>
        <w:tc>
          <w:tcPr>
            <w:tcW w:w="1176" w:type="dxa"/>
            <w:tcBorders>
              <w:top w:val="nil"/>
              <w:bottom w:val="nil"/>
            </w:tcBorders>
          </w:tcPr>
          <w:p w:rsidR="00000000" w:rsidRDefault="00000000">
            <w:pPr>
              <w:tabs>
                <w:tab w:val="clear" w:pos="567"/>
                <w:tab w:val="clear" w:pos="1134"/>
              </w:tabs>
              <w:jc w:val="right"/>
              <w:rPr>
                <w:sz w:val="22"/>
                <w:lang w:val="en-US"/>
              </w:rPr>
            </w:pPr>
            <w:r>
              <w:rPr>
                <w:sz w:val="22"/>
                <w:lang w:val="en-US"/>
              </w:rPr>
              <w:t>32</w:t>
            </w:r>
          </w:p>
        </w:tc>
        <w:tc>
          <w:tcPr>
            <w:tcW w:w="1316" w:type="dxa"/>
            <w:gridSpan w:val="2"/>
            <w:tcBorders>
              <w:top w:val="nil"/>
              <w:bottom w:val="nil"/>
            </w:tcBorders>
          </w:tcPr>
          <w:p w:rsidR="00000000" w:rsidRDefault="00000000">
            <w:pPr>
              <w:tabs>
                <w:tab w:val="clear" w:pos="567"/>
                <w:tab w:val="clear" w:pos="1134"/>
              </w:tabs>
              <w:jc w:val="right"/>
              <w:rPr>
                <w:sz w:val="22"/>
                <w:lang w:val="en-US"/>
              </w:rPr>
            </w:pPr>
            <w:r>
              <w:rPr>
                <w:sz w:val="22"/>
                <w:lang w:val="en-US"/>
              </w:rPr>
              <w:t>10</w:t>
            </w:r>
          </w:p>
        </w:tc>
        <w:tc>
          <w:tcPr>
            <w:tcW w:w="1751" w:type="dxa"/>
            <w:gridSpan w:val="4"/>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31</w:t>
            </w:r>
          </w:p>
        </w:tc>
      </w:tr>
      <w:tr w:rsidR="00000000">
        <w:tblPrEx>
          <w:tblCellMar>
            <w:top w:w="0" w:type="dxa"/>
            <w:bottom w:w="0" w:type="dxa"/>
          </w:tblCellMar>
        </w:tblPrEx>
        <w:trPr>
          <w:cantSplit/>
        </w:trPr>
        <w:tc>
          <w:tcPr>
            <w:tcW w:w="3584" w:type="dxa"/>
            <w:gridSpan w:val="3"/>
            <w:tcBorders>
              <w:top w:val="nil"/>
            </w:tcBorders>
          </w:tcPr>
          <w:p w:rsidR="00000000" w:rsidRDefault="00000000">
            <w:pPr>
              <w:rPr>
                <w:sz w:val="22"/>
              </w:rPr>
            </w:pPr>
            <w:r>
              <w:rPr>
                <w:sz w:val="22"/>
                <w:lang w:val="en-US"/>
              </w:rPr>
              <w:tab/>
            </w:r>
            <w:r>
              <w:rPr>
                <w:sz w:val="22"/>
              </w:rPr>
              <w:t>Всего</w:t>
            </w:r>
          </w:p>
        </w:tc>
        <w:tc>
          <w:tcPr>
            <w:tcW w:w="1524" w:type="dxa"/>
            <w:gridSpan w:val="2"/>
            <w:tcBorders>
              <w:top w:val="nil"/>
            </w:tcBorders>
          </w:tcPr>
          <w:p w:rsidR="00000000" w:rsidRDefault="00000000">
            <w:pPr>
              <w:tabs>
                <w:tab w:val="clear" w:pos="567"/>
                <w:tab w:val="clear" w:pos="1134"/>
              </w:tabs>
              <w:jc w:val="right"/>
              <w:rPr>
                <w:sz w:val="22"/>
                <w:lang w:val="en-US"/>
              </w:rPr>
            </w:pPr>
            <w:r>
              <w:rPr>
                <w:sz w:val="22"/>
                <w:lang w:val="en-US"/>
              </w:rPr>
              <w:t>939</w:t>
            </w:r>
          </w:p>
        </w:tc>
        <w:tc>
          <w:tcPr>
            <w:tcW w:w="1176" w:type="dxa"/>
            <w:tcBorders>
              <w:top w:val="nil"/>
            </w:tcBorders>
          </w:tcPr>
          <w:p w:rsidR="00000000" w:rsidRDefault="00000000">
            <w:pPr>
              <w:tabs>
                <w:tab w:val="clear" w:pos="567"/>
                <w:tab w:val="clear" w:pos="1134"/>
              </w:tabs>
              <w:jc w:val="right"/>
              <w:rPr>
                <w:sz w:val="22"/>
                <w:lang w:val="en-US"/>
              </w:rPr>
            </w:pPr>
            <w:r>
              <w:rPr>
                <w:sz w:val="22"/>
                <w:lang w:val="en-US"/>
              </w:rPr>
              <w:t>938</w:t>
            </w:r>
          </w:p>
        </w:tc>
        <w:tc>
          <w:tcPr>
            <w:tcW w:w="1316" w:type="dxa"/>
            <w:gridSpan w:val="2"/>
            <w:tcBorders>
              <w:top w:val="nil"/>
            </w:tcBorders>
          </w:tcPr>
          <w:p w:rsidR="00000000" w:rsidRDefault="00000000">
            <w:pPr>
              <w:tabs>
                <w:tab w:val="clear" w:pos="567"/>
                <w:tab w:val="clear" w:pos="1134"/>
              </w:tabs>
              <w:jc w:val="right"/>
              <w:rPr>
                <w:sz w:val="22"/>
                <w:lang w:val="en-US"/>
              </w:rPr>
            </w:pPr>
            <w:r>
              <w:rPr>
                <w:sz w:val="22"/>
                <w:lang w:val="en-US"/>
              </w:rPr>
              <w:t>941</w:t>
            </w:r>
          </w:p>
        </w:tc>
        <w:tc>
          <w:tcPr>
            <w:tcW w:w="1751" w:type="dxa"/>
            <w:gridSpan w:val="4"/>
            <w:tcBorders>
              <w:top w:val="nil"/>
            </w:tcBorders>
          </w:tcPr>
          <w:p w:rsidR="00000000" w:rsidRDefault="00000000">
            <w:pPr>
              <w:tabs>
                <w:tab w:val="clear" w:pos="567"/>
                <w:tab w:val="clear" w:pos="1134"/>
                <w:tab w:val="clear" w:pos="1701"/>
              </w:tabs>
              <w:jc w:val="right"/>
              <w:rPr>
                <w:sz w:val="22"/>
                <w:lang w:val="en-US"/>
              </w:rPr>
            </w:pPr>
            <w:r>
              <w:rPr>
                <w:sz w:val="22"/>
                <w:lang w:val="en-US"/>
              </w:rPr>
              <w:t>100</w:t>
            </w:r>
          </w:p>
        </w:tc>
      </w:tr>
      <w:tr w:rsidR="00000000">
        <w:tblPrEx>
          <w:tblCellMar>
            <w:top w:w="0" w:type="dxa"/>
            <w:bottom w:w="0" w:type="dxa"/>
          </w:tblCellMar>
        </w:tblPrEx>
        <w:trPr>
          <w:cantSplit/>
        </w:trPr>
        <w:tc>
          <w:tcPr>
            <w:tcW w:w="9351" w:type="dxa"/>
            <w:gridSpan w:val="12"/>
            <w:tcBorders>
              <w:bottom w:val="single" w:sz="4" w:space="0" w:color="auto"/>
            </w:tcBorders>
          </w:tcPr>
          <w:p w:rsidR="00000000" w:rsidRDefault="00000000">
            <w:pPr>
              <w:rPr>
                <w:sz w:val="22"/>
              </w:rPr>
            </w:pPr>
            <w:r>
              <w:rPr>
                <w:sz w:val="22"/>
              </w:rPr>
              <w:t>Стандартизированные по возрастному составу коэффициенты смертности в расчете на 100 000 человек населения</w:t>
            </w:r>
          </w:p>
          <w:p w:rsidR="00000000" w:rsidRDefault="00000000">
            <w:pPr>
              <w:rPr>
                <w:sz w:val="22"/>
              </w:rPr>
            </w:pPr>
            <w:r>
              <w:rPr>
                <w:sz w:val="22"/>
              </w:rPr>
              <w:t>(Европейское население, принятое за стандарт;  рассчитано Европейским региональным бюро ВОЗ)</w:t>
            </w:r>
          </w:p>
        </w:tc>
      </w:tr>
      <w:tr w:rsidR="00000000">
        <w:tblPrEx>
          <w:tblCellMar>
            <w:top w:w="0" w:type="dxa"/>
            <w:bottom w:w="0" w:type="dxa"/>
          </w:tblCellMar>
        </w:tblPrEx>
        <w:trPr>
          <w:cantSplit/>
          <w:trHeight w:val="672"/>
        </w:trPr>
        <w:tc>
          <w:tcPr>
            <w:tcW w:w="3412" w:type="dxa"/>
            <w:tcBorders>
              <w:bottom w:val="single" w:sz="4" w:space="0" w:color="auto"/>
            </w:tcBorders>
          </w:tcPr>
          <w:p w:rsidR="00000000" w:rsidRDefault="00000000">
            <w:pPr>
              <w:spacing w:line="240" w:lineRule="auto"/>
              <w:jc w:val="center"/>
              <w:rPr>
                <w:sz w:val="22"/>
              </w:rPr>
            </w:pPr>
            <w:r>
              <w:rPr>
                <w:sz w:val="22"/>
              </w:rPr>
              <w:t>Причина смерти</w:t>
            </w:r>
          </w:p>
        </w:tc>
        <w:tc>
          <w:tcPr>
            <w:tcW w:w="1638" w:type="dxa"/>
            <w:gridSpan w:val="3"/>
            <w:tcBorders>
              <w:bottom w:val="single" w:sz="4" w:space="0" w:color="auto"/>
            </w:tcBorders>
          </w:tcPr>
          <w:p w:rsidR="00000000" w:rsidRDefault="00000000">
            <w:pPr>
              <w:spacing w:line="240" w:lineRule="auto"/>
              <w:jc w:val="center"/>
              <w:rPr>
                <w:sz w:val="22"/>
              </w:rPr>
            </w:pPr>
            <w:r>
              <w:rPr>
                <w:sz w:val="22"/>
              </w:rPr>
              <w:t>Общее количество смертей</w:t>
            </w:r>
          </w:p>
        </w:tc>
        <w:tc>
          <w:tcPr>
            <w:tcW w:w="1301" w:type="dxa"/>
            <w:gridSpan w:val="3"/>
            <w:tcBorders>
              <w:bottom w:val="single" w:sz="4" w:space="0" w:color="auto"/>
            </w:tcBorders>
          </w:tcPr>
          <w:p w:rsidR="00000000" w:rsidRDefault="00000000">
            <w:pPr>
              <w:spacing w:line="240" w:lineRule="auto"/>
              <w:jc w:val="center"/>
              <w:rPr>
                <w:sz w:val="22"/>
              </w:rPr>
            </w:pPr>
            <w:r>
              <w:rPr>
                <w:sz w:val="22"/>
              </w:rPr>
              <w:t>Мужчины</w:t>
            </w:r>
          </w:p>
        </w:tc>
        <w:tc>
          <w:tcPr>
            <w:tcW w:w="1274" w:type="dxa"/>
            <w:gridSpan w:val="3"/>
            <w:tcBorders>
              <w:bottom w:val="single" w:sz="4" w:space="0" w:color="auto"/>
            </w:tcBorders>
          </w:tcPr>
          <w:p w:rsidR="00000000" w:rsidRDefault="00000000">
            <w:pPr>
              <w:spacing w:line="240" w:lineRule="auto"/>
              <w:jc w:val="center"/>
              <w:rPr>
                <w:sz w:val="22"/>
              </w:rPr>
            </w:pPr>
            <w:r>
              <w:rPr>
                <w:sz w:val="22"/>
              </w:rPr>
              <w:t>Женщины</w:t>
            </w:r>
          </w:p>
        </w:tc>
        <w:tc>
          <w:tcPr>
            <w:tcW w:w="1726" w:type="dxa"/>
            <w:gridSpan w:val="2"/>
            <w:tcBorders>
              <w:bottom w:val="single" w:sz="4" w:space="0" w:color="auto"/>
            </w:tcBorders>
          </w:tcPr>
          <w:p w:rsidR="00000000" w:rsidRDefault="00000000">
            <w:pPr>
              <w:spacing w:line="240" w:lineRule="auto"/>
              <w:jc w:val="center"/>
              <w:rPr>
                <w:sz w:val="22"/>
              </w:rPr>
            </w:pPr>
            <w:r>
              <w:rPr>
                <w:sz w:val="22"/>
              </w:rPr>
              <w:t>Мужчины = 100</w:t>
            </w:r>
          </w:p>
        </w:tc>
      </w:tr>
      <w:tr w:rsidR="00000000">
        <w:tblPrEx>
          <w:tblCellMar>
            <w:top w:w="0" w:type="dxa"/>
            <w:bottom w:w="0" w:type="dxa"/>
          </w:tblCellMar>
        </w:tblPrEx>
        <w:trPr>
          <w:cantSplit/>
        </w:trPr>
        <w:tc>
          <w:tcPr>
            <w:tcW w:w="3412" w:type="dxa"/>
            <w:tcBorders>
              <w:bottom w:val="nil"/>
            </w:tcBorders>
          </w:tcPr>
          <w:p w:rsidR="00000000" w:rsidRDefault="00000000">
            <w:pPr>
              <w:rPr>
                <w:sz w:val="22"/>
              </w:rPr>
            </w:pPr>
            <w:r>
              <w:rPr>
                <w:sz w:val="22"/>
              </w:rPr>
              <w:t>Сердечно-сосудистые заболевания</w:t>
            </w:r>
          </w:p>
        </w:tc>
        <w:tc>
          <w:tcPr>
            <w:tcW w:w="1638" w:type="dxa"/>
            <w:gridSpan w:val="3"/>
            <w:tcBorders>
              <w:bottom w:val="nil"/>
            </w:tcBorders>
          </w:tcPr>
          <w:p w:rsidR="00000000" w:rsidRDefault="00000000">
            <w:pPr>
              <w:tabs>
                <w:tab w:val="clear" w:pos="567"/>
                <w:tab w:val="clear" w:pos="1134"/>
              </w:tabs>
              <w:jc w:val="right"/>
              <w:rPr>
                <w:sz w:val="22"/>
                <w:lang w:val="en-US"/>
              </w:rPr>
            </w:pPr>
            <w:r>
              <w:rPr>
                <w:sz w:val="22"/>
                <w:lang w:val="en-US"/>
              </w:rPr>
              <w:t>265</w:t>
            </w:r>
          </w:p>
        </w:tc>
        <w:tc>
          <w:tcPr>
            <w:tcW w:w="1301" w:type="dxa"/>
            <w:gridSpan w:val="3"/>
            <w:tcBorders>
              <w:bottom w:val="nil"/>
            </w:tcBorders>
          </w:tcPr>
          <w:p w:rsidR="00000000" w:rsidRDefault="00000000">
            <w:pPr>
              <w:tabs>
                <w:tab w:val="clear" w:pos="567"/>
                <w:tab w:val="clear" w:pos="1134"/>
              </w:tabs>
              <w:jc w:val="right"/>
              <w:rPr>
                <w:sz w:val="22"/>
                <w:lang w:val="en-US"/>
              </w:rPr>
            </w:pPr>
            <w:r>
              <w:rPr>
                <w:sz w:val="22"/>
                <w:lang w:val="en-US"/>
              </w:rPr>
              <w:t>352</w:t>
            </w:r>
          </w:p>
        </w:tc>
        <w:tc>
          <w:tcPr>
            <w:tcW w:w="1274" w:type="dxa"/>
            <w:gridSpan w:val="3"/>
            <w:tcBorders>
              <w:bottom w:val="nil"/>
            </w:tcBorders>
          </w:tcPr>
          <w:p w:rsidR="00000000" w:rsidRDefault="00000000">
            <w:pPr>
              <w:tabs>
                <w:tab w:val="clear" w:pos="567"/>
                <w:tab w:val="clear" w:pos="1134"/>
              </w:tabs>
              <w:jc w:val="right"/>
              <w:rPr>
                <w:sz w:val="22"/>
                <w:lang w:val="en-US"/>
              </w:rPr>
            </w:pPr>
            <w:r>
              <w:rPr>
                <w:sz w:val="22"/>
                <w:lang w:val="en-US"/>
              </w:rPr>
              <w:t>198</w:t>
            </w:r>
          </w:p>
        </w:tc>
        <w:tc>
          <w:tcPr>
            <w:tcW w:w="1726" w:type="dxa"/>
            <w:gridSpan w:val="2"/>
            <w:tcBorders>
              <w:bottom w:val="nil"/>
            </w:tcBorders>
          </w:tcPr>
          <w:p w:rsidR="00000000" w:rsidRDefault="00000000">
            <w:pPr>
              <w:tabs>
                <w:tab w:val="clear" w:pos="567"/>
                <w:tab w:val="clear" w:pos="1134"/>
                <w:tab w:val="clear" w:pos="1701"/>
              </w:tabs>
              <w:jc w:val="right"/>
              <w:rPr>
                <w:sz w:val="22"/>
                <w:lang w:val="en-US"/>
              </w:rPr>
            </w:pPr>
            <w:r>
              <w:rPr>
                <w:sz w:val="22"/>
                <w:lang w:val="en-US"/>
              </w:rPr>
              <w:t>56</w:t>
            </w:r>
          </w:p>
        </w:tc>
      </w:tr>
      <w:tr w:rsidR="00000000">
        <w:tblPrEx>
          <w:tblCellMar>
            <w:top w:w="0" w:type="dxa"/>
            <w:bottom w:w="0" w:type="dxa"/>
          </w:tblCellMar>
        </w:tblPrEx>
        <w:trPr>
          <w:cantSplit/>
        </w:trPr>
        <w:tc>
          <w:tcPr>
            <w:tcW w:w="3412" w:type="dxa"/>
            <w:tcBorders>
              <w:top w:val="nil"/>
              <w:bottom w:val="nil"/>
            </w:tcBorders>
          </w:tcPr>
          <w:p w:rsidR="00000000" w:rsidRDefault="00000000">
            <w:pPr>
              <w:rPr>
                <w:sz w:val="22"/>
              </w:rPr>
            </w:pPr>
            <w:r>
              <w:rPr>
                <w:sz w:val="22"/>
              </w:rPr>
              <w:t>Раковые заболевания</w:t>
            </w:r>
          </w:p>
        </w:tc>
        <w:tc>
          <w:tcPr>
            <w:tcW w:w="1638"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146</w:t>
            </w:r>
          </w:p>
        </w:tc>
        <w:tc>
          <w:tcPr>
            <w:tcW w:w="1301"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190</w:t>
            </w:r>
          </w:p>
        </w:tc>
        <w:tc>
          <w:tcPr>
            <w:tcW w:w="1274"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119</w:t>
            </w:r>
          </w:p>
        </w:tc>
        <w:tc>
          <w:tcPr>
            <w:tcW w:w="1726" w:type="dxa"/>
            <w:gridSpan w:val="2"/>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63</w:t>
            </w:r>
          </w:p>
        </w:tc>
      </w:tr>
      <w:tr w:rsidR="00000000">
        <w:tblPrEx>
          <w:tblCellMar>
            <w:top w:w="0" w:type="dxa"/>
            <w:bottom w:w="0" w:type="dxa"/>
          </w:tblCellMar>
        </w:tblPrEx>
        <w:trPr>
          <w:cantSplit/>
        </w:trPr>
        <w:tc>
          <w:tcPr>
            <w:tcW w:w="3412" w:type="dxa"/>
            <w:tcBorders>
              <w:top w:val="nil"/>
              <w:bottom w:val="nil"/>
            </w:tcBorders>
          </w:tcPr>
          <w:p w:rsidR="00000000" w:rsidRDefault="00000000">
            <w:pPr>
              <w:rPr>
                <w:sz w:val="22"/>
              </w:rPr>
            </w:pPr>
            <w:r>
              <w:rPr>
                <w:sz w:val="22"/>
              </w:rPr>
              <w:t>Респираторные заболевания</w:t>
            </w:r>
          </w:p>
        </w:tc>
        <w:tc>
          <w:tcPr>
            <w:tcW w:w="1638"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46</w:t>
            </w:r>
          </w:p>
        </w:tc>
        <w:tc>
          <w:tcPr>
            <w:tcW w:w="1301"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73</w:t>
            </w:r>
          </w:p>
        </w:tc>
        <w:tc>
          <w:tcPr>
            <w:tcW w:w="1274"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31</w:t>
            </w:r>
          </w:p>
        </w:tc>
        <w:tc>
          <w:tcPr>
            <w:tcW w:w="1726" w:type="dxa"/>
            <w:gridSpan w:val="2"/>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42</w:t>
            </w:r>
          </w:p>
        </w:tc>
      </w:tr>
      <w:tr w:rsidR="00000000">
        <w:tblPrEx>
          <w:tblCellMar>
            <w:top w:w="0" w:type="dxa"/>
            <w:bottom w:w="0" w:type="dxa"/>
          </w:tblCellMar>
        </w:tblPrEx>
        <w:trPr>
          <w:cantSplit/>
        </w:trPr>
        <w:tc>
          <w:tcPr>
            <w:tcW w:w="3412" w:type="dxa"/>
            <w:tcBorders>
              <w:top w:val="nil"/>
              <w:bottom w:val="nil"/>
            </w:tcBorders>
          </w:tcPr>
          <w:p w:rsidR="00000000" w:rsidRDefault="00000000">
            <w:pPr>
              <w:rPr>
                <w:sz w:val="22"/>
              </w:rPr>
            </w:pPr>
            <w:r>
              <w:rPr>
                <w:sz w:val="22"/>
              </w:rPr>
              <w:t>Желудочно-кишечные заболевания</w:t>
            </w:r>
          </w:p>
        </w:tc>
        <w:tc>
          <w:tcPr>
            <w:tcW w:w="1638"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31</w:t>
            </w:r>
          </w:p>
        </w:tc>
        <w:tc>
          <w:tcPr>
            <w:tcW w:w="1301"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40</w:t>
            </w:r>
          </w:p>
        </w:tc>
        <w:tc>
          <w:tcPr>
            <w:tcW w:w="1274"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20</w:t>
            </w:r>
          </w:p>
        </w:tc>
        <w:tc>
          <w:tcPr>
            <w:tcW w:w="1726" w:type="dxa"/>
            <w:gridSpan w:val="2"/>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49</w:t>
            </w:r>
          </w:p>
        </w:tc>
      </w:tr>
      <w:tr w:rsidR="00000000">
        <w:tblPrEx>
          <w:tblCellMar>
            <w:top w:w="0" w:type="dxa"/>
            <w:bottom w:w="0" w:type="dxa"/>
          </w:tblCellMar>
        </w:tblPrEx>
        <w:trPr>
          <w:cantSplit/>
        </w:trPr>
        <w:tc>
          <w:tcPr>
            <w:tcW w:w="3412" w:type="dxa"/>
            <w:tcBorders>
              <w:top w:val="nil"/>
              <w:bottom w:val="nil"/>
            </w:tcBorders>
          </w:tcPr>
          <w:p w:rsidR="00000000" w:rsidRDefault="00000000">
            <w:pPr>
              <w:rPr>
                <w:sz w:val="22"/>
              </w:rPr>
            </w:pPr>
            <w:r>
              <w:rPr>
                <w:sz w:val="22"/>
              </w:rPr>
              <w:t>Прочие заболевания</w:t>
            </w:r>
          </w:p>
        </w:tc>
        <w:tc>
          <w:tcPr>
            <w:tcW w:w="1638"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85</w:t>
            </w:r>
          </w:p>
        </w:tc>
        <w:tc>
          <w:tcPr>
            <w:tcW w:w="1301"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82</w:t>
            </w:r>
          </w:p>
        </w:tc>
        <w:tc>
          <w:tcPr>
            <w:tcW w:w="1274"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89</w:t>
            </w:r>
          </w:p>
        </w:tc>
        <w:tc>
          <w:tcPr>
            <w:tcW w:w="1726" w:type="dxa"/>
            <w:gridSpan w:val="2"/>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108</w:t>
            </w:r>
          </w:p>
        </w:tc>
      </w:tr>
      <w:tr w:rsidR="00000000">
        <w:tblPrEx>
          <w:tblCellMar>
            <w:top w:w="0" w:type="dxa"/>
            <w:bottom w:w="0" w:type="dxa"/>
          </w:tblCellMar>
        </w:tblPrEx>
        <w:trPr>
          <w:cantSplit/>
        </w:trPr>
        <w:tc>
          <w:tcPr>
            <w:tcW w:w="3412" w:type="dxa"/>
            <w:tcBorders>
              <w:top w:val="nil"/>
              <w:bottom w:val="nil"/>
            </w:tcBorders>
          </w:tcPr>
          <w:p w:rsidR="00000000" w:rsidRDefault="00000000">
            <w:pPr>
              <w:rPr>
                <w:sz w:val="22"/>
              </w:rPr>
            </w:pPr>
            <w:r>
              <w:rPr>
                <w:sz w:val="22"/>
              </w:rPr>
              <w:t>Несчастные случаи и насилие</w:t>
            </w:r>
          </w:p>
        </w:tc>
        <w:tc>
          <w:tcPr>
            <w:tcW w:w="1638"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68</w:t>
            </w:r>
          </w:p>
        </w:tc>
        <w:tc>
          <w:tcPr>
            <w:tcW w:w="1301"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106</w:t>
            </w:r>
          </w:p>
        </w:tc>
        <w:tc>
          <w:tcPr>
            <w:tcW w:w="1274" w:type="dxa"/>
            <w:gridSpan w:val="3"/>
            <w:tcBorders>
              <w:top w:val="nil"/>
              <w:bottom w:val="nil"/>
            </w:tcBorders>
          </w:tcPr>
          <w:p w:rsidR="00000000" w:rsidRDefault="00000000">
            <w:pPr>
              <w:tabs>
                <w:tab w:val="clear" w:pos="567"/>
                <w:tab w:val="clear" w:pos="1134"/>
              </w:tabs>
              <w:jc w:val="right"/>
              <w:rPr>
                <w:sz w:val="22"/>
                <w:lang w:val="en-US"/>
              </w:rPr>
            </w:pPr>
            <w:r>
              <w:rPr>
                <w:sz w:val="22"/>
                <w:lang w:val="en-US"/>
              </w:rPr>
              <w:t>34</w:t>
            </w:r>
          </w:p>
        </w:tc>
        <w:tc>
          <w:tcPr>
            <w:tcW w:w="1726" w:type="dxa"/>
            <w:gridSpan w:val="2"/>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32</w:t>
            </w:r>
          </w:p>
        </w:tc>
      </w:tr>
      <w:tr w:rsidR="00000000">
        <w:tblPrEx>
          <w:tblCellMar>
            <w:top w:w="0" w:type="dxa"/>
            <w:bottom w:w="0" w:type="dxa"/>
          </w:tblCellMar>
        </w:tblPrEx>
        <w:trPr>
          <w:cantSplit/>
        </w:trPr>
        <w:tc>
          <w:tcPr>
            <w:tcW w:w="3412" w:type="dxa"/>
            <w:tcBorders>
              <w:top w:val="nil"/>
            </w:tcBorders>
          </w:tcPr>
          <w:p w:rsidR="00000000" w:rsidRDefault="00000000">
            <w:pPr>
              <w:rPr>
                <w:sz w:val="22"/>
              </w:rPr>
            </w:pPr>
            <w:r>
              <w:rPr>
                <w:sz w:val="22"/>
              </w:rPr>
              <w:t>- в том числе самоубийства</w:t>
            </w:r>
          </w:p>
        </w:tc>
        <w:tc>
          <w:tcPr>
            <w:tcW w:w="1638" w:type="dxa"/>
            <w:gridSpan w:val="3"/>
            <w:tcBorders>
              <w:top w:val="nil"/>
            </w:tcBorders>
          </w:tcPr>
          <w:p w:rsidR="00000000" w:rsidRDefault="00000000">
            <w:pPr>
              <w:tabs>
                <w:tab w:val="clear" w:pos="567"/>
                <w:tab w:val="clear" w:pos="1134"/>
              </w:tabs>
              <w:jc w:val="right"/>
              <w:rPr>
                <w:sz w:val="22"/>
                <w:lang w:val="en-US"/>
              </w:rPr>
            </w:pPr>
            <w:r>
              <w:rPr>
                <w:sz w:val="22"/>
                <w:lang w:val="en-US"/>
              </w:rPr>
              <w:t>19</w:t>
            </w:r>
          </w:p>
        </w:tc>
        <w:tc>
          <w:tcPr>
            <w:tcW w:w="1301" w:type="dxa"/>
            <w:gridSpan w:val="3"/>
            <w:tcBorders>
              <w:top w:val="nil"/>
            </w:tcBorders>
          </w:tcPr>
          <w:p w:rsidR="00000000" w:rsidRDefault="00000000">
            <w:pPr>
              <w:tabs>
                <w:tab w:val="clear" w:pos="567"/>
                <w:tab w:val="clear" w:pos="1134"/>
              </w:tabs>
              <w:jc w:val="right"/>
              <w:rPr>
                <w:sz w:val="22"/>
                <w:lang w:val="en-US"/>
              </w:rPr>
            </w:pPr>
            <w:r>
              <w:rPr>
                <w:sz w:val="22"/>
                <w:lang w:val="en-US"/>
              </w:rPr>
              <w:t>30</w:t>
            </w:r>
          </w:p>
        </w:tc>
        <w:tc>
          <w:tcPr>
            <w:tcW w:w="1274" w:type="dxa"/>
            <w:gridSpan w:val="3"/>
            <w:tcBorders>
              <w:top w:val="nil"/>
            </w:tcBorders>
          </w:tcPr>
          <w:p w:rsidR="00000000" w:rsidRDefault="00000000">
            <w:pPr>
              <w:tabs>
                <w:tab w:val="clear" w:pos="567"/>
                <w:tab w:val="clear" w:pos="1134"/>
              </w:tabs>
              <w:jc w:val="right"/>
              <w:rPr>
                <w:sz w:val="22"/>
                <w:lang w:val="en-US"/>
              </w:rPr>
            </w:pPr>
            <w:r>
              <w:rPr>
                <w:sz w:val="22"/>
                <w:lang w:val="en-US"/>
              </w:rPr>
              <w:t>9</w:t>
            </w:r>
          </w:p>
        </w:tc>
        <w:tc>
          <w:tcPr>
            <w:tcW w:w="1726" w:type="dxa"/>
            <w:gridSpan w:val="2"/>
            <w:tcBorders>
              <w:top w:val="nil"/>
            </w:tcBorders>
          </w:tcPr>
          <w:p w:rsidR="00000000" w:rsidRDefault="00000000">
            <w:pPr>
              <w:tabs>
                <w:tab w:val="clear" w:pos="567"/>
                <w:tab w:val="clear" w:pos="1134"/>
                <w:tab w:val="clear" w:pos="1701"/>
              </w:tabs>
              <w:jc w:val="right"/>
              <w:rPr>
                <w:sz w:val="22"/>
                <w:lang w:val="en-US"/>
              </w:rPr>
            </w:pPr>
            <w:r>
              <w:rPr>
                <w:sz w:val="22"/>
                <w:lang w:val="en-US"/>
              </w:rPr>
              <w:t>30</w:t>
            </w:r>
          </w:p>
        </w:tc>
      </w:tr>
      <w:tr w:rsidR="00000000">
        <w:tblPrEx>
          <w:tblCellMar>
            <w:top w:w="0" w:type="dxa"/>
            <w:bottom w:w="0" w:type="dxa"/>
          </w:tblCellMar>
        </w:tblPrEx>
        <w:trPr>
          <w:cantSplit/>
        </w:trPr>
        <w:tc>
          <w:tcPr>
            <w:tcW w:w="3412" w:type="dxa"/>
          </w:tcPr>
          <w:p w:rsidR="00000000" w:rsidRDefault="00000000">
            <w:pPr>
              <w:rPr>
                <w:sz w:val="22"/>
              </w:rPr>
            </w:pPr>
            <w:r>
              <w:rPr>
                <w:sz w:val="22"/>
                <w:lang w:val="en-US"/>
              </w:rPr>
              <w:tab/>
            </w:r>
            <w:r>
              <w:rPr>
                <w:sz w:val="22"/>
              </w:rPr>
              <w:t>Всего</w:t>
            </w:r>
          </w:p>
        </w:tc>
        <w:tc>
          <w:tcPr>
            <w:tcW w:w="1638" w:type="dxa"/>
            <w:gridSpan w:val="3"/>
          </w:tcPr>
          <w:p w:rsidR="00000000" w:rsidRDefault="00000000">
            <w:pPr>
              <w:tabs>
                <w:tab w:val="clear" w:pos="567"/>
                <w:tab w:val="clear" w:pos="1134"/>
              </w:tabs>
              <w:jc w:val="right"/>
              <w:rPr>
                <w:sz w:val="22"/>
                <w:lang w:val="en-US"/>
              </w:rPr>
            </w:pPr>
            <w:r>
              <w:rPr>
                <w:sz w:val="22"/>
                <w:lang w:val="en-US"/>
              </w:rPr>
              <w:t>660</w:t>
            </w:r>
          </w:p>
        </w:tc>
        <w:tc>
          <w:tcPr>
            <w:tcW w:w="1301" w:type="dxa"/>
            <w:gridSpan w:val="3"/>
          </w:tcPr>
          <w:p w:rsidR="00000000" w:rsidRDefault="00000000">
            <w:pPr>
              <w:tabs>
                <w:tab w:val="clear" w:pos="567"/>
                <w:tab w:val="clear" w:pos="1134"/>
              </w:tabs>
              <w:jc w:val="right"/>
              <w:rPr>
                <w:sz w:val="22"/>
                <w:lang w:val="en-US"/>
              </w:rPr>
            </w:pPr>
            <w:r>
              <w:rPr>
                <w:sz w:val="22"/>
                <w:lang w:val="en-US"/>
              </w:rPr>
              <w:t>874</w:t>
            </w:r>
          </w:p>
        </w:tc>
        <w:tc>
          <w:tcPr>
            <w:tcW w:w="1274" w:type="dxa"/>
            <w:gridSpan w:val="3"/>
          </w:tcPr>
          <w:p w:rsidR="00000000" w:rsidRDefault="00000000">
            <w:pPr>
              <w:tabs>
                <w:tab w:val="clear" w:pos="567"/>
                <w:tab w:val="clear" w:pos="1134"/>
              </w:tabs>
              <w:jc w:val="right"/>
              <w:rPr>
                <w:sz w:val="22"/>
                <w:lang w:val="en-US"/>
              </w:rPr>
            </w:pPr>
            <w:r>
              <w:rPr>
                <w:sz w:val="22"/>
                <w:lang w:val="en-US"/>
              </w:rPr>
              <w:t>500</w:t>
            </w:r>
          </w:p>
        </w:tc>
        <w:tc>
          <w:tcPr>
            <w:tcW w:w="1726" w:type="dxa"/>
            <w:gridSpan w:val="2"/>
          </w:tcPr>
          <w:p w:rsidR="00000000" w:rsidRDefault="00000000">
            <w:pPr>
              <w:tabs>
                <w:tab w:val="clear" w:pos="567"/>
                <w:tab w:val="clear" w:pos="1134"/>
                <w:tab w:val="clear" w:pos="1701"/>
              </w:tabs>
              <w:jc w:val="right"/>
              <w:rPr>
                <w:sz w:val="22"/>
                <w:lang w:val="en-US"/>
              </w:rPr>
            </w:pPr>
            <w:r>
              <w:rPr>
                <w:sz w:val="22"/>
                <w:lang w:val="en-US"/>
              </w:rPr>
              <w:t>57</w:t>
            </w:r>
          </w:p>
        </w:tc>
      </w:tr>
    </w:tbl>
    <w:p w:rsidR="00000000" w:rsidRDefault="00000000">
      <w:pPr>
        <w:rPr>
          <w:lang w:val="en-US"/>
        </w:rPr>
      </w:pPr>
    </w:p>
    <w:p w:rsidR="00000000" w:rsidRDefault="00000000">
      <w:pPr>
        <w:rPr>
          <w:lang w:val="en-US"/>
        </w:rPr>
      </w:pPr>
      <w:r>
        <w:rPr>
          <w:lang w:val="en-US"/>
        </w:rPr>
        <w:tab/>
      </w:r>
      <w:r>
        <w:rPr>
          <w:i/>
          <w:iCs/>
        </w:rPr>
        <w:t>Источники</w:t>
      </w:r>
      <w:r>
        <w:rPr>
          <w:i/>
          <w:iCs/>
          <w:lang w:val="en-US"/>
        </w:rPr>
        <w:t xml:space="preserve"> </w:t>
      </w:r>
      <w:r>
        <w:rPr>
          <w:i/>
          <w:iCs/>
        </w:rPr>
        <w:t>данных</w:t>
      </w:r>
      <w:r>
        <w:rPr>
          <w:lang w:val="en-US"/>
        </w:rPr>
        <w:t>:</w:t>
      </w:r>
    </w:p>
    <w:p w:rsidR="00000000" w:rsidRDefault="00000000">
      <w:pPr>
        <w:rPr>
          <w:lang w:val="en-US"/>
        </w:rPr>
      </w:pPr>
    </w:p>
    <w:p w:rsidR="00000000" w:rsidRDefault="00000000">
      <w:pPr>
        <w:ind w:left="1134" w:hanging="1134"/>
        <w:rPr>
          <w:lang w:val="en-US"/>
        </w:rPr>
      </w:pPr>
      <w:r>
        <w:rPr>
          <w:lang w:val="en-US"/>
        </w:rPr>
        <w:tab/>
        <w:t>-</w:t>
      </w:r>
      <w:r>
        <w:rPr>
          <w:lang w:val="en-US"/>
        </w:rPr>
        <w:tab/>
        <w:t>Mackenbach JP, Bos V, Andersen O, Cardano M, Costa G, Harding S, Reid A, Hemström O, Valkonen T, Kunst AE:  Widening socioeconomic inequalities in mortality in six Wes</w:t>
      </w:r>
      <w:r>
        <w:rPr>
          <w:lang w:val="en-US"/>
        </w:rPr>
        <w:t>t</w:t>
      </w:r>
      <w:r>
        <w:rPr>
          <w:lang w:val="en-US"/>
        </w:rPr>
        <w:t xml:space="preserve">ern European countries.  </w:t>
      </w:r>
      <w:r>
        <w:rPr>
          <w:lang w:val="fr-FR"/>
        </w:rPr>
        <w:t>Int J Ep</w:t>
      </w:r>
      <w:r>
        <w:rPr>
          <w:lang w:val="fr-FR"/>
        </w:rPr>
        <w:t>i</w:t>
      </w:r>
      <w:r>
        <w:rPr>
          <w:lang w:val="fr-FR"/>
        </w:rPr>
        <w:t xml:space="preserve">demiol. </w:t>
      </w:r>
      <w:r>
        <w:rPr>
          <w:lang w:val="en-US"/>
        </w:rPr>
        <w:t>2003 Oct;32(5):838-9.</w:t>
      </w:r>
    </w:p>
    <w:p w:rsidR="00000000" w:rsidRDefault="00000000">
      <w:pPr>
        <w:rPr>
          <w:lang w:val="en-US"/>
        </w:rPr>
      </w:pPr>
    </w:p>
    <w:p w:rsidR="00000000" w:rsidRDefault="00000000">
      <w:pPr>
        <w:ind w:left="1134" w:hanging="1134"/>
        <w:rPr>
          <w:lang w:val="en-US"/>
        </w:rPr>
      </w:pPr>
      <w:r>
        <w:rPr>
          <w:lang w:val="en-US"/>
        </w:rPr>
        <w:tab/>
        <w:t>-</w:t>
      </w:r>
      <w:r>
        <w:rPr>
          <w:lang w:val="en-US"/>
        </w:rPr>
        <w:tab/>
        <w:t>Martelin T, Mäkelä P, Valkonen T:  Contribution of deaths related to alcohol or smoking to the gender di</w:t>
      </w:r>
      <w:r>
        <w:rPr>
          <w:lang w:val="en-US"/>
        </w:rPr>
        <w:t>f</w:t>
      </w:r>
      <w:r>
        <w:rPr>
          <w:lang w:val="en-US"/>
        </w:rPr>
        <w:t>ference in life expectancy:  Finland in the early 1990s. Eur J Public Health.  2004 Dec;14(4):422-7.</w:t>
      </w:r>
    </w:p>
    <w:p w:rsidR="00000000" w:rsidRDefault="00000000">
      <w:pPr>
        <w:rPr>
          <w:lang w:val="en-US"/>
        </w:rPr>
      </w:pPr>
    </w:p>
    <w:p w:rsidR="00000000" w:rsidRDefault="00000000">
      <w:pPr>
        <w:ind w:left="1134" w:hanging="1134"/>
        <w:rPr>
          <w:lang w:val="en-US"/>
        </w:rPr>
      </w:pPr>
      <w:r>
        <w:rPr>
          <w:lang w:val="en-US"/>
        </w:rPr>
        <w:tab/>
        <w:t>-</w:t>
      </w:r>
      <w:r>
        <w:rPr>
          <w:lang w:val="en-US"/>
        </w:rPr>
        <w:tab/>
        <w:t xml:space="preserve">Martikainen P, Valkonen T, Martelin T:  Change in male and female life expectancy by social class:  decomposition by age and cause of death in Finland 1971-95. J Epidemiol Community Health. 2001 Jul;55(7):494-9. </w:t>
      </w:r>
    </w:p>
    <w:p w:rsidR="00000000" w:rsidRDefault="00000000">
      <w:pPr>
        <w:rPr>
          <w:lang w:val="en-US"/>
        </w:rPr>
      </w:pPr>
    </w:p>
    <w:p w:rsidR="00000000" w:rsidRDefault="00000000">
      <w:pPr>
        <w:ind w:left="1134" w:hanging="1134"/>
        <w:rPr>
          <w:lang w:val="en-US"/>
        </w:rPr>
      </w:pPr>
      <w:r>
        <w:rPr>
          <w:lang w:val="en-US"/>
        </w:rPr>
        <w:tab/>
        <w:t>-</w:t>
      </w:r>
      <w:r>
        <w:rPr>
          <w:lang w:val="en-US"/>
        </w:rPr>
        <w:tab/>
        <w:t>Statistics Finland, Cause-of-Death Register.</w:t>
      </w:r>
    </w:p>
    <w:p w:rsidR="00000000" w:rsidRDefault="00000000">
      <w:pPr>
        <w:rPr>
          <w:lang w:val="en-US"/>
        </w:rPr>
      </w:pPr>
    </w:p>
    <w:p w:rsidR="00000000" w:rsidRDefault="00000000">
      <w:pPr>
        <w:ind w:left="1134" w:hanging="1134"/>
        <w:rPr>
          <w:lang w:val="en-US"/>
        </w:rPr>
      </w:pPr>
      <w:r>
        <w:rPr>
          <w:lang w:val="fi-FI"/>
        </w:rPr>
        <w:tab/>
        <w:t>-</w:t>
      </w:r>
      <w:r>
        <w:rPr>
          <w:lang w:val="fi-FI"/>
        </w:rPr>
        <w:tab/>
        <w:t xml:space="preserve">Valkonen T, Ahonen H, Martikainen P:  Sosiaaliryhmien välkiset erot elinajanodotteessa kasvoivat 1990-luvun loppuvuosina.  </w:t>
      </w:r>
      <w:r>
        <w:rPr>
          <w:lang w:val="en-US"/>
        </w:rPr>
        <w:t>Hyvinvointikatsaus 2/2003, 14-20.</w:t>
      </w:r>
    </w:p>
    <w:p w:rsidR="00000000" w:rsidRDefault="00000000">
      <w:pPr>
        <w:rPr>
          <w:lang w:val="en-US"/>
        </w:rPr>
      </w:pPr>
    </w:p>
    <w:p w:rsidR="00000000" w:rsidRDefault="00000000">
      <w:pPr>
        <w:ind w:left="1134" w:hanging="1134"/>
        <w:rPr>
          <w:lang w:val="en-US"/>
        </w:rPr>
      </w:pPr>
      <w:r>
        <w:rPr>
          <w:lang w:val="en-US"/>
        </w:rPr>
        <w:tab/>
        <w:t>-</w:t>
      </w:r>
      <w:r>
        <w:rPr>
          <w:lang w:val="en-US"/>
        </w:rPr>
        <w:tab/>
        <w:t xml:space="preserve">WHO Regional Office for Europe:  Highlights on Health for Finland (2004) - </w:t>
      </w:r>
      <w:r>
        <w:t>представлено</w:t>
      </w:r>
      <w:r>
        <w:rPr>
          <w:lang w:val="en-US"/>
        </w:rPr>
        <w:t xml:space="preserve"> </w:t>
      </w:r>
      <w:r>
        <w:t>на</w:t>
      </w:r>
      <w:r>
        <w:rPr>
          <w:lang w:val="en-US"/>
        </w:rPr>
        <w:t xml:space="preserve"> </w:t>
      </w:r>
      <w:r>
        <w:t>сайте</w:t>
      </w:r>
      <w:r>
        <w:rPr>
          <w:lang w:val="en-US"/>
        </w:rPr>
        <w:t xml:space="preserve"> http://www.who.dk/eprise/main/who/progs/chh/fin/20041122_1.</w:t>
      </w:r>
    </w:p>
    <w:p w:rsidR="00000000" w:rsidRDefault="00000000">
      <w:pPr>
        <w:rPr>
          <w:lang w:val="en-US"/>
        </w:rPr>
      </w:pPr>
    </w:p>
    <w:p w:rsidR="00000000" w:rsidRDefault="00000000">
      <w:pPr>
        <w:tabs>
          <w:tab w:val="clear" w:pos="1134"/>
        </w:tabs>
        <w:jc w:val="center"/>
      </w:pPr>
      <w:r>
        <w:rPr>
          <w:b/>
          <w:bCs/>
        </w:rPr>
        <w:t>5 а)</w:t>
      </w:r>
      <w:r>
        <w:rPr>
          <w:b/>
          <w:bCs/>
        </w:rPr>
        <w:tab/>
        <w:t>Различия с точки зрения положения в области здравоохранения</w:t>
      </w:r>
      <w:r>
        <w:rPr>
          <w:b/>
          <w:bCs/>
        </w:rPr>
        <w:br/>
        <w:t>между различными группами и районами</w:t>
      </w:r>
    </w:p>
    <w:p w:rsidR="00000000" w:rsidRDefault="00000000">
      <w:pPr>
        <w:ind w:left="1134" w:hanging="1134"/>
      </w:pPr>
    </w:p>
    <w:p w:rsidR="00000000" w:rsidRDefault="00000000">
      <w:r>
        <w:t>534.</w:t>
      </w:r>
      <w:r>
        <w:tab/>
        <w:t>Система общественного здравоохранения охватывает все население.  Однако в сельской местности большие расстояния затрудняют доступ к услугам.  Между различными регионами прослеживаются также различия с точки зрения времени ожидания для получения доступа к медицинской помощи.  В порядке решения проблем, связанных с длительными периодами ожидания того, чтобы попасть к врачу, были приняты новые  нормативно-правовые положения.  Кроме того, муниципалитетам были выделены дополнительные финансовые средства с целью сокращения соответствующих сроков ожидания.</w:t>
      </w:r>
    </w:p>
    <w:p w:rsidR="00000000" w:rsidRDefault="00000000"/>
    <w:p w:rsidR="00000000" w:rsidRDefault="00000000">
      <w:r>
        <w:t>535.</w:t>
      </w:r>
      <w:r>
        <w:tab/>
        <w:t>У мужчин состояние здоровья хуже, чем у женщин, и их ожидаемая продолжительность жизни по</w:t>
      </w:r>
      <w:r>
        <w:noBreakHyphen/>
        <w:t>прежнему значительно короче.  Однако указанные различия сглаживаются.</w:t>
      </w:r>
    </w:p>
    <w:p w:rsidR="00000000" w:rsidRDefault="00000000"/>
    <w:p w:rsidR="00000000" w:rsidRDefault="00000000">
      <w:r>
        <w:t>536.</w:t>
      </w:r>
      <w:r>
        <w:tab/>
        <w:t xml:space="preserve">Что касается большинства факторов, определяющих состояние здоровья, и основной части хронических заболеваний, то малопросвещенные лица находятся в менее благоприятном положении, чем лица со средним или высшим образованием.  Кроме того, в рамках этих групп в худшем положении находятся разведенные мужчины.  Лица, имеющие низкий уровень образования, как правило, заняты на физической работе, требующей большого напряжения сил, и получают более низкий доход.  </w:t>
      </w:r>
    </w:p>
    <w:p w:rsidR="00000000" w:rsidRDefault="00000000"/>
    <w:p w:rsidR="00000000" w:rsidRDefault="00000000">
      <w:pPr>
        <w:ind w:left="567" w:hanging="567"/>
        <w:jc w:val="center"/>
      </w:pPr>
      <w:r>
        <w:rPr>
          <w:b/>
          <w:bCs/>
        </w:rPr>
        <w:t xml:space="preserve">5 </w:t>
      </w:r>
      <w:r>
        <w:rPr>
          <w:b/>
          <w:bCs/>
          <w:lang w:val="en-US"/>
        </w:rPr>
        <w:t>b</w:t>
      </w:r>
      <w:r>
        <w:rPr>
          <w:b/>
          <w:bCs/>
        </w:rPr>
        <w:t xml:space="preserve">), </w:t>
      </w:r>
      <w:r>
        <w:rPr>
          <w:b/>
          <w:bCs/>
          <w:lang w:val="en-US"/>
        </w:rPr>
        <w:t>c</w:t>
      </w:r>
      <w:r>
        <w:rPr>
          <w:b/>
          <w:bCs/>
        </w:rPr>
        <w:t xml:space="preserve">) и </w:t>
      </w:r>
      <w:r>
        <w:rPr>
          <w:b/>
          <w:bCs/>
          <w:lang w:val="en-US"/>
        </w:rPr>
        <w:t>d</w:t>
      </w:r>
      <w:r>
        <w:rPr>
          <w:b/>
          <w:bCs/>
        </w:rPr>
        <w:t>)  Меры, направленные на улучшение состояния здоровья населения, относящегося к уязвимым и находящимся в неблагоприятном положении группам или проживающего в депрессивных районах</w:t>
      </w:r>
    </w:p>
    <w:p w:rsidR="00000000" w:rsidRDefault="00000000">
      <w:pPr>
        <w:ind w:left="567" w:hanging="567"/>
      </w:pPr>
    </w:p>
    <w:p w:rsidR="00000000" w:rsidRDefault="00000000">
      <w:r>
        <w:t>537.</w:t>
      </w:r>
      <w:r>
        <w:tab/>
        <w:t xml:space="preserve">Проблемы охраны здоровья групп населения, находящегося в неблагоприятном положении, принимаются во внимание в ходе всех мер, принимаемых в области общественного здравоохранения.  Сокращение социально-экономического неравенства в сфере здравоохранения является одной из количественных целей программы "Здравоохранение - 2015".  С этой целью органы здравоохранения и социального обеспечения работают в тесном взаимодействии друг с другом.  </w:t>
      </w:r>
    </w:p>
    <w:p w:rsidR="00000000" w:rsidRDefault="00000000"/>
    <w:p w:rsidR="00000000" w:rsidRDefault="00000000">
      <w:r>
        <w:t>538.</w:t>
      </w:r>
      <w:r>
        <w:tab/>
        <w:t>В 2002 году в школьные учебные планы вновь была введена проблематика санитарного просвещения, чтобы расширить знания всего населения по вопросам охраны здоровья.</w:t>
      </w:r>
    </w:p>
    <w:p w:rsidR="00000000" w:rsidRDefault="00000000"/>
    <w:p w:rsidR="00000000" w:rsidRDefault="00000000">
      <w:r>
        <w:t>539.</w:t>
      </w:r>
      <w:r>
        <w:tab/>
        <w:t xml:space="preserve">В 2004 году под руководством </w:t>
      </w:r>
      <w:r>
        <w:rPr>
          <w:lang w:val="en-US"/>
        </w:rPr>
        <w:t>KTL</w:t>
      </w:r>
      <w:r>
        <w:t xml:space="preserve"> (Национального института общественного здравоохранения) было начато осуществление совместной программы, направленной на сокращение социально-экономических различий в сфере здравоохранения.</w:t>
      </w:r>
    </w:p>
    <w:p w:rsidR="00000000" w:rsidRDefault="00000000"/>
    <w:p w:rsidR="00000000" w:rsidRDefault="00000000">
      <w:pPr>
        <w:tabs>
          <w:tab w:val="clear" w:pos="1134"/>
        </w:tabs>
        <w:jc w:val="center"/>
      </w:pPr>
      <w:r>
        <w:rPr>
          <w:b/>
          <w:bCs/>
        </w:rPr>
        <w:t>5 е)</w:t>
      </w:r>
      <w:r>
        <w:rPr>
          <w:b/>
          <w:bCs/>
        </w:rPr>
        <w:tab/>
        <w:t>Меры, направленные на сокращение мертворождаемости и младенческой смертности и на обеспечение здорового развития ребенка</w:t>
      </w:r>
    </w:p>
    <w:p w:rsidR="00000000" w:rsidRDefault="00000000">
      <w:pPr>
        <w:ind w:left="1134" w:hanging="1134"/>
      </w:pPr>
    </w:p>
    <w:p w:rsidR="00000000" w:rsidRDefault="00000000">
      <w:r>
        <w:t>540.</w:t>
      </w:r>
      <w:r>
        <w:tab/>
        <w:t>Финская система медицинского обслуживания, предусматривающая оказание одинаковых услуг всем гражданам наряду с всеобъемлющей социальной защитой, обеспечивает возможность для неизменного сокращения уровня младенческой смертности.</w:t>
      </w:r>
    </w:p>
    <w:p w:rsidR="00000000" w:rsidRDefault="00000000"/>
    <w:p w:rsidR="00000000" w:rsidRDefault="00000000">
      <w:r>
        <w:t>541.</w:t>
      </w:r>
      <w:r>
        <w:tab/>
        <w:t xml:space="preserve">На практике все население пользуется услугами клиник по охране материнства и детства, входящих в систему оказания базовой медицинской помощи.  Стандарты, касающиеся содержания и качества услуг, оказываемых этими клиниками, недавно были обновлены.  </w:t>
      </w:r>
    </w:p>
    <w:p w:rsidR="00000000" w:rsidRDefault="00000000"/>
    <w:p w:rsidR="00000000" w:rsidRDefault="00000000">
      <w:r>
        <w:t>542.</w:t>
      </w:r>
      <w:r>
        <w:tab/>
        <w:t xml:space="preserve">Детские клиники и службы охраны здоровья в школах имеют крайне важное значение для поддержания и стимулирования здорового развития ребенка.  В частности, были приняты меры с целью предоставления в распоряжение местных властей конкретных средств для обеспечения надлежащего психо-социального развития детей.  </w:t>
      </w:r>
    </w:p>
    <w:p w:rsidR="00000000" w:rsidRDefault="00000000"/>
    <w:p w:rsidR="00000000" w:rsidRDefault="00000000">
      <w:r>
        <w:t>543.</w:t>
      </w:r>
      <w:r>
        <w:tab/>
        <w:t>Помимо национальной политики здравоохранения проводятся также другие меры политики, способствующие укреплению здоровья детей.  Например, в рамках правительственной политики развития спорта уделяется пристальное внимание физической активности молодежи.  С тем чтобы расширить знания подрастающего поколения по вопросам здравоохранения, в школьные учебные планы было вновь введено санитарное просвещение.</w:t>
      </w:r>
    </w:p>
    <w:p w:rsidR="00000000" w:rsidRDefault="00000000"/>
    <w:p w:rsidR="00000000" w:rsidRDefault="00000000">
      <w:pPr>
        <w:jc w:val="center"/>
        <w:rPr>
          <w:b/>
          <w:bCs/>
        </w:rPr>
      </w:pPr>
      <w:r>
        <w:rPr>
          <w:b/>
          <w:bCs/>
        </w:rPr>
        <w:t xml:space="preserve">5 </w:t>
      </w:r>
      <w:r>
        <w:rPr>
          <w:b/>
          <w:bCs/>
          <w:lang w:val="en-US"/>
        </w:rPr>
        <w:t>f</w:t>
      </w:r>
      <w:r>
        <w:rPr>
          <w:b/>
          <w:bCs/>
        </w:rPr>
        <w:t>)</w:t>
      </w:r>
      <w:r>
        <w:rPr>
          <w:b/>
          <w:bCs/>
        </w:rPr>
        <w:tab/>
        <w:t>Экологическая и промышленная гигиена</w:t>
      </w:r>
    </w:p>
    <w:p w:rsidR="00000000" w:rsidRDefault="00000000">
      <w:pPr>
        <w:rPr>
          <w:b/>
          <w:bCs/>
        </w:rPr>
      </w:pPr>
    </w:p>
    <w:p w:rsidR="00000000" w:rsidRDefault="00000000">
      <w:r>
        <w:t>544.</w:t>
      </w:r>
      <w:r>
        <w:tab/>
        <w:t xml:space="preserve">Уровень экологической гигиены в Финляндии является удовлетворительным.  Требования в отношении обеспечения, поддержания и улучшения экологической гигиены предусмотрены в Законе об охране здоровья (763/1994), Законе о пищевой гигиене продуктов питания животного происхождения (1195/1996) и Законе об охране окружающей среды (86/2000).  В вышеуказанных законах содержатся, в частности, положения по следующим вопросам:  </w:t>
      </w:r>
    </w:p>
    <w:p w:rsidR="00000000" w:rsidRDefault="00000000"/>
    <w:p w:rsidR="00000000" w:rsidRDefault="00000000">
      <w:pPr>
        <w:ind w:left="1134" w:hanging="1134"/>
      </w:pPr>
      <w:r>
        <w:rPr>
          <w:lang w:val="en-US"/>
        </w:rPr>
        <w:tab/>
      </w:r>
      <w:r>
        <w:noBreakHyphen/>
      </w:r>
      <w:r>
        <w:tab/>
        <w:t>предварительный контроль за промышленным загрязнением (процедура выдачи разрешений);</w:t>
      </w:r>
    </w:p>
    <w:p w:rsidR="00000000" w:rsidRDefault="00000000">
      <w:pPr>
        <w:ind w:left="567" w:hanging="567"/>
      </w:pPr>
    </w:p>
    <w:p w:rsidR="00000000" w:rsidRDefault="00000000">
      <w:pPr>
        <w:ind w:left="567" w:hanging="567"/>
      </w:pPr>
      <w:r>
        <w:rPr>
          <w:lang w:val="en-US"/>
        </w:rPr>
        <w:tab/>
      </w:r>
      <w:r>
        <w:noBreakHyphen/>
      </w:r>
      <w:r>
        <w:tab/>
        <w:t>стандарты качества экологической гигиены;</w:t>
      </w:r>
    </w:p>
    <w:p w:rsidR="00000000" w:rsidRDefault="00000000">
      <w:pPr>
        <w:ind w:left="567" w:hanging="567"/>
      </w:pPr>
    </w:p>
    <w:p w:rsidR="00000000" w:rsidRDefault="00000000">
      <w:pPr>
        <w:ind w:left="1134" w:hanging="1134"/>
      </w:pPr>
      <w:r>
        <w:rPr>
          <w:lang w:val="en-US"/>
        </w:rPr>
        <w:tab/>
      </w:r>
      <w:r>
        <w:noBreakHyphen/>
      </w:r>
      <w:r>
        <w:tab/>
        <w:t>регулярный контроль за соблюдением стандартов качества со стороны компетентных органов, а также планы проведения проверок;  и</w:t>
      </w:r>
    </w:p>
    <w:p w:rsidR="00000000" w:rsidRDefault="00000000">
      <w:pPr>
        <w:ind w:left="567" w:hanging="567"/>
      </w:pPr>
    </w:p>
    <w:p w:rsidR="00000000" w:rsidRDefault="00000000">
      <w:pPr>
        <w:ind w:left="567" w:hanging="567"/>
      </w:pPr>
      <w:r>
        <w:rPr>
          <w:lang w:val="en-US"/>
        </w:rPr>
        <w:tab/>
      </w:r>
      <w:r>
        <w:noBreakHyphen/>
      </w:r>
      <w:r>
        <w:tab/>
        <w:t>обеспечение готовности к чрезвычайным ситуациям.</w:t>
      </w:r>
    </w:p>
    <w:p w:rsidR="00000000" w:rsidRDefault="00000000">
      <w:pPr>
        <w:ind w:left="567" w:hanging="567"/>
      </w:pPr>
    </w:p>
    <w:p w:rsidR="00000000" w:rsidRDefault="00000000">
      <w:pPr>
        <w:jc w:val="center"/>
        <w:rPr>
          <w:b/>
          <w:bCs/>
        </w:rPr>
      </w:pPr>
      <w:r>
        <w:rPr>
          <w:b/>
          <w:bCs/>
        </w:rPr>
        <w:t xml:space="preserve">5 </w:t>
      </w:r>
      <w:r>
        <w:rPr>
          <w:b/>
          <w:bCs/>
          <w:lang w:val="en-US"/>
        </w:rPr>
        <w:t>g</w:t>
      </w:r>
      <w:r>
        <w:rPr>
          <w:b/>
          <w:bCs/>
        </w:rPr>
        <w:t>)</w:t>
      </w:r>
      <w:r>
        <w:rPr>
          <w:b/>
          <w:bCs/>
        </w:rPr>
        <w:tab/>
        <w:t>Эпидемические заболевания</w:t>
      </w:r>
    </w:p>
    <w:p w:rsidR="00000000" w:rsidRDefault="00000000">
      <w:pPr>
        <w:rPr>
          <w:b/>
          <w:bCs/>
        </w:rPr>
      </w:pPr>
    </w:p>
    <w:p w:rsidR="00000000" w:rsidRDefault="00000000">
      <w:r>
        <w:t>545.</w:t>
      </w:r>
      <w:r>
        <w:tab/>
        <w:t>В Финляндии создана информационно-регистрационная система по эпидемическим заболеваниям.  Данные, хранящиеся в национальном регистре, доступны для врачей, отвечающих за лечение таких заболеваний в больничных округах или центрах охраны здоровья.  С 1997 года существует также система регистрации предполагаемых случаев эпидемических заболеваний.  За последние несколько лет стали более активно приниматься меры профилактики инфекций в больницах.  В случае общих программ вакцинации вакцины приобретаются за счет государственных средств и прививки делаются гражданам бесплатно.</w:t>
      </w:r>
    </w:p>
    <w:p w:rsidR="00000000" w:rsidRDefault="00000000"/>
    <w:p w:rsidR="00000000" w:rsidRDefault="00000000">
      <w:r>
        <w:t>546.</w:t>
      </w:r>
      <w:r>
        <w:tab/>
        <w:t xml:space="preserve">Положение с инфекционными болезнями является удовлетворительным, и никаких крупных эпидемий не происходило.  Рост случаев ВИЧ/СПИДа менее выражен, чем в большинстве промышленно развитых западных стран.  То же самое касается инфекций, вызываемых бактериями МРСА.  Несмотря на высокую хроническую заболеваемость туберкулезом в соседних странах, эта проблема Финляндии не коснулась.  </w:t>
      </w:r>
    </w:p>
    <w:p w:rsidR="00000000" w:rsidRDefault="00000000"/>
    <w:p w:rsidR="00000000" w:rsidRDefault="00000000">
      <w:r>
        <w:t>547.</w:t>
      </w:r>
      <w:r>
        <w:tab/>
        <w:t xml:space="preserve">Финляндия активно участвует в осуществлении мер раннего предупреждения и быстрого реагирования в области здравоохранения, проводимых по линии ЕС.  </w:t>
      </w:r>
    </w:p>
    <w:p w:rsidR="00000000" w:rsidRDefault="00000000"/>
    <w:p w:rsidR="00000000" w:rsidRDefault="00000000">
      <w:pPr>
        <w:jc w:val="center"/>
        <w:rPr>
          <w:b/>
          <w:bCs/>
        </w:rPr>
      </w:pPr>
      <w:r>
        <w:rPr>
          <w:b/>
          <w:bCs/>
        </w:rPr>
        <w:t xml:space="preserve">5 </w:t>
      </w:r>
      <w:r>
        <w:rPr>
          <w:b/>
          <w:bCs/>
          <w:lang w:val="en-US"/>
        </w:rPr>
        <w:t>h</w:t>
      </w:r>
      <w:r>
        <w:rPr>
          <w:b/>
          <w:bCs/>
        </w:rPr>
        <w:t>)</w:t>
      </w:r>
      <w:r>
        <w:rPr>
          <w:b/>
          <w:bCs/>
        </w:rPr>
        <w:tab/>
        <w:t>Меры по обеспечению всестороннего медицинского</w:t>
      </w:r>
    </w:p>
    <w:p w:rsidR="00000000" w:rsidRDefault="00000000">
      <w:pPr>
        <w:jc w:val="center"/>
        <w:rPr>
          <w:b/>
          <w:bCs/>
        </w:rPr>
      </w:pPr>
      <w:r>
        <w:rPr>
          <w:b/>
          <w:bCs/>
        </w:rPr>
        <w:t>обслуживания и ухода</w:t>
      </w:r>
    </w:p>
    <w:p w:rsidR="00000000" w:rsidRDefault="00000000">
      <w:pPr>
        <w:rPr>
          <w:b/>
          <w:bCs/>
        </w:rPr>
      </w:pPr>
    </w:p>
    <w:p w:rsidR="00000000" w:rsidRDefault="00000000">
      <w:r>
        <w:t>548.</w:t>
      </w:r>
      <w:r>
        <w:tab/>
        <w:t>1 марта 2005 вступили в силу законы (855-858/2004), устанавливающие новые нормативно-половые положения, гарантирующие доступ к медицинской помощи.  Закон об общественном здравоохранении (66/1972) и Закон о специальной медицинской помощи (1062/1989) с внесенными поправками в настоящее время предусматривают максимальные сроки, в течение которых должен быть обеспечен доступ к консультированию с целью оценки потребности в медицинской помощи.  Кроме того, были внесены поправки в Закон о пациентах и в Закон о социальном обеспечении и плате за медицинское обслуживание (734/1992).</w:t>
      </w:r>
    </w:p>
    <w:p w:rsidR="00000000" w:rsidRDefault="00000000"/>
    <w:p w:rsidR="00000000" w:rsidRDefault="00000000">
      <w:r>
        <w:t>549.</w:t>
      </w:r>
      <w:r>
        <w:tab/>
        <w:t>В соответствии с вышеупомянутыми поправками местные власти и объединенные муниципальные советы несут статутное обязательство в отношении более четкой организации системы оказания медицинской помощи.  Цель поправок заключается в предоставлении необходимой медицинской помощи, сокращении различий в доступе к медицинскому обслуживанию и повышении транспарентности в периоды ожидания, а также справедливости и качества в плане доступа к обслуживанию и лечению.  Проработке этих задач может способствовать, в частности, подготовка национальных руководящих принципов оказания помощи, а также пересмотр структурных механизмов и методов обслуживания.</w:t>
      </w:r>
    </w:p>
    <w:p w:rsidR="00000000" w:rsidRDefault="00000000"/>
    <w:p w:rsidR="00000000" w:rsidRDefault="00000000">
      <w:r>
        <w:t>550.</w:t>
      </w:r>
      <w:r>
        <w:tab/>
      </w:r>
      <w:r>
        <w:rPr>
          <w:i/>
          <w:iCs/>
        </w:rPr>
        <w:t>Максимальные периоды ожидания</w:t>
      </w:r>
      <w:r>
        <w:t>.  Цель законодательных поправок, гарантирующих доступ к консультированию для оценки потребности в помощи, сводится к повышению эффективности медицинского обслуживания.  Согласно новым положениям, пациенты должны иметь возможность обратиться в центр охраны здоровья непосредственно в часы его работы в будние дни.  Пациент должен быть записан на прием для обследования с целью оценки потребности в несрочной медицинской помощи в центре охраны здоровья в течение трех рабочих дней с момента его обращения в центр, если соответствующую консультацию нельзя провести по телефону.  В случае если по итогам обследования обнаружена необходимость в оказании медицинской или зубоврачебной помощи, доступ к ней должен быть обеспечен в обоснованное время.</w:t>
      </w:r>
    </w:p>
    <w:p w:rsidR="00000000" w:rsidRDefault="00000000"/>
    <w:p w:rsidR="00000000" w:rsidRDefault="00000000">
      <w:r>
        <w:t>551.</w:t>
      </w:r>
      <w:r>
        <w:tab/>
        <w:t>В сфере специализированного медицинского обслуживания обследование с целью оценки потребностей в медицинской помощи должно быть начато в течение трех недель со дня обращения пациента в медицинское учреждение, например амбулаторное отделение больницы.  Доступ к медицинской помощи, которая была сочтена необходимой по итогам обследования с целью оценки потребностей в помощи, должен быть обеспечен в течение шести месяцев с момента проведения обследования.  Новые положения об услугах в области психического здоровья для детей и подростков соответствуют положениям, ранее включенным в Декрет о психическом здоровье (1247/1990).  Помощь, которая была сочтена необходимой, с учетом ее неотложности должна быть оказана в течение трех месяцев, если только не существует медицинских или связанных с обеспечением ухода показаний, обусловливающих отход от этого принципа.</w:t>
      </w:r>
    </w:p>
    <w:p w:rsidR="00000000" w:rsidRDefault="00000000"/>
    <w:p w:rsidR="00000000" w:rsidRDefault="00000000">
      <w:r>
        <w:t>552.</w:t>
      </w:r>
      <w:r>
        <w:tab/>
        <w:t>Если конкретное медицинское учреждение в требуемое время само не может организовать необходимое лечение, местный орган власти или объединенный муниципальный совет должен обеспечить соответствующий уход или лечение посредством подключения других поставщиков услуг, например другой государственной больницы или учреждения частного сектора, и понесенные при этом дополнительные расходы не должны ложиться на пациента.</w:t>
      </w:r>
    </w:p>
    <w:p w:rsidR="00000000" w:rsidRDefault="00000000"/>
    <w:p w:rsidR="00000000" w:rsidRDefault="00000000">
      <w:r>
        <w:t>553.</w:t>
      </w:r>
      <w:r>
        <w:tab/>
        <w:t>Вследствие изменения законодательства система распределения обязанностей между различными больничными округами, местными властями и объединенными муниципальными советами при оказании медицинских услуг была дополнительно уточнена таким образом, что больничный округ теперь отвечает за организацию лечения пациентов, которым было дано соответствующее направление в больницу.  Услуги должны оказываться в соответствии с одинаковыми принципами для всех жителей муниципалитетов, принадлежащих к одному и тому же больничному округу, и реформа тем самым устраняет барьеры между муниципалитетами в плане обслуживания пациентов, ожидающих оказания помощи.  Благодаря тому, что медицинские учреждения были обязаны обнародовать информацию о сроках ожидания приемов у врача, возможности доступа к помощи улучшились.</w:t>
      </w:r>
    </w:p>
    <w:p w:rsidR="00000000" w:rsidRDefault="00000000"/>
    <w:p w:rsidR="00000000" w:rsidRDefault="00000000">
      <w:r>
        <w:t>554.</w:t>
      </w:r>
      <w:r>
        <w:tab/>
      </w:r>
      <w:r>
        <w:rPr>
          <w:i/>
          <w:iCs/>
        </w:rPr>
        <w:t>Общие критерии оказания помощи</w:t>
      </w:r>
      <w:r>
        <w:t>.  Объединенный муниципальный совет каждого больничного округа отвечает за предоставление официальной медицинской помощи в округе в соответствии с общими критериями медицинского и стоматологического обслуживания.  С учетом введения гарантий, касающихся доступа к помощи, группа экспертов, учрежденная министерством социальных дел и здравоохранения, подготовила национальные критерии оказания несрочной медицинской помощи, а именно рекомендации, касающиеся критериев оказания такой помощи.  Цель сводится к сокращению существенных региональных различий в процессе предоставления несрочной медицинской помощи, с тем чтобы люди имели доступ к такой помощи согласно более четким критериям независимо от места своего жительства.  Указанные критерии были разработаны в отношении наиболее характерных видов заболеваний и лечения.</w:t>
      </w:r>
    </w:p>
    <w:p w:rsidR="00000000" w:rsidRDefault="00000000"/>
    <w:p w:rsidR="00000000" w:rsidRDefault="00000000">
      <w:r>
        <w:t>555.</w:t>
      </w:r>
      <w:r>
        <w:tab/>
        <w:t>Существует возможность уделения приоритетного внимания предоставлению некоторых услуг и пациентам, которые в них нуждаются.  Однако в таких случаях необходимо учитывать положения о запрещении дискриминации и равном обращении, предусмотренные в Конституции, а также обязательство в отношении индивидуальной оценки состояния пациента и обусловленных этим потребностей в медицинском обслуживании.</w:t>
      </w:r>
    </w:p>
    <w:p w:rsidR="00000000" w:rsidRDefault="00000000"/>
    <w:p w:rsidR="00000000" w:rsidRDefault="00000000">
      <w:r>
        <w:t>556.</w:t>
      </w:r>
      <w:r>
        <w:tab/>
        <w:t>Национальный центр научных исследований и разработок по проблемам социального обеспечения и здравоохранения (</w:t>
      </w:r>
      <w:r>
        <w:rPr>
          <w:lang w:val="en-US"/>
        </w:rPr>
        <w:t>STAKES</w:t>
      </w:r>
      <w:r>
        <w:t>) и Ассоциация региональных и местных органов власти Финляндии проводили обследования, в свете которых можно сделать вывод о том, что доступ к медицинской помощи обеспечен довольно хорошо.  Возможности решения проблемы нехватки врачей в некоторых регионах должны улучшиться вследствие того, что число новых дипломированных врачей превышает численность врачей, покидающих рынок труда.  В отношении стоматологов отмечается иная ситуация.  По сравнению с притоком новых квалифицированных специалистов рынок труда покидают примерно на 50 врачей больше.</w:t>
      </w:r>
    </w:p>
    <w:p w:rsidR="00000000" w:rsidRDefault="00000000"/>
    <w:p w:rsidR="00000000" w:rsidRDefault="00000000">
      <w:pPr>
        <w:jc w:val="center"/>
        <w:rPr>
          <w:b/>
          <w:bCs/>
        </w:rPr>
      </w:pPr>
      <w:r>
        <w:rPr>
          <w:b/>
          <w:bCs/>
        </w:rPr>
        <w:t>Статья 13</w:t>
      </w:r>
    </w:p>
    <w:p w:rsidR="00000000" w:rsidRDefault="00000000">
      <w:pPr>
        <w:jc w:val="center"/>
        <w:rPr>
          <w:b/>
          <w:bCs/>
        </w:rPr>
      </w:pPr>
    </w:p>
    <w:p w:rsidR="00000000" w:rsidRDefault="00000000">
      <w:pPr>
        <w:jc w:val="center"/>
      </w:pPr>
      <w:r>
        <w:rPr>
          <w:b/>
          <w:bCs/>
        </w:rPr>
        <w:t>Право каждого человека на образование</w:t>
      </w:r>
    </w:p>
    <w:p w:rsidR="00000000" w:rsidRDefault="00000000"/>
    <w:p w:rsidR="00000000" w:rsidRDefault="00000000">
      <w:r>
        <w:t>557.</w:t>
      </w:r>
      <w:r>
        <w:tab/>
        <w:t>Положения Конституции, гарантирующие право каждого человека, проживающего на территории, находящейся под юрисдикцией Финляндии, на бесплатное базовое образование, рассматривались в двух предыдущих периодических докладах.</w:t>
      </w:r>
    </w:p>
    <w:p w:rsidR="00000000" w:rsidRDefault="00000000"/>
    <w:p w:rsidR="00000000" w:rsidRDefault="00000000">
      <w:r>
        <w:t>558.</w:t>
      </w:r>
      <w:r>
        <w:tab/>
        <w:t>Дети, постоянно проживающие в Финляндии, обязаны учиться в школе.  Их право на бесплатное базовое образование включает в себя дошкольное воспитание.  Местные власти обязаны обеспечивать детям школьного возраста, проживающим на их территории, базовое образование и дошкольное воспитание в течение года, непосредственно предшествующего году начала школьного обучения.  Дети могут быть также зачислены в систему базового образования или дошкольного воспитания в муниципалитете, в котором они постоянно не проживают.</w:t>
      </w:r>
    </w:p>
    <w:p w:rsidR="00000000" w:rsidRDefault="00000000"/>
    <w:p w:rsidR="00000000" w:rsidRDefault="00000000">
      <w:r>
        <w:t>559.</w:t>
      </w:r>
      <w:r>
        <w:tab/>
      </w:r>
      <w:r>
        <w:rPr>
          <w:i/>
          <w:iCs/>
        </w:rPr>
        <w:t>Равенство в сфере образования</w:t>
      </w:r>
      <w:r>
        <w:t>.  В процессе глобальной реформы школьного законодательства, которая вступила в действие 1 января 1999</w:t>
      </w:r>
      <w:r>
        <w:rPr>
          <w:lang w:val="en-US"/>
        </w:rPr>
        <w:t> </w:t>
      </w:r>
      <w:r>
        <w:t>года, пристальное внимание было уделено обеспечению равенства в сфере образования и доступа к образовательным услугам без какой</w:t>
      </w:r>
      <w:r>
        <w:noBreakHyphen/>
        <w:t>либо дискриминации.</w:t>
      </w:r>
    </w:p>
    <w:p w:rsidR="00000000" w:rsidRDefault="00000000"/>
    <w:p w:rsidR="00000000" w:rsidRDefault="00000000">
      <w:r>
        <w:t>560.</w:t>
      </w:r>
      <w:r>
        <w:tab/>
        <w:t>В 2001 году министерство просвещения впервые подготовило руководящие принципы иммиграционной политики.  Эти руководящие принципы были пересмотрены в 2003 году.  Цель руководящих принципов заключается в четком определении иммиграционной политики и деятельности по поддержанию надлежащих межэтнических отношений в областях, находящихся в ведении министерства образования.  Неотъемлемым элементом повседневной управленческой деятельности министерства и других органов в данной сфере являются меры по предупреждению расизма и поощрению терпимости.</w:t>
      </w:r>
    </w:p>
    <w:p w:rsidR="00000000" w:rsidRDefault="00000000">
      <w:r>
        <w:t>561.</w:t>
      </w:r>
      <w:r>
        <w:tab/>
        <w:t>Одним из основополагающих принципов образовательной политики выступает равенство между мужчинами и женщинами.  План развития образования и научно-исследовательской деятельности, рассчитанный на 2003</w:t>
      </w:r>
      <w:r>
        <w:noBreakHyphen/>
        <w:t>2008 годы, включает в себя руководящие принципы укрепления равенства во всех областях образования.  Согласно этим руководящим принципам, государственные органы должны обеспечить каждому человеку возможности образования.  В соответствии с планом развития образования и научно-исследовательской деятельности особо будет поощряться участие в образовании девочек и женщин из иммигрантской среды.</w:t>
      </w:r>
    </w:p>
    <w:p w:rsidR="00000000" w:rsidRDefault="00000000"/>
    <w:p w:rsidR="00000000" w:rsidRDefault="00000000">
      <w:r>
        <w:t>562.</w:t>
      </w:r>
      <w:r>
        <w:tab/>
        <w:t>Кроме того, в 2004 году началась реализация проекта с целью сокращения различий в уровне обучения между мальчиками и девочками, предусматривающего развитие образования с учетом индивидуальных потребностей учащихся и укрепление сотрудничества между персоналом различных учреждений по оказанию образовательных и вспомогательных услуг в различных секторах административно-управленческой деятельности, а также между научно-исследовательскими работниками в различных скандинавских странах.</w:t>
      </w:r>
    </w:p>
    <w:p w:rsidR="00000000" w:rsidRDefault="00000000"/>
    <w:p w:rsidR="00000000" w:rsidRDefault="00000000">
      <w:r>
        <w:t>563.</w:t>
      </w:r>
      <w:r>
        <w:tab/>
        <w:t>Поправки к Закону о равенстве между мужчинами и женщинами, содействующие также обеспечению равенства в сфере образовательных учреждений, рассматривались в разделе, посвященном пункту 2 статьи 3.  Однако эти положения не распространяются на поставщиков образовательных услуг, которые упоминаются в Законе о базовом образовании.</w:t>
      </w:r>
    </w:p>
    <w:p w:rsidR="00000000" w:rsidRDefault="00000000"/>
    <w:p w:rsidR="00000000" w:rsidRDefault="00000000">
      <w:r>
        <w:t>564.</w:t>
      </w:r>
      <w:r>
        <w:tab/>
      </w:r>
      <w:r>
        <w:rPr>
          <w:i/>
          <w:iCs/>
        </w:rPr>
        <w:t>Реформа университетского образования</w:t>
      </w:r>
      <w:r>
        <w:t>.  19 августа 2004 года правительство издало постановление об университетских дипломах.  Постановление предусматривает, в частности, цели и характер университетского образования, а также круг дипломов, которые могут быть получены по окончании различных университетов.  Установленный в этот новом постановлении механизм заменяет предыдущую систему определения ступеней университетского образования с использованием системы ЕСПЗБ (Европейская система перевода зачетных баллов).  Реформа подразумевает улучшение сопоставимости финских университетских дипломов с дипломами других европейских стран в рамках развернутого в Болонье общеевропейского процесса, конечная цель которого сводится к созданию единой европейской зоны высшего образования к 2010 году.  Одна из основополагающих задач Болонского процесса заключается в повышении степени эквивалентности университетских дипломов различных стран и, таким образом, стимулировании мобильности студентов и их возможностей для учебы за рубежом.  Это постановление вступило в силу 1 августа 2005 года.</w:t>
      </w:r>
    </w:p>
    <w:p w:rsidR="00000000" w:rsidRDefault="00000000"/>
    <w:p w:rsidR="00000000" w:rsidRDefault="00000000">
      <w:r>
        <w:t>565.</w:t>
      </w:r>
      <w:r>
        <w:tab/>
        <w:t>Вышеупомянутое постановление связано с принятым 30 июля 2004 года Законом о внесении поправки в Закон об университетах, предусматривающим введение двухуровневой системы университетских дипломов.  Поправка вступила в силу 1 августа 2005 года.  В рамках новой системы основой для получения университетского диплома высшей ступени обычно служит университетский диплом низшей ступени или соответствующее ему образование.  Поправка распространяется на все другие сферы, за исключением медицинских училищ и образования по специальности стоматолога.</w:t>
      </w:r>
    </w:p>
    <w:p w:rsidR="00000000" w:rsidRDefault="00000000"/>
    <w:p w:rsidR="00000000" w:rsidRDefault="00000000">
      <w:r>
        <w:t>566.</w:t>
      </w:r>
      <w:r>
        <w:tab/>
        <w:t>Одна из целей реформы университетских ученых степеней сводится к сокращению продолжительности учебы.  Содержание учебной программы для получения ученых степеней будет изменено таким образом, чтобы лучше соответствовать потребностям научных изысканий и трудовой деятельности.  Система образования должна обеспечивать студенту возможности для окончания цикла университетского образования в низшей ступени в течение трех лет при очном обучении.  Кроме того, должна быть обеспечена возможность для завершения последующего обучения, ведущего к получению диплома об университетском образовании высшей ступени, за два года.</w:t>
      </w:r>
    </w:p>
    <w:p w:rsidR="00000000" w:rsidRDefault="00000000"/>
    <w:p w:rsidR="00000000" w:rsidRDefault="00000000">
      <w:pPr>
        <w:jc w:val="center"/>
        <w:rPr>
          <w:b/>
          <w:bCs/>
        </w:rPr>
      </w:pPr>
      <w:r>
        <w:rPr>
          <w:b/>
          <w:bCs/>
        </w:rPr>
        <w:t>1 а)</w:t>
      </w:r>
      <w:r>
        <w:rPr>
          <w:b/>
          <w:bCs/>
        </w:rPr>
        <w:tab/>
        <w:t>Начальное образование</w:t>
      </w:r>
    </w:p>
    <w:p w:rsidR="00000000" w:rsidRDefault="00000000">
      <w:pPr>
        <w:jc w:val="center"/>
        <w:rPr>
          <w:b/>
          <w:bCs/>
        </w:rPr>
      </w:pPr>
    </w:p>
    <w:p w:rsidR="00000000" w:rsidRDefault="00000000">
      <w:r>
        <w:t>567.</w:t>
      </w:r>
      <w:r>
        <w:tab/>
      </w:r>
      <w:r>
        <w:rPr>
          <w:i/>
          <w:iCs/>
        </w:rPr>
        <w:t xml:space="preserve">Новые национальные руководящие принципы в отношении учебных планов общеобразовательной школы.  </w:t>
      </w:r>
      <w:r>
        <w:t>16 января 2004 года Национальный совет по образованию принял решение о новых национальных руководящих принципах в отношении учебных планов общеобразовательной школы (1-9 классы).  Школьные учебные планы, построенные на основе этих руководящих принципов, должны быть введены во всех общеобразовательных школах к 1 августа 2006 года.  Руководящие принципы были подготовлены в соответствии со статьей 14 Закона о базовом образовании и содержат более четкие положения, чем предыдущие руководящие принципы.  Руководящие принципы определяют цели и соответствующее содержание изучаемых предметов и предусматривают инструкции в отношении оценки знаний учащихся.  Задача руководящих принципов сводится к обеспечению последовательного процесса базового обучения в общеобразовательной школе.  Кроме того, школьные учебные планы будут впервые включать в себя положения о сотрудничестве между школой и домашними хозяйствами и об обеспечении благополучия учащихся.  Национальные руководящие принципы служат основой для разработки местных школьных учебных планов, за которую обычно отвечают местные власти.</w:t>
      </w:r>
    </w:p>
    <w:p w:rsidR="00000000" w:rsidRDefault="00000000"/>
    <w:p w:rsidR="00000000" w:rsidRDefault="00000000">
      <w:r>
        <w:t>568.</w:t>
      </w:r>
      <w:r>
        <w:tab/>
      </w:r>
      <w:r>
        <w:rPr>
          <w:i/>
          <w:iCs/>
        </w:rPr>
        <w:t>Национальный план ОДВ</w:t>
      </w:r>
      <w:r>
        <w:t xml:space="preserve">.  В программе ЮНЕСКО "Образование для всех" (ОДВ) устанавливаются шесть целей гарантирования высококачественного образования для всех.  Две из них, а именно:  цель обеспечения бесплатного обязательного образования для всех детей к 2015 году и цель достижения гендерного равенства в сфере образования к 2015 году, также входят в число целей, закрепленных в Декларации тысячелетия Организации Объединенных Наций.  Для осуществления вышеуказанных целей на национальном уровне министерство просвещения, Национальный совет по образованию и министерство иностранных дел в сотрудничестве с Комитетом по делам ЮНЕСКО Финляндии разработали национальный план ОДВ, предусматривающий решение таких вопросов, как воспитание детей в раннем возрасте, образование иммигрантов, предоставление поддержки молодежи, профессиональную подготовку взрослых, а также удовлетворение потребностей повышения качества и равноправия в области образования.  Этот план осуществляется главным образом в рамках существующих механизмов, и указанные в нем задачи также отражены в вышеупомянутом плане развития образования и научно-исследовательской деятельности.  </w:t>
      </w:r>
    </w:p>
    <w:p w:rsidR="00000000" w:rsidRDefault="00000000"/>
    <w:p w:rsidR="00000000" w:rsidRDefault="00000000">
      <w:r>
        <w:t>569.</w:t>
      </w:r>
      <w:r>
        <w:tab/>
      </w:r>
      <w:r>
        <w:rPr>
          <w:i/>
          <w:iCs/>
        </w:rPr>
        <w:t xml:space="preserve">Консультативный совет по делам рома </w:t>
      </w:r>
      <w:r>
        <w:t>просил министерство просвещения учесть результаты обследования, проведенного Секцией по вопросам обучения рома при Национальном совете по образованию (2004 год), и принять всеобъемлющие меры на уровне министерства, Национального совета по образованию и местных властей в целях улучшения школьной посещаемости рома.  Особое внимание должно уделяться поощрению посещения школ детьми, начинающими свое базовое образование, переходящими в среднюю школу и оканчивающими свое школьное обучение.</w:t>
      </w:r>
    </w:p>
    <w:p w:rsidR="00000000" w:rsidRDefault="00000000"/>
    <w:p w:rsidR="00000000" w:rsidRDefault="00000000">
      <w:r>
        <w:t>570.</w:t>
      </w:r>
      <w:r>
        <w:tab/>
        <w:t>В 2004 году Национальный совет по образованию приступил к реализации национального проекта развития системы услуг в области учебной ориентации, в частности для учащихся 7</w:t>
      </w:r>
      <w:r>
        <w:noBreakHyphen/>
        <w:t xml:space="preserve">9 классов общеобразовательной школы.  Также было уделено внимание потребностям развития сотрудничества между школой и домашними хозяйствами и обеспечения благополучия учащихся.  Цель соответствующих услуг заключается в поощрении и стимулировании учащихся к продолжению учебы.  </w:t>
      </w:r>
    </w:p>
    <w:p w:rsidR="00000000" w:rsidRDefault="00000000"/>
    <w:p w:rsidR="00000000" w:rsidRDefault="00000000">
      <w:r>
        <w:t>571.</w:t>
      </w:r>
      <w:r>
        <w:tab/>
        <w:t xml:space="preserve">В 2001-2002 годах Национальный совет по образованию провел обзор положения в области базового образования детей рома.  В докладе отмечается, в частности, что уровень образования рома в долгосрочном плане улучшился и что укрепилось их позитивное отношение к учебе.  Однако лишь 2% детей рома посещают дошкольные учреждения, и ежегодно одной пятой детей рома не удается перейти в следующий класс.  </w:t>
      </w:r>
    </w:p>
    <w:p w:rsidR="00000000" w:rsidRDefault="00000000"/>
    <w:p w:rsidR="00000000" w:rsidRDefault="00000000">
      <w:r>
        <w:t>572.</w:t>
      </w:r>
      <w:r>
        <w:tab/>
        <w:t xml:space="preserve">Одна из функций Национального совета по образованию сводится к оказанию содействия в деле оценки и совершенствования образовательных и административно-вспомогательных услуг, необходимых школам и другим учебным заведениям, а также прочим поставщикам услуг в области образования.  Одно из структурных подразделений Совета отвечает за решение вопросов образования населения рома и за подготовку соответствующих учебных материалов, представление информации и участие в международном сотрудничестве в данной области.  </w:t>
      </w:r>
    </w:p>
    <w:p w:rsidR="00000000" w:rsidRDefault="00000000"/>
    <w:p w:rsidR="00000000" w:rsidRDefault="00000000">
      <w:r>
        <w:t>573.</w:t>
      </w:r>
      <w:r>
        <w:tab/>
        <w:t>При Национальном совете по образованию также действует рабочая группа, отвечающая за изыскание путей развития образования детей рома.  Совет планирует разработать проект повышения качества их образования с учетом недостатков, отмеченных в докладе рабочей группы.  В состав рабочей группы входят эксперты в различных областях, таких, как дошкольное воспитание, адаптированное образование, учебная ориентация, услуги по обеспечению благосостояния учащихся, подготовка учителей, утренняя и дневная внеклассная работа и сотрудничество между школой и домашними хозяйствами.  В настоящее время рабочая группа, в частности, анализирует возможности привлечения детских клиник к работе по выявлению трудностей обучения на как можно более раннем этапе, организации дневного ухода за детьми в качестве одного из средств содействия развитию детей и увеличения численности персональных помощников и вспомогательного персонала в школе в качестве одного из механизмов развития образования детей рома.</w:t>
      </w:r>
    </w:p>
    <w:p w:rsidR="00000000" w:rsidRDefault="00000000"/>
    <w:p w:rsidR="00000000" w:rsidRDefault="00000000">
      <w:pPr>
        <w:jc w:val="center"/>
        <w:rPr>
          <w:b/>
          <w:bCs/>
        </w:rPr>
      </w:pPr>
      <w:r>
        <w:rPr>
          <w:b/>
          <w:bCs/>
        </w:rPr>
        <w:t xml:space="preserve">1 </w:t>
      </w:r>
      <w:r>
        <w:rPr>
          <w:b/>
          <w:bCs/>
          <w:lang w:val="en-US"/>
        </w:rPr>
        <w:t>b</w:t>
      </w:r>
      <w:r>
        <w:rPr>
          <w:b/>
          <w:bCs/>
        </w:rPr>
        <w:t>)</w:t>
      </w:r>
      <w:r>
        <w:rPr>
          <w:b/>
          <w:bCs/>
        </w:rPr>
        <w:tab/>
        <w:t>Среднее образование</w:t>
      </w:r>
    </w:p>
    <w:p w:rsidR="00000000" w:rsidRDefault="00000000">
      <w:pPr>
        <w:rPr>
          <w:b/>
          <w:bCs/>
        </w:rPr>
      </w:pPr>
    </w:p>
    <w:p w:rsidR="00000000" w:rsidRDefault="00000000">
      <w:r>
        <w:t>574.</w:t>
      </w:r>
      <w:r>
        <w:tab/>
        <w:t>Законодательство в области образования было подвергнуто общей реформе, вступившей в действие в январе 1999</w:t>
      </w:r>
      <w:r>
        <w:rPr>
          <w:lang w:val="en-US"/>
        </w:rPr>
        <w:t> </w:t>
      </w:r>
      <w:r>
        <w:t>года.  Закон о профессиональном обучении содержит ряд положений об адаптированном образовании и других специальных методах образования, таких, как подготовительные курсы, учебно-реабилитационные программы и консультирование для инвалидов, вспомогательные услуги, а также подготовительные учебные курсы для иммигрантов, желающих учиться в системе базового профессионального образования.</w:t>
      </w:r>
    </w:p>
    <w:p w:rsidR="00000000" w:rsidRDefault="00000000"/>
    <w:p w:rsidR="00000000" w:rsidRDefault="00000000">
      <w:r>
        <w:t>575.</w:t>
      </w:r>
      <w:r>
        <w:tab/>
        <w:t>Все образование построено на принципе равного обращения с учащимися.  Любое лицо, желающее обучаться в системе среднего образования, может свободно подать заявление о приеме в ту или иную школу или колледж.  В системе профессионального образования само обучение, повседневное питание и проживание в общежитии, обеспечиваемые учебным заведением, являются бесплатными.  В сфере адаптированного образования учащимся могут быть также бесплатно обеспечены школьные учебники и другие необходимые материалы, еженедельные поездки между школой и домом, проживание и все питание в общежитии или другом месте жительства, а также индивидуальные технические средства, необходимые для учебы.</w:t>
      </w:r>
    </w:p>
    <w:p w:rsidR="00000000" w:rsidRDefault="00000000"/>
    <w:p w:rsidR="00000000" w:rsidRDefault="00000000">
      <w:r>
        <w:t>576.</w:t>
      </w:r>
      <w:r>
        <w:tab/>
        <w:t>В системе базового профессионального образования языком обучения может быть финский, шведский, саами, рома или язык жестов.  Кроме того, часть учебного процесса может проводиться на каком-либо другом языке, не являющимся родным языком учащегося, при том условии, что это не препятствует продолжению учащимися своего обучения.</w:t>
      </w:r>
    </w:p>
    <w:p w:rsidR="00000000" w:rsidRDefault="00000000"/>
    <w:p w:rsidR="00000000" w:rsidRDefault="00000000">
      <w:r>
        <w:t>577.</w:t>
      </w:r>
      <w:r>
        <w:tab/>
        <w:t>В сфере базового профессионального образования и образования, необходимого для подготовки учащегося к сдаче экзаменов на профессиональную пригодность, не установлено никаких возрастных ограничений.  В различных секторах образования также не прослеживается различий в возрасте учащихся, среди которых встречаются как пятнадцатилетние подростки, так и взрослые.  Средний возраст учащихся составляет 19 лет.  Большинству из них, примерно 70%, от 15 до 19 лет, затем следуют лица в возрасте 20-24 года (20%) и старше 25 лет (10%).  Численность учащихся в других возрастных группах варьируется, при этом самым старшим из них 55 лет.  Численность мужчин и женщин в сфере базового профессионального образования является примерно одинаковой.</w:t>
      </w:r>
    </w:p>
    <w:p w:rsidR="00000000" w:rsidRDefault="00000000"/>
    <w:p w:rsidR="00000000" w:rsidRDefault="00000000">
      <w:r>
        <w:t>578.</w:t>
      </w:r>
      <w:r>
        <w:tab/>
        <w:t>Критерии для приема учащихся и система финансирования базового профессионального образования не устанавливают никаких препятствий для зачисления иностранных учащихся в профессиональные учебные заведения.  Так, лица из иммигрантской среды могут свободно подавать заявления о поступлении в какое-либо учебное заведение.  Однако необходимо чтобы иммигранты и иностранцы имели достаточные языковые навыки и были в целом подготовлены к учебе.  Несмотря на это, они должны обладать правом на использование своего собственного языка и культуры и, в случае необходимости, на специальные условия обучения.  Требования в отношении профессиональных навыков для финских и иностранных учащихся являются одинаковыми.  Вместе с тем применительно к порядку приема и организации процесса обучения, а также оценке успеваемости учащихся принимаются во внимание особые требования, обусловленные имеющимися языковыми навыками.  Образование иммигрантов также должно быть построено на принципе равного обращения.</w:t>
      </w:r>
    </w:p>
    <w:p w:rsidR="00000000" w:rsidRDefault="00000000"/>
    <w:p w:rsidR="00000000" w:rsidRDefault="00000000">
      <w:r>
        <w:t>579.</w:t>
      </w:r>
      <w:r>
        <w:tab/>
        <w:t>Каждый год Национальный совет по образованию выделяет средства на профессиональное обучение иммигрантов, предназначенные, в частности, для развития их образования.  В настоящее время объем соответствующих ассигнований составляет 150 000 евро в год.  В соответствии с вышеупомянутым планом развития на 2003</w:t>
      </w:r>
      <w:r>
        <w:noBreakHyphen/>
        <w:t>2008 годы критерии, установленные для выделения средств, охватывают меры, принятые поставщиком услуг в области образования с целью совершенствования и поддержки профессионального образования девочек и женщин-иммигрантов.</w:t>
      </w:r>
    </w:p>
    <w:p w:rsidR="00000000" w:rsidRDefault="00000000"/>
    <w:p w:rsidR="00000000" w:rsidRDefault="00000000">
      <w:r>
        <w:t>580.</w:t>
      </w:r>
      <w:r>
        <w:tab/>
        <w:t>Для иммигрантов организовывается учеба с целью обеспечения готовности для базового профессионального образования, предусматривающая привитие им надлежащих языковых, культурных и других навыков для поступления в профессиональные учебные заведения.  Такая учеба организовывается с 1999</w:t>
      </w:r>
      <w:r>
        <w:rPr>
          <w:lang w:val="en-US"/>
        </w:rPr>
        <w:t> </w:t>
      </w:r>
      <w:r>
        <w:t>года.  Кроме того, взрослые посещают подготовительные курсы, в частности курсы, организуемые колледжами для целей дальнейшего образования взрослых.  Численность мужчин и женщин, посещающих подготовительные курсы, является практически одинаковой.</w:t>
      </w:r>
    </w:p>
    <w:p w:rsidR="00000000" w:rsidRDefault="00000000"/>
    <w:p w:rsidR="00000000" w:rsidRDefault="00000000">
      <w:r>
        <w:t>581.</w:t>
      </w:r>
      <w:r>
        <w:tab/>
        <w:t>Учащиеся рома охвачены системой среднего образования, однако их численность по</w:t>
      </w:r>
      <w:r>
        <w:noBreakHyphen/>
        <w:t>прежнему является довольно низкой по сравнению с большинством населения.  В процессе оказания услуг в области учебной ориентации и обеспечения благосостояния учащихся, оказываемых ученикам 7</w:t>
      </w:r>
      <w:r>
        <w:noBreakHyphen/>
        <w:t>9 классов, особая поддержка и консультативные услуги должны предоставляться учащимся рома, желающим продолжить свое обучение.  Они, как правило, выбывают из средней школы, и поэтому важно продолжать и поддерживать оказание вышеупомянутых услуг также на этапе среднего образования.  По итогам обследования, проведенного Национальным советом по образованию, были получены, в частности, следующие данные об охвате средним образованием и факторах, на нем отражающихся (контингент лиц, опрошенных в ходе обследования, был незначительным, однако обнаруживает некоторые общие тенденции).</w:t>
      </w:r>
    </w:p>
    <w:p w:rsidR="00000000" w:rsidRDefault="00000000"/>
    <w:p w:rsidR="00000000" w:rsidRDefault="00000000">
      <w:r>
        <w:t>582.</w:t>
      </w:r>
      <w:r>
        <w:tab/>
        <w:t>Большинство подростков рома, ходатайствующих об их зачислении на уровень среднего образования, являются мальчиками (59%), тогда как целых 90% лиц, изъявляющих желание учиться в старшей средней школе, составляют девочки.  54% всех опрошенных лиц считают, что решения о непродолжении дальнейшего образования вызваны культурными причинами, тогда как доля семей рома, объясняющих это культурными причинами, составляет лишь 7%.  По их мнению, факторы, затрудняющие продолжение учебы, носят социальный и финансовый характер.</w:t>
      </w:r>
    </w:p>
    <w:p w:rsidR="00000000" w:rsidRDefault="00000000"/>
    <w:p w:rsidR="00000000" w:rsidRDefault="00000000">
      <w:pPr>
        <w:jc w:val="center"/>
        <w:rPr>
          <w:b/>
          <w:bCs/>
        </w:rPr>
      </w:pPr>
      <w:r>
        <w:rPr>
          <w:b/>
          <w:bCs/>
        </w:rPr>
        <w:t>1</w:t>
      </w:r>
      <w:r>
        <w:rPr>
          <w:b/>
          <w:bCs/>
          <w:lang w:val="en-US"/>
        </w:rPr>
        <w:t xml:space="preserve"> </w:t>
      </w:r>
      <w:r>
        <w:rPr>
          <w:b/>
          <w:bCs/>
        </w:rPr>
        <w:t>с)</w:t>
      </w:r>
      <w:r>
        <w:rPr>
          <w:b/>
          <w:bCs/>
        </w:rPr>
        <w:tab/>
        <w:t>Высшее образование</w:t>
      </w:r>
    </w:p>
    <w:p w:rsidR="00000000" w:rsidRDefault="00000000">
      <w:pPr>
        <w:rPr>
          <w:b/>
          <w:bCs/>
        </w:rPr>
      </w:pPr>
    </w:p>
    <w:p w:rsidR="00000000" w:rsidRDefault="00000000">
      <w:r>
        <w:t>583.</w:t>
      </w:r>
      <w:r>
        <w:tab/>
        <w:t xml:space="preserve">Под сферу применения Закона об университетах (645/1997) подпадают 20 университетов, упоминаемых в этом законе.  В соответствии с пунктом 1 статьи 8 указанного закона обучение с целью получения университетского диплома в этих образовательных учреждениях является для студентов бесплатным.  Закон о политехнических институтах (255/1995), действовавший на момент представления предыдущего периодического доклада, заменен новым законом (351/2003), под сферу применения которого подпадают 29 политехнических институтов.  Согласно этому закону, обучение с целью получения диплома о соответствующем высшем образовании является для студентов бесплатным.  </w:t>
      </w:r>
    </w:p>
    <w:p w:rsidR="00000000" w:rsidRDefault="00000000"/>
    <w:p w:rsidR="00000000" w:rsidRDefault="00000000">
      <w:r>
        <w:t>584.</w:t>
      </w:r>
      <w:r>
        <w:tab/>
        <w:t>К сожалению, в системе высшего образования рома представлены слабо  Студентов рома насчитывается лишь небольшое число, но они не поставлены в отличное от других студентов положение вследствие своего происхождения.</w:t>
      </w:r>
    </w:p>
    <w:p w:rsidR="00000000" w:rsidRDefault="00000000"/>
    <w:p w:rsidR="00000000" w:rsidRDefault="00000000">
      <w:r>
        <w:t>585.</w:t>
      </w:r>
      <w:r>
        <w:tab/>
        <w:t>Некоторые рома, заинтересованные в получении высшего образования, могут быть не уверены в том, что финансовые возможности позволят им доучиться до конца.  Они могут также испытывать сомнения по поводу того, смогут ли найти работу после учебы.  Однако высшее образование является бесплатным, и с учетом своего финансового положения студент имеет право на получение государственных дотаций в период учебы.  Кроме того, рома высказывали пожелания в отношении введения системы поддержки в виде стипендий для прохождения учебы, предполагающей получение диплома о высшем образовании.</w:t>
      </w:r>
    </w:p>
    <w:p w:rsidR="00000000" w:rsidRDefault="00000000"/>
    <w:p w:rsidR="00000000" w:rsidRDefault="00000000">
      <w:pPr>
        <w:tabs>
          <w:tab w:val="clear" w:pos="567"/>
        </w:tabs>
        <w:ind w:left="567" w:hanging="567"/>
        <w:jc w:val="center"/>
        <w:rPr>
          <w:b/>
          <w:bCs/>
        </w:rPr>
      </w:pPr>
      <w:r>
        <w:rPr>
          <w:b/>
          <w:bCs/>
        </w:rPr>
        <w:t xml:space="preserve">1 </w:t>
      </w:r>
      <w:r>
        <w:rPr>
          <w:b/>
          <w:bCs/>
          <w:lang w:val="en-US"/>
        </w:rPr>
        <w:t>d</w:t>
      </w:r>
      <w:r>
        <w:rPr>
          <w:b/>
          <w:bCs/>
        </w:rPr>
        <w:t>)</w:t>
      </w:r>
      <w:r>
        <w:rPr>
          <w:b/>
          <w:bCs/>
        </w:rPr>
        <w:tab/>
        <w:t>Усилия по обеспечению системы основного образования для тех,</w:t>
      </w:r>
      <w:r>
        <w:rPr>
          <w:b/>
          <w:bCs/>
        </w:rPr>
        <w:br/>
        <w:t>кто не получил или не закончил начальное образование</w:t>
      </w:r>
    </w:p>
    <w:p w:rsidR="00000000" w:rsidRDefault="00000000"/>
    <w:p w:rsidR="00000000" w:rsidRDefault="00000000">
      <w:r>
        <w:t>586.</w:t>
      </w:r>
      <w:r>
        <w:tab/>
        <w:t>Различные административно-управленческие органы организовывают в интересах молодых людей семинарские занятия, направленные на поддержку чувства уверенности в себе у тех из них, кто по каким-либо причинам испытывает трудности с точки зрения определения подходящего дальнейшего образования и планирования своего будущего.  Особый упор делается на правильный выбор жизненного пути и утверждение сильных сторон конкретной личности.  Кроме того, в семинарские занятия вовлечены подростки, которые не окончили свое начальное образование, которые могут бросить школу или которые должны повысить свои оценки, чтобы получить свидетельство об окончании школы.  В основе оказываемой поддержки лежат индивидуальные потребности и жизненная ситуация каждого подростка.</w:t>
      </w:r>
    </w:p>
    <w:p w:rsidR="00000000" w:rsidRDefault="00000000"/>
    <w:p w:rsidR="00000000" w:rsidRDefault="00000000">
      <w:pPr>
        <w:jc w:val="center"/>
        <w:rPr>
          <w:b/>
          <w:bCs/>
        </w:rPr>
      </w:pPr>
      <w:r>
        <w:rPr>
          <w:b/>
          <w:bCs/>
        </w:rPr>
        <w:t>4.</w:t>
      </w:r>
      <w:r>
        <w:rPr>
          <w:b/>
          <w:bCs/>
        </w:rPr>
        <w:tab/>
        <w:t>Бюджетные ассигнования на образование</w:t>
      </w:r>
    </w:p>
    <w:p w:rsidR="00000000" w:rsidRDefault="00000000"/>
    <w:p w:rsidR="00000000" w:rsidRDefault="00000000">
      <w:r>
        <w:t>587.</w:t>
      </w:r>
      <w:r>
        <w:tab/>
        <w:t>В 1999-2004 годах доля, приходящаяся на министерство просвещения в государственном бюджете (включая также культуру, спорт, работу с молодежью и научную деятельность), составляла 5-6 млн. евро.  В 2005 году она составляет 16% расходов по линии государственного бюджета.</w:t>
      </w:r>
    </w:p>
    <w:p w:rsidR="00000000" w:rsidRDefault="00000000"/>
    <w:p w:rsidR="00000000" w:rsidRDefault="00000000">
      <w:pPr>
        <w:jc w:val="center"/>
        <w:rPr>
          <w:b/>
          <w:bCs/>
          <w:lang w:val="en-US"/>
        </w:rPr>
      </w:pPr>
      <w:r>
        <w:rPr>
          <w:b/>
          <w:bCs/>
        </w:rPr>
        <w:t>5 а)</w:t>
      </w:r>
      <w:r>
        <w:rPr>
          <w:b/>
          <w:bCs/>
        </w:rPr>
        <w:tab/>
        <w:t xml:space="preserve">Соотношение между мужчинами и женщинами на различных </w:t>
      </w:r>
    </w:p>
    <w:p w:rsidR="00000000" w:rsidRDefault="00000000">
      <w:pPr>
        <w:jc w:val="center"/>
        <w:rPr>
          <w:b/>
          <w:bCs/>
        </w:rPr>
      </w:pPr>
      <w:r>
        <w:rPr>
          <w:b/>
          <w:bCs/>
        </w:rPr>
        <w:t>уровнях образования</w:t>
      </w:r>
    </w:p>
    <w:p w:rsidR="00000000" w:rsidRDefault="00000000"/>
    <w:p w:rsidR="00000000" w:rsidRDefault="00000000">
      <w:r>
        <w:t>588.</w:t>
      </w:r>
      <w:r>
        <w:tab/>
        <w:t>В 2003 году доля девочек от общей численности учащихся составляла 48,8% в общеобразовательных школах, 57,3% в старших средних школах и 49% в средних профессиональных учебных заведениях.  На женщин приходилось 53,3% обучающихся в политехнических институтах и 53,5% студентов университетов (Статистическое управление Финляндии, 2004 год).</w:t>
      </w:r>
    </w:p>
    <w:p w:rsidR="00000000" w:rsidRDefault="00000000"/>
    <w:p w:rsidR="00000000" w:rsidRDefault="00000000">
      <w:pPr>
        <w:ind w:left="1701" w:hanging="1134"/>
        <w:rPr>
          <w:b/>
          <w:bCs/>
        </w:rPr>
      </w:pPr>
      <w:r>
        <w:rPr>
          <w:b/>
          <w:bCs/>
        </w:rPr>
        <w:t>5 b) и с)</w:t>
      </w:r>
      <w:r>
        <w:rPr>
          <w:b/>
          <w:bCs/>
        </w:rPr>
        <w:tab/>
        <w:t>Практическое пользование правом на образование со стороны</w:t>
      </w:r>
      <w:r>
        <w:rPr>
          <w:b/>
          <w:bCs/>
        </w:rPr>
        <w:br/>
        <w:t>уязвимых групп;  меры, принятые в целях предоставления</w:t>
      </w:r>
      <w:r>
        <w:rPr>
          <w:b/>
          <w:bCs/>
        </w:rPr>
        <w:br/>
        <w:t>равного доступа к образованию</w:t>
      </w:r>
    </w:p>
    <w:p w:rsidR="00000000" w:rsidRDefault="00000000"/>
    <w:p w:rsidR="00000000" w:rsidRDefault="00000000">
      <w:r>
        <w:t>589.</w:t>
      </w:r>
      <w:r>
        <w:tab/>
        <w:t>В последние несколько лет одним из основных направлений деятельности в системе профессионального образования было обеспечение и развитие образования лиц, нуждающихся в особой поддержке.  В 2002 году во взаимодействии со значительным числом сотрудничающих партнеров министерство просвещения подготовило национальную стратегию адаптированного профессионального образования, и в 2004 году была завершена разработка плана действий по осуществлению этой стратегии.  Были предприняты усилия с целью расширения объема оказываемых услуг в области образования и профессиональной подготовки, в частности, в интересах лиц с серьезными физическими и психическими недостатками, а также учебно-реабилитационных программ и консультирования.  В 2003 году в системе адаптированного профессионального образования насчитывалось 12 065 учащихся.  Согласно оценкам, в 2005 году их численность возрастет до 14 500 человек.</w:t>
      </w:r>
    </w:p>
    <w:p w:rsidR="00000000" w:rsidRDefault="00000000"/>
    <w:p w:rsidR="00000000" w:rsidRDefault="00000000">
      <w:r>
        <w:t>590.</w:t>
      </w:r>
      <w:r>
        <w:tab/>
        <w:t>Уровень образования инвалидов ниже, чем в среднем по населению.  Инвалиды поступают в старшую среднюю школу, профессиональные училища или высшие учебные заведения реже, чем другие лица их возраста.  В целом, чем выше ступень образования, тем меньше на этой ступени учащихся-инвалидов.</w:t>
      </w:r>
    </w:p>
    <w:p w:rsidR="00000000" w:rsidRDefault="00000000"/>
    <w:p w:rsidR="00000000" w:rsidRDefault="00000000">
      <w:r>
        <w:t>591.</w:t>
      </w:r>
      <w:r>
        <w:tab/>
        <w:t>В соответствии с курсом осуществления политики в интересах инвалидов, провозглашенным правительством Финляндии, цель заключается в том, чтобы инвалиды зачислялись в обычные учебные заведения.  Образование и профессиональная подготовка должны быть доступны всем инвалидам и лицам, испытывающим трудности в усвоении учебного материала, независимо от характера и степени инвалидности, болезни или конкретной проблемы в усвоении учебного материала.  Образование должно быть также открыто для лиц, страдающих тяжелыми формами инвалидности.</w:t>
      </w:r>
    </w:p>
    <w:p w:rsidR="00000000" w:rsidRDefault="00000000"/>
    <w:p w:rsidR="00000000" w:rsidRDefault="00000000">
      <w:r>
        <w:t>592.</w:t>
      </w:r>
      <w:r>
        <w:tab/>
        <w:t>Базовое образование в Финляндии является обязательным для всех детей, независимо, в частности, от пола и инвалидности.  Право на образование является одним из основных прав для всех детей.  Согласно пункту 2 статьи 16 Конституции, органы государственной власти должны на основе более детальных предписаний закона обеспечивать равную возможность каждого в соответствии с его способностями и особыми потребностями на получение иного образования, помимо базового, а также на занятие самообразованием без каких-либо непреодолимых ограничений, вызванных экономическими трудностями.  Это положение охватывает все сферы образования от дошкольного воспитания до высшего образования и дальнейшего образования взрослых.  С точки зрения отдельной личности это подразумевает признание принципа непрерывного образования.</w:t>
      </w:r>
    </w:p>
    <w:p w:rsidR="00000000" w:rsidRDefault="00000000"/>
    <w:p w:rsidR="00000000" w:rsidRDefault="00000000">
      <w:r>
        <w:t>593.</w:t>
      </w:r>
      <w:r>
        <w:tab/>
        <w:t>Финскими властями приняты меры с целью обеспечения всем инвалидам, лицам, страдающим хроническими заболеваниями, детям, подросткам и взрослым, испытывающим трудности в плане обучения, равные возможности для участия в системе начального, среднего и высшего образования, а также в процессе дальнейшего и продолженного образования на интегрированной основе.</w:t>
      </w:r>
    </w:p>
    <w:p w:rsidR="00000000" w:rsidRDefault="00000000"/>
    <w:p w:rsidR="00000000" w:rsidRDefault="00000000">
      <w:r>
        <w:t>594.</w:t>
      </w:r>
      <w:r>
        <w:tab/>
        <w:t>Финляндия также обеспечила неотъемлемый учет проблемы образования инвалидов в рамках национального планирования учебных программ, определения содержания учебных планов и системы образования в целом.  С тем чтобы включить образование инвалидов в обычную систему образования, органами системы образования приняты следующие меры:</w:t>
      </w:r>
    </w:p>
    <w:p w:rsidR="00000000" w:rsidRDefault="00000000"/>
    <w:p w:rsidR="00000000" w:rsidRDefault="00000000">
      <w:pPr>
        <w:ind w:left="1134" w:hanging="1134"/>
      </w:pPr>
      <w:r>
        <w:tab/>
        <w:t>1)</w:t>
      </w:r>
      <w:r>
        <w:tab/>
        <w:t>определение политики в области образования таким образом, чтобы она была понятной и приемлемой для школ и всего общества;</w:t>
      </w:r>
    </w:p>
    <w:p w:rsidR="00000000" w:rsidRDefault="00000000"/>
    <w:p w:rsidR="00000000" w:rsidRDefault="00000000">
      <w:pPr>
        <w:ind w:left="1134" w:hanging="1134"/>
      </w:pPr>
      <w:r>
        <w:tab/>
        <w:t>2)</w:t>
      </w:r>
      <w:r>
        <w:tab/>
        <w:t>обеспечение возможности для прохождения учебы в соответствии с индивидуальными потребностями посредством повышения гибкости, введения дополнительных элементов и адаптации учебных программ;</w:t>
      </w:r>
    </w:p>
    <w:p w:rsidR="00000000" w:rsidRDefault="00000000"/>
    <w:p w:rsidR="00000000" w:rsidRDefault="00000000">
      <w:pPr>
        <w:ind w:left="1134" w:hanging="1134"/>
      </w:pPr>
      <w:r>
        <w:tab/>
        <w:t>3)</w:t>
      </w:r>
      <w:r>
        <w:tab/>
        <w:t>организация непрерывной высококачественной подготовки учителей, а также оказание им поддержки;</w:t>
      </w:r>
    </w:p>
    <w:p w:rsidR="00000000" w:rsidRDefault="00000000"/>
    <w:p w:rsidR="00000000" w:rsidRDefault="00000000">
      <w:r>
        <w:tab/>
        <w:t>4)</w:t>
      </w:r>
      <w:r>
        <w:tab/>
        <w:t>учет важной роли сотрудничества между школами и домашними хозяйствами;</w:t>
      </w:r>
    </w:p>
    <w:p w:rsidR="00000000" w:rsidRDefault="00000000"/>
    <w:p w:rsidR="00000000" w:rsidRDefault="00000000">
      <w:pPr>
        <w:ind w:left="1134" w:hanging="1134"/>
      </w:pPr>
      <w:r>
        <w:tab/>
        <w:t>5)</w:t>
      </w:r>
      <w:r>
        <w:tab/>
        <w:t>оценка процесса осуществления законодательства и необходимости его пересмотра с целью удовлетворения образовательных потребностей;</w:t>
      </w:r>
    </w:p>
    <w:p w:rsidR="00000000" w:rsidRDefault="00000000"/>
    <w:p w:rsidR="00000000" w:rsidRDefault="00000000">
      <w:pPr>
        <w:ind w:left="1134" w:hanging="1134"/>
      </w:pPr>
      <w:r>
        <w:tab/>
        <w:t>6)</w:t>
      </w:r>
      <w:r>
        <w:tab/>
        <w:t>уделение внимания наличию адекватных научно-исследовательских ресурсов;  и</w:t>
      </w:r>
    </w:p>
    <w:p w:rsidR="00000000" w:rsidRDefault="00000000"/>
    <w:p w:rsidR="00000000" w:rsidRDefault="00000000">
      <w:pPr>
        <w:ind w:left="1134" w:hanging="1134"/>
      </w:pPr>
      <w:r>
        <w:tab/>
        <w:t>7)</w:t>
      </w:r>
      <w:r>
        <w:tab/>
        <w:t>поддержание активного взаимодействия различными административно-управленческими органами, такими, как органы социального обеспечения и здравоохранения, органы сферы труда, организации инвалидов, а также с другими партнерами по сотрудничеству и заинтересованными сторонами.</w:t>
      </w:r>
    </w:p>
    <w:p w:rsidR="00000000" w:rsidRDefault="00000000"/>
    <w:p w:rsidR="00000000" w:rsidRDefault="00000000">
      <w:r>
        <w:t>595.</w:t>
      </w:r>
      <w:r>
        <w:tab/>
        <w:t>Даже в случае планирования и организации процесса образования и профессиональной подготовки учащихся, испытывающих особые потребности, задача должна сводиться к обеспечению их готовности для учебы в системе общего образования с использованием надлежащих мер поддержки.</w:t>
      </w:r>
    </w:p>
    <w:p w:rsidR="00000000" w:rsidRDefault="00000000"/>
    <w:p w:rsidR="00000000" w:rsidRDefault="00000000">
      <w:r>
        <w:t>596.</w:t>
      </w:r>
      <w:r>
        <w:tab/>
        <w:t>Каждый учащийся, нуждающийся в специальной поддержке, должен располагать одинаковыми возможностями для получения базового образования и дальнейшей профессиональной подготовки преимущественно на интегрированной основе в рамках системы общего образования наряду с другими учащимися.</w:t>
      </w:r>
    </w:p>
    <w:p w:rsidR="00000000" w:rsidRDefault="00000000"/>
    <w:p w:rsidR="00000000" w:rsidRDefault="00000000">
      <w:r>
        <w:t>597.</w:t>
      </w:r>
      <w:r>
        <w:tab/>
        <w:t>Организации инвалидов отмечали, что, несмотря на появление все большего числа областей специализированной деятельности, пригодных для инвалидов, в конечном итоге им по</w:t>
      </w:r>
      <w:r>
        <w:noBreakHyphen/>
        <w:t>прежнему и слишком часто приходится работать по профессиям, которые им традиционно отводились и которые отчасти потеряли свою актуальность.</w:t>
      </w:r>
    </w:p>
    <w:p w:rsidR="00000000" w:rsidRDefault="00000000"/>
    <w:p w:rsidR="00000000" w:rsidRDefault="00000000">
      <w:r>
        <w:t>598.</w:t>
      </w:r>
      <w:r>
        <w:tab/>
        <w:t>Основной формой финансовой поддержки студентов-очников являются государственные гранты, предусмотренные Законом о грантах для студентов (65/1994).  С тем чтобы улучшить социальное положение студентов и повысить роль государственных грантов, 18 февраля 2005 года в парламент был внесен правительственный законопроект (НЕ 11/2005), направленный на изменение Закона о грантах для студентов и соответствующих положений налогового законодательства.  Этот законопроект был принят парламентом 10 июня 2005 года, а сам закон вступил в силу 1 августа 2005 года.  Согласно новым положениям, повышен максимальный размер государственной гарантии по займам на обучение, а лица, закончившие университетское образование в течение установленного срока, имеют право на налоговые льготы в привязке к займу на обучение.  Кроме того, повышена сумма месячных жилищных расходов, учитываемая при выплате надбавки на жилье.</w:t>
      </w:r>
    </w:p>
    <w:p w:rsidR="00000000" w:rsidRDefault="00000000"/>
    <w:p w:rsidR="00000000" w:rsidRDefault="00000000">
      <w:pPr>
        <w:jc w:val="center"/>
        <w:rPr>
          <w:b/>
          <w:bCs/>
        </w:rPr>
      </w:pPr>
      <w:r>
        <w:rPr>
          <w:b/>
          <w:bCs/>
        </w:rPr>
        <w:t>5 d)</w:t>
      </w:r>
      <w:r>
        <w:rPr>
          <w:b/>
          <w:bCs/>
        </w:rPr>
        <w:tab/>
        <w:t>Языковые возможности</w:t>
      </w:r>
    </w:p>
    <w:p w:rsidR="00000000" w:rsidRDefault="00000000"/>
    <w:p w:rsidR="00000000" w:rsidRDefault="00000000">
      <w:r>
        <w:t>599.</w:t>
      </w:r>
      <w:r>
        <w:tab/>
        <w:t>В соответствии с Законом о базовом образовании языком обучения в школах является финский или шведский.  Им может быть также саами, рома или язык жестов.  Опекун ребенка может также принять решение о том, чтобы рома, язык жестов или какой-либо другой язык, на котором говорит ребенок, был выбран в качестве его/ее родного языка.</w:t>
      </w:r>
    </w:p>
    <w:p w:rsidR="00000000" w:rsidRDefault="00000000"/>
    <w:p w:rsidR="00000000" w:rsidRDefault="00000000">
      <w:r>
        <w:t>600.</w:t>
      </w:r>
      <w:r>
        <w:tab/>
        <w:t>В 2000/01 учебном году язык рома преподавался в Финляндии в 5% школ, в которые были зачислены учащиеся рома.  В общей сложности 8,5% рома имели возможность изучать язык своего культурного общения в общеобразовательной школе.  Проблемы были вызваны нехваткой учителей и наличием слишком небольших групп учащихся.  Родители рома не всегда осведомлены о своем праве просить о преподавании языка рома или же не желают это делать.</w:t>
      </w:r>
    </w:p>
    <w:p w:rsidR="00000000" w:rsidRDefault="00000000"/>
    <w:p w:rsidR="00000000" w:rsidRDefault="00000000">
      <w:pPr>
        <w:jc w:val="center"/>
        <w:rPr>
          <w:b/>
          <w:bCs/>
        </w:rPr>
      </w:pPr>
      <w:r>
        <w:rPr>
          <w:b/>
          <w:bCs/>
        </w:rPr>
        <w:t>6.</w:t>
      </w:r>
      <w:r>
        <w:rPr>
          <w:b/>
          <w:bCs/>
        </w:rPr>
        <w:tab/>
        <w:t>Улучшение положения преподавательского персонала</w:t>
      </w:r>
    </w:p>
    <w:p w:rsidR="00000000" w:rsidRDefault="00000000">
      <w:pPr>
        <w:rPr>
          <w:b/>
          <w:bCs/>
        </w:rPr>
      </w:pPr>
    </w:p>
    <w:p w:rsidR="00000000" w:rsidRDefault="00000000">
      <w:r>
        <w:t>601.</w:t>
      </w:r>
      <w:r>
        <w:tab/>
        <w:t>С учетом обязательства государств-участников по пункту 2 е) статьи 13 в отношении касающегося постоянного улучшения материальных условий преподавательского персонала следует отметить, что условия труда и социальный статус учителей на работе во многом зависят от их возможностей в плане повышения профессиональной квалификации.  Возможность учителей поддерживать свою профессиональную квалификацию на основе продолжения образования имеет важное значение для развития учебного процесса и школьной системы.  Работодатель несет основную ответственность за обеспечение дальнейшего образования.  Учебным заведениям выделяются государственные субсидии для покрытия расходов, связанных с профессиональной подготовкой.  Кроме того, ежегодно из государственного бюджета выделяется 8-10 млн. евро на цели продолженного образования учителей.  Образование и профессиональная подготовка, организуемые за счет этих средств, являются для участвующих учителей бесплатными.  Каждый год в таких программах образования или профессиональной подготовки участвует 12 000-15 000 учителей.  Образование/профессиональная подготовка охватывает главным образом методы распространения информации, практику общения, вопросы, касающиеся школьных учебных планов, обеспечение готовности для консультирования, а также социальные вопросы, относящиеся к школьной системе.</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pPr>
        <w:jc w:val="center"/>
        <w:rPr>
          <w:b/>
          <w:bCs/>
        </w:rPr>
      </w:pPr>
      <w:r>
        <w:rPr>
          <w:b/>
          <w:bCs/>
        </w:rPr>
        <w:t>1.</w:t>
      </w:r>
      <w:r>
        <w:rPr>
          <w:b/>
          <w:bCs/>
        </w:rPr>
        <w:tab/>
        <w:t>Право на участие в культурной жизни</w:t>
      </w:r>
    </w:p>
    <w:p w:rsidR="00000000" w:rsidRDefault="00000000">
      <w:pPr>
        <w:jc w:val="center"/>
        <w:rPr>
          <w:b/>
          <w:bCs/>
        </w:rPr>
      </w:pPr>
    </w:p>
    <w:p w:rsidR="00000000" w:rsidRDefault="00000000">
      <w:pPr>
        <w:jc w:val="center"/>
        <w:rPr>
          <w:b/>
          <w:bCs/>
        </w:rPr>
      </w:pPr>
      <w:r>
        <w:rPr>
          <w:b/>
          <w:bCs/>
        </w:rPr>
        <w:t>1 а)-с)   Поощрение культурного развития и причастности населения</w:t>
      </w:r>
    </w:p>
    <w:p w:rsidR="00000000" w:rsidRDefault="00000000">
      <w:pPr>
        <w:jc w:val="center"/>
        <w:rPr>
          <w:b/>
          <w:bCs/>
        </w:rPr>
      </w:pPr>
      <w:r>
        <w:rPr>
          <w:b/>
          <w:bCs/>
        </w:rPr>
        <w:t>к сфере культуры</w:t>
      </w:r>
    </w:p>
    <w:p w:rsidR="00000000" w:rsidRDefault="00000000">
      <w:pPr>
        <w:rPr>
          <w:b/>
          <w:bCs/>
        </w:rPr>
      </w:pPr>
    </w:p>
    <w:p w:rsidR="00000000" w:rsidRDefault="00000000">
      <w:r>
        <w:t>602.</w:t>
      </w:r>
      <w:r>
        <w:tab/>
        <w:t>В 2001 году была опубликована программа, касающаяся политики развития библиотечного дела в Финляндии (2001-2004 годы), а в 2003 году была обнародована стратегия развития библиотечного дела на период до 2010 года (политика обеспечения доступа к знаниям и достижениям культуры).  Эти два нормативно-правовых акта расширяют возможности публичных библиотек по выполнению их функций, связанных с распространением информации и достижений культуры и поддержкой навыков, требующихся в информационном обществе.  Финская сеть публичных библиотек является обширной, и каждый муниципалитет может обеспечить высококачественное библиотечное обслуживание.  Насчитывается в общей сложности 968 публичных библиотек и 191 библиобус.  Каждый год министерство просвещения предоставляет финансовую поддержку на сумму 1,5 млн. евро в качестве дискреционных субсидий для налаживания национальных Интернет-услуг, а также для реализации местных и региональных проектов, чтобы сгладить различия в уровне библиотечного обслуживания на местах.</w:t>
      </w:r>
    </w:p>
    <w:p w:rsidR="00000000" w:rsidRDefault="00000000"/>
    <w:p w:rsidR="00000000" w:rsidRDefault="00000000">
      <w:r>
        <w:t>603.</w:t>
      </w:r>
      <w:r>
        <w:tab/>
        <w:t>Несмотря на расширение предложения Интернет-услуг, количество посещений библиотек и взятых в библиотеках материалов по</w:t>
      </w:r>
      <w:r>
        <w:noBreakHyphen/>
        <w:t>прежнему несколько увеличивается.  В 2003 году среднее количество взятых в библиотеках материалов на одного жителя составило 21 экземпляр, а общая количество материалов, взятых в библиотеках по всей стране, - 108,4 млн. экземпляров.  Приблизительно 25% соответствующих библиотечных материалов составляют не книги (а, например, видеокассеты, ДВД, КД-ПЗУ и журналы).  Среднее количество посещений библиотек составило 13 раз на одного жителя, а общее число посещений - 66 млн. раз.  Кроме того, было зарегистрировано 35 млн. посещений вебсайтов.</w:t>
      </w:r>
    </w:p>
    <w:p w:rsidR="00000000" w:rsidRDefault="00000000"/>
    <w:p w:rsidR="00000000" w:rsidRDefault="00000000">
      <w:r>
        <w:t>604.</w:t>
      </w:r>
      <w:r>
        <w:tab/>
        <w:t xml:space="preserve">Стратегия министерства просвещения по вопросам культурного наследия в информационном обществе направлена на преобразование информации, составляющей культурное наследие, которая в настоящее время хранится в музеях, архивах и библиотеках, в цифровой формат и ее распространение среди всего населения через Интернет.  Культурное наследие нации представляет собой существенный ресурс для исследователей, учителей и разработчиков цифровых носителей данных.  Представление информации в цифровом формате обеспечивает стирание региональных различий и наличие свежей и надежной информации.  Министерство просвещения выделяет финансовые ресурсы в размере приблизительно 0,6 млн. евро каждый год на цели преобразования информации в цифровой формат и развитие объединенных исследовательских систем.  Министерство также участвует в сотрудничестве по вопросам разработки цифровых носителей информации в рамках Европейского союза, содействуя распространению цифровых материалов.  </w:t>
      </w:r>
    </w:p>
    <w:p w:rsidR="00000000" w:rsidRDefault="00000000"/>
    <w:p w:rsidR="00000000" w:rsidRDefault="00000000">
      <w:r>
        <w:t>605.</w:t>
      </w:r>
      <w:r>
        <w:tab/>
        <w:t xml:space="preserve">Политика правительства в области искусства и культуры направлена на создание благоприятных условий для работы различных субъектов, действующих в сфере культуры, обеспечение гражданам возможностей пользоваться широким кругом высококачественных художественных произведений и стимулирование национального и международного сотрудничества.  Министерство просвещения оказывает финансовую поддержку в целях сохранения культурного и художественного разнообразия, охраны богатого культурного наследия, развития культурных учреждений и услуг, а также творческой деятельности.  В этой связи важно располагать разветвленной сетью учреждений сферы искусства и культуры, охватывающей все регионы страны.  </w:t>
      </w:r>
    </w:p>
    <w:p w:rsidR="00000000" w:rsidRDefault="00000000"/>
    <w:p w:rsidR="00000000" w:rsidRDefault="00000000">
      <w:r>
        <w:t>606.</w:t>
      </w:r>
      <w:r>
        <w:tab/>
        <w:t xml:space="preserve">В 2003 году 2,53 млн. человек посетили театры и примерно 950 000 человек ходили на концерты.  Количество посетителей музеев составило приблизительно 4,5 млн. человек.  </w:t>
      </w:r>
    </w:p>
    <w:p w:rsidR="00000000" w:rsidRDefault="00000000"/>
    <w:p w:rsidR="00000000" w:rsidRDefault="00000000">
      <w:r>
        <w:t>607.</w:t>
      </w:r>
      <w:r>
        <w:tab/>
        <w:t xml:space="preserve">Правительство оказывает финансовую поддержку культурной деятельности на местах.  Местные власти выделяют средства различным организациям и коллективам, осуществляющим самую разнообразную культурную деятельность, и организовывают базовое образование в области искусства в соответствии с требованиями, предусмотренными законом.  </w:t>
      </w:r>
    </w:p>
    <w:p w:rsidR="00000000" w:rsidRDefault="00000000"/>
    <w:p w:rsidR="00000000" w:rsidRDefault="00000000">
      <w:r>
        <w:t>608.</w:t>
      </w:r>
      <w:r>
        <w:tab/>
      </w:r>
      <w:r>
        <w:rPr>
          <w:i/>
          <w:iCs/>
        </w:rPr>
        <w:t>Улучшение доступа к культурным услугам</w:t>
      </w:r>
      <w:r>
        <w:t xml:space="preserve">.  В политической программе правительства, возглавляемого премьер-министром Матти Ванханеном (24 июня 2003 года), правительство обязуется поддерживать культурные права детей, инвалидов и групп меньшинств.  </w:t>
      </w:r>
    </w:p>
    <w:p w:rsidR="00000000" w:rsidRDefault="00000000"/>
    <w:p w:rsidR="00000000" w:rsidRDefault="00000000">
      <w:r>
        <w:t>609.</w:t>
      </w:r>
      <w:r>
        <w:tab/>
        <w:t xml:space="preserve">Министерство просвещения уделяет, в частности, пристальное внимание расширению доступа всех слоев населения к культурным услугам.  В существующих программах правительства, касающихся искусства, деятельности творческих работников и детской культуры, принимаются во внимание потребности инвалидов, культурных меньшинств и других групп, испытывающих особые потребности.  </w:t>
      </w:r>
    </w:p>
    <w:p w:rsidR="00000000" w:rsidRDefault="00000000"/>
    <w:p w:rsidR="00000000" w:rsidRDefault="00000000">
      <w:r>
        <w:t>610.</w:t>
      </w:r>
      <w:r>
        <w:tab/>
        <w:t xml:space="preserve">Осенью 2004 года комитет по делам инвалидов и культуры, действующий в качестве консультативного органа при министерстве просвещения, подготовил предложение в отношении программы действий по улучшению доступа к культурным услугам (публикация министерства образования 2004:29).  В публикации также содержатся предложения о развитии творчества инвалидов и отмечаются возможные пути расширения компетентными органами доступа к искусству, культуре и соответствующему образованию.  Вышеуказанная публикация получила широкое распространение среди различных деятелей культуры и компетентных властей.  Что касается выделения государственных субсидий на деятельность учреждений сферы искусства и культуры в будущем, то министерство просвещения намеревается уделять более пристальное внимание фактическому доступу к услугам, оказываемым этими учреждениями.  </w:t>
      </w:r>
    </w:p>
    <w:p w:rsidR="00000000" w:rsidRDefault="00000000"/>
    <w:p w:rsidR="00000000" w:rsidRDefault="00000000">
      <w:r>
        <w:t>611.</w:t>
      </w:r>
      <w:r>
        <w:tab/>
        <w:t xml:space="preserve">К концу 2005 года министерство просвещения подготовит свою собственную программу расширения доступа к достижениям искусства и культуры.  В рамках этой программы министерство намеревается руководствоваться комплексным подходом к решению вопроса о доступе к услугам, уделяя внимание возможностям пользования культурными услугами со стороны не только инвалидов, но также и других групп, испытывающих особые потребности, таких, как иммигранты, этнические меньшинства и престарелые.  </w:t>
      </w:r>
    </w:p>
    <w:p w:rsidR="00000000" w:rsidRDefault="00000000"/>
    <w:p w:rsidR="00000000" w:rsidRDefault="00000000">
      <w:r>
        <w:t>612.</w:t>
      </w:r>
      <w:r>
        <w:tab/>
        <w:t xml:space="preserve">С 2003 года Национальная галерея Финляндии при финансовой поддержке министерства просвещения оказывает консультативные услуги производителям культурных услуг с целью расширения доступа к соответствующим услугам.  </w:t>
      </w:r>
    </w:p>
    <w:p w:rsidR="00000000" w:rsidRDefault="00000000"/>
    <w:p w:rsidR="00000000" w:rsidRDefault="00000000">
      <w:r>
        <w:t>613.</w:t>
      </w:r>
      <w:r>
        <w:tab/>
      </w:r>
      <w:r>
        <w:rPr>
          <w:i/>
          <w:iCs/>
        </w:rPr>
        <w:t>Поддержка культурной деятельности инвалидов.</w:t>
      </w:r>
      <w:r>
        <w:t xml:space="preserve">  Министерство просвещения резервирует финансовые средства специально на цели выделения государственных субсидий для расширения культурной деятельности инвалидов и их доступа к культурным услугам.  В 2005 году объем этих средств возрос в два раза (в настоящее время он составляет 250 000 евро).  Кроме того, министерство просвещения выделяет субсидии на цели написания и издания литературы на простом языке, предназначенной не только для инвалидов, но и для престарелых, лиц с проблемами чтения и иммигрантов.</w:t>
      </w:r>
    </w:p>
    <w:p w:rsidR="00000000" w:rsidRDefault="00000000"/>
    <w:p w:rsidR="00000000" w:rsidRDefault="00000000">
      <w:r>
        <w:t>614.</w:t>
      </w:r>
      <w:r>
        <w:tab/>
        <w:t xml:space="preserve">Созданная в Финляндии библиотека для людей с нарушением зрения (Селиа) является государственной библиотекой, которая подготавливает и распространяет специальные материалы для людей с нарушением зрения, такие, как видеокассеты, книги, напечатанные шрифтом Брайля, и тактильные книги.  Библиотека оказывает услуги лицам с любыми формами нарушения зрения, включая слепых, слабовидящих, лиц, являющихся одновременно слепыми и глухими, немых и психических больных лиц, а также лиц, страдающих заболеваниями мышечной системы или серьезными затруднениями при чтении.  </w:t>
      </w:r>
    </w:p>
    <w:p w:rsidR="00000000" w:rsidRDefault="00000000"/>
    <w:p w:rsidR="00000000" w:rsidRDefault="00000000">
      <w:r>
        <w:t>615.</w:t>
      </w:r>
      <w:r>
        <w:tab/>
      </w:r>
      <w:r>
        <w:rPr>
          <w:i/>
          <w:iCs/>
        </w:rPr>
        <w:t>Поддержка творческой деятельности детей и подростков</w:t>
      </w:r>
      <w:r>
        <w:t xml:space="preserve">.  Министерство просвещения оказывает финансовую поддержку в интересах развития творческой деятельности детей и подростков, также организовывая на национальном, региональном и местном уровнях молодежные фестивали искусств, где молодые артисты и исполнители могут продемонстрировать то, чему они научились в процессе увлечения своими любимыми занятиями.  Лучшие исполнители имеют возможность принять участие в международных смотрах и конкурсах.  Молодежные фестивали искусств открыты для всех.  Выбираемые виды искусств каждый год меняются, и участвующие в фестивалях дети и подростки могут встретиться здесь с профессиональными творческими работниками соответствующего жанра, что будет стимулировать их и дальше заниматься своей любимой творческой деятельностью.  </w:t>
      </w:r>
    </w:p>
    <w:p w:rsidR="00000000" w:rsidRDefault="00000000"/>
    <w:p w:rsidR="00000000" w:rsidRDefault="00000000">
      <w:r>
        <w:t>616.</w:t>
      </w:r>
      <w:r>
        <w:tab/>
      </w:r>
      <w:r>
        <w:rPr>
          <w:i/>
          <w:iCs/>
        </w:rPr>
        <w:t>Поддержка исследований в области молодежной политики</w:t>
      </w:r>
      <w:r>
        <w:t xml:space="preserve">.  Отдел по делам молодежи министерства просвещения финансирует исследования, посвященные молодежной политике и работе с молодежью.  Такие субсидируемые исследования проводятся главным образом в рамках независимой исследовательской сети при обеспечении форума для дискуссий и сотрудничества между молодыми исследователями.  Исследования по вопросам молодежной работы также проводятся в политехнических институтах.  Министерство просвещения разрабатывает критерии и показатели, отражающие позиции и условия жизни молодых людей.  </w:t>
      </w:r>
    </w:p>
    <w:p w:rsidR="00000000" w:rsidRDefault="00000000"/>
    <w:p w:rsidR="00000000" w:rsidRDefault="00000000">
      <w:r>
        <w:t>617.</w:t>
      </w:r>
      <w:r>
        <w:tab/>
        <w:t xml:space="preserve">Базовые исследования в области молодежной политики осуществляются на университетском уровне в рамках двухгодичной аспирантской программы, введенной Университетом Куопио и Политехническим институтом Миккели в январе 2005 года.  Университет Тампере намеревается приступить к планированию соответствующей аспирантской программы в 2005 году, тем самым укрепив базовую научно-исследовательскую работу в данной области.  </w:t>
      </w:r>
    </w:p>
    <w:p w:rsidR="00000000" w:rsidRDefault="00000000"/>
    <w:p w:rsidR="00000000" w:rsidRDefault="00000000">
      <w:r>
        <w:t>618.</w:t>
      </w:r>
      <w:r>
        <w:tab/>
        <w:t xml:space="preserve">Различные другие организации и отдельные научные работники также проводят исследования по вопросам молодежной культуры и условий жизни подростков, а также по другим вопросам, касающимся молодежи.  Финансирование таких исследований может быть обеспечено за счет государства и из других источников.  </w:t>
      </w:r>
    </w:p>
    <w:p w:rsidR="00000000" w:rsidRDefault="00000000"/>
    <w:p w:rsidR="00000000" w:rsidRDefault="00000000">
      <w:pPr>
        <w:jc w:val="center"/>
        <w:rPr>
          <w:b/>
          <w:bCs/>
        </w:rPr>
      </w:pPr>
      <w:r>
        <w:rPr>
          <w:b/>
          <w:bCs/>
        </w:rPr>
        <w:t>1 </w:t>
      </w:r>
      <w:r>
        <w:rPr>
          <w:b/>
          <w:bCs/>
          <w:lang w:val="en-US"/>
        </w:rPr>
        <w:t>d</w:t>
      </w:r>
      <w:r>
        <w:rPr>
          <w:b/>
          <w:bCs/>
        </w:rPr>
        <w:t>)</w:t>
      </w:r>
      <w:r>
        <w:rPr>
          <w:b/>
          <w:bCs/>
        </w:rPr>
        <w:tab/>
        <w:t>Культурное наследие национальных этнических групп, меньшинств и коренных народов</w:t>
      </w:r>
    </w:p>
    <w:p w:rsidR="00000000" w:rsidRDefault="00000000">
      <w:pPr>
        <w:rPr>
          <w:b/>
          <w:bCs/>
        </w:rPr>
      </w:pPr>
    </w:p>
    <w:p w:rsidR="00000000" w:rsidRDefault="00000000">
      <w:r>
        <w:t>619.</w:t>
      </w:r>
      <w:r>
        <w:tab/>
      </w:r>
      <w:r>
        <w:rPr>
          <w:i/>
          <w:iCs/>
        </w:rPr>
        <w:t>Поддержка культуры меньшинств</w:t>
      </w:r>
      <w:r>
        <w:t xml:space="preserve">.  Различные жанры культуры и искусств доступны всем группам населения независимо от их этнического происхождения.  Однако лица, принадлежащие к иммигрантским группам или другим культурным меньшинствам, могут испытывать затруднения с точки зрения использования некоторых услуг и подачи заявок на получение субсидий.  Поэтому министерство просвещения резервирует отдельные средства на цели поддержки культурного разнообразия и действий по борьбе против расизма.  </w:t>
      </w:r>
    </w:p>
    <w:p w:rsidR="00000000" w:rsidRDefault="00000000"/>
    <w:p w:rsidR="00000000" w:rsidRDefault="00000000">
      <w:r>
        <w:t>620.</w:t>
      </w:r>
      <w:r>
        <w:tab/>
        <w:t>Кроме того, министерство просвещения ежегодно выделяет отдельные средства на цели поддержки культурной деятельности, проводимой на языке саами, и работы организаций саами.  С учетом культурной автономии народа саами парламент саами принимает решение о порядке использования соответствующих финансовых средств.  Выделение отдельных средств обеспечивает ежегодное освоение по крайней мере определенной суммы на эти цели.</w:t>
      </w:r>
    </w:p>
    <w:p w:rsidR="00000000" w:rsidRDefault="00000000"/>
    <w:p w:rsidR="00000000" w:rsidRDefault="00000000">
      <w:r>
        <w:t>621.</w:t>
      </w:r>
      <w:r>
        <w:tab/>
        <w:t>В 1996 году в законодательство была внесена поправка, в соответствии с которой Исследовательский институт языковедения Финляндии был уполномочен проводить исследования и содействовать развитию языка рома.  В 2005 году исследованиями языка рома занимаются два научных сотрудника, работающие на полной ставке.  Под эгидой Исследовательского института действуют Совет по вопросам языка рома, являющийся консультативным органом, призванным принимать решения в отношении принципов и общих рекомендаций по использованию языка.  Большинство членов Совета по вопросам языка рома являются рома по происхождению.  В процессе развития языка основное внимание уделяется словарному составу и терминологии, отвечающим потребностям современного общества.  Кроме того, Исследовательский институт языковедения Финляндии подготавливает базовую информацию, касающуюся произношения, морфологии и синтаксиса языка рома, а также его словарного состава.  В 2001 году был издан финско-рома-финский словарь.  Впоследствии Исследовательский институт реализовывал небольшие исследовательские проекты и собирал материалы о письменном и устном языке.  Исследовательский институт поддерживает частые контакты с организациями и органами, занимающимися поощрением языка и культуры рома.  Цель работы заключается в том, чтобы результаты исследований можно было бы более эффективно использовать для преподавания языка и другой образовательной деятельности.</w:t>
      </w:r>
    </w:p>
    <w:p w:rsidR="00000000" w:rsidRDefault="00000000"/>
    <w:p w:rsidR="00000000" w:rsidRDefault="00000000">
      <w:r>
        <w:t>622.</w:t>
      </w:r>
      <w:r>
        <w:tab/>
      </w:r>
      <w:r>
        <w:rPr>
          <w:i/>
          <w:iCs/>
        </w:rPr>
        <w:t>Языковые меньшинства.</w:t>
      </w:r>
      <w:r>
        <w:t xml:space="preserve">  В 2002 году в Закон (236/1961) о некоторых грантах и субсидиях, выплачиваемых авторам и переводчикам, была внесена поправка, предусматривающая полную отмену языковых критериев (требований в отношении представления соответствующих материалов исключительно на финском, шведском языках или языке саами) для предоставления грантов и субсидий.  Эта поправка расширила возможности этнических и языковых меньшинств в том плане, чтобы претендовать на получение грантов и фактически их получать.</w:t>
      </w:r>
    </w:p>
    <w:p w:rsidR="00000000" w:rsidRDefault="00000000"/>
    <w:p w:rsidR="00000000" w:rsidRDefault="00000000">
      <w:r>
        <w:t>623.</w:t>
      </w:r>
      <w:r>
        <w:tab/>
        <w:t>Форум инвалидов высказывал пожелания в отношении того, чтобы Конституция Финляндии также защищала права лиц, использующих язык жестов, и лиц, нуждающихся в услугах по устному или письменному переводу вследствие инвалидности.  По мнению Форума инвалидов, процесс осуществления этих прав необходимо контролировать и совершенствовать.</w:t>
      </w:r>
    </w:p>
    <w:p w:rsidR="00000000" w:rsidRDefault="00000000"/>
    <w:p w:rsidR="00000000" w:rsidRDefault="00000000">
      <w:r>
        <w:t>624.</w:t>
      </w:r>
      <w:r>
        <w:tab/>
        <w:t>Омбудсмен по делам меньшинств отмечал важное значение продолжения деятельности Консультативного совета по межэтническим отношениям и необходимость создания соответствующих региональных консультативных советов.</w:t>
      </w:r>
    </w:p>
    <w:p w:rsidR="00000000" w:rsidRDefault="00000000"/>
    <w:p w:rsidR="00000000" w:rsidRDefault="00000000">
      <w:pPr>
        <w:keepNext/>
        <w:ind w:left="567" w:hanging="567"/>
        <w:jc w:val="center"/>
        <w:rPr>
          <w:b/>
          <w:bCs/>
          <w:lang w:val="en-US"/>
        </w:rPr>
      </w:pPr>
      <w:r>
        <w:rPr>
          <w:b/>
          <w:bCs/>
        </w:rPr>
        <w:t>2.</w:t>
      </w:r>
      <w:r>
        <w:rPr>
          <w:b/>
          <w:bCs/>
        </w:rPr>
        <w:tab/>
        <w:t>Право каждого человека на пользование результатами научного</w:t>
      </w:r>
    </w:p>
    <w:p w:rsidR="00000000" w:rsidRDefault="00000000">
      <w:pPr>
        <w:ind w:left="567" w:hanging="567"/>
        <w:jc w:val="center"/>
        <w:rPr>
          <w:b/>
          <w:bCs/>
        </w:rPr>
      </w:pPr>
      <w:r>
        <w:rPr>
          <w:b/>
          <w:bCs/>
        </w:rPr>
        <w:t>прогресса и их практического применения</w:t>
      </w:r>
    </w:p>
    <w:p w:rsidR="00000000" w:rsidRDefault="00000000">
      <w:pPr>
        <w:ind w:left="567" w:hanging="567"/>
        <w:jc w:val="center"/>
        <w:rPr>
          <w:b/>
          <w:bCs/>
        </w:rPr>
      </w:pPr>
    </w:p>
    <w:p w:rsidR="00000000" w:rsidRDefault="00000000">
      <w:pPr>
        <w:jc w:val="center"/>
        <w:rPr>
          <w:b/>
          <w:bCs/>
        </w:rPr>
      </w:pPr>
      <w:r>
        <w:rPr>
          <w:b/>
          <w:bCs/>
        </w:rPr>
        <w:t xml:space="preserve">2 а) и </w:t>
      </w:r>
      <w:r>
        <w:rPr>
          <w:b/>
          <w:bCs/>
          <w:lang w:val="en-US"/>
        </w:rPr>
        <w:t>b</w:t>
      </w:r>
      <w:r>
        <w:rPr>
          <w:b/>
          <w:bCs/>
        </w:rPr>
        <w:t>)</w:t>
      </w:r>
      <w:r>
        <w:rPr>
          <w:b/>
          <w:bCs/>
        </w:rPr>
        <w:tab/>
        <w:t>Меры, принятые в целях применения достижений научного прогресса</w:t>
      </w:r>
    </w:p>
    <w:p w:rsidR="00000000" w:rsidRDefault="00000000">
      <w:pPr>
        <w:jc w:val="center"/>
        <w:rPr>
          <w:b/>
          <w:bCs/>
        </w:rPr>
      </w:pPr>
      <w:r>
        <w:rPr>
          <w:b/>
          <w:bCs/>
        </w:rPr>
        <w:tab/>
      </w:r>
      <w:r>
        <w:rPr>
          <w:b/>
          <w:bCs/>
        </w:rPr>
        <w:tab/>
        <w:t>в интересах каждого человека и в целях поощрения распространения</w:t>
      </w:r>
    </w:p>
    <w:p w:rsidR="00000000" w:rsidRDefault="00000000">
      <w:pPr>
        <w:jc w:val="center"/>
      </w:pPr>
      <w:r>
        <w:rPr>
          <w:b/>
          <w:bCs/>
        </w:rPr>
        <w:t>информации о научном прогрессе</w:t>
      </w:r>
    </w:p>
    <w:p w:rsidR="00000000" w:rsidRDefault="00000000"/>
    <w:p w:rsidR="00000000" w:rsidRDefault="00000000">
      <w:r>
        <w:t>625.</w:t>
      </w:r>
      <w:r>
        <w:tab/>
        <w:t>Задача политики правительства в области науки сводится к активизации научных исследований и к повышению качества таких исследований, их воздействия и международной транспарентности.  В 2004 году правительство провело глобальную оценку механизмов осуществления научных исследований.</w:t>
      </w:r>
    </w:p>
    <w:p w:rsidR="00000000" w:rsidRDefault="00000000"/>
    <w:p w:rsidR="00000000" w:rsidRDefault="00000000">
      <w:r>
        <w:t>626.</w:t>
      </w:r>
      <w:r>
        <w:tab/>
        <w:t>В соответствии с политической программой правительства в 2003-2009 годах будет постепенно расширяться финансирование исследований и разработок.  Это предполагает укрепление фундаментальной исследовательской деятельности и ее инфраструктуры, а также расширение и интернационализацию профессиональной подготовки исследователей и повышение их мобильности.  С точки зрения расходов на исследования и разработки, объем которых измеряется по их доле в ВНП (3,4% в 2004 году), Финляндия занимает одно из первых мест среди стран ЕС.  Кроме того, Финляндия занимает одно из первых мест на международном уровне по доле государственных ассигнований на НИОКР.</w:t>
      </w:r>
    </w:p>
    <w:p w:rsidR="00000000" w:rsidRDefault="00000000"/>
    <w:p w:rsidR="00000000" w:rsidRDefault="00000000">
      <w:r>
        <w:t>627.</w:t>
      </w:r>
      <w:r>
        <w:tab/>
        <w:t>В целях активизации использования результатов исследовательской деятельности в 2004 году в парламент был внесен правительственный законопроект (НЕ 259/2004), касающийся, в частности, университетских изобретений.  Укрепилась взаимосвязь между наукой и обществом при осуществлении конкретной программы действий, и была начата подготовка стратегии профессионального роста исследователей.  Согласно соответствующей рекомендации, был расширен доступ к научным публикациям.</w:t>
      </w:r>
    </w:p>
    <w:p w:rsidR="00000000" w:rsidRDefault="00000000"/>
    <w:p w:rsidR="00000000" w:rsidRDefault="00000000">
      <w:pPr>
        <w:jc w:val="center"/>
        <w:rPr>
          <w:b/>
          <w:bCs/>
        </w:rPr>
      </w:pPr>
      <w:r>
        <w:rPr>
          <w:b/>
          <w:bCs/>
        </w:rPr>
        <w:t>6.</w:t>
      </w:r>
      <w:r>
        <w:rPr>
          <w:b/>
          <w:bCs/>
        </w:rPr>
        <w:tab/>
        <w:t>Международные контакты и сотрудничество</w:t>
      </w:r>
    </w:p>
    <w:p w:rsidR="00000000" w:rsidRDefault="00000000">
      <w:pPr>
        <w:rPr>
          <w:b/>
          <w:bCs/>
        </w:rPr>
      </w:pPr>
    </w:p>
    <w:p w:rsidR="00000000" w:rsidRDefault="00000000">
      <w:r>
        <w:t>628.</w:t>
      </w:r>
      <w:r>
        <w:tab/>
        <w:t xml:space="preserve">Министерство просвещения оказывает финансовую поддержку одному независимому институту культуры в Финляндии (Ханасаари в Эспо) и 11 институтам за рубежом (Париж, Лондон, Берлин, Таллин, Копенгаген, Антверпен, Стокгольм, Санкт-Петербург, Мадрид, Осло и Будапешт), цель которой заключается в налаживании контактов и укреплении сотрудничества между финскими культурными и научными кругами и их партнерами в принимающей стране.  Некоторые институты также проводят работу по повышению информированности о возможностях учебы в Финляндии.  </w:t>
      </w:r>
    </w:p>
    <w:p w:rsidR="00000000" w:rsidRDefault="00000000"/>
    <w:p w:rsidR="00000000" w:rsidRDefault="00000000">
      <w:r>
        <w:t>629.</w:t>
      </w:r>
      <w:r>
        <w:tab/>
        <w:t xml:space="preserve">Финляндия принимает активное и все более широкое участие в сотрудничестве с другими скандинавскими странами, государствами - членами ЕС и другими странами.  В ноябре 2004 года действующий при правительстве Совет по вопросам научно-технической политики принял стратегические руководящие принципы интернационализации финской науки и техники.  </w:t>
      </w:r>
    </w:p>
    <w:p w:rsidR="00000000" w:rsidRDefault="00000000"/>
    <w:p w:rsidR="00000000" w:rsidRDefault="00000000">
      <w:r>
        <w:t>630.</w:t>
      </w:r>
      <w:r>
        <w:tab/>
        <w:t>В июле 2004 года вступило в силу соглашение о присоединении Финляндии к Соглашению о европейской южной обсерватории.  В результате такого присоединения финские исследователи получат возможность пользоваться высококачественным оборудованием и инструментальными средствами и смогут осуществлять более эффективное влияние и участие в рамках международного сотрудничества на высоком уровне.</w:t>
      </w:r>
    </w:p>
    <w:p w:rsidR="00000000" w:rsidRDefault="00000000"/>
    <w:p w:rsidR="00000000" w:rsidRDefault="00000000">
      <w:pPr>
        <w:jc w:val="center"/>
        <w:rPr>
          <w:b/>
          <w:bCs/>
        </w:rPr>
      </w:pPr>
      <w:r>
        <w:rPr>
          <w:b/>
          <w:bCs/>
          <w:i/>
          <w:iCs/>
        </w:rPr>
        <w:br w:type="page"/>
      </w:r>
      <w:r>
        <w:rPr>
          <w:b/>
          <w:bCs/>
        </w:rPr>
        <w:t>Приложения</w:t>
      </w:r>
    </w:p>
    <w:p w:rsidR="00000000" w:rsidRDefault="00000000">
      <w:pPr>
        <w:rPr>
          <w:b/>
          <w:bCs/>
          <w:i/>
          <w:iCs/>
        </w:rPr>
      </w:pPr>
    </w:p>
    <w:p w:rsidR="00000000" w:rsidRDefault="00000000">
      <w:r>
        <w:rPr>
          <w:b/>
          <w:bCs/>
          <w:i/>
          <w:iCs/>
        </w:rPr>
        <w:t>Приложения 1-3:</w:t>
      </w:r>
      <w:r>
        <w:t xml:space="preserve">  Периодические доклады правительства Финляндии за 1999, 2001 и 2003 годы о мерах, принятых в целях осуществления положений Конвенции о дискриминации в области труда и занятий (Конвенции МОТ № 111).</w:t>
      </w:r>
    </w:p>
    <w:p w:rsidR="00000000" w:rsidRDefault="00000000"/>
    <w:p w:rsidR="00000000" w:rsidRDefault="00000000">
      <w:r>
        <w:rPr>
          <w:b/>
          <w:bCs/>
          <w:i/>
          <w:iCs/>
        </w:rPr>
        <w:t xml:space="preserve">Приложения 4-6:  </w:t>
      </w:r>
      <w:r>
        <w:t>Периодические доклады правительства Финляндии за 2000, 2002 и 2003 годы о мерах, принятых в целях осуществления положений Конвенции о политике в области занятости (Конвенции МОТ № 122).</w:t>
      </w:r>
    </w:p>
    <w:p w:rsidR="00000000" w:rsidRDefault="00000000"/>
    <w:p w:rsidR="00000000" w:rsidRDefault="00000000">
      <w:r>
        <w:rPr>
          <w:b/>
          <w:bCs/>
          <w:i/>
          <w:iCs/>
        </w:rPr>
        <w:t xml:space="preserve">Приложение 7-9:  </w:t>
      </w:r>
      <w:r>
        <w:t>Периодические доклады правительства Финляндии за 2000, 2002 и 2003 годы о мерах, принятых в целях осуществления положений Конвенции о равном вознаграждении (Конвенции МОТ № 100).</w:t>
      </w:r>
    </w:p>
    <w:p w:rsidR="00000000" w:rsidRDefault="00000000"/>
    <w:p w:rsidR="00000000" w:rsidRDefault="00000000">
      <w:r>
        <w:rPr>
          <w:b/>
          <w:bCs/>
          <w:i/>
          <w:iCs/>
        </w:rPr>
        <w:t xml:space="preserve">Приложения 10-11:  </w:t>
      </w:r>
      <w:r>
        <w:t>Периодические доклады правительства Финляндии за 2000 и 2003 годы о мерах, принятых в целях осуществления положений Конвенции (пересмотренной) об оплачиваемых отпусках (Конвенции МОТ № 132).</w:t>
      </w:r>
    </w:p>
    <w:p w:rsidR="00000000" w:rsidRDefault="00000000"/>
    <w:p w:rsidR="00000000" w:rsidRDefault="00000000">
      <w:r>
        <w:rPr>
          <w:b/>
          <w:bCs/>
          <w:i/>
          <w:iCs/>
        </w:rPr>
        <w:t xml:space="preserve">Приложение 12:  </w:t>
      </w:r>
      <w:r>
        <w:t>Периодический доклад правительства Финляндии за 2004 год о мерах в целях осуществления положений Конвенции об инспекции труда (Конвенции МОТ № 81).</w:t>
      </w:r>
    </w:p>
    <w:p w:rsidR="00000000" w:rsidRDefault="00000000"/>
    <w:p w:rsidR="00000000" w:rsidRDefault="00000000">
      <w:r>
        <w:rPr>
          <w:b/>
          <w:bCs/>
          <w:i/>
          <w:iCs/>
        </w:rPr>
        <w:t xml:space="preserve">Приложения 13-15:  </w:t>
      </w:r>
      <w:r>
        <w:t>Периодические доклады правительства Финляндии за 2000, 2002 и 2004 годы о мерах, принятых в целях осуществления положений Конвенции об инспекции труда в сельском хозяйстве (Конвенции МОТ № 129).</w:t>
      </w:r>
    </w:p>
    <w:p w:rsidR="00000000" w:rsidRDefault="00000000"/>
    <w:p w:rsidR="00000000" w:rsidRDefault="00000000">
      <w:r>
        <w:rPr>
          <w:b/>
          <w:bCs/>
          <w:i/>
          <w:iCs/>
        </w:rPr>
        <w:t xml:space="preserve">Приложения 16-18:  </w:t>
      </w:r>
      <w:r>
        <w:t>Периодические доклады правительства Финляндии за 2000, 2002 и 2003 годы о мерах, принятых в целях осуществления положений Конвенции о свободе ассоциации и защите права на организацию (Конвенции МОТ № 87).</w:t>
      </w:r>
    </w:p>
    <w:p w:rsidR="00000000" w:rsidRDefault="00000000"/>
    <w:p w:rsidR="00000000" w:rsidRDefault="00000000">
      <w:r>
        <w:rPr>
          <w:b/>
          <w:bCs/>
          <w:i/>
          <w:iCs/>
        </w:rPr>
        <w:t xml:space="preserve">Приложения 19-20:  </w:t>
      </w:r>
      <w:r>
        <w:t>Периодические доклады правительства Финляндии за 2002 и 2004 годы о мерах, принятых в целях осуществления положений Конвенции о наихудших формах детского труда (Конвенции МОТ № 182).</w:t>
      </w:r>
    </w:p>
    <w:p w:rsidR="00000000" w:rsidRDefault="00000000"/>
    <w:p w:rsidR="00000000" w:rsidRDefault="00000000">
      <w:r>
        <w:rPr>
          <w:b/>
          <w:bCs/>
          <w:i/>
          <w:iCs/>
        </w:rPr>
        <w:t xml:space="preserve">Приложения 21-23:  </w:t>
      </w:r>
      <w:r>
        <w:t>Периодические доклады правительства Финляндии за 2000, 2002 и 2004 годы о мерах, принятых в целях осуществления положений Конвенции о минимальном возрасте (Конвенции МОТ № 138).</w:t>
      </w:r>
    </w:p>
    <w:p w:rsidR="00000000" w:rsidRDefault="00000000"/>
    <w:p w:rsidR="00000000" w:rsidRDefault="00000000">
      <w:r>
        <w:rPr>
          <w:b/>
          <w:bCs/>
          <w:i/>
          <w:iCs/>
        </w:rPr>
        <w:t xml:space="preserve">Приложение 24:  </w:t>
      </w:r>
      <w:r>
        <w:t>Несчастные случаи на производстве и профессиональные заболевания в Финляндии.</w:t>
      </w:r>
    </w:p>
    <w:p w:rsidR="00000000" w:rsidRDefault="00000000">
      <w:pPr>
        <w:rPr>
          <w:lang w:val="en-US"/>
        </w:rPr>
      </w:pPr>
      <w:r>
        <w:rPr>
          <w:b/>
          <w:bCs/>
          <w:i/>
          <w:iCs/>
        </w:rPr>
        <w:t>Приложение</w:t>
      </w:r>
      <w:r>
        <w:rPr>
          <w:b/>
          <w:bCs/>
          <w:i/>
          <w:iCs/>
          <w:lang w:val="en-US"/>
        </w:rPr>
        <w:t xml:space="preserve"> 25:  </w:t>
      </w:r>
      <w:r>
        <w:rPr>
          <w:lang w:val="en-US"/>
        </w:rPr>
        <w:t>Trends in Social Protection in Finland 2003; Ministry of Social Affairs and Health; Publications 2003:17.</w:t>
      </w:r>
    </w:p>
    <w:p w:rsidR="00000000" w:rsidRDefault="00000000">
      <w:pPr>
        <w:rPr>
          <w:lang w:val="en-US"/>
        </w:rPr>
      </w:pPr>
    </w:p>
    <w:p w:rsidR="00000000" w:rsidRDefault="00000000">
      <w:pPr>
        <w:rPr>
          <w:lang w:val="en-US"/>
        </w:rPr>
      </w:pPr>
      <w:r>
        <w:rPr>
          <w:b/>
          <w:bCs/>
          <w:i/>
          <w:iCs/>
        </w:rPr>
        <w:t>Приложение</w:t>
      </w:r>
      <w:r>
        <w:rPr>
          <w:b/>
          <w:bCs/>
          <w:i/>
          <w:iCs/>
          <w:lang w:val="en-US"/>
        </w:rPr>
        <w:t xml:space="preserve"> 26:</w:t>
      </w:r>
      <w:r>
        <w:rPr>
          <w:lang w:val="en-US"/>
        </w:rPr>
        <w:t xml:space="preserve">  Finland's National Pension Strategy Report; Updated version, October 2002;  Ministry of Social Affairs and Health.</w:t>
      </w:r>
    </w:p>
    <w:p w:rsidR="00000000" w:rsidRDefault="00000000">
      <w:pPr>
        <w:rPr>
          <w:lang w:val="en-US"/>
        </w:rPr>
      </w:pPr>
    </w:p>
    <w:p w:rsidR="00000000" w:rsidRDefault="00000000">
      <w:pPr>
        <w:rPr>
          <w:lang w:val="en-US"/>
        </w:rPr>
      </w:pPr>
      <w:r>
        <w:rPr>
          <w:b/>
          <w:bCs/>
          <w:i/>
          <w:iCs/>
        </w:rPr>
        <w:t>Приложения</w:t>
      </w:r>
      <w:r>
        <w:rPr>
          <w:b/>
          <w:bCs/>
          <w:i/>
          <w:iCs/>
          <w:lang w:val="en-US"/>
        </w:rPr>
        <w:t xml:space="preserve"> 27-31:  </w:t>
      </w:r>
      <w:r>
        <w:rPr>
          <w:lang w:val="en-US"/>
        </w:rPr>
        <w:t>MISSOC National Reports of the Ministry of Social Affairs and Health in 2000, 2001, 2002, 2003 and 2004.</w:t>
      </w:r>
    </w:p>
    <w:p w:rsidR="00000000" w:rsidRDefault="00000000">
      <w:pPr>
        <w:rPr>
          <w:lang w:val="en-US"/>
        </w:rPr>
      </w:pPr>
    </w:p>
    <w:p w:rsidR="00000000" w:rsidRDefault="00000000">
      <w:pPr>
        <w:rPr>
          <w:lang w:val="en-US"/>
        </w:rPr>
      </w:pPr>
      <w:r>
        <w:rPr>
          <w:b/>
          <w:bCs/>
          <w:i/>
          <w:iCs/>
        </w:rPr>
        <w:t>Приложение</w:t>
      </w:r>
      <w:r>
        <w:rPr>
          <w:b/>
          <w:bCs/>
          <w:i/>
          <w:iCs/>
          <w:lang w:val="en-US"/>
        </w:rPr>
        <w:t xml:space="preserve"> 32:  </w:t>
      </w:r>
      <w:r>
        <w:rPr>
          <w:lang w:val="en-US"/>
        </w:rPr>
        <w:t>The Veto Programme 2003 - 2007; Stencils of the Ministry of Social Affairs and Health 2003:18.</w:t>
      </w:r>
    </w:p>
    <w:p w:rsidR="00000000" w:rsidRDefault="00000000">
      <w:pPr>
        <w:rPr>
          <w:lang w:val="en-US"/>
        </w:rPr>
      </w:pPr>
    </w:p>
    <w:p w:rsidR="00000000" w:rsidRDefault="00000000">
      <w:pPr>
        <w:rPr>
          <w:lang w:val="en-US"/>
        </w:rPr>
      </w:pPr>
    </w:p>
    <w:p w:rsidR="00000000" w:rsidRDefault="00000000">
      <w:pPr>
        <w:jc w:val="center"/>
      </w:pPr>
      <w:r>
        <w:t>-----</w:t>
      </w:r>
    </w:p>
    <w:sectPr w:rsidR="00000000">
      <w:headerReference w:type="even" r:id="rId13"/>
      <w:headerReference w:type="default" r:id="rId14"/>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t>Четвертый периодический доклад, касающийся прав, охватываемых статьями 1</w:t>
      </w:r>
      <w:r>
        <w:noBreakHyphen/>
        <w:t>15 (</w:t>
      </w:r>
      <w:r>
        <w:rPr>
          <w:lang w:val="en-US"/>
        </w:rPr>
        <w:t>E</w:t>
      </w:r>
      <w:r>
        <w:t>/</w:t>
      </w:r>
      <w:r>
        <w:rPr>
          <w:lang w:val="en-US"/>
        </w:rPr>
        <w:t>C</w:t>
      </w:r>
      <w:r>
        <w:t>.12/4/</w:t>
      </w:r>
      <w:r>
        <w:rPr>
          <w:lang w:val="en-US"/>
        </w:rPr>
        <w:t>Add</w:t>
      </w:r>
      <w:r>
        <w:t>.1), был рассмотрен Комитетом по экономическим, социальным и культурным правам на его двадцать четвертой сессии (см. </w:t>
      </w:r>
      <w:r>
        <w:rPr>
          <w:lang w:val="en-US"/>
        </w:rPr>
        <w:t>E</w:t>
      </w:r>
      <w:r>
        <w:t>/</w:t>
      </w:r>
      <w:r>
        <w:rPr>
          <w:lang w:val="en-US"/>
        </w:rPr>
        <w:t>C</w:t>
      </w:r>
      <w:r>
        <w:t>.12/2000/</w:t>
      </w:r>
      <w:r>
        <w:rPr>
          <w:lang w:val="en-US"/>
        </w:rPr>
        <w:t>SR</w:t>
      </w:r>
      <w:r>
        <w:t>.61</w:t>
      </w:r>
      <w:r>
        <w:noBreakHyphen/>
        <w:t xml:space="preserve">63, </w:t>
      </w:r>
      <w:r>
        <w:rPr>
          <w:lang w:val="en-US"/>
        </w:rPr>
        <w:t>E</w:t>
      </w:r>
      <w:r>
        <w:t>/</w:t>
      </w:r>
      <w:r>
        <w:rPr>
          <w:lang w:val="en-US"/>
        </w:rPr>
        <w:t>C</w:t>
      </w:r>
      <w:r>
        <w:t>.12/1/</w:t>
      </w:r>
      <w:r>
        <w:rPr>
          <w:lang w:val="en-US"/>
        </w:rPr>
        <w:t>Add</w:t>
      </w:r>
      <w:r>
        <w:t>.52) в ноябре 2000 года.</w:t>
      </w:r>
    </w:p>
    <w:p w:rsidR="00000000" w:rsidRDefault="00000000">
      <w:pPr>
        <w:pStyle w:val="FootnoteText"/>
      </w:pPr>
    </w:p>
  </w:footnote>
  <w:footnote w:id="2">
    <w:p w:rsidR="00000000" w:rsidRDefault="00000000">
      <w:pPr>
        <w:pStyle w:val="FootnoteText"/>
      </w:pPr>
      <w:r>
        <w:rPr>
          <w:rStyle w:val="FootnoteReference"/>
        </w:rPr>
        <w:t>**</w:t>
      </w:r>
      <w:r>
        <w:tab/>
        <w:t>Информация, представленная Финляндией в соответствии с руководящими принципами, касающимися первоначальной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.59/</w:t>
      </w:r>
      <w:r>
        <w:rPr>
          <w:lang w:val="en-US"/>
        </w:rPr>
        <w:t>Rev</w:t>
      </w:r>
      <w:r>
        <w:t>.2).</w:t>
      </w:r>
    </w:p>
    <w:p w:rsidR="00000000" w:rsidRDefault="00000000">
      <w:pPr>
        <w:pStyle w:val="FootnoteText"/>
      </w:pPr>
    </w:p>
  </w:footnote>
  <w:footnote w:id="3">
    <w:p w:rsidR="00000000" w:rsidRDefault="00000000">
      <w:pPr>
        <w:pStyle w:val="FootnoteText"/>
      </w:pPr>
      <w:r>
        <w:rPr>
          <w:rStyle w:val="FootnoteReference"/>
        </w:rPr>
        <w:t>***</w:t>
      </w:r>
      <w:r>
        <w:tab/>
        <w:t>В соответствии с представленной государствам-участникам информацией о порядке обработки их докладов настоящий документ не проходил редактирование до его передачи в переводческие службы Организации Объединенных Наций.</w:t>
      </w:r>
    </w:p>
    <w:p w:rsidR="00000000" w:rsidRDefault="00000000">
      <w:pPr>
        <w:pStyle w:val="FootnoteText"/>
      </w:pP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 xml:space="preserve">Понятие бытового насилия шире, чем просто насилие со стороны сожителя, поскольку оно включает все акты насилия между членами семьи.  Критерии, на основании которых те или иные акты регистрируются в полиции как акты бытового насилия, могут быть разными.  </w:t>
      </w:r>
    </w:p>
    <w:p w:rsidR="00000000" w:rsidRDefault="00000000">
      <w:pPr>
        <w:pStyle w:val="FootnoteText"/>
      </w:pPr>
    </w:p>
  </w:footnote>
  <w:footnote w:id="5">
    <w:p w:rsidR="00000000" w:rsidRDefault="00000000">
      <w:pPr>
        <w:pStyle w:val="FootnoteText"/>
      </w:pPr>
      <w:r>
        <w:rPr>
          <w:rStyle w:val="FootnoteReference"/>
        </w:rPr>
        <w:footnoteRef/>
      </w:r>
      <w:r>
        <w:tab/>
        <w:t>Лица в возрасте 15-24 лет.</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Лица в возрасте 55-64 лет.</w:t>
      </w:r>
    </w:p>
  </w:footnote>
  <w:footnote w:id="7">
    <w:p w:rsidR="00000000" w:rsidRDefault="00000000">
      <w:pPr>
        <w:pStyle w:val="FootnoteText"/>
      </w:pPr>
      <w:r>
        <w:rPr>
          <w:rStyle w:val="FootnoteReference"/>
        </w:rPr>
        <w:footnoteRef/>
      </w:r>
      <w:r>
        <w:t xml:space="preserve"> </w:t>
      </w:r>
      <w:r>
        <w:tab/>
        <w:t>Лица младше 25 лет.</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Лица, непрерывно являвшиеся безработными в течение более одного года.</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t>Лица, имеющие ограниченную трудоспособность.</w:t>
      </w:r>
    </w:p>
  </w:footnote>
  <w:footnote w:id="10">
    <w:p w:rsidR="00000000" w:rsidRDefault="00000000">
      <w:pPr>
        <w:pStyle w:val="FootnoteText"/>
      </w:pPr>
      <w:r>
        <w:rPr>
          <w:rStyle w:val="FootnoteReference"/>
        </w:rPr>
        <w:footnoteRef/>
      </w:r>
      <w:r>
        <w:t xml:space="preserve"> </w:t>
      </w:r>
      <w:r>
        <w:tab/>
        <w:t>Согласно информации Статистического управления Финляндии, муниципалитеты, в которых по меньшей мере 70% населения проживает в густо заселенных районах, относятся к категориям городских районов.  Эта классификация не связана с их официальным статусом крупного/мелкого города или иного муниципального образования.</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fr-FR"/>
      </w:rPr>
    </w:pPr>
    <w:r>
      <w:rPr>
        <w:lang w:val="fr-FR"/>
      </w:rPr>
      <w:t>E/C.12/FIN/5</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29"/>
      </w:tabs>
      <w:spacing w:line="240" w:lineRule="auto"/>
      <w:rPr>
        <w:lang w:val="fr-FR"/>
      </w:rPr>
    </w:pPr>
    <w:r>
      <w:rPr>
        <w:lang w:val="en-US"/>
      </w:rPr>
      <w:tab/>
    </w:r>
    <w:r>
      <w:rPr>
        <w:lang w:val="en-US"/>
      </w:rPr>
      <w:tab/>
    </w:r>
    <w:r>
      <w:rPr>
        <w:lang w:val="fr-FR"/>
      </w:rPr>
      <w:t>E/C.12/FIN/5</w:t>
    </w:r>
  </w:p>
  <w:p w:rsidR="00000000" w:rsidRDefault="00000000">
    <w:pPr>
      <w:pStyle w:val="Header"/>
      <w:tabs>
        <w:tab w:val="left" w:pos="7629"/>
      </w:tabs>
      <w:spacing w:line="240" w:lineRule="auto"/>
      <w:rPr>
        <w:rStyle w:val="PageNumber"/>
        <w:lang w:val="en-US"/>
      </w:rPr>
    </w:pPr>
    <w:r>
      <w:rPr>
        <w:lang w:val="fr-FR"/>
      </w:rPr>
      <w:tab/>
    </w:r>
    <w:r>
      <w:rPr>
        <w:lang w:val="fr-FR"/>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179</w:t>
    </w:r>
    <w:r>
      <w:rPr>
        <w:rStyle w:val="PageNumber"/>
      </w:rPr>
      <w:fldChar w:fldCharType="end"/>
    </w:r>
  </w:p>
  <w:p w:rsidR="00000000" w:rsidRDefault="00000000">
    <w:pPr>
      <w:pStyle w:val="Header"/>
      <w:tabs>
        <w:tab w:val="left" w:pos="7629"/>
      </w:tabs>
      <w:spacing w:line="240" w:lineRule="auto"/>
      <w:rPr>
        <w:rStyle w:val="PageNumber"/>
        <w:lang w:val="en-US"/>
      </w:rPr>
    </w:pPr>
  </w:p>
  <w:p w:rsidR="00000000" w:rsidRDefault="00000000">
    <w:pPr>
      <w:pStyle w:val="Header"/>
      <w:tabs>
        <w:tab w:val="left" w:pos="7629"/>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E8665C4"/>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2"/>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aliases w:val="Otsikko 1 (STM)"/>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character" w:styleId="Hyperlink">
    <w:name w:val="Hyperlink"/>
    <w:semiHidden/>
    <w:rPr>
      <w:color w:val="0000FF"/>
      <w:u w:val="single"/>
    </w:rPr>
  </w:style>
  <w:style w:type="paragraph" w:styleId="BodyText2">
    <w:name w:val="Body Text 2"/>
    <w:basedOn w:val="Normal"/>
    <w:semiHidden/>
    <w:pPr>
      <w:tabs>
        <w:tab w:val="clear" w:pos="567"/>
        <w:tab w:val="clear" w:pos="1134"/>
        <w:tab w:val="clear" w:pos="1701"/>
        <w:tab w:val="clear" w:pos="2268"/>
        <w:tab w:val="clear" w:pos="6237"/>
        <w:tab w:val="left" w:pos="360"/>
      </w:tabs>
      <w:autoSpaceDE w:val="0"/>
      <w:autoSpaceDN w:val="0"/>
      <w:adjustRightInd w:val="0"/>
      <w:spacing w:line="360" w:lineRule="auto"/>
    </w:pPr>
    <w:rPr>
      <w:color w:val="000000"/>
      <w:sz w:val="22"/>
      <w:szCs w:val="18"/>
      <w:lang w:val="fi-FI"/>
    </w:rPr>
  </w:style>
  <w:style w:type="paragraph" w:customStyle="1" w:styleId="Default">
    <w:name w:val="Default"/>
    <w:pPr>
      <w:autoSpaceDE w:val="0"/>
      <w:autoSpaceDN w:val="0"/>
      <w:adjustRightInd w:val="0"/>
    </w:pPr>
    <w:rPr>
      <w:rFonts w:ascii="TimesNewRoman" w:hAnsi="TimesNewRoman"/>
      <w:lang w:val="en-US" w:eastAsia="en-US"/>
    </w:rPr>
  </w:style>
  <w:style w:type="paragraph" w:styleId="ListBullet">
    <w:name w:val="List Bullet"/>
    <w:basedOn w:val="Normal"/>
    <w:autoRedefine/>
    <w:semiHidden/>
    <w:pPr>
      <w:numPr>
        <w:numId w:val="4"/>
      </w:numPr>
      <w:tabs>
        <w:tab w:val="left" w:pos="1134"/>
        <w:tab w:val="left" w:pos="1701"/>
        <w:tab w:val="left" w:pos="2268"/>
        <w:tab w:val="left" w:pos="623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ktl.fi/terveys200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inlex.fi/fi/laki/kaannokset/2004/en20040021.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join.fi/seis" TargetMode="External"/><Relationship Id="rId4" Type="http://schemas.openxmlformats.org/officeDocument/2006/relationships/webSettings" Target="webSettings.xml"/><Relationship Id="rId9" Type="http://schemas.openxmlformats.org/officeDocument/2006/relationships/hyperlink" Target="http://www.equality.fi"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59027</Words>
  <Characters>336456</Characters>
  <Application>Microsoft Office Word</Application>
  <DocSecurity>4</DocSecurity>
  <Lines>2803</Lines>
  <Paragraphs>672</Paragraphs>
  <ScaleCrop>false</ScaleCrop>
  <HeadingPairs>
    <vt:vector size="2" baseType="variant">
      <vt:variant>
        <vt:lpstr>Название</vt:lpstr>
      </vt:variant>
      <vt:variant>
        <vt:i4>1</vt:i4>
      </vt:variant>
    </vt:vector>
  </HeadingPairs>
  <TitlesOfParts>
    <vt:vector size="1" baseType="lpstr">
      <vt:lpstr>0640338.doc</vt:lpstr>
    </vt:vector>
  </TitlesOfParts>
  <Company> </Company>
  <LinksUpToDate>false</LinksUpToDate>
  <CharactersWithSpaces>413191</CharactersWithSpaces>
  <SharedDoc>false</SharedDoc>
  <HLinks>
    <vt:vector size="24" baseType="variant">
      <vt:variant>
        <vt:i4>852035</vt:i4>
      </vt:variant>
      <vt:variant>
        <vt:i4>25</vt:i4>
      </vt:variant>
      <vt:variant>
        <vt:i4>0</vt:i4>
      </vt:variant>
      <vt:variant>
        <vt:i4>5</vt:i4>
      </vt:variant>
      <vt:variant>
        <vt:lpwstr>http://www.ktl.fi/terveys2000</vt:lpwstr>
      </vt:variant>
      <vt:variant>
        <vt:lpwstr/>
      </vt:variant>
      <vt:variant>
        <vt:i4>3014772</vt:i4>
      </vt:variant>
      <vt:variant>
        <vt:i4>22</vt:i4>
      </vt:variant>
      <vt:variant>
        <vt:i4>0</vt:i4>
      </vt:variant>
      <vt:variant>
        <vt:i4>5</vt:i4>
      </vt:variant>
      <vt:variant>
        <vt:lpwstr>http://www.finlex.fi/fi/laki/kaannokset/2004/en20040021.pdf</vt:lpwstr>
      </vt:variant>
      <vt:variant>
        <vt:lpwstr/>
      </vt:variant>
      <vt:variant>
        <vt:i4>7667837</vt:i4>
      </vt:variant>
      <vt:variant>
        <vt:i4>19</vt:i4>
      </vt:variant>
      <vt:variant>
        <vt:i4>0</vt:i4>
      </vt:variant>
      <vt:variant>
        <vt:i4>5</vt:i4>
      </vt:variant>
      <vt:variant>
        <vt:lpwstr>http://www.join.fi/seis</vt:lpwstr>
      </vt:variant>
      <vt:variant>
        <vt:lpwstr/>
      </vt:variant>
      <vt:variant>
        <vt:i4>6553654</vt:i4>
      </vt:variant>
      <vt:variant>
        <vt:i4>16</vt:i4>
      </vt:variant>
      <vt:variant>
        <vt:i4>0</vt:i4>
      </vt:variant>
      <vt:variant>
        <vt:i4>5</vt:i4>
      </vt:variant>
      <vt:variant>
        <vt:lpwstr>http://www.equality.fi/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0640338.doc</dc:title>
  <dc:subject>Kouzmenko</dc:subject>
  <dc:creator>Смирнова</dc:creator>
  <cp:keywords/>
  <dc:description/>
  <cp:lastModifiedBy>Smirnova</cp:lastModifiedBy>
  <cp:revision>3</cp:revision>
  <cp:lastPrinted>2006-05-23T14:39:00Z</cp:lastPrinted>
  <dcterms:created xsi:type="dcterms:W3CDTF">2006-05-23T14:39:00Z</dcterms:created>
  <dcterms:modified xsi:type="dcterms:W3CDTF">2006-05-23T14:39:00Z</dcterms:modified>
</cp:coreProperties>
</file>