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C3387B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Pr="00C3387B" w:rsidRDefault="002D5AAC" w:rsidP="002403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C3387B" w:rsidRDefault="00BD33EE" w:rsidP="00213632">
            <w:pPr>
              <w:spacing w:after="80" w:line="300" w:lineRule="exact"/>
              <w:rPr>
                <w:sz w:val="28"/>
              </w:rPr>
            </w:pPr>
            <w:r w:rsidRPr="00C3387B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C3387B" w:rsidRDefault="002403FF" w:rsidP="002403FF">
            <w:pPr>
              <w:jc w:val="right"/>
            </w:pPr>
            <w:r w:rsidRPr="00C3387B">
              <w:rPr>
                <w:sz w:val="40"/>
              </w:rPr>
              <w:t>CERD</w:t>
            </w:r>
            <w:r w:rsidRPr="00C3387B">
              <w:t>/C/AND/Q/1-6</w:t>
            </w:r>
          </w:p>
        </w:tc>
      </w:tr>
      <w:tr w:rsidR="002D5AAC" w:rsidRPr="00C3387B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C3387B" w:rsidRDefault="00CC15A3" w:rsidP="00213632">
            <w:pPr>
              <w:spacing w:before="120"/>
              <w:jc w:val="center"/>
            </w:pPr>
            <w:r w:rsidRPr="00C3387B"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3387B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3387B">
              <w:rPr>
                <w:b/>
                <w:sz w:val="34"/>
                <w:szCs w:val="34"/>
              </w:rPr>
              <w:t>Convención Internacional sobre</w:t>
            </w:r>
            <w:r w:rsidRPr="00C3387B"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 w:rsidRPr="00C3387B">
              <w:rPr>
                <w:b/>
                <w:sz w:val="34"/>
                <w:szCs w:val="34"/>
              </w:rPr>
              <w:t xml:space="preserve">Todas </w:t>
            </w:r>
            <w:r w:rsidRPr="00C3387B">
              <w:rPr>
                <w:b/>
                <w:sz w:val="34"/>
                <w:szCs w:val="34"/>
              </w:rPr>
              <w:t>las Formas</w:t>
            </w:r>
            <w:r w:rsidRPr="00C3387B"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C3387B" w:rsidRDefault="002403FF" w:rsidP="00213632">
            <w:pPr>
              <w:spacing w:before="240"/>
            </w:pPr>
            <w:r w:rsidRPr="00C3387B">
              <w:t>Distr. general</w:t>
            </w:r>
          </w:p>
          <w:p w:rsidR="002403FF" w:rsidRPr="00C3387B" w:rsidRDefault="002403FF" w:rsidP="002403FF">
            <w:pPr>
              <w:spacing w:line="240" w:lineRule="exact"/>
            </w:pPr>
            <w:r w:rsidRPr="00C3387B">
              <w:t>7 de marzo de 2019</w:t>
            </w:r>
          </w:p>
          <w:p w:rsidR="002403FF" w:rsidRPr="00C3387B" w:rsidRDefault="002403FF" w:rsidP="002403FF">
            <w:pPr>
              <w:spacing w:line="240" w:lineRule="exact"/>
            </w:pPr>
            <w:r w:rsidRPr="00C3387B">
              <w:t>Español</w:t>
            </w:r>
          </w:p>
          <w:p w:rsidR="002403FF" w:rsidRPr="00C3387B" w:rsidRDefault="002403FF" w:rsidP="002403FF">
            <w:pPr>
              <w:spacing w:line="240" w:lineRule="exact"/>
            </w:pPr>
            <w:r w:rsidRPr="00C3387B">
              <w:t>Original: francés</w:t>
            </w:r>
          </w:p>
          <w:p w:rsidR="002403FF" w:rsidRPr="00C3387B" w:rsidRDefault="002403FF" w:rsidP="002403FF">
            <w:pPr>
              <w:spacing w:line="240" w:lineRule="exact"/>
            </w:pPr>
            <w:r w:rsidRPr="00C3387B">
              <w:t>Español, francés e inglés únicamente</w:t>
            </w:r>
          </w:p>
        </w:tc>
      </w:tr>
    </w:tbl>
    <w:p w:rsidR="00ED3DD1" w:rsidRPr="00C3387B" w:rsidRDefault="00ED3DD1" w:rsidP="00C3387B">
      <w:pPr>
        <w:spacing w:before="120"/>
        <w:rPr>
          <w:b/>
          <w:bCs/>
          <w:sz w:val="24"/>
          <w:szCs w:val="24"/>
        </w:rPr>
      </w:pPr>
      <w:r w:rsidRPr="00C3387B">
        <w:rPr>
          <w:b/>
          <w:bCs/>
          <w:sz w:val="24"/>
          <w:szCs w:val="24"/>
        </w:rPr>
        <w:t>Comité para la Eliminación de la Discriminación Racial</w:t>
      </w:r>
    </w:p>
    <w:p w:rsidR="00ED3DD1" w:rsidRPr="00C3387B" w:rsidRDefault="00ED3DD1" w:rsidP="00C3387B">
      <w:pPr>
        <w:rPr>
          <w:b/>
          <w:bCs/>
        </w:rPr>
      </w:pPr>
      <w:r w:rsidRPr="00C3387B">
        <w:rPr>
          <w:b/>
          <w:bCs/>
        </w:rPr>
        <w:t>98º período de sesiones</w:t>
      </w:r>
    </w:p>
    <w:p w:rsidR="00ED3DD1" w:rsidRPr="00C3387B" w:rsidRDefault="00ED3DD1" w:rsidP="00C3387B">
      <w:r w:rsidRPr="00C3387B">
        <w:t>23 de abril a 10 de mayo de 2019</w:t>
      </w:r>
    </w:p>
    <w:p w:rsidR="00ED3DD1" w:rsidRPr="00C3387B" w:rsidRDefault="00ED3DD1" w:rsidP="00C3387B">
      <w:r w:rsidRPr="00C3387B">
        <w:t>Tema 4 del programa provisional</w:t>
      </w:r>
    </w:p>
    <w:p w:rsidR="00ED3DD1" w:rsidRPr="00C3387B" w:rsidRDefault="00ED3DD1" w:rsidP="00C3387B">
      <w:pPr>
        <w:rPr>
          <w:b/>
          <w:bCs/>
        </w:rPr>
      </w:pPr>
      <w:r w:rsidRPr="00C3387B">
        <w:rPr>
          <w:b/>
          <w:bCs/>
        </w:rPr>
        <w:t>Examen de los informes, las observaciones</w:t>
      </w:r>
      <w:r w:rsidR="00C3387B" w:rsidRPr="00C3387B">
        <w:rPr>
          <w:b/>
          <w:bCs/>
        </w:rPr>
        <w:br/>
      </w:r>
      <w:r w:rsidRPr="00C3387B">
        <w:rPr>
          <w:b/>
          <w:bCs/>
        </w:rPr>
        <w:t>y la información</w:t>
      </w:r>
      <w:r w:rsidR="00C3387B" w:rsidRPr="00C3387B">
        <w:rPr>
          <w:b/>
          <w:bCs/>
        </w:rPr>
        <w:t xml:space="preserve"> </w:t>
      </w:r>
      <w:r w:rsidRPr="00C3387B">
        <w:rPr>
          <w:b/>
          <w:bCs/>
        </w:rPr>
        <w:t>presentados por los Estados partes</w:t>
      </w:r>
      <w:r w:rsidR="00C3387B" w:rsidRPr="00C3387B">
        <w:rPr>
          <w:b/>
          <w:bCs/>
        </w:rPr>
        <w:br/>
      </w:r>
      <w:r w:rsidRPr="00C3387B">
        <w:rPr>
          <w:b/>
          <w:bCs/>
        </w:rPr>
        <w:t>en virtud del artículo 9 de la Convención</w:t>
      </w:r>
    </w:p>
    <w:p w:rsidR="00ED3DD1" w:rsidRPr="00C3387B" w:rsidRDefault="00ED3DD1" w:rsidP="00C3387B">
      <w:pPr>
        <w:pStyle w:val="HChG"/>
      </w:pPr>
      <w:r w:rsidRPr="00C3387B">
        <w:tab/>
      </w:r>
      <w:r w:rsidRPr="00C3387B">
        <w:tab/>
        <w:t>Lista de temas relativa al informe inicial y los informes periódicos segundo a sexto combinados de Andorra</w:t>
      </w:r>
    </w:p>
    <w:p w:rsidR="00ED3DD1" w:rsidRPr="00C3387B" w:rsidRDefault="00ED3DD1" w:rsidP="00C3387B">
      <w:pPr>
        <w:pStyle w:val="H1G"/>
      </w:pPr>
      <w:r w:rsidRPr="00C3387B">
        <w:tab/>
      </w:r>
      <w:r w:rsidRPr="00C3387B">
        <w:tab/>
        <w:t xml:space="preserve">Nota del Relator para el país </w:t>
      </w:r>
    </w:p>
    <w:p w:rsidR="00ED3DD1" w:rsidRPr="00C3387B" w:rsidRDefault="00ED3DD1" w:rsidP="00ED3DD1">
      <w:pPr>
        <w:pStyle w:val="SingleTxtG"/>
      </w:pPr>
      <w:r w:rsidRPr="00C3387B">
        <w:t>1.</w:t>
      </w:r>
      <w:r w:rsidRPr="00C3387B">
        <w:tab/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:rsidR="00ED3DD1" w:rsidRPr="00C3387B" w:rsidRDefault="00ED3DD1" w:rsidP="00C3387B">
      <w:pPr>
        <w:pStyle w:val="H1G"/>
      </w:pPr>
      <w:r w:rsidRPr="00C3387B">
        <w:tab/>
      </w:r>
      <w:r w:rsidRPr="00C3387B">
        <w:tab/>
        <w:t>Estadísticas</w:t>
      </w:r>
    </w:p>
    <w:p w:rsidR="00ED3DD1" w:rsidRPr="00C3387B" w:rsidRDefault="00ED3DD1" w:rsidP="00ED3DD1">
      <w:pPr>
        <w:pStyle w:val="SingleTxtG"/>
      </w:pPr>
      <w:r w:rsidRPr="00C3387B">
        <w:t>2.</w:t>
      </w:r>
      <w:r w:rsidRPr="00C3387B">
        <w:tab/>
        <w:t xml:space="preserve">Datos estadísticos recientes y completos sobre la composición demográfica de la población, incluidos los migrantes, los refugiados y los solicitantes de asilo (CERD/C/AND/1-6, párr. 2; A/HRC/WG.6/22/AND/3, párr. 5). </w:t>
      </w:r>
    </w:p>
    <w:p w:rsidR="00ED3DD1" w:rsidRPr="00C3387B" w:rsidRDefault="00ED3DD1" w:rsidP="00C3387B">
      <w:pPr>
        <w:pStyle w:val="H1G"/>
      </w:pPr>
      <w:r w:rsidRPr="00C3387B">
        <w:tab/>
      </w:r>
      <w:r w:rsidRPr="00C3387B">
        <w:tab/>
        <w:t>La Convención en el derecho interno y el marco institucional y</w:t>
      </w:r>
      <w:r w:rsidR="00C3387B" w:rsidRPr="00C3387B">
        <w:t> </w:t>
      </w:r>
      <w:r w:rsidRPr="00C3387B">
        <w:t>normativo para su aplicación (arts. 1, 2, 3, 4 y 6)</w:t>
      </w:r>
    </w:p>
    <w:p w:rsidR="00ED3DD1" w:rsidRPr="00C3387B" w:rsidRDefault="00ED3DD1" w:rsidP="00C12CE2">
      <w:pPr>
        <w:pStyle w:val="SingleTxtG"/>
      </w:pPr>
      <w:r w:rsidRPr="00C3387B">
        <w:t>3.</w:t>
      </w:r>
      <w:r w:rsidRPr="00C3387B">
        <w:tab/>
        <w:t>Armonización de la definición de discriminación racial que recoge la Constitución y la legislación nacional con el artículo 1 de la Convención (CERD/C/AND/1-6, párrs. 100 a</w:t>
      </w:r>
      <w:r w:rsidR="00C12CE2">
        <w:t> </w:t>
      </w:r>
      <w:r w:rsidRPr="00C3387B">
        <w:t>102). Aprobación y contenido del proyecto de ley de igualdad y no discriminación (CERD/C/AND/1-6, párr</w:t>
      </w:r>
      <w:r w:rsidR="00832B94">
        <w:t>s</w:t>
      </w:r>
      <w:r w:rsidRPr="00C3387B">
        <w:t>. 59 y 108).</w:t>
      </w:r>
    </w:p>
    <w:p w:rsidR="00ED3DD1" w:rsidRPr="00C3387B" w:rsidRDefault="00ED3DD1" w:rsidP="00ED3DD1">
      <w:pPr>
        <w:pStyle w:val="SingleTxtG"/>
        <w:rPr>
          <w:rFonts w:eastAsia="Calibri"/>
        </w:rPr>
      </w:pPr>
      <w:r w:rsidRPr="00C3387B">
        <w:t>4.</w:t>
      </w:r>
      <w:r w:rsidRPr="00C3387B">
        <w:tab/>
        <w:t>Actividades contra el racismo llevadas a cabo por la Comisión Nacional para la Igualdad (CRC/C/AND/CO/2, párrs. 24 y 25; A/HRC/WG.6/22/AND/3, párr. 7), el Servicio de Igualdad (CERD/C/AND/1-6, párr. 62) y otros órganos nacionales competentes. Adecuación de los recursos humanos, técnicos y financieros para permitir su buen funcionamiento. Progresos realizados con miras a crear un organismo dotado de capacidades especializadas para luchar contra el racismo, la discriminación racial, la xenofobia y la intolerancia (A/HRC/WG.6/22/AND/3, párr. 6).</w:t>
      </w:r>
    </w:p>
    <w:p w:rsidR="00ED3DD1" w:rsidRPr="00C3387B" w:rsidRDefault="00ED3DD1" w:rsidP="00ED3DD1">
      <w:pPr>
        <w:pStyle w:val="SingleTxtG"/>
      </w:pPr>
      <w:r w:rsidRPr="00C3387B">
        <w:lastRenderedPageBreak/>
        <w:t>5.</w:t>
      </w:r>
      <w:r w:rsidRPr="00C3387B">
        <w:tab/>
        <w:t>Progresos logrados en lo referente a la elaboración del Plan de Actuación Nacional para la Igualdad (CRC/C/AND/CO/2, párr. 24) y de una política nacional de integración (A/HRC/WG.6/22/AND/3, párrs. 7, 15 y 23). Resultados obtenidos en materia de integración de los extranjeros (CERD/C/AND/1-6, párrs. 114 y 172).</w:t>
      </w:r>
    </w:p>
    <w:p w:rsidR="00ED3DD1" w:rsidRPr="00C3387B" w:rsidRDefault="00ED3DD1" w:rsidP="00832B94">
      <w:pPr>
        <w:pStyle w:val="SingleTxtG"/>
        <w:rPr>
          <w:rFonts w:eastAsia="Calibri"/>
        </w:rPr>
      </w:pPr>
      <w:r w:rsidRPr="00C3387B">
        <w:t>6.</w:t>
      </w:r>
      <w:r w:rsidRPr="00C3387B">
        <w:tab/>
        <w:t xml:space="preserve">Conformidad de los artículos 359 y 360 del Código Penal con el artículo 4 b), de la Convención y aplicación de estas disposiciones legislativas para declarar ilegales las organizaciones racistas y sancionar la pertenencia a ellas (CERD/C/AND/1-6, párr. 125). </w:t>
      </w:r>
    </w:p>
    <w:p w:rsidR="00ED3DD1" w:rsidRPr="00C3387B" w:rsidRDefault="00ED3DD1" w:rsidP="00C3387B">
      <w:pPr>
        <w:pStyle w:val="SingleTxtG"/>
        <w:rPr>
          <w:rFonts w:eastAsia="Calibri"/>
        </w:rPr>
      </w:pPr>
      <w:r w:rsidRPr="00C3387B">
        <w:t>7.</w:t>
      </w:r>
      <w:r w:rsidRPr="00C3387B">
        <w:tab/>
        <w:t xml:space="preserve">Medidas encaminadas a facilitar la presentación de denuncias por actos, hechos o situaciones de discriminación racial. Información sobre el tratamiento </w:t>
      </w:r>
      <w:r w:rsidR="00C3387B" w:rsidRPr="00C3387B">
        <w:t xml:space="preserve">que dan los órganos jurisdiccionales civiles, administrativos y penales del Estado parte (CERD/C/AND/1-6, párrs. 48, 132, 133 y 141) y el </w:t>
      </w:r>
      <w:r w:rsidR="00C3387B" w:rsidRPr="00C3387B">
        <w:rPr>
          <w:iCs/>
        </w:rPr>
        <w:t>Raonador del Ciutadà</w:t>
      </w:r>
      <w:r w:rsidR="00C3387B" w:rsidRPr="00C3387B">
        <w:t xml:space="preserve"> (Defensor del Pueblo) (CERD/C/AND/1-6, párrs. 51 a 54, y 142) a</w:t>
      </w:r>
      <w:r w:rsidRPr="00C3387B">
        <w:t xml:space="preserve"> las causas por discriminación racial, por discursos y delitos de odio racista y por incitación al odio racial, en particular las denuncias presentadas, las investigaciones llevadas a cabo, las acciones judiciales emprendidas, las condenas dictadas y las sanciones impuestas, así como la reparación otorgada a las víctimas. </w:t>
      </w:r>
    </w:p>
    <w:p w:rsidR="00ED3DD1" w:rsidRPr="00C3387B" w:rsidRDefault="00ED3DD1" w:rsidP="00C3387B">
      <w:pPr>
        <w:pStyle w:val="SingleTxtG"/>
        <w:rPr>
          <w:rFonts w:eastAsia="Calibri"/>
        </w:rPr>
      </w:pPr>
      <w:r w:rsidRPr="00C3387B">
        <w:t>8.</w:t>
      </w:r>
      <w:r w:rsidRPr="00C3387B">
        <w:tab/>
        <w:t xml:space="preserve">Información sobre el número de personas que han </w:t>
      </w:r>
      <w:r w:rsidR="00C3387B" w:rsidRPr="00C3387B">
        <w:t>recibido</w:t>
      </w:r>
      <w:r w:rsidRPr="00C3387B">
        <w:t xml:space="preserve"> la asistencia jurídica gratuita que presta el Servicio de Atención y Mediación ante la Administración de Justicia y del sistema de asistencia jurídica del Estado parte para presentar denuncias por discriminación racial (CERD/C/AND/1-6, párr. 56 y 144 a 149).</w:t>
      </w:r>
    </w:p>
    <w:p w:rsidR="00ED3DD1" w:rsidRPr="00C3387B" w:rsidRDefault="00ED3DD1" w:rsidP="00832B94">
      <w:pPr>
        <w:pStyle w:val="SingleTxtG"/>
        <w:rPr>
          <w:rFonts w:eastAsia="Calibri"/>
        </w:rPr>
      </w:pPr>
      <w:r w:rsidRPr="00C3387B">
        <w:t>9.</w:t>
      </w:r>
      <w:r w:rsidRPr="00C3387B">
        <w:tab/>
      </w:r>
      <w:r w:rsidR="00C3387B" w:rsidRPr="00C3387B">
        <w:t>Labor realizada</w:t>
      </w:r>
      <w:r w:rsidRPr="00C3387B">
        <w:t xml:space="preserve"> para informar a la población sobre los derechos que les reconoce la Convención, así como sobre los mecanismos de denuncia y los recursos judiciales que existen en este ámbito. Medidas para ofrecer a los jueces, fiscales, abogados y otros profesionales del derecho, así como a los agentes de la autoridad, una formación obligatoria</w:t>
      </w:r>
      <w:r w:rsidR="00832B94">
        <w:t> </w:t>
      </w:r>
      <w:r w:rsidRPr="00C3387B">
        <w:t>sobre las disposiciones de la Convención (CERD/C/AND/1-6, párrs. 76 a 79, 153 a 155 y 165).</w:t>
      </w:r>
    </w:p>
    <w:p w:rsidR="00ED3DD1" w:rsidRPr="00C3387B" w:rsidRDefault="00ED3DD1" w:rsidP="00832B94">
      <w:pPr>
        <w:pStyle w:val="SingleTxtG"/>
        <w:rPr>
          <w:rFonts w:eastAsia="Calibri"/>
        </w:rPr>
      </w:pPr>
      <w:r w:rsidRPr="00C3387B">
        <w:t>10.</w:t>
      </w:r>
      <w:r w:rsidRPr="00C3387B">
        <w:tab/>
        <w:t>Creación de una institución nacional independiente para la promoción y la protección de los derechos humanos, provista de un mandato apropiado, así como de recursos financieros y humanos suficientes, de plena conformidad con los principios relativos al estatuto de las instituciones nacionales de promoción y protección de los derechos humanos (Principios de París) (CERD/C/AND/1-6, párr. 65</w:t>
      </w:r>
      <w:r w:rsidR="00832B94">
        <w:t>,</w:t>
      </w:r>
      <w:r w:rsidRPr="00C3387B">
        <w:t xml:space="preserve"> CAT/C/AND/CO/1, párr. 12). </w:t>
      </w:r>
    </w:p>
    <w:p w:rsidR="00ED3DD1" w:rsidRPr="00C3387B" w:rsidRDefault="00ED3DD1" w:rsidP="00C3387B">
      <w:pPr>
        <w:pStyle w:val="H1G"/>
      </w:pPr>
      <w:r w:rsidRPr="00C3387B">
        <w:tab/>
      </w:r>
      <w:r w:rsidRPr="00C3387B">
        <w:tab/>
        <w:t>Situación de las minorías étnicas (arts. 1, 5 y 7)</w:t>
      </w:r>
    </w:p>
    <w:p w:rsidR="00ED3DD1" w:rsidRPr="00C3387B" w:rsidRDefault="00ED3DD1" w:rsidP="00ED3DD1">
      <w:pPr>
        <w:pStyle w:val="SingleTxtG"/>
        <w:rPr>
          <w:rFonts w:eastAsia="Calibri"/>
        </w:rPr>
      </w:pPr>
      <w:r w:rsidRPr="00C3387B">
        <w:t>11.</w:t>
      </w:r>
      <w:r w:rsidRPr="00C3387B">
        <w:tab/>
        <w:t>Datos estadísticos recientes, desglosados por sexo y origen étnico, que indiquen el grado de disfrute de los derechos económicos, sociales y culturales de las minorías étnicas, incluido el acceso al empleo, a la educación, a la vivienda, a la seguridad social y a los servicios de salud.</w:t>
      </w:r>
    </w:p>
    <w:p w:rsidR="00ED3DD1" w:rsidRPr="00C3387B" w:rsidRDefault="00ED3DD1" w:rsidP="00C3387B">
      <w:pPr>
        <w:pStyle w:val="SingleTxtG"/>
        <w:rPr>
          <w:rFonts w:eastAsia="Calibri"/>
        </w:rPr>
      </w:pPr>
      <w:r w:rsidRPr="00C3387B">
        <w:t>12.</w:t>
      </w:r>
      <w:r w:rsidRPr="00C3387B">
        <w:tab/>
        <w:t xml:space="preserve">Medidas adoptadas para asegurar la participación efectiva de las minorías étnicas en la vida pública y política. Datos estadísticos, desglosados por sexo, sobre la presencia de las minorías étnicas en la administración pública y en cargos políticos de responsabilidad (CERD/C/AND/1-6, párr. 139 </w:t>
      </w:r>
      <w:r w:rsidR="00C3387B" w:rsidRPr="00C3387B">
        <w:t>y</w:t>
      </w:r>
      <w:r w:rsidRPr="00C3387B">
        <w:t xml:space="preserve"> 140).</w:t>
      </w:r>
    </w:p>
    <w:p w:rsidR="00ED3DD1" w:rsidRPr="00C3387B" w:rsidRDefault="00ED3DD1" w:rsidP="00C3387B">
      <w:pPr>
        <w:pStyle w:val="H1G"/>
      </w:pPr>
      <w:r w:rsidRPr="00C3387B">
        <w:tab/>
      </w:r>
      <w:r w:rsidRPr="00C3387B">
        <w:tab/>
        <w:t>Situación de los no ciudadanos, en particular los migrantes, los</w:t>
      </w:r>
      <w:r w:rsidR="00C3387B" w:rsidRPr="00C3387B">
        <w:t> </w:t>
      </w:r>
      <w:r w:rsidRPr="00C3387B">
        <w:t>solicitantes de asilo y los refugiados (arts. 5 a 7)</w:t>
      </w:r>
    </w:p>
    <w:p w:rsidR="00ED3DD1" w:rsidRPr="00C3387B" w:rsidRDefault="00ED3DD1" w:rsidP="00C3387B">
      <w:pPr>
        <w:pStyle w:val="SingleTxtG"/>
        <w:rPr>
          <w:rFonts w:eastAsia="Calibri"/>
        </w:rPr>
      </w:pPr>
      <w:r w:rsidRPr="00C3387B">
        <w:t>13.</w:t>
      </w:r>
      <w:r w:rsidRPr="00C3387B">
        <w:tab/>
        <w:t xml:space="preserve">Protección efectiva de los no ciudadanos en el disfrute de sus derechos económicos, sociales y culturales, </w:t>
      </w:r>
      <w:r w:rsidR="00C3387B" w:rsidRPr="00C3387B">
        <w:t>incluido</w:t>
      </w:r>
      <w:r w:rsidRPr="00C3387B">
        <w:t xml:space="preserve"> el acceso al empleo, a la educación, a la vivienda, a la atención de </w:t>
      </w:r>
      <w:r w:rsidR="00C3387B" w:rsidRPr="00C3387B">
        <w:t xml:space="preserve">la </w:t>
      </w:r>
      <w:r w:rsidRPr="00C3387B">
        <w:t>salud y al reagrupamiento familiar en el caso de los trabajadores de temporada (CERD/C/AND/1-6, párrs. 28 y 131; CEDAW/C/AND/CO/2-3, párrs</w:t>
      </w:r>
      <w:r w:rsidR="00C3387B">
        <w:t>.</w:t>
      </w:r>
      <w:r w:rsidRPr="00C3387B">
        <w:t xml:space="preserve"> 29 a 34; CRC/C/AND/CO/2, párrs. 45 y 46).</w:t>
      </w:r>
    </w:p>
    <w:p w:rsidR="00ED3DD1" w:rsidRPr="00C3387B" w:rsidRDefault="00ED3DD1" w:rsidP="00C3387B">
      <w:pPr>
        <w:pStyle w:val="SingleTxtG"/>
        <w:rPr>
          <w:rFonts w:eastAsia="Calibri"/>
        </w:rPr>
      </w:pPr>
      <w:r w:rsidRPr="00C3387B">
        <w:t>14.</w:t>
      </w:r>
      <w:r w:rsidRPr="00C3387B">
        <w:tab/>
        <w:t xml:space="preserve">Actualización relativa al proyecto de </w:t>
      </w:r>
      <w:r w:rsidR="00C3387B" w:rsidRPr="00C3387B">
        <w:t>l</w:t>
      </w:r>
      <w:r w:rsidRPr="00C3387B">
        <w:t>ey de protección temporal y transitoria por razones humanitarias (CERD/C/AND/1-6, párr. 39). A</w:t>
      </w:r>
      <w:r w:rsidR="00C3387B" w:rsidRPr="00C3387B">
        <w:t>probación</w:t>
      </w:r>
      <w:r w:rsidRPr="00C3387B">
        <w:t xml:space="preserve"> de una legislación sobre </w:t>
      </w:r>
      <w:bookmarkStart w:id="0" w:name="_GoBack"/>
      <w:bookmarkEnd w:id="0"/>
      <w:r w:rsidRPr="00C3387B">
        <w:t>los solicitantes de asilo y los refugiados que esté en consonancia con las normas internacionales y creación de un procedimiento para la determinación de la condición de refugiado de las personas que podrían ser reconocidas como tales. Adhesión a la Convención sobre el Estatuto de los Refugiados, de 1951, y a su Protocolo de 1967 (CAT/C/AND/CO/1, párr. 15; CRC/C/AND/CO/2, párrs. 43 y 44</w:t>
      </w:r>
      <w:r w:rsidR="00C3387B" w:rsidRPr="00C3387B">
        <w:t>;</w:t>
      </w:r>
      <w:r w:rsidRPr="00C3387B">
        <w:t xml:space="preserve"> A/HRC/WG.6/22/AND/3, párr. 33). Datos estadísticos, desglosados por nacionalidad del solicitante, sobre las solicitudes de asilo presentadas y aceptadas. </w:t>
      </w:r>
    </w:p>
    <w:p w:rsidR="00ED3DD1" w:rsidRPr="00C3387B" w:rsidRDefault="00ED3DD1" w:rsidP="00C3387B">
      <w:pPr>
        <w:pStyle w:val="SingleTxtG"/>
        <w:rPr>
          <w:rFonts w:eastAsia="Calibri"/>
        </w:rPr>
      </w:pPr>
      <w:r w:rsidRPr="00C3387B">
        <w:t>15.</w:t>
      </w:r>
      <w:r w:rsidRPr="00C3387B">
        <w:tab/>
        <w:t xml:space="preserve">Alcance de la trata de personas en el Estado parte. Modificación del Código Penal </w:t>
      </w:r>
      <w:r w:rsidR="00C3387B" w:rsidRPr="00C3387B">
        <w:t>a fin de</w:t>
      </w:r>
      <w:r w:rsidRPr="00C3387B">
        <w:t xml:space="preserve"> tipificar expresamente como delito la trata de personas y aplicación de medidas legislativas o políticas para combatir la trata de personas con fines de trabajo forzoso, de explotación sexual y de esclavitud doméstica</w:t>
      </w:r>
      <w:r w:rsidR="00C3387B" w:rsidRPr="00C3387B">
        <w:t xml:space="preserve"> (CAT/C/AND/CO/1, párr. 14;</w:t>
      </w:r>
      <w:r w:rsidRPr="00C3387B">
        <w:t xml:space="preserve"> CEDAW/C/AND/CO/2-3, párrs. 23 y 24; A/HRC/WG.6/22/AND/3, párr</w:t>
      </w:r>
      <w:r w:rsidR="00C3387B" w:rsidRPr="00C3387B">
        <w:t>s</w:t>
      </w:r>
      <w:r w:rsidRPr="00C3387B">
        <w:t>. 4 y 19 a 22). Información sobre las denuncias, investigaciones, acciones judiciales, condenas, sanciones y medidas de reparación y rehabilitación de las víctimas.</w:t>
      </w:r>
    </w:p>
    <w:p w:rsidR="00ED3DD1" w:rsidRPr="00C3387B" w:rsidRDefault="00ED3DD1" w:rsidP="00C3387B">
      <w:pPr>
        <w:pStyle w:val="H1G"/>
      </w:pPr>
      <w:r w:rsidRPr="00C3387B">
        <w:tab/>
      </w:r>
      <w:r w:rsidRPr="00C3387B">
        <w:tab/>
        <w:t>Educación para luchar contra los prejuicios y promover la</w:t>
      </w:r>
      <w:r w:rsidR="00C3387B" w:rsidRPr="00C3387B">
        <w:t> </w:t>
      </w:r>
      <w:r w:rsidRPr="00C3387B">
        <w:t>comprensión</w:t>
      </w:r>
      <w:r w:rsidR="00C3387B" w:rsidRPr="00C3387B">
        <w:t> </w:t>
      </w:r>
      <w:r w:rsidRPr="00C3387B">
        <w:t>(art. 7)</w:t>
      </w:r>
    </w:p>
    <w:p w:rsidR="00ED3DD1" w:rsidRPr="00C3387B" w:rsidRDefault="00ED3DD1" w:rsidP="00C12CE2">
      <w:pPr>
        <w:pStyle w:val="SingleTxtG"/>
        <w:rPr>
          <w:rFonts w:eastAsia="Calibri"/>
        </w:rPr>
      </w:pPr>
      <w:r w:rsidRPr="00C3387B">
        <w:t>16.</w:t>
      </w:r>
      <w:r w:rsidRPr="00C3387B">
        <w:tab/>
        <w:t xml:space="preserve">Sensibilización de la población con respecto a la discriminación racial y la tolerancia a fin de luchar contra los prejuicios y los estereotipos raciales. Promoción de los derechos humanos y de la comprensión entre diferentes grupos en los planes de estudio escolares y en los programas de formación profesional. </w:t>
      </w:r>
      <w:r w:rsidR="00C3387B" w:rsidRPr="00C3387B">
        <w:t>Efectos</w:t>
      </w:r>
      <w:r w:rsidRPr="00C3387B">
        <w:t xml:space="preserve"> de la formación sobre racismo y discriminación racial, exclusión y percepción de las diferencias que se ofrece a los periodistas y profesionales de la comunicación andorranos (CERD/C/AND/1-6, párrs. 81 a</w:t>
      </w:r>
      <w:r w:rsidR="00C12CE2">
        <w:t> </w:t>
      </w:r>
      <w:r w:rsidRPr="00C3387B">
        <w:t>83, 87</w:t>
      </w:r>
      <w:r w:rsidR="00C3387B" w:rsidRPr="00C3387B">
        <w:t>,</w:t>
      </w:r>
      <w:r w:rsidRPr="00C3387B">
        <w:t xml:space="preserve"> 88, 116</w:t>
      </w:r>
      <w:r w:rsidR="00C3387B" w:rsidRPr="00C3387B">
        <w:t>,</w:t>
      </w:r>
      <w:r w:rsidRPr="00C3387B">
        <w:t xml:space="preserve"> 117, 161 a 167, y 173 a 175).</w:t>
      </w:r>
    </w:p>
    <w:p w:rsidR="00381C24" w:rsidRPr="00C3387B" w:rsidRDefault="00ED3DD1" w:rsidP="00ED3DD1">
      <w:pPr>
        <w:pStyle w:val="SingleTxtG"/>
        <w:suppressAutoHyphens/>
        <w:spacing w:before="240" w:after="0"/>
        <w:jc w:val="center"/>
        <w:rPr>
          <w:u w:val="single"/>
        </w:rPr>
      </w:pPr>
      <w:r w:rsidRPr="00C3387B">
        <w:rPr>
          <w:u w:val="single"/>
        </w:rPr>
        <w:tab/>
      </w:r>
      <w:r w:rsidRPr="00C3387B">
        <w:rPr>
          <w:u w:val="single"/>
        </w:rPr>
        <w:tab/>
      </w:r>
      <w:r w:rsidRPr="00C3387B">
        <w:rPr>
          <w:u w:val="single"/>
        </w:rPr>
        <w:tab/>
      </w:r>
    </w:p>
    <w:sectPr w:rsidR="00381C24" w:rsidRPr="00C3387B" w:rsidSect="002403F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372" w:rsidRPr="00D43FF0" w:rsidRDefault="00F37372" w:rsidP="00D43FF0">
      <w:pPr>
        <w:pStyle w:val="Footer"/>
      </w:pPr>
    </w:p>
  </w:endnote>
  <w:endnote w:type="continuationSeparator" w:id="0">
    <w:p w:rsidR="00F37372" w:rsidRPr="00D43FF0" w:rsidRDefault="00F37372" w:rsidP="00D43FF0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3FF" w:rsidRPr="002403FF" w:rsidRDefault="002403FF" w:rsidP="002403FF">
    <w:pPr>
      <w:pStyle w:val="Footer"/>
      <w:tabs>
        <w:tab w:val="right" w:pos="9638"/>
      </w:tabs>
    </w:pPr>
    <w:r w:rsidRPr="002403FF">
      <w:rPr>
        <w:b/>
        <w:sz w:val="18"/>
      </w:rPr>
      <w:fldChar w:fldCharType="begin"/>
    </w:r>
    <w:r w:rsidRPr="002403FF">
      <w:rPr>
        <w:b/>
        <w:sz w:val="18"/>
      </w:rPr>
      <w:instrText xml:space="preserve"> PAGE  \* MERGEFORMAT </w:instrText>
    </w:r>
    <w:r w:rsidRPr="002403FF">
      <w:rPr>
        <w:b/>
        <w:sz w:val="18"/>
      </w:rPr>
      <w:fldChar w:fldCharType="separate"/>
    </w:r>
    <w:r w:rsidR="00E6141D">
      <w:rPr>
        <w:b/>
        <w:noProof/>
        <w:sz w:val="18"/>
      </w:rPr>
      <w:t>2</w:t>
    </w:r>
    <w:r w:rsidRPr="002403FF">
      <w:rPr>
        <w:b/>
        <w:sz w:val="18"/>
      </w:rPr>
      <w:fldChar w:fldCharType="end"/>
    </w:r>
    <w:r>
      <w:rPr>
        <w:b/>
        <w:sz w:val="18"/>
      </w:rPr>
      <w:tab/>
    </w:r>
    <w:r>
      <w:t>GE.19-03844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3FF" w:rsidRPr="002403FF" w:rsidRDefault="002403FF" w:rsidP="002403FF">
    <w:pPr>
      <w:pStyle w:val="Footer"/>
      <w:tabs>
        <w:tab w:val="right" w:pos="9638"/>
      </w:tabs>
      <w:rPr>
        <w:b/>
        <w:sz w:val="18"/>
      </w:rPr>
    </w:pPr>
    <w:r>
      <w:t>GE.19-03844</w:t>
    </w:r>
    <w:r>
      <w:tab/>
    </w:r>
    <w:r w:rsidRPr="002403FF">
      <w:rPr>
        <w:b/>
        <w:sz w:val="18"/>
      </w:rPr>
      <w:fldChar w:fldCharType="begin"/>
    </w:r>
    <w:r w:rsidRPr="002403FF">
      <w:rPr>
        <w:b/>
        <w:sz w:val="18"/>
      </w:rPr>
      <w:instrText xml:space="preserve"> PAGE  \* MERGEFORMAT </w:instrText>
    </w:r>
    <w:r w:rsidRPr="002403FF">
      <w:rPr>
        <w:b/>
        <w:sz w:val="18"/>
      </w:rPr>
      <w:fldChar w:fldCharType="separate"/>
    </w:r>
    <w:r w:rsidR="00E6141D">
      <w:rPr>
        <w:b/>
        <w:noProof/>
        <w:sz w:val="18"/>
      </w:rPr>
      <w:t>3</w:t>
    </w:r>
    <w:r w:rsidRPr="002403F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2403FF" w:rsidRDefault="002403FF" w:rsidP="002403FF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  <w:lang w:eastAsia="zh-CN"/>
      </w:rPr>
      <w:drawing>
        <wp:anchor distT="0" distB="0" distL="114300" distR="114300" simplePos="0" relativeHeight="251659264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19-03844  (S)    010519    020519</w:t>
    </w:r>
    <w:r>
      <w:rPr>
        <w:sz w:val="20"/>
      </w:rPr>
      <w:br/>
    </w:r>
    <w:r w:rsidRPr="002403FF">
      <w:rPr>
        <w:rFonts w:ascii="C39T30Lfz" w:hAnsi="C39T30Lfz"/>
        <w:sz w:val="56"/>
      </w:rPr>
      <w:t></w:t>
    </w:r>
    <w:r w:rsidRPr="002403FF">
      <w:rPr>
        <w:rFonts w:ascii="C39T30Lfz" w:hAnsi="C39T30Lfz"/>
        <w:sz w:val="56"/>
      </w:rPr>
      <w:t></w:t>
    </w:r>
    <w:r w:rsidRPr="002403FF">
      <w:rPr>
        <w:rFonts w:ascii="C39T30Lfz" w:hAnsi="C39T30Lfz"/>
        <w:sz w:val="56"/>
      </w:rPr>
      <w:t></w:t>
    </w:r>
    <w:r w:rsidRPr="002403FF">
      <w:rPr>
        <w:rFonts w:ascii="C39T30Lfz" w:hAnsi="C39T30Lfz"/>
        <w:sz w:val="56"/>
      </w:rPr>
      <w:t></w:t>
    </w:r>
    <w:r w:rsidRPr="002403FF">
      <w:rPr>
        <w:rFonts w:ascii="C39T30Lfz" w:hAnsi="C39T30Lfz"/>
        <w:sz w:val="56"/>
      </w:rPr>
      <w:t></w:t>
    </w:r>
    <w:r w:rsidRPr="002403FF">
      <w:rPr>
        <w:rFonts w:ascii="C39T30Lfz" w:hAnsi="C39T30Lfz"/>
        <w:sz w:val="56"/>
      </w:rPr>
      <w:t></w:t>
    </w:r>
    <w:r w:rsidRPr="002403FF">
      <w:rPr>
        <w:rFonts w:ascii="C39T30Lfz" w:hAnsi="C39T30Lfz"/>
        <w:sz w:val="56"/>
      </w:rPr>
      <w:t></w:t>
    </w:r>
    <w:r w:rsidRPr="002403FF">
      <w:rPr>
        <w:rFonts w:ascii="C39T30Lfz" w:hAnsi="C39T30Lfz"/>
        <w:sz w:val="56"/>
      </w:rPr>
      <w:t></w:t>
    </w:r>
    <w:r w:rsidRPr="002403FF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ERD/C/AND/Q/1-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AND/Q/1-6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372" w:rsidRPr="001075E9" w:rsidRDefault="00F3737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37372" w:rsidRDefault="00F37372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3FF" w:rsidRPr="002403FF" w:rsidRDefault="00E6141D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>
      <w:t>CERD/C/AND/Q/1-6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3FF" w:rsidRPr="002403FF" w:rsidRDefault="00E6141D" w:rsidP="002403FF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CERD/C/AND/Q/1-6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372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03FF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50108D"/>
    <w:rsid w:val="0051740C"/>
    <w:rsid w:val="005617D1"/>
    <w:rsid w:val="00572E19"/>
    <w:rsid w:val="005A607B"/>
    <w:rsid w:val="005F0B42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67DF"/>
    <w:rsid w:val="00832B94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C4758"/>
    <w:rsid w:val="00BD33EE"/>
    <w:rsid w:val="00C12CE2"/>
    <w:rsid w:val="00C3387B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2656E"/>
    <w:rsid w:val="00E6141D"/>
    <w:rsid w:val="00E73F76"/>
    <w:rsid w:val="00EA31D8"/>
    <w:rsid w:val="00EA5579"/>
    <w:rsid w:val="00ED3DD1"/>
    <w:rsid w:val="00EF1360"/>
    <w:rsid w:val="00EF3220"/>
    <w:rsid w:val="00EF7198"/>
    <w:rsid w:val="00F37372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BBF006A-8523-46FA-9515-F61EAF856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semiHidden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rsid w:val="008C29C4"/>
    <w:rPr>
      <w:color w:val="0000FF"/>
      <w:u w:val="none"/>
    </w:rPr>
  </w:style>
  <w:style w:type="character" w:styleId="FollowedHyperlink">
    <w:name w:val="FollowedHyperlink"/>
    <w:basedOn w:val="DefaultParagraphFont"/>
    <w:rsid w:val="008C29C4"/>
    <w:rPr>
      <w:color w:val="0000FF"/>
      <w:u w:val="non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1225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CERD/C/AND/Q/1-6</dc:title>
  <dc:subject/>
  <dc:creator>Juan-Carlos KOROL</dc:creator>
  <cp:keywords/>
  <cp:lastModifiedBy>Maria Luisa Zeballos Moreno</cp:lastModifiedBy>
  <cp:revision>3</cp:revision>
  <cp:lastPrinted>2019-05-02T06:49:00Z</cp:lastPrinted>
  <dcterms:created xsi:type="dcterms:W3CDTF">2019-05-02T06:49:00Z</dcterms:created>
  <dcterms:modified xsi:type="dcterms:W3CDTF">2019-05-02T06:50:00Z</dcterms:modified>
</cp:coreProperties>
</file>