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A1873" w:rsidP="000A1873">
            <w:pPr>
              <w:jc w:val="right"/>
            </w:pPr>
            <w:r w:rsidRPr="000A1873">
              <w:rPr>
                <w:sz w:val="40"/>
              </w:rPr>
              <w:t>CERD</w:t>
            </w:r>
            <w:r>
              <w:t>/C/CZE/8-9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5472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A1873" w:rsidRDefault="000A1873" w:rsidP="00593658">
            <w:pPr>
              <w:spacing w:before="240"/>
            </w:pPr>
            <w:r>
              <w:t>Distr. générale</w:t>
            </w:r>
          </w:p>
          <w:p w:rsidR="000A1873" w:rsidRDefault="000A1873" w:rsidP="000A1873">
            <w:pPr>
              <w:spacing w:line="240" w:lineRule="exact"/>
            </w:pPr>
            <w:r>
              <w:t>9 août 2010</w:t>
            </w:r>
          </w:p>
          <w:p w:rsidR="000A1873" w:rsidRDefault="000A1873" w:rsidP="000A1873">
            <w:pPr>
              <w:spacing w:line="240" w:lineRule="exact"/>
            </w:pPr>
            <w:r>
              <w:t>Français</w:t>
            </w:r>
          </w:p>
          <w:p w:rsidR="002E0D40" w:rsidRPr="00DB58B5" w:rsidRDefault="000A1873" w:rsidP="000A1873">
            <w:pPr>
              <w:spacing w:line="240" w:lineRule="exact"/>
            </w:pPr>
            <w:r>
              <w:t>Original: anglais</w:t>
            </w:r>
          </w:p>
        </w:tc>
      </w:tr>
    </w:tbl>
    <w:p w:rsidR="00FF1DBD" w:rsidRDefault="0078670C" w:rsidP="000A1873">
      <w:pPr>
        <w:spacing w:before="120"/>
        <w:rPr>
          <w:b/>
          <w:sz w:val="24"/>
          <w:szCs w:val="24"/>
        </w:rPr>
      </w:pPr>
      <w:r w:rsidRPr="00C56102">
        <w:rPr>
          <w:b/>
          <w:sz w:val="24"/>
          <w:szCs w:val="24"/>
        </w:rPr>
        <w:t>Comité pour l</w:t>
      </w:r>
      <w:r w:rsidR="00B54728">
        <w:rPr>
          <w:b/>
          <w:sz w:val="24"/>
          <w:szCs w:val="24"/>
        </w:rPr>
        <w:t>’</w:t>
      </w:r>
      <w:r w:rsidRPr="00C56102">
        <w:rPr>
          <w:b/>
          <w:sz w:val="24"/>
          <w:szCs w:val="24"/>
        </w:rPr>
        <w:t>éliminati</w:t>
      </w:r>
      <w:r w:rsidR="000A1873">
        <w:rPr>
          <w:b/>
          <w:sz w:val="24"/>
          <w:szCs w:val="24"/>
        </w:rPr>
        <w:t>on de la discrimination raciale</w:t>
      </w:r>
    </w:p>
    <w:p w:rsidR="000A1873" w:rsidRPr="000A1873" w:rsidRDefault="007E2BC5" w:rsidP="007E2BC5">
      <w:pPr>
        <w:pStyle w:val="HMG"/>
      </w:pPr>
      <w:r>
        <w:tab/>
      </w:r>
      <w:r>
        <w:tab/>
      </w:r>
      <w:r w:rsidR="000A1873" w:rsidRPr="000A1873">
        <w:t xml:space="preserve">Rapports </w:t>
      </w:r>
      <w:r w:rsidR="00E55CA5">
        <w:t>soumis</w:t>
      </w:r>
      <w:r w:rsidR="000A1873" w:rsidRPr="000A1873">
        <w:t xml:space="preserve"> par les États parties conformément à</w:t>
      </w:r>
      <w:r w:rsidR="00E55CA5">
        <w:t xml:space="preserve"> </w:t>
      </w:r>
      <w:r w:rsidR="000A1873" w:rsidRPr="000A1873">
        <w:t>l</w:t>
      </w:r>
      <w:r w:rsidR="00B54728">
        <w:t>’</w:t>
      </w:r>
      <w:r w:rsidR="000A1873" w:rsidRPr="000A1873">
        <w:t>article 9 de la Convention</w:t>
      </w:r>
    </w:p>
    <w:p w:rsidR="000A1873" w:rsidRPr="000A1873" w:rsidRDefault="000A1873" w:rsidP="007E2BC5">
      <w:pPr>
        <w:pStyle w:val="HChG"/>
      </w:pPr>
      <w:r w:rsidRPr="000A1873">
        <w:tab/>
      </w:r>
      <w:r w:rsidRPr="000A1873">
        <w:tab/>
        <w:t>Huitième et neuvième rapports périodiques attendus en 2010</w:t>
      </w:r>
    </w:p>
    <w:p w:rsidR="000A1873" w:rsidRPr="000A1873" w:rsidRDefault="000A1873" w:rsidP="007E2BC5">
      <w:pPr>
        <w:pStyle w:val="HMG"/>
      </w:pPr>
      <w:r w:rsidRPr="000A1873">
        <w:tab/>
      </w:r>
      <w:r w:rsidRPr="000A1873">
        <w:tab/>
        <w:t>République tchèque</w:t>
      </w:r>
      <w:r w:rsidR="007E2BC5" w:rsidRPr="00B32257">
        <w:rPr>
          <w:rStyle w:val="FootnoteReference"/>
          <w:b w:val="0"/>
          <w:sz w:val="20"/>
          <w:vertAlign w:val="baseline"/>
        </w:rPr>
        <w:footnoteReference w:customMarkFollows="1" w:id="2"/>
        <w:t>*</w:t>
      </w:r>
      <w:r w:rsidR="007E2BC5" w:rsidRPr="00B32257">
        <w:rPr>
          <w:rStyle w:val="SingleTxtGCar"/>
          <w:b w:val="0"/>
          <w:sz w:val="20"/>
          <w:vertAlign w:val="superscript"/>
        </w:rPr>
        <w:t>,</w:t>
      </w:r>
      <w:r w:rsidR="007E2BC5" w:rsidRPr="00B32257">
        <w:rPr>
          <w:b w:val="0"/>
          <w:sz w:val="20"/>
        </w:rPr>
        <w:t xml:space="preserve"> </w:t>
      </w:r>
      <w:r w:rsidR="007E2BC5" w:rsidRPr="00B32257">
        <w:rPr>
          <w:rStyle w:val="FootnoteReference"/>
          <w:b w:val="0"/>
          <w:sz w:val="20"/>
          <w:vertAlign w:val="baseline"/>
        </w:rPr>
        <w:footnoteReference w:customMarkFollows="1" w:id="3"/>
        <w:t>**</w:t>
      </w:r>
      <w:r w:rsidR="007E2BC5" w:rsidRPr="00B32257">
        <w:rPr>
          <w:rStyle w:val="SingleTxtGCar"/>
          <w:b w:val="0"/>
          <w:sz w:val="20"/>
          <w:vertAlign w:val="superscript"/>
        </w:rPr>
        <w:t>,</w:t>
      </w:r>
      <w:r w:rsidR="007E2BC5" w:rsidRPr="00B32257">
        <w:rPr>
          <w:b w:val="0"/>
          <w:sz w:val="20"/>
        </w:rPr>
        <w:t xml:space="preserve"> </w:t>
      </w:r>
      <w:r w:rsidR="007E2BC5" w:rsidRPr="00B32257">
        <w:rPr>
          <w:rStyle w:val="FootnoteReference"/>
          <w:b w:val="0"/>
          <w:sz w:val="20"/>
          <w:vertAlign w:val="baseline"/>
        </w:rPr>
        <w:footnoteReference w:customMarkFollows="1" w:id="4"/>
        <w:t>***</w:t>
      </w:r>
    </w:p>
    <w:p w:rsidR="000A1873" w:rsidRPr="000A1873" w:rsidRDefault="000A1873" w:rsidP="007E2BC5">
      <w:pPr>
        <w:pStyle w:val="SingleTxtG"/>
        <w:jc w:val="right"/>
      </w:pPr>
      <w:r w:rsidRPr="000A1873">
        <w:t>[28 juin 2010]</w:t>
      </w:r>
    </w:p>
    <w:p w:rsidR="00752CFA" w:rsidRPr="00752CFA" w:rsidRDefault="000A1873" w:rsidP="00752CFA">
      <w:pPr>
        <w:spacing w:after="120"/>
        <w:rPr>
          <w:sz w:val="28"/>
        </w:rPr>
      </w:pPr>
      <w:r w:rsidRPr="000A1873">
        <w:br w:type="page"/>
      </w:r>
      <w:r w:rsidR="00752CFA" w:rsidRPr="00752CFA">
        <w:rPr>
          <w:sz w:val="28"/>
        </w:rPr>
        <w:t>Table des matières</w:t>
      </w:r>
    </w:p>
    <w:p w:rsidR="00752CFA" w:rsidRDefault="00752CFA" w:rsidP="00752CFA">
      <w:pPr>
        <w:tabs>
          <w:tab w:val="right" w:pos="8929"/>
          <w:tab w:val="right" w:pos="9638"/>
        </w:tabs>
        <w:spacing w:after="120"/>
        <w:ind w:left="283"/>
        <w:rPr>
          <w:i/>
          <w:sz w:val="18"/>
        </w:rPr>
      </w:pPr>
      <w:r w:rsidRPr="00752CFA">
        <w:rPr>
          <w:i/>
          <w:sz w:val="18"/>
        </w:rPr>
        <w:tab/>
        <w:t>Paragraphes</w:t>
      </w:r>
      <w:r w:rsidRPr="00752CFA">
        <w:rPr>
          <w:i/>
          <w:sz w:val="18"/>
        </w:rPr>
        <w:tab/>
        <w:t>Page</w:t>
      </w:r>
    </w:p>
    <w:p w:rsidR="00752CFA" w:rsidRDefault="00752CFA" w:rsidP="00752CFA">
      <w:pPr>
        <w:tabs>
          <w:tab w:val="right" w:pos="850"/>
          <w:tab w:val="right" w:leader="dot" w:pos="7654"/>
          <w:tab w:val="right" w:pos="8929"/>
          <w:tab w:val="right" w:pos="9638"/>
        </w:tabs>
        <w:spacing w:after="120"/>
        <w:ind w:left="1134" w:hanging="1134"/>
      </w:pPr>
      <w:r>
        <w:tab/>
        <w:t>I.</w:t>
      </w:r>
      <w:r>
        <w:tab/>
        <w:t>Généralités</w:t>
      </w:r>
      <w:r>
        <w:tab/>
      </w:r>
      <w:r>
        <w:tab/>
        <w:t>1−5</w:t>
      </w:r>
      <w:r>
        <w:tab/>
      </w:r>
      <w:r w:rsidR="00FA5972">
        <w:t>3</w:t>
      </w:r>
    </w:p>
    <w:p w:rsidR="00752CFA" w:rsidRDefault="00752CFA" w:rsidP="00752CFA">
      <w:pPr>
        <w:tabs>
          <w:tab w:val="right" w:pos="850"/>
          <w:tab w:val="right" w:leader="dot" w:pos="7654"/>
          <w:tab w:val="right" w:pos="8929"/>
          <w:tab w:val="right" w:pos="9638"/>
        </w:tabs>
        <w:spacing w:after="120"/>
        <w:ind w:left="1134" w:hanging="1134"/>
      </w:pPr>
      <w:r>
        <w:tab/>
        <w:t>II.</w:t>
      </w:r>
      <w:r>
        <w:tab/>
        <w:t>Précisions</w:t>
      </w:r>
      <w:r>
        <w:tab/>
      </w:r>
      <w:r>
        <w:tab/>
        <w:t>6−133</w:t>
      </w:r>
      <w:r>
        <w:tab/>
      </w:r>
      <w:r w:rsidR="00FA5972">
        <w:t>3</w:t>
      </w:r>
    </w:p>
    <w:p w:rsidR="00752CFA" w:rsidRDefault="00752CFA" w:rsidP="00752CFA">
      <w:pPr>
        <w:tabs>
          <w:tab w:val="right" w:pos="850"/>
          <w:tab w:val="right" w:leader="dot" w:pos="7654"/>
          <w:tab w:val="right" w:pos="8929"/>
          <w:tab w:val="right" w:pos="9638"/>
        </w:tabs>
        <w:spacing w:after="120"/>
        <w:ind w:left="1134" w:hanging="1134"/>
      </w:pPr>
      <w:r>
        <w:tab/>
      </w:r>
      <w:r>
        <w:tab/>
        <w:t>Article 2</w:t>
      </w:r>
      <w:r>
        <w:tab/>
      </w:r>
      <w:r>
        <w:tab/>
        <w:t>6−28</w:t>
      </w:r>
      <w:r>
        <w:tab/>
      </w:r>
      <w:r w:rsidR="00D45B6B">
        <w:t>3</w:t>
      </w:r>
    </w:p>
    <w:p w:rsidR="00752CFA" w:rsidRDefault="00752CFA" w:rsidP="00752CFA">
      <w:pPr>
        <w:tabs>
          <w:tab w:val="right" w:pos="850"/>
          <w:tab w:val="right" w:leader="dot" w:pos="7654"/>
          <w:tab w:val="right" w:pos="8929"/>
          <w:tab w:val="right" w:pos="9638"/>
        </w:tabs>
        <w:spacing w:after="120"/>
        <w:ind w:left="1134" w:hanging="1134"/>
      </w:pPr>
      <w:r>
        <w:tab/>
      </w:r>
      <w:r>
        <w:tab/>
        <w:t>Article 3</w:t>
      </w:r>
      <w:r>
        <w:tab/>
      </w:r>
      <w:r>
        <w:tab/>
        <w:t>29−32</w:t>
      </w:r>
      <w:r>
        <w:tab/>
      </w:r>
      <w:r w:rsidR="00D45B6B">
        <w:t>8</w:t>
      </w:r>
    </w:p>
    <w:p w:rsidR="00752CFA" w:rsidRDefault="00752CFA" w:rsidP="00752CFA">
      <w:pPr>
        <w:tabs>
          <w:tab w:val="right" w:pos="850"/>
          <w:tab w:val="right" w:leader="dot" w:pos="7654"/>
          <w:tab w:val="right" w:pos="8929"/>
          <w:tab w:val="right" w:pos="9638"/>
        </w:tabs>
        <w:spacing w:after="120"/>
        <w:ind w:left="1134" w:hanging="1134"/>
      </w:pPr>
      <w:r>
        <w:tab/>
      </w:r>
      <w:r>
        <w:tab/>
        <w:t>Article 4</w:t>
      </w:r>
      <w:r>
        <w:tab/>
      </w:r>
      <w:r>
        <w:tab/>
        <w:t>33−50</w:t>
      </w:r>
      <w:r>
        <w:tab/>
      </w:r>
      <w:r w:rsidR="00D45B6B">
        <w:t>9</w:t>
      </w:r>
    </w:p>
    <w:p w:rsidR="00752CFA" w:rsidRDefault="00752CFA" w:rsidP="00752CFA">
      <w:pPr>
        <w:tabs>
          <w:tab w:val="right" w:pos="850"/>
          <w:tab w:val="right" w:leader="dot" w:pos="7654"/>
          <w:tab w:val="right" w:pos="8929"/>
          <w:tab w:val="right" w:pos="9638"/>
        </w:tabs>
        <w:spacing w:after="120"/>
        <w:ind w:left="1134" w:hanging="1134"/>
      </w:pPr>
      <w:r>
        <w:tab/>
      </w:r>
      <w:r>
        <w:tab/>
        <w:t>Article 5</w:t>
      </w:r>
      <w:r>
        <w:tab/>
      </w:r>
      <w:r>
        <w:tab/>
        <w:t>51−110</w:t>
      </w:r>
      <w:r>
        <w:tab/>
      </w:r>
      <w:r w:rsidR="00D45B6B">
        <w:t>14</w:t>
      </w:r>
    </w:p>
    <w:p w:rsidR="00752CFA" w:rsidRDefault="00752CFA" w:rsidP="00752CFA">
      <w:pPr>
        <w:tabs>
          <w:tab w:val="right" w:leader="dot" w:pos="7654"/>
          <w:tab w:val="right" w:pos="8929"/>
          <w:tab w:val="right" w:pos="9638"/>
        </w:tabs>
        <w:spacing w:after="120"/>
        <w:ind w:left="1559" w:hanging="425"/>
      </w:pPr>
      <w:r>
        <w:t>A.</w:t>
      </w:r>
      <w:r>
        <w:tab/>
      </w:r>
      <w:r w:rsidR="00D602C0" w:rsidRPr="00154629">
        <w:t>Droit à un traitement égal devant les tribunaux et tout autre organe</w:t>
      </w:r>
      <w:r w:rsidR="00D602C0">
        <w:br/>
        <w:t xml:space="preserve">de l’État </w:t>
      </w:r>
      <w:r w:rsidR="00D602C0" w:rsidRPr="00154629">
        <w:t>administrant la justice</w:t>
      </w:r>
      <w:r>
        <w:tab/>
      </w:r>
      <w:r>
        <w:tab/>
      </w:r>
      <w:r w:rsidR="00D602C0">
        <w:t>51</w:t>
      </w:r>
      <w:r>
        <w:tab/>
      </w:r>
      <w:r w:rsidR="00D45B6B">
        <w:t>14</w:t>
      </w:r>
    </w:p>
    <w:p w:rsidR="0003363D" w:rsidRDefault="0003363D" w:rsidP="0003363D">
      <w:pPr>
        <w:tabs>
          <w:tab w:val="right" w:leader="dot" w:pos="7654"/>
          <w:tab w:val="right" w:pos="8929"/>
          <w:tab w:val="right" w:pos="9638"/>
        </w:tabs>
        <w:spacing w:after="120"/>
        <w:ind w:left="1559" w:hanging="425"/>
      </w:pPr>
      <w:r>
        <w:t>B.</w:t>
      </w:r>
      <w:r>
        <w:tab/>
      </w:r>
      <w:r w:rsidR="00D602C0" w:rsidRPr="00154629">
        <w:t>Droit à la liberté et la sûreté de la personne et à la protection de l</w:t>
      </w:r>
      <w:r w:rsidR="00D602C0">
        <w:t>’</w:t>
      </w:r>
      <w:r w:rsidR="00D602C0" w:rsidRPr="00154629">
        <w:t>État</w:t>
      </w:r>
      <w:r w:rsidR="00D602C0">
        <w:br/>
      </w:r>
      <w:r w:rsidR="00D602C0" w:rsidRPr="00154629">
        <w:t>contre la violence ou les sévices</w:t>
      </w:r>
      <w:r>
        <w:tab/>
      </w:r>
      <w:r>
        <w:tab/>
      </w:r>
      <w:r w:rsidR="00D602C0">
        <w:t>52−53</w:t>
      </w:r>
      <w:r>
        <w:tab/>
      </w:r>
      <w:r w:rsidR="00D45B6B">
        <w:t>14</w:t>
      </w:r>
    </w:p>
    <w:p w:rsidR="0003363D" w:rsidRDefault="0003363D" w:rsidP="0003363D">
      <w:pPr>
        <w:tabs>
          <w:tab w:val="right" w:leader="dot" w:pos="7654"/>
          <w:tab w:val="right" w:pos="8929"/>
          <w:tab w:val="right" w:pos="9638"/>
        </w:tabs>
        <w:spacing w:after="120"/>
        <w:ind w:left="1559" w:hanging="425"/>
      </w:pPr>
      <w:r>
        <w:t>C.</w:t>
      </w:r>
      <w:r>
        <w:tab/>
      </w:r>
      <w:r w:rsidR="00D602C0" w:rsidRPr="00154629">
        <w:t>Droits politiques, notamment droit de participer aux élections</w:t>
      </w:r>
      <w:r>
        <w:tab/>
      </w:r>
      <w:r>
        <w:tab/>
      </w:r>
      <w:r w:rsidR="00D602C0">
        <w:t>54</w:t>
      </w:r>
      <w:r>
        <w:tab/>
      </w:r>
      <w:r w:rsidR="00D45B6B">
        <w:t>14</w:t>
      </w:r>
    </w:p>
    <w:p w:rsidR="0003363D" w:rsidRDefault="0003363D" w:rsidP="0003363D">
      <w:pPr>
        <w:tabs>
          <w:tab w:val="right" w:leader="dot" w:pos="7654"/>
          <w:tab w:val="right" w:pos="8929"/>
          <w:tab w:val="right" w:pos="9638"/>
        </w:tabs>
        <w:spacing w:after="120"/>
        <w:ind w:left="1559" w:hanging="425"/>
      </w:pPr>
      <w:r>
        <w:t>D.</w:t>
      </w:r>
      <w:r>
        <w:tab/>
      </w:r>
      <w:r w:rsidR="00D602C0" w:rsidRPr="00154629">
        <w:t>Autres droits civils</w:t>
      </w:r>
      <w:r>
        <w:tab/>
      </w:r>
      <w:r>
        <w:tab/>
      </w:r>
      <w:r w:rsidR="00D602C0">
        <w:t>55−67</w:t>
      </w:r>
      <w:r>
        <w:tab/>
      </w:r>
      <w:r w:rsidR="00D45B6B">
        <w:t>15</w:t>
      </w:r>
    </w:p>
    <w:p w:rsidR="0003363D" w:rsidRDefault="0003363D" w:rsidP="0003363D">
      <w:pPr>
        <w:tabs>
          <w:tab w:val="right" w:leader="dot" w:pos="7654"/>
          <w:tab w:val="right" w:pos="8929"/>
          <w:tab w:val="right" w:pos="9638"/>
        </w:tabs>
        <w:spacing w:after="120"/>
        <w:ind w:left="1559" w:hanging="425"/>
      </w:pPr>
      <w:r>
        <w:t>E.</w:t>
      </w:r>
      <w:r>
        <w:tab/>
      </w:r>
      <w:r w:rsidR="00D602C0" w:rsidRPr="00154629">
        <w:t>Droits économiques, sociaux et culturels</w:t>
      </w:r>
      <w:r>
        <w:tab/>
      </w:r>
      <w:r>
        <w:tab/>
      </w:r>
      <w:r w:rsidR="00D602C0">
        <w:t>68−108</w:t>
      </w:r>
      <w:r>
        <w:tab/>
      </w:r>
      <w:r w:rsidR="00D45B6B">
        <w:t>18</w:t>
      </w:r>
    </w:p>
    <w:p w:rsidR="0003363D" w:rsidRDefault="0003363D" w:rsidP="0003363D">
      <w:pPr>
        <w:tabs>
          <w:tab w:val="right" w:leader="dot" w:pos="7654"/>
          <w:tab w:val="right" w:pos="8929"/>
          <w:tab w:val="right" w:pos="9638"/>
        </w:tabs>
        <w:spacing w:after="120"/>
        <w:ind w:left="1559" w:hanging="425"/>
      </w:pPr>
      <w:r>
        <w:t>F.</w:t>
      </w:r>
      <w:r>
        <w:tab/>
      </w:r>
      <w:r w:rsidR="00D602C0">
        <w:t>Droit d’accès à tous lieux et services destinés à l’usage du public</w:t>
      </w:r>
      <w:r>
        <w:tab/>
      </w:r>
      <w:r>
        <w:tab/>
      </w:r>
      <w:r w:rsidR="00D602C0">
        <w:t>109−110</w:t>
      </w:r>
      <w:r>
        <w:tab/>
      </w:r>
      <w:r w:rsidR="00D45B6B">
        <w:t>28</w:t>
      </w:r>
    </w:p>
    <w:p w:rsidR="0003363D" w:rsidRDefault="0003363D" w:rsidP="0003363D">
      <w:pPr>
        <w:tabs>
          <w:tab w:val="right" w:pos="850"/>
          <w:tab w:val="right" w:leader="dot" w:pos="7654"/>
          <w:tab w:val="right" w:pos="8929"/>
          <w:tab w:val="right" w:pos="9638"/>
        </w:tabs>
        <w:spacing w:after="120"/>
        <w:ind w:left="1134" w:hanging="1134"/>
      </w:pPr>
      <w:r>
        <w:tab/>
      </w:r>
      <w:r>
        <w:tab/>
        <w:t>Article 6</w:t>
      </w:r>
      <w:r>
        <w:tab/>
      </w:r>
      <w:r>
        <w:tab/>
      </w:r>
      <w:r w:rsidR="00D602C0">
        <w:t>111−123</w:t>
      </w:r>
      <w:r>
        <w:tab/>
      </w:r>
      <w:r w:rsidR="00D45B6B">
        <w:t>29</w:t>
      </w:r>
    </w:p>
    <w:p w:rsidR="00B54728" w:rsidRDefault="0003363D" w:rsidP="0003363D">
      <w:pPr>
        <w:tabs>
          <w:tab w:val="right" w:pos="850"/>
          <w:tab w:val="right" w:leader="dot" w:pos="7654"/>
          <w:tab w:val="right" w:pos="8929"/>
          <w:tab w:val="right" w:pos="9638"/>
        </w:tabs>
        <w:spacing w:after="120"/>
        <w:ind w:left="1134" w:hanging="1134"/>
      </w:pPr>
      <w:r>
        <w:tab/>
      </w:r>
      <w:r>
        <w:tab/>
        <w:t>Article 7</w:t>
      </w:r>
      <w:r>
        <w:tab/>
      </w:r>
      <w:r>
        <w:tab/>
      </w:r>
      <w:r w:rsidR="00D602C0">
        <w:t>124−133</w:t>
      </w:r>
      <w:r>
        <w:tab/>
      </w:r>
      <w:r w:rsidR="00D45B6B">
        <w:t>33</w:t>
      </w:r>
    </w:p>
    <w:p w:rsidR="000A1873" w:rsidRPr="000A1873" w:rsidRDefault="000A1873" w:rsidP="00EC38D9">
      <w:pPr>
        <w:pStyle w:val="HChG"/>
      </w:pPr>
      <w:r w:rsidRPr="000A1873">
        <w:br w:type="page"/>
      </w:r>
      <w:r w:rsidRPr="000A1873">
        <w:tab/>
        <w:t>I.</w:t>
      </w:r>
      <w:r w:rsidRPr="000A1873">
        <w:tab/>
        <w:t>Généralités</w:t>
      </w:r>
    </w:p>
    <w:p w:rsidR="000A1873" w:rsidRPr="000A1873" w:rsidRDefault="000A1873" w:rsidP="000A1873">
      <w:pPr>
        <w:pStyle w:val="SingleTxtG"/>
      </w:pPr>
      <w:r w:rsidRPr="000A1873">
        <w:t>1.</w:t>
      </w:r>
      <w:r w:rsidRPr="000A1873">
        <w:tab/>
        <w:t>La République tchèque est partie à la Convention internationale sur l</w:t>
      </w:r>
      <w:r w:rsidR="00B54728">
        <w:t>’</w:t>
      </w:r>
      <w:r w:rsidRPr="000A1873">
        <w:t>élimination de toutes les formes de discrimination raciale (ci-après dénommée «la Convention»), qui a été signée par l</w:t>
      </w:r>
      <w:r w:rsidR="00B54728">
        <w:t>’</w:t>
      </w:r>
      <w:r w:rsidRPr="000A1873">
        <w:t>ex-République socialiste tch</w:t>
      </w:r>
      <w:r w:rsidR="00EC38D9">
        <w:t>écoslovaque</w:t>
      </w:r>
      <w:r w:rsidR="00AA0A88">
        <w:t>,</w:t>
      </w:r>
      <w:r w:rsidRPr="000A1873">
        <w:t xml:space="preserve"> le 7 mars 1966. Par conséquent, elle présente régulièrement au Comité pour l</w:t>
      </w:r>
      <w:r w:rsidR="00B54728">
        <w:t>’</w:t>
      </w:r>
      <w:r w:rsidRPr="000A1873">
        <w:t>élimination de la discrimination raciale des rapports sur l</w:t>
      </w:r>
      <w:r w:rsidR="00B54728">
        <w:t>’</w:t>
      </w:r>
      <w:r w:rsidRPr="000A1873">
        <w:t xml:space="preserve">exécution des </w:t>
      </w:r>
      <w:r w:rsidR="00FA5972">
        <w:t>obligations découlant de cette c</w:t>
      </w:r>
      <w:r w:rsidRPr="000A1873">
        <w:t>onvention. La République tchèque a présenté son cinquième rapport périodique en novembre 2002.</w:t>
      </w:r>
    </w:p>
    <w:p w:rsidR="000A1873" w:rsidRPr="000A1873" w:rsidRDefault="000A1873" w:rsidP="000A1873">
      <w:pPr>
        <w:pStyle w:val="SingleTxtG"/>
      </w:pPr>
      <w:r w:rsidRPr="000A1873">
        <w:t>2.</w:t>
      </w:r>
      <w:r w:rsidRPr="000A1873">
        <w:tab/>
        <w:t xml:space="preserve">Conformément à </w:t>
      </w:r>
      <w:r w:rsidR="00EC38D9">
        <w:t xml:space="preserve">la recommandation formulée au paragraphe 28 des </w:t>
      </w:r>
      <w:r w:rsidRPr="000A1873">
        <w:t>observation</w:t>
      </w:r>
      <w:r w:rsidR="00EC38D9">
        <w:t>s</w:t>
      </w:r>
      <w:r w:rsidRPr="000A1873">
        <w:t xml:space="preserve"> finale</w:t>
      </w:r>
      <w:r w:rsidR="00EC38D9">
        <w:t xml:space="preserve">s concernant ses </w:t>
      </w:r>
      <w:r w:rsidRPr="000A1873">
        <w:t xml:space="preserve">sixième et septième rapports périodiques, la République tchèque </w:t>
      </w:r>
      <w:r w:rsidR="00EC38D9">
        <w:t>présente ci-après ses</w:t>
      </w:r>
      <w:r w:rsidRPr="000A1873">
        <w:t xml:space="preserve"> huitième et neuvième rapports périodiques sur </w:t>
      </w:r>
      <w:r w:rsidR="00EC38D9">
        <w:t xml:space="preserve">la façon dont elle a respecté ses </w:t>
      </w:r>
      <w:r w:rsidRPr="000A1873">
        <w:t xml:space="preserve">obligations découlant de </w:t>
      </w:r>
      <w:r w:rsidR="00EC38D9">
        <w:t>la</w:t>
      </w:r>
      <w:r w:rsidRPr="000A1873">
        <w:t xml:space="preserve"> Convention pendant la période du 1</w:t>
      </w:r>
      <w:r w:rsidRPr="000A1873">
        <w:rPr>
          <w:vertAlign w:val="superscript"/>
        </w:rPr>
        <w:t>er</w:t>
      </w:r>
      <w:r w:rsidRPr="000A1873">
        <w:t xml:space="preserve"> avril 2005 au 31 juillet 2009.</w:t>
      </w:r>
    </w:p>
    <w:p w:rsidR="000A1873" w:rsidRPr="000A1873" w:rsidRDefault="000A1873" w:rsidP="000A1873">
      <w:pPr>
        <w:pStyle w:val="SingleTxtG"/>
      </w:pPr>
      <w:r w:rsidRPr="000A1873">
        <w:t>3.</w:t>
      </w:r>
      <w:r w:rsidRPr="000A1873">
        <w:tab/>
        <w:t>Les éléments suivants ont été pris en compte dans l</w:t>
      </w:r>
      <w:r w:rsidR="00B54728">
        <w:t>’</w:t>
      </w:r>
      <w:r w:rsidRPr="000A1873">
        <w:t>élaboration du rapport:</w:t>
      </w:r>
    </w:p>
    <w:p w:rsidR="000A1873" w:rsidRPr="000A1873" w:rsidRDefault="008F30DD" w:rsidP="008F30DD">
      <w:pPr>
        <w:pStyle w:val="Bullet1G"/>
      </w:pPr>
      <w:r>
        <w:t>Les d</w:t>
      </w:r>
      <w:r w:rsidR="000A1873" w:rsidRPr="000A1873">
        <w:t xml:space="preserve">irectives générales </w:t>
      </w:r>
      <w:r>
        <w:t>concernant</w:t>
      </w:r>
      <w:r w:rsidR="000A1873" w:rsidRPr="000A1873">
        <w:t xml:space="preserve"> la forme et le contenu des rapports sur le respect des engagements au titre de la Convention</w:t>
      </w:r>
      <w:r>
        <w:t>,</w:t>
      </w:r>
      <w:r w:rsidR="000A1873" w:rsidRPr="000A1873">
        <w:t xml:space="preserve"> </w:t>
      </w:r>
      <w:r>
        <w:t xml:space="preserve">qui doivent </w:t>
      </w:r>
      <w:r w:rsidR="000A1873" w:rsidRPr="000A1873">
        <w:t>être présentés par les États parties (CERD/C/2007/1);</w:t>
      </w:r>
    </w:p>
    <w:p w:rsidR="000A1873" w:rsidRPr="000A1873" w:rsidRDefault="008F30DD" w:rsidP="008F30DD">
      <w:pPr>
        <w:pStyle w:val="Bullet1G"/>
      </w:pPr>
      <w:r>
        <w:t>Les c</w:t>
      </w:r>
      <w:r w:rsidR="000A1873" w:rsidRPr="000A1873">
        <w:t xml:space="preserve">onclusions et recommandations du Comité </w:t>
      </w:r>
      <w:r>
        <w:t>concernant</w:t>
      </w:r>
      <w:r w:rsidR="000A1873" w:rsidRPr="000A1873">
        <w:t xml:space="preserve"> les sixième et septième rapports périodiques de la République tchèque (CERD/C/CZE/CO/7);</w:t>
      </w:r>
    </w:p>
    <w:p w:rsidR="000A1873" w:rsidRPr="000A1873" w:rsidRDefault="008F30DD" w:rsidP="008F30DD">
      <w:pPr>
        <w:pStyle w:val="Bullet1G"/>
      </w:pPr>
      <w:r>
        <w:t>Les f</w:t>
      </w:r>
      <w:r w:rsidR="000A1873" w:rsidRPr="000A1873">
        <w:t xml:space="preserve">aits pertinents et </w:t>
      </w:r>
      <w:r>
        <w:t xml:space="preserve">les </w:t>
      </w:r>
      <w:r w:rsidR="000A1873" w:rsidRPr="000A1873">
        <w:t>nouvelles mesures prises par la République tchèque pour s</w:t>
      </w:r>
      <w:r w:rsidR="00B54728">
        <w:t>’</w:t>
      </w:r>
      <w:r w:rsidR="000A1873" w:rsidRPr="000A1873">
        <w:t xml:space="preserve">acquitter de ses obligations </w:t>
      </w:r>
      <w:r>
        <w:t xml:space="preserve">découlant </w:t>
      </w:r>
      <w:r w:rsidR="000A1873" w:rsidRPr="000A1873">
        <w:t xml:space="preserve">de la Convention pendant la période </w:t>
      </w:r>
      <w:r>
        <w:t xml:space="preserve">couverte par le </w:t>
      </w:r>
      <w:r w:rsidR="000A1873" w:rsidRPr="000A1873">
        <w:t>rapport.</w:t>
      </w:r>
    </w:p>
    <w:p w:rsidR="000A1873" w:rsidRPr="000A1873" w:rsidRDefault="000A1873" w:rsidP="000A1873">
      <w:pPr>
        <w:pStyle w:val="SingleTxtG"/>
      </w:pPr>
      <w:r w:rsidRPr="000A1873">
        <w:t>4.</w:t>
      </w:r>
      <w:r w:rsidRPr="000A1873">
        <w:tab/>
        <w:t>Le rapport est présenté en même temps que le document de base commun</w:t>
      </w:r>
      <w:r w:rsidR="00201DA2">
        <w:t xml:space="preserve"> mis à jour</w:t>
      </w:r>
      <w:r w:rsidRPr="000A1873">
        <w:t>.</w:t>
      </w:r>
    </w:p>
    <w:p w:rsidR="000A1873" w:rsidRPr="000A1873" w:rsidRDefault="000A1873" w:rsidP="000A1873">
      <w:pPr>
        <w:pStyle w:val="SingleTxtG"/>
      </w:pPr>
      <w:r w:rsidRPr="000A1873">
        <w:t>5.</w:t>
      </w:r>
      <w:r w:rsidRPr="000A1873">
        <w:tab/>
        <w:t>À l</w:t>
      </w:r>
      <w:r w:rsidR="00B54728">
        <w:t>’</w:t>
      </w:r>
      <w:r w:rsidRPr="000A1873">
        <w:t>instar d</w:t>
      </w:r>
      <w:r w:rsidR="00B54728">
        <w:t>’</w:t>
      </w:r>
      <w:r w:rsidRPr="000A1873">
        <w:t>autres rapports périodiques de la République tchèque sur l</w:t>
      </w:r>
      <w:r w:rsidR="00B54728">
        <w:t>’</w:t>
      </w:r>
      <w:r w:rsidRPr="000A1873">
        <w:t xml:space="preserve">application des </w:t>
      </w:r>
      <w:r w:rsidR="00201DA2">
        <w:t xml:space="preserve">conventions des </w:t>
      </w:r>
      <w:r w:rsidR="00A33219">
        <w:t xml:space="preserve">Nations </w:t>
      </w:r>
      <w:r w:rsidR="00201DA2">
        <w:t>Unies relatives aux droits de l</w:t>
      </w:r>
      <w:r w:rsidR="00B54728">
        <w:t>’</w:t>
      </w:r>
      <w:r w:rsidR="00201DA2">
        <w:t>homme,</w:t>
      </w:r>
      <w:r w:rsidRPr="000A1873">
        <w:t xml:space="preserve"> le </w:t>
      </w:r>
      <w:r w:rsidR="00201DA2">
        <w:t xml:space="preserve">présent </w:t>
      </w:r>
      <w:r w:rsidRPr="000A1873">
        <w:t>rapport sera publié sur le site Internet du Conseil gouvernemental pour les droits de l</w:t>
      </w:r>
      <w:r w:rsidR="00B54728">
        <w:t>’</w:t>
      </w:r>
      <w:r w:rsidRPr="000A1873">
        <w:t xml:space="preserve">homme dès </w:t>
      </w:r>
      <w:r w:rsidR="00201DA2">
        <w:t xml:space="preserve">que </w:t>
      </w:r>
      <w:r w:rsidRPr="000A1873">
        <w:t>le Gouvernement</w:t>
      </w:r>
      <w:r w:rsidR="00201DA2">
        <w:t xml:space="preserve"> aura donné son accord</w:t>
      </w:r>
      <w:r w:rsidRPr="000A1873">
        <w:t>. Avant d</w:t>
      </w:r>
      <w:r w:rsidR="00B54728">
        <w:t>’</w:t>
      </w:r>
      <w:r w:rsidRPr="000A1873">
        <w:t xml:space="preserve">être présenté au Gouvernement, le rapport a été </w:t>
      </w:r>
      <w:r w:rsidR="006207B8">
        <w:t>discuté avec les</w:t>
      </w:r>
      <w:r w:rsidRPr="000A1873">
        <w:t xml:space="preserve"> ONG membres du Comité antidiscrimination du Conseil gouvernemental pour les droits de l</w:t>
      </w:r>
      <w:r w:rsidR="00B54728">
        <w:t>’</w:t>
      </w:r>
      <w:r w:rsidRPr="000A1873">
        <w:t>homme.</w:t>
      </w:r>
    </w:p>
    <w:p w:rsidR="000A1873" w:rsidRPr="000A1873" w:rsidRDefault="000A1873" w:rsidP="00A23436">
      <w:pPr>
        <w:pStyle w:val="HChG"/>
      </w:pPr>
      <w:r w:rsidRPr="000A1873">
        <w:tab/>
        <w:t>II.</w:t>
      </w:r>
      <w:r w:rsidRPr="000A1873">
        <w:tab/>
      </w:r>
      <w:r w:rsidR="00A23436">
        <w:t>Précisions</w:t>
      </w:r>
    </w:p>
    <w:p w:rsidR="000A1873" w:rsidRPr="000A1873" w:rsidRDefault="000A1873" w:rsidP="00A23436">
      <w:pPr>
        <w:pStyle w:val="H1G"/>
      </w:pPr>
      <w:r w:rsidRPr="000A1873">
        <w:tab/>
      </w:r>
      <w:r w:rsidRPr="000A1873">
        <w:tab/>
        <w:t>Article 2</w:t>
      </w:r>
    </w:p>
    <w:p w:rsidR="000A1873" w:rsidRPr="000A1873" w:rsidRDefault="000A1873" w:rsidP="00A23436">
      <w:pPr>
        <w:pStyle w:val="H23G"/>
      </w:pPr>
      <w:r w:rsidRPr="000A1873">
        <w:tab/>
      </w:r>
      <w:r w:rsidRPr="000A1873">
        <w:tab/>
        <w:t>Mesures juridiques et administratives contre la discrimination</w:t>
      </w:r>
    </w:p>
    <w:p w:rsidR="000A1873" w:rsidRPr="000A1873" w:rsidRDefault="000A1873" w:rsidP="000A1873">
      <w:pPr>
        <w:pStyle w:val="SingleTxtG"/>
      </w:pPr>
      <w:r w:rsidRPr="000A1873">
        <w:t>6.</w:t>
      </w:r>
      <w:r w:rsidRPr="000A1873">
        <w:tab/>
        <w:t>Le 21 juillet 2009, la République tchèque a ratifié le Statut de Rome de la Cour pénale internationale</w:t>
      </w:r>
      <w:r w:rsidR="00A23436">
        <w:t xml:space="preserve">, qui </w:t>
      </w:r>
      <w:r w:rsidRPr="000A1873">
        <w:t xml:space="preserve">est entré en vigueur </w:t>
      </w:r>
      <w:r w:rsidR="00A23436">
        <w:t xml:space="preserve">à son égard </w:t>
      </w:r>
      <w:r w:rsidRPr="000A1873">
        <w:t>le 1</w:t>
      </w:r>
      <w:r w:rsidRPr="000A1873">
        <w:rPr>
          <w:vertAlign w:val="superscript"/>
        </w:rPr>
        <w:t>er</w:t>
      </w:r>
      <w:r w:rsidRPr="000A1873">
        <w:t xml:space="preserve"> octobre 2009.</w:t>
      </w:r>
    </w:p>
    <w:p w:rsidR="000A1873" w:rsidRPr="000A1873" w:rsidRDefault="000A1873" w:rsidP="000A1873">
      <w:pPr>
        <w:pStyle w:val="SingleTxtG"/>
      </w:pPr>
      <w:r w:rsidRPr="000A1873">
        <w:t>7.</w:t>
      </w:r>
      <w:r w:rsidRPr="000A1873">
        <w:tab/>
        <w:t xml:space="preserve">Au plan non gouvernemental, le Ministère des affaires étrangères </w:t>
      </w:r>
      <w:r w:rsidR="00A16148">
        <w:t xml:space="preserve">fournit une aide financière et </w:t>
      </w:r>
      <w:r w:rsidRPr="000A1873">
        <w:t>organisation</w:t>
      </w:r>
      <w:r w:rsidR="00A16148">
        <w:t>nelle</w:t>
      </w:r>
      <w:r w:rsidRPr="000A1873">
        <w:t xml:space="preserve"> à des réunions organisées régulièrement </w:t>
      </w:r>
      <w:r w:rsidR="00A16148">
        <w:t>pour le</w:t>
      </w:r>
      <w:r w:rsidRPr="000A1873">
        <w:t xml:space="preserve"> dialogue religieux et culturel dans le cadre de la Conférence internationale Forum 2000</w:t>
      </w:r>
      <w:r w:rsidR="00A16148">
        <w:t xml:space="preserve">, sous le patronage de </w:t>
      </w:r>
      <w:r w:rsidRPr="000A1873">
        <w:t>l</w:t>
      </w:r>
      <w:r w:rsidR="00B54728">
        <w:t>’</w:t>
      </w:r>
      <w:r w:rsidRPr="000A1873">
        <w:t xml:space="preserve">ancien Président </w:t>
      </w:r>
      <w:r w:rsidR="00A16148">
        <w:t xml:space="preserve">de la République tchèque, </w:t>
      </w:r>
      <w:r w:rsidR="00FA5972">
        <w:t>Vá</w:t>
      </w:r>
      <w:r w:rsidRPr="000A1873">
        <w:t xml:space="preserve">clav Havel. Le Ministère des affaires étrangères finance également la coopération pour le développement international dans la République tchèque, dont il </w:t>
      </w:r>
      <w:r w:rsidR="00A16148">
        <w:t>définit l</w:t>
      </w:r>
      <w:r w:rsidR="00B54728">
        <w:t>’</w:t>
      </w:r>
      <w:r w:rsidR="00A16148">
        <w:t xml:space="preserve">action </w:t>
      </w:r>
      <w:r w:rsidRPr="000A1873">
        <w:t>en collaboration avec l</w:t>
      </w:r>
      <w:r w:rsidR="00B54728">
        <w:t>’</w:t>
      </w:r>
      <w:r w:rsidRPr="000A1873">
        <w:t xml:space="preserve">Agence tchèque de développement. La coopération pour le développement </w:t>
      </w:r>
      <w:r w:rsidR="00A16148">
        <w:t xml:space="preserve">permet de soutenir des projets </w:t>
      </w:r>
      <w:r w:rsidRPr="000A1873">
        <w:t>contribuant à la coexistence, dans la tolérance, de</w:t>
      </w:r>
      <w:r w:rsidR="00A16148">
        <w:t>s</w:t>
      </w:r>
      <w:r w:rsidRPr="000A1873">
        <w:t xml:space="preserve"> minorités ethniques </w:t>
      </w:r>
      <w:r w:rsidR="00A16148">
        <w:t xml:space="preserve">vivant </w:t>
      </w:r>
      <w:r w:rsidRPr="000A1873">
        <w:t xml:space="preserve">dans des zones </w:t>
      </w:r>
      <w:r w:rsidR="00A16148">
        <w:t xml:space="preserve">qui ont connu des </w:t>
      </w:r>
      <w:r w:rsidRPr="000A1873">
        <w:t>conflits, notamment grâce à des projets locaux gérés par des missions tchèques.</w:t>
      </w:r>
    </w:p>
    <w:p w:rsidR="000A1873" w:rsidRPr="000A1873" w:rsidRDefault="000A1873" w:rsidP="000A1873">
      <w:pPr>
        <w:pStyle w:val="SingleTxtG"/>
      </w:pPr>
      <w:r w:rsidRPr="000A1873">
        <w:t>8.</w:t>
      </w:r>
      <w:r w:rsidRPr="000A1873">
        <w:tab/>
        <w:t>En juin 2009, le Ministère des affaires étrangères a organisé la Conférence sur le</w:t>
      </w:r>
      <w:r w:rsidR="000E7750">
        <w:t>s</w:t>
      </w:r>
      <w:r w:rsidRPr="000A1873">
        <w:t xml:space="preserve"> biens des victimes de l</w:t>
      </w:r>
      <w:r w:rsidR="00B54728">
        <w:t>’</w:t>
      </w:r>
      <w:r w:rsidRPr="000A1873">
        <w:t>Holocauste</w:t>
      </w:r>
      <w:r w:rsidR="000E7750">
        <w:t xml:space="preserve">, afin </w:t>
      </w:r>
      <w:r w:rsidRPr="000A1873">
        <w:t>notam</w:t>
      </w:r>
      <w:r w:rsidR="000E7750">
        <w:t xml:space="preserve">ment de </w:t>
      </w:r>
      <w:r w:rsidRPr="000A1873">
        <w:t>mieux faire connaître ce chapitre de l</w:t>
      </w:r>
      <w:r w:rsidR="00B54728">
        <w:t>’</w:t>
      </w:r>
      <w:r w:rsidRPr="000A1873">
        <w:t xml:space="preserve">histoire européenne et </w:t>
      </w:r>
      <w:r w:rsidR="000E7750">
        <w:t>de</w:t>
      </w:r>
      <w:r w:rsidRPr="000A1873">
        <w:t xml:space="preserve"> renforcer les activités nationales et internationales </w:t>
      </w:r>
      <w:r w:rsidR="000E7750">
        <w:t>visant à pré</w:t>
      </w:r>
      <w:r w:rsidR="00FA5972">
        <w:t>venir</w:t>
      </w:r>
      <w:r w:rsidRPr="000A1873">
        <w:t xml:space="preserve"> l</w:t>
      </w:r>
      <w:r w:rsidR="00B54728">
        <w:t>’</w:t>
      </w:r>
      <w:r w:rsidRPr="000A1873">
        <w:t xml:space="preserve">antisémitisme </w:t>
      </w:r>
      <w:r w:rsidR="000E7750">
        <w:t xml:space="preserve">en tant que </w:t>
      </w:r>
      <w:r w:rsidRPr="000A1873">
        <w:t>forme spécifique de racisme. Cette Conférence a été suivie par la création d</w:t>
      </w:r>
      <w:r w:rsidR="000E7750">
        <w:t>e</w:t>
      </w:r>
      <w:r w:rsidRPr="000A1873">
        <w:t xml:space="preserve"> </w:t>
      </w:r>
      <w:r w:rsidR="000E7750">
        <w:t>l</w:t>
      </w:r>
      <w:r w:rsidR="00B54728">
        <w:t>’</w:t>
      </w:r>
      <w:r w:rsidRPr="000A1873">
        <w:t>Institut européen de l</w:t>
      </w:r>
      <w:r w:rsidR="00B54728">
        <w:t>’</w:t>
      </w:r>
      <w:r w:rsidRPr="000A1873">
        <w:t>héritage de la Shoah</w:t>
      </w:r>
      <w:r w:rsidR="000E7750">
        <w:t>,</w:t>
      </w:r>
      <w:r w:rsidRPr="000A1873">
        <w:t xml:space="preserve"> le 1</w:t>
      </w:r>
      <w:r w:rsidRPr="000A1873">
        <w:rPr>
          <w:vertAlign w:val="superscript"/>
        </w:rPr>
        <w:t>er</w:t>
      </w:r>
      <w:r w:rsidRPr="000A1873">
        <w:t xml:space="preserve"> janvier 2010. </w:t>
      </w:r>
    </w:p>
    <w:p w:rsidR="000A1873" w:rsidRPr="000A1873" w:rsidRDefault="000A1873" w:rsidP="000A1873">
      <w:pPr>
        <w:pStyle w:val="SingleTxtG"/>
      </w:pPr>
      <w:r w:rsidRPr="000A1873">
        <w:t>9.</w:t>
      </w:r>
      <w:r w:rsidRPr="000A1873">
        <w:tab/>
        <w:t xml:space="preserve">Le Fonds international de Visegrad, organisation créée par les États du V-4, finance des projets visant à </w:t>
      </w:r>
      <w:r w:rsidR="00710514">
        <w:t xml:space="preserve">assurer </w:t>
      </w:r>
      <w:r w:rsidRPr="000A1873">
        <w:t>l</w:t>
      </w:r>
      <w:r w:rsidR="00B54728">
        <w:t>’</w:t>
      </w:r>
      <w:r w:rsidRPr="000A1873">
        <w:t>intégration de la communauté rom. La présidence hongroise actuelle du V-4 soutient la création d</w:t>
      </w:r>
      <w:r w:rsidR="00B54728">
        <w:t>’</w:t>
      </w:r>
      <w:r w:rsidRPr="000A1873">
        <w:t>une stratégie d</w:t>
      </w:r>
      <w:r w:rsidR="00710514">
        <w:t>e l</w:t>
      </w:r>
      <w:r w:rsidR="00B54728">
        <w:t>’</w:t>
      </w:r>
      <w:r w:rsidRPr="000A1873">
        <w:t>Europe centrale pour les Roms. D</w:t>
      </w:r>
      <w:r w:rsidR="00710514">
        <w:t>ans ce cadre, les p</w:t>
      </w:r>
      <w:r w:rsidRPr="000A1873">
        <w:t xml:space="preserve">remiers </w:t>
      </w:r>
      <w:r w:rsidR="00710514">
        <w:t>m</w:t>
      </w:r>
      <w:r w:rsidRPr="000A1873">
        <w:t>inistres des pays du V-4 sont convenus de créer un groupe de trav</w:t>
      </w:r>
      <w:r w:rsidR="00FA5972">
        <w:t>ail composé de commissaires du G</w:t>
      </w:r>
      <w:r w:rsidRPr="000A1873">
        <w:t xml:space="preserve">ouvernement pour les questions roms. </w:t>
      </w:r>
    </w:p>
    <w:p w:rsidR="000A1873" w:rsidRPr="000A1873" w:rsidRDefault="000A1873" w:rsidP="000A1873">
      <w:pPr>
        <w:pStyle w:val="SingleTxtG"/>
      </w:pPr>
      <w:r w:rsidRPr="000A1873">
        <w:t>10.</w:t>
      </w:r>
      <w:r w:rsidRPr="000A1873">
        <w:tab/>
        <w:t>Lors de la présidence tchèque du Conseil de l</w:t>
      </w:r>
      <w:r w:rsidR="00B54728">
        <w:t>’</w:t>
      </w:r>
      <w:r w:rsidRPr="000A1873">
        <w:t xml:space="preserve">Union européenne, la question de la discrimination (notamment la discrimination raciale) a été abordée </w:t>
      </w:r>
      <w:r w:rsidR="00710514">
        <w:t>dans le cadre d</w:t>
      </w:r>
      <w:r w:rsidR="00B54728">
        <w:t>’</w:t>
      </w:r>
      <w:r w:rsidR="00710514">
        <w:t xml:space="preserve">un </w:t>
      </w:r>
      <w:r w:rsidRPr="000A1873">
        <w:t>dialogue sur les droits de l</w:t>
      </w:r>
      <w:r w:rsidR="00B54728">
        <w:t>’</w:t>
      </w:r>
      <w:r w:rsidRPr="000A1873">
        <w:t>homme avec des pays tiers. La question a été discutée en détail, notamment dans le cadre du dialogue entre l</w:t>
      </w:r>
      <w:r w:rsidR="00B54728">
        <w:t>’</w:t>
      </w:r>
      <w:r w:rsidRPr="000A1873">
        <w:t>Union européenne et la Russie et entre l</w:t>
      </w:r>
      <w:r w:rsidR="00B54728">
        <w:t>’</w:t>
      </w:r>
      <w:r w:rsidRPr="000A1873">
        <w:t>Union européenne et la Chine.</w:t>
      </w:r>
    </w:p>
    <w:p w:rsidR="000A1873" w:rsidRPr="000A1873" w:rsidRDefault="000A1873" w:rsidP="000A1873">
      <w:pPr>
        <w:pStyle w:val="SingleTxtG"/>
      </w:pPr>
      <w:r w:rsidRPr="000A1873">
        <w:t>11.</w:t>
      </w:r>
      <w:r w:rsidRPr="000A1873">
        <w:tab/>
        <w:t>En 2005, le Gouvernement s</w:t>
      </w:r>
      <w:r w:rsidR="00B54728">
        <w:t>’</w:t>
      </w:r>
      <w:r w:rsidRPr="000A1873">
        <w:t>est joint à l</w:t>
      </w:r>
      <w:r w:rsidR="00B54728">
        <w:t>’</w:t>
      </w:r>
      <w:r w:rsidRPr="000A1873">
        <w:t>initiative internationale de la Décennie européenne de l</w:t>
      </w:r>
      <w:r w:rsidR="00B54728">
        <w:t>’</w:t>
      </w:r>
      <w:r w:rsidRPr="000A1873">
        <w:t>inclusion des Roms 2005</w:t>
      </w:r>
      <w:r w:rsidR="00FA5972">
        <w:t xml:space="preserve">-2015 et a également adopté un </w:t>
      </w:r>
      <w:r w:rsidR="00AA0A88">
        <w:t>p</w:t>
      </w:r>
      <w:r w:rsidRPr="000A1873">
        <w:t>lan d</w:t>
      </w:r>
      <w:r w:rsidR="00B54728">
        <w:t>’</w:t>
      </w:r>
      <w:r w:rsidR="00FA5972">
        <w:t xml:space="preserve">action national pour la </w:t>
      </w:r>
      <w:r w:rsidR="00AA0A88">
        <w:t>d</w:t>
      </w:r>
      <w:r w:rsidRPr="000A1873">
        <w:t xml:space="preserve">écennie, </w:t>
      </w:r>
      <w:r w:rsidR="00710514">
        <w:t>qu</w:t>
      </w:r>
      <w:r w:rsidR="00B54728">
        <w:t>’</w:t>
      </w:r>
      <w:r w:rsidR="00710514">
        <w:t>il s</w:t>
      </w:r>
      <w:r w:rsidR="00B54728">
        <w:t>’</w:t>
      </w:r>
      <w:r w:rsidR="00710514">
        <w:t xml:space="preserve">est engagé à exécuter pour </w:t>
      </w:r>
      <w:r w:rsidRPr="000A1873">
        <w:t xml:space="preserve">2015. La Décennie </w:t>
      </w:r>
      <w:r w:rsidR="00FA5972">
        <w:t xml:space="preserve">européenne </w:t>
      </w:r>
      <w:r w:rsidRPr="000A1873">
        <w:t>de l</w:t>
      </w:r>
      <w:r w:rsidR="00B54728">
        <w:t>’</w:t>
      </w:r>
      <w:r w:rsidRPr="000A1873">
        <w:t>inclusion des Roms est une initiative internationale à laquelle participent 12 pays d</w:t>
      </w:r>
      <w:r w:rsidR="00B54728">
        <w:t>’</w:t>
      </w:r>
      <w:r w:rsidRPr="000A1873">
        <w:t>Europe</w:t>
      </w:r>
      <w:r w:rsidR="00C84C69">
        <w:rPr>
          <w:rStyle w:val="FootnoteReference"/>
        </w:rPr>
        <w:footnoteReference w:id="5"/>
      </w:r>
      <w:r w:rsidR="00E72B78">
        <w:t>,</w:t>
      </w:r>
      <w:r w:rsidRPr="000A1873">
        <w:t xml:space="preserve"> qui réunit les gouvernements </w:t>
      </w:r>
      <w:r w:rsidR="00E72B78">
        <w:t>concernés</w:t>
      </w:r>
      <w:r w:rsidRPr="000A1873">
        <w:t xml:space="preserve">, les institutions internationales et la société civile rom </w:t>
      </w:r>
      <w:r w:rsidR="00FA5972">
        <w:t xml:space="preserve">et </w:t>
      </w:r>
      <w:r w:rsidR="00E72B78">
        <w:t xml:space="preserve">a défini </w:t>
      </w:r>
      <w:r w:rsidRPr="000A1873">
        <w:t xml:space="preserve">14 principes, notamment le respect </w:t>
      </w:r>
      <w:r w:rsidR="00E72B78">
        <w:t>de la culture et d</w:t>
      </w:r>
      <w:r w:rsidRPr="000A1873">
        <w:t xml:space="preserve">es traditions roms, la protection systématique des </w:t>
      </w:r>
      <w:r w:rsidR="00E72B78" w:rsidRPr="000A1873">
        <w:t xml:space="preserve">libertés </w:t>
      </w:r>
      <w:r w:rsidR="00E72B78">
        <w:t xml:space="preserve">et </w:t>
      </w:r>
      <w:r w:rsidRPr="000A1873">
        <w:t>droits fondamentaux des Roms, la protection contre la discrimination et la promotion de l</w:t>
      </w:r>
      <w:r w:rsidR="00B54728">
        <w:t>’</w:t>
      </w:r>
      <w:r w:rsidRPr="000A1873">
        <w:t>égal</w:t>
      </w:r>
      <w:r w:rsidR="00E72B78">
        <w:t>ité d</w:t>
      </w:r>
      <w:r w:rsidR="00B54728">
        <w:t>’</w:t>
      </w:r>
      <w:r w:rsidRPr="000A1873">
        <w:t>accès et de l</w:t>
      </w:r>
      <w:r w:rsidR="00B54728">
        <w:t>’</w:t>
      </w:r>
      <w:r w:rsidRPr="000A1873">
        <w:t xml:space="preserve">égalité des chances. </w:t>
      </w:r>
    </w:p>
    <w:p w:rsidR="000A1873" w:rsidRDefault="000A1873" w:rsidP="000A1873">
      <w:pPr>
        <w:pStyle w:val="SingleTxtG"/>
      </w:pPr>
      <w:r w:rsidRPr="000A1873">
        <w:t>12.</w:t>
      </w:r>
      <w:r w:rsidRPr="000A1873">
        <w:tab/>
        <w:t>La République tchèque s</w:t>
      </w:r>
      <w:r w:rsidR="00B54728">
        <w:t>’</w:t>
      </w:r>
      <w:r w:rsidRPr="000A1873">
        <w:t xml:space="preserve">emploie activement à </w:t>
      </w:r>
      <w:r w:rsidR="00D1451E">
        <w:t>intégrer les</w:t>
      </w:r>
      <w:r w:rsidRPr="000A1873">
        <w:t xml:space="preserve"> Roms dans toute l</w:t>
      </w:r>
      <w:r w:rsidR="00B54728">
        <w:t>’</w:t>
      </w:r>
      <w:r w:rsidRPr="000A1873">
        <w:t xml:space="preserve">Union européenne. En avril 2009, </w:t>
      </w:r>
      <w:r w:rsidR="00D1451E">
        <w:t xml:space="preserve">elle a organisé, durant sa </w:t>
      </w:r>
      <w:r w:rsidRPr="000A1873">
        <w:t>présidence de l</w:t>
      </w:r>
      <w:r w:rsidR="00B54728">
        <w:t>’</w:t>
      </w:r>
      <w:r w:rsidRPr="000A1873">
        <w:t xml:space="preserve">Union européenne, </w:t>
      </w:r>
      <w:r w:rsidR="00D1451E">
        <w:t>l</w:t>
      </w:r>
      <w:r w:rsidRPr="000A1873">
        <w:t>a première réunion d</w:t>
      </w:r>
      <w:r w:rsidR="00B54728">
        <w:t>’</w:t>
      </w:r>
      <w:r w:rsidRPr="000A1873">
        <w:t>un programme intégré pour l</w:t>
      </w:r>
      <w:r w:rsidR="00B54728">
        <w:t>’</w:t>
      </w:r>
      <w:r w:rsidRPr="000A1873">
        <w:t>inclusion des Roms. En juin 2009, l</w:t>
      </w:r>
      <w:r w:rsidR="00B54728">
        <w:t>’</w:t>
      </w:r>
      <w:r w:rsidRPr="000A1873">
        <w:t>Union européenne a adopté les principes de base communs pour l</w:t>
      </w:r>
      <w:r w:rsidR="00B54728">
        <w:t>’</w:t>
      </w:r>
      <w:r w:rsidRPr="000A1873">
        <w:t>inclusion des Roms</w:t>
      </w:r>
      <w:r w:rsidR="00D1451E">
        <w:rPr>
          <w:rStyle w:val="FootnoteReference"/>
        </w:rPr>
        <w:footnoteReference w:id="6"/>
      </w:r>
      <w:r w:rsidRPr="000A1873">
        <w:t>. Les principes de base communs proposent l</w:t>
      </w:r>
      <w:r w:rsidR="00B54728">
        <w:t>’</w:t>
      </w:r>
      <w:r w:rsidRPr="000A1873">
        <w:t>élaboration d</w:t>
      </w:r>
      <w:r w:rsidR="00B54728">
        <w:t>’</w:t>
      </w:r>
      <w:r w:rsidRPr="000A1873">
        <w:t xml:space="preserve">une politique constructive, pragmatique et non discriminatoire </w:t>
      </w:r>
      <w:r w:rsidR="00D1451E">
        <w:t>axée clairement, mais pas</w:t>
      </w:r>
      <w:r w:rsidRPr="000A1873">
        <w:t xml:space="preserve"> exclusive</w:t>
      </w:r>
      <w:r w:rsidR="00D1451E">
        <w:t>ment</w:t>
      </w:r>
      <w:r w:rsidRPr="000A1873">
        <w:t xml:space="preserve">, </w:t>
      </w:r>
      <w:r w:rsidR="00D1451E">
        <w:t xml:space="preserve">sur </w:t>
      </w:r>
      <w:r w:rsidR="00F21B26">
        <w:t>d</w:t>
      </w:r>
      <w:r w:rsidRPr="000A1873">
        <w:t xml:space="preserve">es questions </w:t>
      </w:r>
      <w:r w:rsidR="00F21B26">
        <w:t>liées à l</w:t>
      </w:r>
      <w:r w:rsidR="00B54728">
        <w:t>’</w:t>
      </w:r>
      <w:r w:rsidR="00F21B26">
        <w:t>intégration des Roms dans la société</w:t>
      </w:r>
      <w:r w:rsidRPr="000A1873">
        <w:t>. Le document souligne l</w:t>
      </w:r>
      <w:r w:rsidR="00B54728">
        <w:t>’</w:t>
      </w:r>
      <w:r w:rsidRPr="000A1873">
        <w:t>importance d</w:t>
      </w:r>
      <w:r w:rsidR="00B54728">
        <w:t>’</w:t>
      </w:r>
      <w:r w:rsidRPr="000A1873">
        <w:t>une approche interculturelle et de la prise en compte des besoins des femmes roms. L</w:t>
      </w:r>
      <w:r w:rsidR="00B54728">
        <w:t>’</w:t>
      </w:r>
      <w:r w:rsidR="00F21B26">
        <w:t xml:space="preserve">appui à la </w:t>
      </w:r>
      <w:r w:rsidRPr="000A1873">
        <w:t xml:space="preserve">mise en œuvre de nouvelles politiques grâce au recours aux instruments </w:t>
      </w:r>
      <w:r w:rsidR="00F21B26">
        <w:t>de la Communauté européenne</w:t>
      </w:r>
      <w:r w:rsidRPr="000A1873">
        <w:t xml:space="preserve"> est essentiel. Les principes de base communs mettent l</w:t>
      </w:r>
      <w:r w:rsidR="00B54728">
        <w:t>’</w:t>
      </w:r>
      <w:r w:rsidRPr="000A1873">
        <w:t>accent sur les collectivités régionales et locales, d</w:t>
      </w:r>
      <w:r w:rsidR="00B54728">
        <w:t>’</w:t>
      </w:r>
      <w:r w:rsidRPr="000A1873">
        <w:t xml:space="preserve">une part, qui jouent un rôle majeur dans la mise en œuvre </w:t>
      </w:r>
      <w:r w:rsidR="003A3982">
        <w:t>concrète</w:t>
      </w:r>
      <w:r w:rsidRPr="000A1873">
        <w:t xml:space="preserve"> des politiques et, d</w:t>
      </w:r>
      <w:r w:rsidR="00B54728">
        <w:t>’</w:t>
      </w:r>
      <w:r w:rsidRPr="000A1873">
        <w:t xml:space="preserve">autre part, </w:t>
      </w:r>
      <w:r w:rsidR="003A3982">
        <w:t xml:space="preserve">sur </w:t>
      </w:r>
      <w:r w:rsidRPr="000A1873">
        <w:t>l</w:t>
      </w:r>
      <w:r w:rsidR="00B54728">
        <w:t>’</w:t>
      </w:r>
      <w:r w:rsidRPr="000A1873">
        <w:t>implication de la société civile et la participation active des Roms au processus d</w:t>
      </w:r>
      <w:r w:rsidR="00B54728">
        <w:t>’</w:t>
      </w:r>
      <w:r w:rsidRPr="000A1873">
        <w:t>inclusion sociale.</w:t>
      </w:r>
    </w:p>
    <w:p w:rsidR="00B54728" w:rsidRPr="00B54728" w:rsidRDefault="00B54728" w:rsidP="00B54728">
      <w:pPr>
        <w:pStyle w:val="SingleTxtG"/>
      </w:pPr>
      <w:r w:rsidRPr="00B54728">
        <w:t>13.</w:t>
      </w:r>
      <w:r w:rsidRPr="00B54728">
        <w:tab/>
        <w:t xml:space="preserve">En réponse à </w:t>
      </w:r>
      <w:r>
        <w:t xml:space="preserve">la recommandation formulée au paragraphe </w:t>
      </w:r>
      <w:r w:rsidRPr="00B54728">
        <w:t xml:space="preserve">22 </w:t>
      </w:r>
      <w:r>
        <w:t xml:space="preserve">des observations finales du Comité, il convient de noter que </w:t>
      </w:r>
      <w:r w:rsidRPr="00B54728">
        <w:t>la République tchèque n</w:t>
      </w:r>
      <w:r>
        <w:t>’</w:t>
      </w:r>
      <w:r w:rsidRPr="00B54728">
        <w:t>envisage pas à l</w:t>
      </w:r>
      <w:r>
        <w:t>’</w:t>
      </w:r>
      <w:r w:rsidRPr="00B54728">
        <w:t>heure actuelle de ratifier la Convention internationale sur la protection des droits de tous les travailleurs migrants et des membres de leur f</w:t>
      </w:r>
      <w:r w:rsidR="00A33219">
        <w:t xml:space="preserve">amille du 18 décembre 1990 (New </w:t>
      </w:r>
      <w:r w:rsidRPr="00B54728">
        <w:t>York). Cette convention de</w:t>
      </w:r>
      <w:r>
        <w:t xml:space="preserve">s Nations Unies a été </w:t>
      </w:r>
      <w:r w:rsidRPr="00B54728">
        <w:t>ratifiée par 42 États. La République tchèque estime que l</w:t>
      </w:r>
      <w:r>
        <w:t>’</w:t>
      </w:r>
      <w:r w:rsidRPr="00B54728">
        <w:t>objet de cet instrument de droit international est régi de manière</w:t>
      </w:r>
      <w:r>
        <w:t xml:space="preserve"> complète et satisfaisante par s</w:t>
      </w:r>
      <w:r w:rsidRPr="00B54728">
        <w:t>a législation nationale en vigu</w:t>
      </w:r>
      <w:r>
        <w:t>eur et par s</w:t>
      </w:r>
      <w:r w:rsidRPr="00B54728">
        <w:t>es obligations internationales</w:t>
      </w:r>
      <w:r>
        <w:t>.</w:t>
      </w:r>
    </w:p>
    <w:p w:rsidR="00B54728" w:rsidRPr="00B54728" w:rsidRDefault="00B54728" w:rsidP="00B54728">
      <w:pPr>
        <w:pStyle w:val="SingleTxtG"/>
      </w:pPr>
      <w:r w:rsidRPr="00B54728">
        <w:t>14.</w:t>
      </w:r>
      <w:r w:rsidRPr="00B54728">
        <w:tab/>
        <w:t xml:space="preserve">En réponse à </w:t>
      </w:r>
      <w:r>
        <w:t>la recommandation formulée au paragraphe 23 des o</w:t>
      </w:r>
      <w:r w:rsidRPr="00B54728">
        <w:t>bservation</w:t>
      </w:r>
      <w:r>
        <w:t>s</w:t>
      </w:r>
      <w:r w:rsidRPr="00B54728">
        <w:t xml:space="preserve"> finale</w:t>
      </w:r>
      <w:r>
        <w:t>s</w:t>
      </w:r>
      <w:r w:rsidRPr="00B54728">
        <w:t xml:space="preserve"> </w:t>
      </w:r>
      <w:r>
        <w:t>du Comité</w:t>
      </w:r>
      <w:r w:rsidRPr="00B54728">
        <w:t xml:space="preserve">, </w:t>
      </w:r>
      <w:r>
        <w:t xml:space="preserve">on notera que </w:t>
      </w:r>
      <w:r w:rsidRPr="00B54728">
        <w:t>la République tchèque s</w:t>
      </w:r>
      <w:r>
        <w:t>’</w:t>
      </w:r>
      <w:r w:rsidRPr="00B54728">
        <w:t>est posé</w:t>
      </w:r>
      <w:r w:rsidR="00AA0A88">
        <w:t>e</w:t>
      </w:r>
      <w:r w:rsidRPr="00B54728">
        <w:t xml:space="preserve"> la question de savoir si elle devait adopter un plan d</w:t>
      </w:r>
      <w:r>
        <w:t xml:space="preserve">’action national </w:t>
      </w:r>
      <w:r w:rsidRPr="00B54728">
        <w:t>contre le racisme suite à l</w:t>
      </w:r>
      <w:r>
        <w:t>’</w:t>
      </w:r>
      <w:r w:rsidRPr="00B54728">
        <w:t>adoption de la Déclaration et du Programme d</w:t>
      </w:r>
      <w:r>
        <w:t>’</w:t>
      </w:r>
      <w:r w:rsidRPr="00B54728">
        <w:t>action de Durban. Après un examen minutieux des mesures lé</w:t>
      </w:r>
      <w:r>
        <w:t xml:space="preserve">gislatives et non législatives du cadre </w:t>
      </w:r>
      <w:r w:rsidRPr="00B54728">
        <w:t xml:space="preserve">institutionnel et </w:t>
      </w:r>
      <w:r>
        <w:t>d</w:t>
      </w:r>
      <w:r w:rsidRPr="00B54728">
        <w:t xml:space="preserve">es programmes et politiques </w:t>
      </w:r>
      <w:r w:rsidR="000C3963">
        <w:t>déjà</w:t>
      </w:r>
      <w:r w:rsidRPr="00B54728">
        <w:t xml:space="preserve"> adoptés et mis en œuvre par différents organismes gouvernementaux, il a été décidé de ne pas adopter de plan d</w:t>
      </w:r>
      <w:r>
        <w:t>’</w:t>
      </w:r>
      <w:r w:rsidRPr="00B54728">
        <w:t>action national contre le racisme. La République tchèque applique peu à peu les différents points de la Déclaration et du Programme d</w:t>
      </w:r>
      <w:r>
        <w:t>’</w:t>
      </w:r>
      <w:r w:rsidRPr="00B54728">
        <w:t>action de Durban en utilisant les mesures existantes (comme indiqué ci-dessus).</w:t>
      </w:r>
    </w:p>
    <w:p w:rsidR="00B54728" w:rsidRPr="00B54728" w:rsidRDefault="00B54728" w:rsidP="00B54728">
      <w:pPr>
        <w:pStyle w:val="SingleTxtG"/>
      </w:pPr>
      <w:r w:rsidRPr="00B54728">
        <w:t>15.</w:t>
      </w:r>
      <w:r w:rsidRPr="00B54728">
        <w:tab/>
        <w:t>Le</w:t>
      </w:r>
      <w:r w:rsidR="00346E31">
        <w:t xml:space="preserve">s lois nationales sur la </w:t>
      </w:r>
      <w:r w:rsidRPr="00B54728">
        <w:t xml:space="preserve">protection contre la discrimination raciale </w:t>
      </w:r>
      <w:r w:rsidR="006F07F7">
        <w:t>ont été présentées de façon détaillée dans s</w:t>
      </w:r>
      <w:r w:rsidRPr="00B54728">
        <w:t xml:space="preserve">es rapports précédents. La protection contre la discrimination est également régie par les conventions internationales </w:t>
      </w:r>
      <w:r w:rsidR="00E03C6F">
        <w:t>qui lient la République tchèque</w:t>
      </w:r>
      <w:r w:rsidR="00E03C6F">
        <w:rPr>
          <w:rStyle w:val="FootnoteReference"/>
        </w:rPr>
        <w:footnoteReference w:id="7"/>
      </w:r>
      <w:r w:rsidRPr="00B54728">
        <w:t>.</w:t>
      </w:r>
    </w:p>
    <w:p w:rsidR="00B54728" w:rsidRPr="00B54728" w:rsidRDefault="00E03C6F" w:rsidP="00B54728">
      <w:pPr>
        <w:pStyle w:val="SingleTxtG"/>
      </w:pPr>
      <w:r>
        <w:t>16.</w:t>
      </w:r>
      <w:r>
        <w:tab/>
        <w:t>La loi anti</w:t>
      </w:r>
      <w:r w:rsidR="00B54728" w:rsidRPr="00B54728">
        <w:t xml:space="preserve">discrimination est </w:t>
      </w:r>
      <w:r w:rsidR="00AD65B6">
        <w:t xml:space="preserve">le texte législatif le </w:t>
      </w:r>
      <w:r w:rsidR="00B54728" w:rsidRPr="00B54728">
        <w:t>plus important en matière de protection contre la discrimination</w:t>
      </w:r>
      <w:r w:rsidR="00AD65B6">
        <w:rPr>
          <w:rStyle w:val="FootnoteReference"/>
        </w:rPr>
        <w:footnoteReference w:id="8"/>
      </w:r>
      <w:r w:rsidR="00B54728" w:rsidRPr="00B54728">
        <w:t>. Voir l</w:t>
      </w:r>
      <w:r w:rsidR="00B54728">
        <w:t>’</w:t>
      </w:r>
      <w:r w:rsidR="00B54728" w:rsidRPr="00B54728">
        <w:t xml:space="preserve">article 6 pour en savoir plus sur les mesures législatives </w:t>
      </w:r>
      <w:r w:rsidR="00AD65B6">
        <w:t xml:space="preserve">relatives à la </w:t>
      </w:r>
      <w:r w:rsidR="00B54728" w:rsidRPr="00B54728">
        <w:t>protection contre la discrimination.</w:t>
      </w:r>
    </w:p>
    <w:p w:rsidR="00B54728" w:rsidRPr="00B54728" w:rsidRDefault="00B54728" w:rsidP="00B54728">
      <w:pPr>
        <w:pStyle w:val="SingleTxtG"/>
      </w:pPr>
      <w:r w:rsidRPr="00B54728">
        <w:t>17.</w:t>
      </w:r>
      <w:r w:rsidRPr="00B54728">
        <w:tab/>
        <w:t>Un nouveau Code pénal</w:t>
      </w:r>
      <w:r w:rsidR="00C6655A">
        <w:rPr>
          <w:rStyle w:val="FootnoteReference"/>
        </w:rPr>
        <w:footnoteReference w:id="9"/>
      </w:r>
      <w:r w:rsidR="00C6655A">
        <w:t>,</w:t>
      </w:r>
      <w:r w:rsidRPr="00B54728">
        <w:t xml:space="preserve"> adopté en 2008</w:t>
      </w:r>
      <w:r w:rsidR="00C6655A">
        <w:t>,</w:t>
      </w:r>
      <w:r w:rsidRPr="00B54728">
        <w:t xml:space="preserve"> est entré en vigueur le 1</w:t>
      </w:r>
      <w:r w:rsidRPr="00B54728">
        <w:rPr>
          <w:vertAlign w:val="superscript"/>
        </w:rPr>
        <w:t>er</w:t>
      </w:r>
      <w:r w:rsidR="005F5073">
        <w:t xml:space="preserve"> janvier 2010. Le C</w:t>
      </w:r>
      <w:r w:rsidRPr="00B54728">
        <w:t xml:space="preserve">ode régit et modifie les éléments </w:t>
      </w:r>
      <w:r w:rsidR="005F5073">
        <w:t xml:space="preserve">constitutifs d’une infraction pénale ainsi que les peines prévues pour les actes </w:t>
      </w:r>
      <w:r w:rsidRPr="00B54728">
        <w:t>de discrimination raciale (voir l</w:t>
      </w:r>
      <w:r>
        <w:t>’</w:t>
      </w:r>
      <w:r w:rsidRPr="00B54728">
        <w:t>article 4).</w:t>
      </w:r>
    </w:p>
    <w:p w:rsidR="00B54728" w:rsidRPr="00B54728" w:rsidRDefault="00B54728" w:rsidP="00B54728">
      <w:pPr>
        <w:pStyle w:val="SingleTxtG"/>
      </w:pPr>
      <w:r w:rsidRPr="00B54728">
        <w:t>18.</w:t>
      </w:r>
      <w:r w:rsidRPr="00B54728">
        <w:tab/>
        <w:t>Les principes de la politique d</w:t>
      </w:r>
      <w:r>
        <w:t>’</w:t>
      </w:r>
      <w:r w:rsidRPr="00B54728">
        <w:t>intégration des Roms à long terme ont été adoptés par le Gouvernement en 2005 afin d</w:t>
      </w:r>
      <w:r>
        <w:t>’</w:t>
      </w:r>
      <w:r w:rsidRPr="00B54728">
        <w:t>améliorer la vie des Roms dans des domaines fondamentaux comme l</w:t>
      </w:r>
      <w:r>
        <w:t>’</w:t>
      </w:r>
      <w:r w:rsidRPr="00B54728">
        <w:t>éducation et le marché du travail d</w:t>
      </w:r>
      <w:r>
        <w:t>’</w:t>
      </w:r>
      <w:r w:rsidRPr="00B54728">
        <w:t>ici à 2025; c</w:t>
      </w:r>
      <w:r>
        <w:t>’</w:t>
      </w:r>
      <w:r w:rsidRPr="00B54728">
        <w:t xml:space="preserve">est pourquoi des mesures spécifiques visant à intégrer la communauté rom, </w:t>
      </w:r>
      <w:r w:rsidR="005F5073">
        <w:t xml:space="preserve">moyennant une action volontariste, </w:t>
      </w:r>
      <w:r w:rsidRPr="00B54728">
        <w:t xml:space="preserve">ne sont plus nécessaires. Ces principes </w:t>
      </w:r>
      <w:r w:rsidR="00C14B9F">
        <w:t>s’accordent avec les principes internationaux et les n</w:t>
      </w:r>
      <w:r w:rsidR="00B800BC">
        <w:t>ormes de protection et l</w:t>
      </w:r>
      <w:r w:rsidRPr="00B54728">
        <w:t xml:space="preserve">es expériences </w:t>
      </w:r>
      <w:r w:rsidR="00C14B9F">
        <w:t xml:space="preserve">internationales tout en tenant compte des évolutions qui découleront vraisemblablement </w:t>
      </w:r>
      <w:r w:rsidRPr="00B54728">
        <w:t>de la participation</w:t>
      </w:r>
      <w:r w:rsidR="00C14B9F">
        <w:t xml:space="preserve"> de la République tchèque à la D</w:t>
      </w:r>
      <w:r w:rsidRPr="00B54728">
        <w:t>écennie européenne de l</w:t>
      </w:r>
      <w:r>
        <w:t>’</w:t>
      </w:r>
      <w:r w:rsidRPr="00B54728">
        <w:t xml:space="preserve">inclusion des Roms </w:t>
      </w:r>
      <w:r w:rsidR="00C14B9F">
        <w:t>(</w:t>
      </w:r>
      <w:r w:rsidRPr="00B54728">
        <w:t>2005-2015</w:t>
      </w:r>
      <w:r w:rsidR="00C14B9F">
        <w:t>)</w:t>
      </w:r>
      <w:r w:rsidRPr="00B54728">
        <w:t>.</w:t>
      </w:r>
    </w:p>
    <w:p w:rsidR="00B54728" w:rsidRPr="00B54728" w:rsidRDefault="00B54728" w:rsidP="00B54728">
      <w:pPr>
        <w:pStyle w:val="SingleTxtG"/>
      </w:pPr>
      <w:r w:rsidRPr="00B54728">
        <w:t>19.</w:t>
      </w:r>
      <w:r w:rsidRPr="00B54728">
        <w:tab/>
        <w:t xml:space="preserve">Des rapports sur le statut des communautés roms en République tchèque évaluent chaque année </w:t>
      </w:r>
      <w:r w:rsidR="00611017">
        <w:t xml:space="preserve">l’action menée pour </w:t>
      </w:r>
      <w:r w:rsidRPr="00B54728">
        <w:t>l</w:t>
      </w:r>
      <w:r>
        <w:t>’</w:t>
      </w:r>
      <w:r w:rsidRPr="00B54728">
        <w:t xml:space="preserve">intégration des Roms. Sur la base de ces rapports, </w:t>
      </w:r>
      <w:r w:rsidR="00BC338A">
        <w:t xml:space="preserve">sont alors élaborés des projets à </w:t>
      </w:r>
      <w:r w:rsidRPr="00B54728">
        <w:t>moyen terme pour l</w:t>
      </w:r>
      <w:r>
        <w:t>’</w:t>
      </w:r>
      <w:r w:rsidR="00BC338A">
        <w:t>intégration des Roms</w:t>
      </w:r>
      <w:r w:rsidRPr="00B54728">
        <w:t xml:space="preserve">, qui prévoient des tâches spécifiques pour </w:t>
      </w:r>
      <w:r w:rsidR="00BC338A">
        <w:t xml:space="preserve">différents </w:t>
      </w:r>
      <w:r w:rsidRPr="00B54728">
        <w:t xml:space="preserve">ministères. Le but du Gouvernement est de </w:t>
      </w:r>
      <w:r w:rsidR="00A43816">
        <w:t>recenser</w:t>
      </w:r>
      <w:r w:rsidRPr="00B54728">
        <w:t xml:space="preserve"> les réussites et les échecs des mesures dans des domaines essentiels pour l</w:t>
      </w:r>
      <w:r>
        <w:t>’</w:t>
      </w:r>
      <w:r w:rsidRPr="00B54728">
        <w:t>amélioration de la qualité de vie des Roms, de présenter des exemples de bonne</w:t>
      </w:r>
      <w:r w:rsidR="00B800BC">
        <w:t>s</w:t>
      </w:r>
      <w:r w:rsidRPr="00B54728">
        <w:t xml:space="preserve"> pratique</w:t>
      </w:r>
      <w:r w:rsidR="00B800BC">
        <w:t>s</w:t>
      </w:r>
      <w:r w:rsidRPr="00B54728">
        <w:t xml:space="preserve"> et de </w:t>
      </w:r>
      <w:r w:rsidR="00A43816">
        <w:t xml:space="preserve">signaler les évolutions dangereuses que pourrait connaître </w:t>
      </w:r>
      <w:r w:rsidRPr="00B54728">
        <w:t>la situation des communautés roms si l</w:t>
      </w:r>
      <w:r>
        <w:t>’</w:t>
      </w:r>
      <w:r w:rsidRPr="00B54728">
        <w:t xml:space="preserve">on ne </w:t>
      </w:r>
      <w:r w:rsidR="00A43816">
        <w:t>tenait</w:t>
      </w:r>
      <w:r w:rsidRPr="00B54728">
        <w:t xml:space="preserve"> pas compte des problèmes actuels.</w:t>
      </w:r>
    </w:p>
    <w:p w:rsidR="00B54728" w:rsidRPr="00B54728" w:rsidRDefault="00B54728" w:rsidP="00B54728">
      <w:pPr>
        <w:pStyle w:val="SingleTxtG"/>
      </w:pPr>
      <w:r w:rsidRPr="00B54728">
        <w:t>20.</w:t>
      </w:r>
      <w:r w:rsidRPr="00B54728">
        <w:tab/>
        <w:t xml:space="preserve">La </w:t>
      </w:r>
      <w:r w:rsidR="00A43816">
        <w:t>S</w:t>
      </w:r>
      <w:r w:rsidRPr="00B54728">
        <w:t>tratégie pour le</w:t>
      </w:r>
      <w:r w:rsidR="00A43816">
        <w:t>s activités de la P</w:t>
      </w:r>
      <w:r w:rsidRPr="00B54728">
        <w:t xml:space="preserve">olice </w:t>
      </w:r>
      <w:r w:rsidR="00807B47">
        <w:t>t</w:t>
      </w:r>
      <w:r w:rsidRPr="00B54728">
        <w:t xml:space="preserve">chèque </w:t>
      </w:r>
      <w:r w:rsidR="00807B47">
        <w:t xml:space="preserve">touchant les </w:t>
      </w:r>
      <w:r w:rsidRPr="00B54728">
        <w:t xml:space="preserve">minorités </w:t>
      </w:r>
      <w:r w:rsidR="00807B47">
        <w:t xml:space="preserve">pendant la période </w:t>
      </w:r>
      <w:r w:rsidRPr="00B54728">
        <w:t>2008-2012 est un document stratégique qui pose les principes de</w:t>
      </w:r>
      <w:r w:rsidR="004434AE">
        <w:t xml:space="preserve"> l’action</w:t>
      </w:r>
      <w:r w:rsidRPr="00B54728">
        <w:t xml:space="preserve"> de la police </w:t>
      </w:r>
      <w:r w:rsidR="00A708B3">
        <w:t>en la matière</w:t>
      </w:r>
      <w:r w:rsidRPr="00B54728">
        <w:t>. Elle s</w:t>
      </w:r>
      <w:r>
        <w:t>’</w:t>
      </w:r>
      <w:r w:rsidRPr="00B54728">
        <w:t xml:space="preserve">inspire de la Stratégie </w:t>
      </w:r>
      <w:r w:rsidR="002C4BA4">
        <w:t xml:space="preserve">pour les activités de la Police tchèque touchant les minorités pendant la période </w:t>
      </w:r>
      <w:r w:rsidRPr="00B54728">
        <w:t>2006-2007 ainsi que de la Stratégie nationale de 2003 et met l</w:t>
      </w:r>
      <w:r>
        <w:t>’</w:t>
      </w:r>
      <w:r w:rsidRPr="00B54728">
        <w:t>accent sur la formation des policiers, l</w:t>
      </w:r>
      <w:r>
        <w:t>’</w:t>
      </w:r>
      <w:r w:rsidRPr="00B54728">
        <w:t xml:space="preserve">application </w:t>
      </w:r>
      <w:r w:rsidR="00974B59">
        <w:t>cohérente</w:t>
      </w:r>
      <w:r w:rsidRPr="00B54728">
        <w:t xml:space="preserve"> de procédures antidiscrimination </w:t>
      </w:r>
      <w:r w:rsidR="00974B59">
        <w:t>par la police, la</w:t>
      </w:r>
      <w:r w:rsidRPr="00B54728">
        <w:t xml:space="preserve"> prévention</w:t>
      </w:r>
      <w:r w:rsidR="00974B59">
        <w:t xml:space="preserve"> du crime dans les communautés minoritaires et </w:t>
      </w:r>
      <w:r w:rsidRPr="00B54728">
        <w:t xml:space="preserve">met </w:t>
      </w:r>
      <w:r w:rsidR="00B2017B">
        <w:t xml:space="preserve">fortement </w:t>
      </w:r>
      <w:r w:rsidRPr="00B54728">
        <w:t>l</w:t>
      </w:r>
      <w:r>
        <w:t>’</w:t>
      </w:r>
      <w:r w:rsidRPr="00B54728">
        <w:t>accent sur la coopération entre la police et les collectivités locales ainsi qu</w:t>
      </w:r>
      <w:r>
        <w:t>’</w:t>
      </w:r>
      <w:r w:rsidRPr="00B54728">
        <w:t xml:space="preserve">avec le secteur non gouvernemental. </w:t>
      </w:r>
      <w:r w:rsidR="00B2017B">
        <w:t xml:space="preserve">La collaboration systématique de la police </w:t>
      </w:r>
      <w:r w:rsidRPr="00B54728">
        <w:t xml:space="preserve">avec les minorités devrait </w:t>
      </w:r>
      <w:r w:rsidR="00B2017B">
        <w:t xml:space="preserve">se </w:t>
      </w:r>
      <w:r w:rsidRPr="00B54728">
        <w:t>traduire par l</w:t>
      </w:r>
      <w:r>
        <w:t>’</w:t>
      </w:r>
      <w:r w:rsidRPr="00B54728">
        <w:t>adoption, par la police et ses représentants, d</w:t>
      </w:r>
      <w:r>
        <w:t>’</w:t>
      </w:r>
      <w:r w:rsidRPr="00B54728">
        <w:t>un comportement professionnel à l</w:t>
      </w:r>
      <w:r>
        <w:t>’</w:t>
      </w:r>
      <w:r w:rsidRPr="00B54728">
        <w:t>égard des membres des minorités conformément au</w:t>
      </w:r>
      <w:r w:rsidR="00B2017B">
        <w:t>x</w:t>
      </w:r>
      <w:r w:rsidRPr="00B54728">
        <w:t xml:space="preserve"> principe</w:t>
      </w:r>
      <w:r w:rsidR="00B2017B">
        <w:t>s</w:t>
      </w:r>
      <w:r w:rsidRPr="00B54728">
        <w:t xml:space="preserve"> de la police </w:t>
      </w:r>
      <w:r w:rsidR="00B2017B">
        <w:t>de proximité, une connaissance optimale d</w:t>
      </w:r>
      <w:r w:rsidR="008147E5">
        <w:t xml:space="preserve">es particularités des minorités, la création de relations de </w:t>
      </w:r>
      <w:r w:rsidRPr="00B54728">
        <w:t xml:space="preserve">confiance mutuelle entre la police et les membres de minorités, par </w:t>
      </w:r>
      <w:r w:rsidR="008147E5">
        <w:t xml:space="preserve">l’application efficace </w:t>
      </w:r>
      <w:r w:rsidRPr="00B54728">
        <w:t xml:space="preserve">de la loi et de la justice </w:t>
      </w:r>
      <w:r w:rsidR="00AA0A88">
        <w:t>dans</w:t>
      </w:r>
      <w:r w:rsidR="008147E5">
        <w:t xml:space="preserve"> un </w:t>
      </w:r>
      <w:r w:rsidRPr="00B54728">
        <w:t xml:space="preserve">environnement spécifique </w:t>
      </w:r>
      <w:r w:rsidR="008147E5">
        <w:t xml:space="preserve">marqué par </w:t>
      </w:r>
      <w:r w:rsidRPr="00B54728">
        <w:t>l</w:t>
      </w:r>
      <w:r>
        <w:t>’</w:t>
      </w:r>
      <w:r w:rsidRPr="00B54728">
        <w:t xml:space="preserve">exclusion sociale et </w:t>
      </w:r>
      <w:r w:rsidR="008147E5">
        <w:t xml:space="preserve">par des rapports de la police à </w:t>
      </w:r>
      <w:r w:rsidRPr="00B54728">
        <w:t>l</w:t>
      </w:r>
      <w:r>
        <w:t>’</w:t>
      </w:r>
      <w:r w:rsidRPr="00B54728">
        <w:t xml:space="preserve">intégration </w:t>
      </w:r>
      <w:r w:rsidR="008147E5">
        <w:t>sociale des minorités</w:t>
      </w:r>
      <w:r w:rsidRPr="00B54728">
        <w:t>. La stratégie actuelle repose sur quatre piliers:</w:t>
      </w:r>
    </w:p>
    <w:p w:rsidR="00B54728" w:rsidRPr="00B54728" w:rsidRDefault="008147E5" w:rsidP="0028226F">
      <w:pPr>
        <w:pStyle w:val="Bullet1G"/>
      </w:pPr>
      <w:r>
        <w:t xml:space="preserve">Le </w:t>
      </w:r>
      <w:r w:rsidR="00B54728" w:rsidRPr="00B54728">
        <w:t xml:space="preserve">chargé de liaison </w:t>
      </w:r>
      <w:r>
        <w:t xml:space="preserve">avec les minorités, à savoir </w:t>
      </w:r>
      <w:r w:rsidR="00B54728" w:rsidRPr="00B54728">
        <w:t>un fonctionnaire de police spécialis</w:t>
      </w:r>
      <w:r>
        <w:t xml:space="preserve">te </w:t>
      </w:r>
      <w:r w:rsidR="00B54728" w:rsidRPr="00B54728">
        <w:t>des minorités</w:t>
      </w:r>
      <w:r w:rsidR="00E115A8">
        <w:t>,</w:t>
      </w:r>
      <w:r w:rsidR="00AC7E4E">
        <w:t xml:space="preserve"> est un </w:t>
      </w:r>
      <w:r w:rsidR="00B54728" w:rsidRPr="00B54728">
        <w:t xml:space="preserve">intermédiaire </w:t>
      </w:r>
      <w:r w:rsidR="00AC7E4E">
        <w:t xml:space="preserve">pour les contacts et </w:t>
      </w:r>
      <w:r w:rsidR="00B54728" w:rsidRPr="00B54728">
        <w:t>la communica</w:t>
      </w:r>
      <w:r w:rsidR="00AC7E4E">
        <w:t>tion entre les minorités et la P</w:t>
      </w:r>
      <w:r w:rsidR="00B54728" w:rsidRPr="00B54728">
        <w:t xml:space="preserve">olice tchèque. Il </w:t>
      </w:r>
      <w:r w:rsidR="00AC7E4E">
        <w:t xml:space="preserve">propose des solutions en cas de </w:t>
      </w:r>
      <w:r w:rsidR="00B54728" w:rsidRPr="00B54728">
        <w:t xml:space="preserve">conflits et </w:t>
      </w:r>
      <w:r w:rsidR="0028226F">
        <w:t>d’infractions graves</w:t>
      </w:r>
      <w:r w:rsidR="00B54728" w:rsidRPr="00B54728">
        <w:t>. Il aide également les membres des minorités à rés</w:t>
      </w:r>
      <w:r w:rsidR="00AA0A88">
        <w:t>oudre des problèmes spécifiques;</w:t>
      </w:r>
    </w:p>
    <w:p w:rsidR="00B54728" w:rsidRPr="00B54728" w:rsidRDefault="0028226F" w:rsidP="0028226F">
      <w:pPr>
        <w:pStyle w:val="Bullet1G"/>
      </w:pPr>
      <w:r>
        <w:t>L’a</w:t>
      </w:r>
      <w:r w:rsidR="00B54728" w:rsidRPr="00B54728">
        <w:t xml:space="preserve">ssistant dans les négociations </w:t>
      </w:r>
      <w:r>
        <w:t>entre</w:t>
      </w:r>
      <w:r w:rsidR="00B54728" w:rsidRPr="00B54728">
        <w:t xml:space="preserve"> la police et </w:t>
      </w:r>
      <w:r>
        <w:t>d’autres parties</w:t>
      </w:r>
      <w:r w:rsidR="00B54728" w:rsidRPr="00B54728">
        <w:t>. L</w:t>
      </w:r>
      <w:r w:rsidR="00B54728">
        <w:t>’</w:t>
      </w:r>
      <w:r w:rsidR="00B54728" w:rsidRPr="00B54728">
        <w:t>assistance polic</w:t>
      </w:r>
      <w:r>
        <w:t>ière</w:t>
      </w:r>
      <w:r w:rsidR="00B54728" w:rsidRPr="00B54728">
        <w:t xml:space="preserve"> est un service social qui facilite les contacts et la communication </w:t>
      </w:r>
      <w:r>
        <w:t xml:space="preserve">entre la </w:t>
      </w:r>
      <w:r w:rsidR="00B54728" w:rsidRPr="00B54728">
        <w:t xml:space="preserve">police </w:t>
      </w:r>
      <w:r>
        <w:t>et</w:t>
      </w:r>
      <w:r w:rsidR="00B54728" w:rsidRPr="00B54728">
        <w:t xml:space="preserve"> les personnes vivant dans des localités socialement </w:t>
      </w:r>
      <w:r>
        <w:t>marginalisées</w:t>
      </w:r>
      <w:r w:rsidR="00B54728" w:rsidRPr="00B54728">
        <w:t>. Les clients des assistants sont principalement des victimes et des témoins de crime</w:t>
      </w:r>
      <w:r w:rsidR="00963B8D">
        <w:t>s</w:t>
      </w:r>
      <w:r w:rsidR="00B54728" w:rsidRPr="00B54728">
        <w:t xml:space="preserve"> latent</w:t>
      </w:r>
      <w:r w:rsidR="00963B8D">
        <w:t>s</w:t>
      </w:r>
      <w:r w:rsidR="00B54728" w:rsidRPr="00B54728">
        <w:t xml:space="preserve"> (usure, proxénétisme, trafic de drogues, traite d</w:t>
      </w:r>
      <w:r w:rsidR="00B54728">
        <w:t>’</w:t>
      </w:r>
      <w:r w:rsidR="00B54728" w:rsidRPr="00B54728">
        <w:t xml:space="preserve">êtres humains, délinquance juvénile, etc.). Les assistants </w:t>
      </w:r>
      <w:r w:rsidR="00963B8D">
        <w:t xml:space="preserve">tirent parti </w:t>
      </w:r>
      <w:r w:rsidR="00B54728" w:rsidRPr="00B54728">
        <w:t>de leur connaissance de l</w:t>
      </w:r>
      <w:r w:rsidR="00B54728">
        <w:t>’</w:t>
      </w:r>
      <w:r w:rsidR="00B54728" w:rsidRPr="00B54728">
        <w:t xml:space="preserve">environnement social et des personnes qui y vivent pour </w:t>
      </w:r>
      <w:r w:rsidR="00963B8D">
        <w:t xml:space="preserve">les conseiller mieux et plus rapidement </w:t>
      </w:r>
      <w:r w:rsidR="00B54728" w:rsidRPr="00B54728">
        <w:t xml:space="preserve">lors </w:t>
      </w:r>
      <w:r w:rsidR="00AA0A88">
        <w:t>des négociations avec la police;</w:t>
      </w:r>
    </w:p>
    <w:p w:rsidR="00B54728" w:rsidRPr="00B54728" w:rsidRDefault="00B54728" w:rsidP="0028226F">
      <w:pPr>
        <w:pStyle w:val="Bullet1G"/>
      </w:pPr>
      <w:r w:rsidRPr="00B54728">
        <w:t xml:space="preserve">Une formation continue </w:t>
      </w:r>
      <w:r w:rsidR="00B33A91">
        <w:t xml:space="preserve">et systématique </w:t>
      </w:r>
      <w:r w:rsidRPr="00B54728">
        <w:t xml:space="preserve">de la police </w:t>
      </w:r>
      <w:r w:rsidR="00B33A91">
        <w:t xml:space="preserve">portant </w:t>
      </w:r>
      <w:r w:rsidRPr="00B54728">
        <w:t>sur les questions multiculturell</w:t>
      </w:r>
      <w:r w:rsidR="00AA0A88">
        <w:t>es;</w:t>
      </w:r>
    </w:p>
    <w:p w:rsidR="00B54728" w:rsidRPr="00B54728" w:rsidRDefault="0045450C" w:rsidP="0028226F">
      <w:pPr>
        <w:pStyle w:val="Bullet1G"/>
      </w:pPr>
      <w:r>
        <w:t>L’adoption de pratiques de police de proximité</w:t>
      </w:r>
      <w:r w:rsidR="00B54728" w:rsidRPr="00B54728">
        <w:t>.</w:t>
      </w:r>
    </w:p>
    <w:p w:rsidR="00B54728" w:rsidRPr="00B54728" w:rsidRDefault="00B54728" w:rsidP="00B54728">
      <w:pPr>
        <w:pStyle w:val="SingleTxtG"/>
      </w:pPr>
      <w:r w:rsidRPr="00B54728">
        <w:t>21.</w:t>
      </w:r>
      <w:r w:rsidRPr="00B54728">
        <w:tab/>
        <w:t>Le Ministre des droits de l</w:t>
      </w:r>
      <w:r>
        <w:t>’</w:t>
      </w:r>
      <w:r w:rsidRPr="00B54728">
        <w:t>homme</w:t>
      </w:r>
      <w:r w:rsidR="00F67F17">
        <w:rPr>
          <w:rStyle w:val="FootnoteReference"/>
        </w:rPr>
        <w:footnoteReference w:id="10"/>
      </w:r>
      <w:r w:rsidRPr="00B54728">
        <w:t xml:space="preserve"> </w:t>
      </w:r>
      <w:r w:rsidR="00F67F17">
        <w:t xml:space="preserve">exerce une fonction importante, étant </w:t>
      </w:r>
      <w:r w:rsidRPr="00B54728">
        <w:t xml:space="preserve">responsable notamment de la protection des droits des minorités. </w:t>
      </w:r>
      <w:r w:rsidR="00F67F17">
        <w:t xml:space="preserve">Son rôle </w:t>
      </w:r>
      <w:r w:rsidR="00AA0A88">
        <w:t xml:space="preserve">au sein du Gouvernement tchèque </w:t>
      </w:r>
      <w:r w:rsidR="00F67F17">
        <w:t xml:space="preserve">est de résoudre les </w:t>
      </w:r>
      <w:r w:rsidRPr="00B54728">
        <w:t>problèmes affectant leur vie quotidienne et leurs relations interpersonnelles et de préparer des changements législatifs et systémiques</w:t>
      </w:r>
      <w:r w:rsidR="00F67F17">
        <w:t xml:space="preserve"> ou d’y contribuer</w:t>
      </w:r>
      <w:r w:rsidRPr="00B54728">
        <w:t>.</w:t>
      </w:r>
    </w:p>
    <w:p w:rsidR="00B54728" w:rsidRDefault="00B54728" w:rsidP="00B54728">
      <w:pPr>
        <w:pStyle w:val="SingleTxtG"/>
      </w:pPr>
      <w:r w:rsidRPr="00B54728">
        <w:t>22.</w:t>
      </w:r>
      <w:r w:rsidRPr="00B54728">
        <w:tab/>
        <w:t>Le Ministre a participé activement à la lutte contre l</w:t>
      </w:r>
      <w:r>
        <w:t>’</w:t>
      </w:r>
      <w:r w:rsidRPr="00B54728">
        <w:t xml:space="preserve">extrémisme et a </w:t>
      </w:r>
      <w:r w:rsidR="0074066E">
        <w:t>œuvré de façon importante pour</w:t>
      </w:r>
      <w:r w:rsidRPr="00B54728">
        <w:t xml:space="preserve"> la commémoration dans la dignité de l</w:t>
      </w:r>
      <w:r w:rsidR="00E115A8">
        <w:t>’H</w:t>
      </w:r>
      <w:r w:rsidRPr="00B54728">
        <w:t xml:space="preserve">olocauste </w:t>
      </w:r>
      <w:r w:rsidR="0074066E">
        <w:t>des R</w:t>
      </w:r>
      <w:r w:rsidRPr="00B54728">
        <w:t>om</w:t>
      </w:r>
      <w:r w:rsidR="0074066E">
        <w:t>s</w:t>
      </w:r>
      <w:r w:rsidRPr="00B54728">
        <w:t>. Son initiative a permis d</w:t>
      </w:r>
      <w:r w:rsidR="0074066E">
        <w:t xml:space="preserve">’obtenir </w:t>
      </w:r>
      <w:r w:rsidRPr="00B54728">
        <w:t xml:space="preserve">les investissements nécessaires à </w:t>
      </w:r>
      <w:r w:rsidR="0074066E">
        <w:t xml:space="preserve">l’aménagement </w:t>
      </w:r>
      <w:r w:rsidRPr="00B54728">
        <w:t xml:space="preserve">de lieux de </w:t>
      </w:r>
      <w:r w:rsidR="00D87654">
        <w:t>prière</w:t>
      </w:r>
      <w:r w:rsidRPr="00B54728">
        <w:t xml:space="preserve"> à Lety u Písku et Hodonín u Kunštátu</w:t>
      </w:r>
      <w:r w:rsidR="00D87654">
        <w:rPr>
          <w:rStyle w:val="FootnoteReference"/>
        </w:rPr>
        <w:footnoteReference w:id="11"/>
      </w:r>
      <w:r w:rsidRPr="00B54728">
        <w:t xml:space="preserve">. Le Ministre </w:t>
      </w:r>
      <w:r w:rsidR="00D87654">
        <w:t xml:space="preserve">s’occupe </w:t>
      </w:r>
      <w:r w:rsidRPr="00B54728">
        <w:t>activement d</w:t>
      </w:r>
      <w:r w:rsidR="00D87654">
        <w:t>e</w:t>
      </w:r>
      <w:r w:rsidRPr="00B54728">
        <w:t xml:space="preserve"> problèmes et </w:t>
      </w:r>
      <w:r w:rsidR="00D87654">
        <w:t>questions d’actualité</w:t>
      </w:r>
      <w:r w:rsidRPr="00B54728">
        <w:t xml:space="preserve">. Il a par exemple </w:t>
      </w:r>
      <w:r w:rsidR="00D45C04">
        <w:t xml:space="preserve">tenu </w:t>
      </w:r>
      <w:r w:rsidRPr="00B54728">
        <w:t>au cours de l</w:t>
      </w:r>
      <w:r>
        <w:t>’</w:t>
      </w:r>
      <w:r w:rsidRPr="00B54728">
        <w:t>année passée des négociations avec des représentants de ville</w:t>
      </w:r>
      <w:r w:rsidR="00D45C04">
        <w:t>s</w:t>
      </w:r>
      <w:r w:rsidRPr="00B54728">
        <w:t xml:space="preserve"> et de village</w:t>
      </w:r>
      <w:r w:rsidR="00D45C04">
        <w:t>s</w:t>
      </w:r>
      <w:r w:rsidRPr="00B54728">
        <w:t xml:space="preserve"> sur la situation dans les </w:t>
      </w:r>
      <w:r w:rsidR="00D45C04">
        <w:t>zones</w:t>
      </w:r>
      <w:r w:rsidRPr="00B54728">
        <w:t xml:space="preserve"> urbain</w:t>
      </w:r>
      <w:r w:rsidR="00D45C04">
        <w:t>e</w:t>
      </w:r>
      <w:r w:rsidRPr="00B54728">
        <w:t>s marginalisé</w:t>
      </w:r>
      <w:r w:rsidR="00D45C04">
        <w:t>e</w:t>
      </w:r>
      <w:r w:rsidRPr="00B54728">
        <w:t xml:space="preserve">s ou sur les problèmes liés </w:t>
      </w:r>
      <w:r w:rsidR="00D45C04">
        <w:t xml:space="preserve">au blocage </w:t>
      </w:r>
      <w:r w:rsidRPr="00B54728">
        <w:t xml:space="preserve">des prestations sociales de la population rom. Dans ces affaires, le Ministre a procédé à des analyses de situation afin </w:t>
      </w:r>
      <w:r w:rsidR="00D45C04">
        <w:t xml:space="preserve">d’identifier l’origine </w:t>
      </w:r>
      <w:r w:rsidRPr="00B54728">
        <w:t>des problèmes actuels dans les villes et a présenté des projets de recommandation visant à résoudre ou tout du moins</w:t>
      </w:r>
      <w:r w:rsidR="00D45C04">
        <w:t xml:space="preserve"> à atténuer les effets de ces problèmes (voir ci-dessus).</w:t>
      </w:r>
    </w:p>
    <w:p w:rsidR="004D42CE" w:rsidRPr="00E33B4C" w:rsidRDefault="004D42CE" w:rsidP="004D42CE">
      <w:pPr>
        <w:pStyle w:val="SingleTxtG"/>
      </w:pPr>
      <w:r w:rsidRPr="00E33B4C">
        <w:t>23.</w:t>
      </w:r>
      <w:r w:rsidRPr="00E33B4C">
        <w:tab/>
        <w:t>L</w:t>
      </w:r>
      <w:r>
        <w:t xml:space="preserve">a mission </w:t>
      </w:r>
      <w:r w:rsidRPr="00E33B4C">
        <w:t>principal</w:t>
      </w:r>
      <w:r>
        <w:t>e</w:t>
      </w:r>
      <w:r w:rsidRPr="00E33B4C">
        <w:t xml:space="preserve"> de l</w:t>
      </w:r>
      <w:r>
        <w:t>’</w:t>
      </w:r>
      <w:r w:rsidRPr="00E33B4C">
        <w:t>Agence pour l</w:t>
      </w:r>
      <w:r>
        <w:t>’</w:t>
      </w:r>
      <w:r w:rsidRPr="00E33B4C">
        <w:t>inclusion sociale (ci-après dénommée «l</w:t>
      </w:r>
      <w:r>
        <w:t>’</w:t>
      </w:r>
      <w:r w:rsidRPr="00E33B4C">
        <w:t>Agence») est l</w:t>
      </w:r>
      <w:r>
        <w:t>’</w:t>
      </w:r>
      <w:r w:rsidRPr="00E33B4C">
        <w:t>inclusion de groupes socialement exclus en p</w:t>
      </w:r>
      <w:r>
        <w:t>artenariat avec les autorités, l</w:t>
      </w:r>
      <w:r w:rsidRPr="00E33B4C">
        <w:t xml:space="preserve">es ONG, les écoles et les institutions éducatives, les employeurs locaux et les représentants des communautés roms aux niveaux régional et local. À cette fin, </w:t>
      </w:r>
      <w:r>
        <w:t>elle</w:t>
      </w:r>
      <w:r w:rsidRPr="00E33B4C">
        <w:t xml:space="preserve"> met en œuvre des solutions globales adaptées aux </w:t>
      </w:r>
      <w:r>
        <w:t>situations</w:t>
      </w:r>
      <w:r w:rsidRPr="00E33B4C">
        <w:t xml:space="preserve"> locales en </w:t>
      </w:r>
      <w:r>
        <w:t>recourant aux</w:t>
      </w:r>
      <w:r w:rsidRPr="00E33B4C">
        <w:t xml:space="preserve"> fonds structurels européens et </w:t>
      </w:r>
      <w:r>
        <w:t>aux</w:t>
      </w:r>
      <w:r w:rsidRPr="00E33B4C">
        <w:t xml:space="preserve"> subventions nationales.</w:t>
      </w:r>
    </w:p>
    <w:p w:rsidR="004D42CE" w:rsidRPr="00E33B4C" w:rsidRDefault="004D42CE" w:rsidP="004D42CE">
      <w:pPr>
        <w:pStyle w:val="SingleTxtG"/>
      </w:pPr>
      <w:r w:rsidRPr="00E33B4C">
        <w:t>24.</w:t>
      </w:r>
      <w:r w:rsidRPr="00E33B4C">
        <w:tab/>
        <w:t>L</w:t>
      </w:r>
      <w:r>
        <w:t>’</w:t>
      </w:r>
      <w:r w:rsidRPr="00E33B4C">
        <w:t xml:space="preserve">Agence a été créée en janvier 2008 et constituait lors du projet pilote un département du bureau du Gouvernement. </w:t>
      </w:r>
      <w:r>
        <w:t xml:space="preserve">Elle intervient </w:t>
      </w:r>
      <w:r w:rsidRPr="00E33B4C">
        <w:t>directement dans les zones d</w:t>
      </w:r>
      <w:r>
        <w:t>’</w:t>
      </w:r>
      <w:r w:rsidRPr="00E33B4C">
        <w:t>exclusion sociale</w:t>
      </w:r>
      <w:r>
        <w:t>;</w:t>
      </w:r>
      <w:r w:rsidRPr="00E33B4C">
        <w:t xml:space="preserve"> son groupe cible est défini principalement en fonction </w:t>
      </w:r>
      <w:r>
        <w:t>du lieu et</w:t>
      </w:r>
      <w:r w:rsidRPr="00E33B4C">
        <w:t xml:space="preserve"> des organismes sociaux </w:t>
      </w:r>
      <w:r>
        <w:t>qui y travaillent</w:t>
      </w:r>
      <w:r w:rsidRPr="00E33B4C">
        <w:t>. Dans la phase pilote du projet, l</w:t>
      </w:r>
      <w:r>
        <w:t>’</w:t>
      </w:r>
      <w:r w:rsidRPr="00E33B4C">
        <w:t>Agence a t</w:t>
      </w:r>
      <w:r>
        <w:t>ravaillé dans six localités de M</w:t>
      </w:r>
      <w:r w:rsidRPr="00E33B4C">
        <w:t>oravie</w:t>
      </w:r>
      <w:r>
        <w:t xml:space="preserve"> et six localités de B</w:t>
      </w:r>
      <w:r w:rsidRPr="00E33B4C">
        <w:t>oh</w:t>
      </w:r>
      <w:r>
        <w:t>ême</w:t>
      </w:r>
      <w:r w:rsidRPr="00E33B4C">
        <w:t xml:space="preserve"> socialement exclues</w:t>
      </w:r>
      <w:r>
        <w:rPr>
          <w:rStyle w:val="FootnoteReference"/>
        </w:rPr>
        <w:footnoteReference w:id="12"/>
      </w:r>
      <w:r w:rsidRPr="00E33B4C">
        <w:t>. Les principes fondamentaux des activités de l</w:t>
      </w:r>
      <w:r>
        <w:t>’</w:t>
      </w:r>
      <w:r w:rsidRPr="00E33B4C">
        <w:t xml:space="preserve">Agence sont </w:t>
      </w:r>
      <w:r>
        <w:t xml:space="preserve">la lutte </w:t>
      </w:r>
      <w:r w:rsidRPr="00E33B4C">
        <w:t>systématique</w:t>
      </w:r>
      <w:r>
        <w:t xml:space="preserve"> contre la </w:t>
      </w:r>
      <w:r w:rsidRPr="00E33B4C">
        <w:t>discrimination, une méthode globale de résolution des problèmes, la durab</w:t>
      </w:r>
      <w:r>
        <w:t>ilité</w:t>
      </w:r>
      <w:r w:rsidRPr="00E33B4C">
        <w:t xml:space="preserve"> des changements systémiques qu</w:t>
      </w:r>
      <w:r>
        <w:t>’</w:t>
      </w:r>
      <w:r w:rsidRPr="00E33B4C">
        <w:t xml:space="preserve">elle </w:t>
      </w:r>
      <w:r>
        <w:t>introduit</w:t>
      </w:r>
      <w:r w:rsidRPr="00E33B4C">
        <w:t xml:space="preserve">, la mobilisation des ressources locales et la coopération </w:t>
      </w:r>
      <w:r>
        <w:t xml:space="preserve">avec </w:t>
      </w:r>
      <w:r w:rsidRPr="00E33B4C">
        <w:t xml:space="preserve">des organismes locaux </w:t>
      </w:r>
      <w:r>
        <w:t xml:space="preserve">dans le cadre </w:t>
      </w:r>
      <w:r w:rsidRPr="00E33B4C">
        <w:t xml:space="preserve">de partenariats locaux pour </w:t>
      </w:r>
      <w:r>
        <w:t xml:space="preserve">l’exécution </w:t>
      </w:r>
      <w:r w:rsidRPr="00E33B4C">
        <w:t>des projets.</w:t>
      </w:r>
    </w:p>
    <w:p w:rsidR="004D42CE" w:rsidRPr="00E33B4C" w:rsidRDefault="004D42CE" w:rsidP="004D42CE">
      <w:pPr>
        <w:pStyle w:val="SingleTxtG"/>
      </w:pPr>
      <w:r w:rsidRPr="00E33B4C">
        <w:t>25.</w:t>
      </w:r>
      <w:r w:rsidRPr="00E33B4C">
        <w:tab/>
        <w:t>Au niveau central, l</w:t>
      </w:r>
      <w:r>
        <w:t>’</w:t>
      </w:r>
      <w:r w:rsidRPr="00E33B4C">
        <w:t xml:space="preserve">Agence </w:t>
      </w:r>
      <w:r>
        <w:t>collabore avec d</w:t>
      </w:r>
      <w:r w:rsidRPr="00E33B4C">
        <w:t xml:space="preserve">es départements </w:t>
      </w:r>
      <w:r>
        <w:t xml:space="preserve">ministériels clefs </w:t>
      </w:r>
      <w:r w:rsidRPr="00E33B4C">
        <w:t>et participe à l</w:t>
      </w:r>
      <w:r>
        <w:t>’</w:t>
      </w:r>
      <w:r w:rsidRPr="00E33B4C">
        <w:t>élaboration d</w:t>
      </w:r>
      <w:r>
        <w:t>’</w:t>
      </w:r>
      <w:r w:rsidRPr="00E33B4C">
        <w:t xml:space="preserve">un projet </w:t>
      </w:r>
      <w:r>
        <w:t>de</w:t>
      </w:r>
      <w:r w:rsidRPr="00E33B4C">
        <w:t xml:space="preserve"> centre national d</w:t>
      </w:r>
      <w:r>
        <w:t>’</w:t>
      </w:r>
      <w:r w:rsidRPr="00E33B4C">
        <w:t>aide à l</w:t>
      </w:r>
      <w:r>
        <w:t>’</w:t>
      </w:r>
      <w:r w:rsidRPr="00E33B4C">
        <w:t xml:space="preserve">éducation inclusive en </w:t>
      </w:r>
      <w:r>
        <w:t xml:space="preserve">fournissant des </w:t>
      </w:r>
      <w:r w:rsidRPr="00E33B4C">
        <w:t>données provenant de ses activités dans les localités. En 2009, l</w:t>
      </w:r>
      <w:r>
        <w:t>’</w:t>
      </w:r>
      <w:r w:rsidRPr="00E33B4C">
        <w:t>Agence a élaboré des documents d</w:t>
      </w:r>
      <w:r>
        <w:t>’</w:t>
      </w:r>
      <w:r w:rsidRPr="00E33B4C">
        <w:t>analyse importants</w:t>
      </w:r>
      <w:r>
        <w:t>:</w:t>
      </w:r>
      <w:r w:rsidRPr="00E33B4C">
        <w:t xml:space="preserve"> une analyse de situation du lotissement de Janov à Litvínov et une analyse critique de la </w:t>
      </w:r>
      <w:r>
        <w:t>pratique du blocage, par voie d’</w:t>
      </w:r>
      <w:r w:rsidRPr="00E33B4C">
        <w:t>huissiers</w:t>
      </w:r>
      <w:r>
        <w:t>,</w:t>
      </w:r>
      <w:r w:rsidRPr="00E33B4C">
        <w:t xml:space="preserve"> de prestations pour besoin</w:t>
      </w:r>
      <w:r>
        <w:t>s</w:t>
      </w:r>
      <w:r w:rsidRPr="00E33B4C">
        <w:t xml:space="preserve"> matériel</w:t>
      </w:r>
      <w:r>
        <w:t>s,</w:t>
      </w:r>
      <w:r w:rsidRPr="00E33B4C">
        <w:t xml:space="preserve"> à Chomutov.</w:t>
      </w:r>
    </w:p>
    <w:p w:rsidR="004D42CE" w:rsidRPr="00E33B4C" w:rsidRDefault="004D42CE" w:rsidP="004D42CE">
      <w:pPr>
        <w:pStyle w:val="SingleTxtG"/>
      </w:pPr>
      <w:r w:rsidRPr="00E33B4C">
        <w:t>26.</w:t>
      </w:r>
      <w:r w:rsidRPr="00E33B4C">
        <w:tab/>
        <w:t>D</w:t>
      </w:r>
      <w:r>
        <w:t>’</w:t>
      </w:r>
      <w:r w:rsidRPr="00E33B4C">
        <w:t xml:space="preserve">autres organismes qui </w:t>
      </w:r>
      <w:r>
        <w:t xml:space="preserve">ont pour but de </w:t>
      </w:r>
      <w:r w:rsidRPr="00E33B4C">
        <w:t>lutter contre le racisme et l</w:t>
      </w:r>
      <w:r>
        <w:t>’</w:t>
      </w:r>
      <w:r w:rsidRPr="00E33B4C">
        <w:t>extrémisme et protéger les droits de l</w:t>
      </w:r>
      <w:r>
        <w:t>’</w:t>
      </w:r>
      <w:r w:rsidRPr="00E33B4C">
        <w:t xml:space="preserve">homme </w:t>
      </w:r>
      <w:r>
        <w:t xml:space="preserve">ont </w:t>
      </w:r>
      <w:r w:rsidRPr="00E33B4C">
        <w:t>poursuiv</w:t>
      </w:r>
      <w:r>
        <w:t>i également leurs activités. L</w:t>
      </w:r>
      <w:r w:rsidRPr="00E33B4C">
        <w:t>es organes consultatifs du Gouvernement (le Conseil gouvernemental pour les droits de l</w:t>
      </w:r>
      <w:r>
        <w:t>’</w:t>
      </w:r>
      <w:r w:rsidRPr="00E33B4C">
        <w:t>homme, le Conseil gouvernemental</w:t>
      </w:r>
      <w:r>
        <w:t xml:space="preserve"> des affaires de la communauté rom) ainsi que le Comité </w:t>
      </w:r>
      <w:r w:rsidRPr="00E33B4C">
        <w:t>interministériel contre l</w:t>
      </w:r>
      <w:r>
        <w:t>’</w:t>
      </w:r>
      <w:r w:rsidRPr="00E33B4C">
        <w:t>extrémisme, le racisme et la xénophobie (organe consultatif du Ministère de l</w:t>
      </w:r>
      <w:r>
        <w:t>’</w:t>
      </w:r>
      <w:r w:rsidRPr="00E33B4C">
        <w:t>intérieur) et leurs activités ont été décrits en détail dans de précédents rapports.</w:t>
      </w:r>
    </w:p>
    <w:p w:rsidR="004D42CE" w:rsidRPr="00E33B4C" w:rsidRDefault="004D42CE" w:rsidP="004D42CE">
      <w:pPr>
        <w:pStyle w:val="SingleTxtG"/>
      </w:pPr>
      <w:r w:rsidRPr="00E33B4C">
        <w:t>27.</w:t>
      </w:r>
      <w:r w:rsidRPr="00E33B4C">
        <w:tab/>
        <w:t>Outre les études qualitatives, le suivi des localités socialement exclues et d</w:t>
      </w:r>
      <w:r>
        <w:t>’</w:t>
      </w:r>
      <w:r w:rsidRPr="00E33B4C">
        <w:t>autres activités relatives à l</w:t>
      </w:r>
      <w:r>
        <w:t>’</w:t>
      </w:r>
      <w:r w:rsidRPr="00E33B4C">
        <w:t xml:space="preserve">évaluation de la situation socioéconomique de la communauté rom, le recensement de </w:t>
      </w:r>
      <w:r>
        <w:t xml:space="preserve">la </w:t>
      </w:r>
      <w:r w:rsidRPr="00E33B4C">
        <w:t>population mené par le Bureau tchèque</w:t>
      </w:r>
      <w:r>
        <w:t xml:space="preserve"> </w:t>
      </w:r>
      <w:r w:rsidRPr="00E33B4C">
        <w:t xml:space="preserve">des statistiques </w:t>
      </w:r>
      <w:r>
        <w:t>permet de</w:t>
      </w:r>
      <w:r w:rsidRPr="00E33B4C">
        <w:t xml:space="preserve"> collecte</w:t>
      </w:r>
      <w:r>
        <w:t>r</w:t>
      </w:r>
      <w:r w:rsidRPr="00E33B4C">
        <w:t xml:space="preserve"> des données sur la composition de la population</w:t>
      </w:r>
      <w:r>
        <w:t xml:space="preserve"> </w:t>
      </w:r>
      <w:r w:rsidRPr="00E33B4C">
        <w:t xml:space="preserve">nationale, </w:t>
      </w:r>
      <w:r>
        <w:t>moyennant la méthode de l’auto-identification</w:t>
      </w:r>
      <w:r w:rsidRPr="00E33B4C">
        <w:t xml:space="preserve">. Le Bureau tchèque des statistiques </w:t>
      </w:r>
      <w:r>
        <w:t xml:space="preserve">mène ces </w:t>
      </w:r>
      <w:r w:rsidRPr="00E33B4C">
        <w:t xml:space="preserve">recensements </w:t>
      </w:r>
      <w:r>
        <w:t xml:space="preserve">en se conformant pleinement </w:t>
      </w:r>
      <w:r w:rsidRPr="00E33B4C">
        <w:t>aux recommandations et méthodes des Nations Unies et d</w:t>
      </w:r>
      <w:r>
        <w:t>’E</w:t>
      </w:r>
      <w:r w:rsidRPr="00E33B4C">
        <w:t xml:space="preserve">urostat, sur la base du principe </w:t>
      </w:r>
      <w:r>
        <w:t xml:space="preserve">selon lequel </w:t>
      </w:r>
      <w:r w:rsidRPr="00E33B4C">
        <w:t xml:space="preserve">ce sont les citoyens eux-mêmes qui décident de </w:t>
      </w:r>
      <w:r>
        <w:t>dire s’ils appartiennent</w:t>
      </w:r>
      <w:r w:rsidRPr="00E33B4C">
        <w:t xml:space="preserve"> ou non </w:t>
      </w:r>
      <w:r>
        <w:t>à tel ou tel g</w:t>
      </w:r>
      <w:r w:rsidRPr="00E33B4C">
        <w:t xml:space="preserve">roupe national ou ethnique et </w:t>
      </w:r>
      <w:r>
        <w:t xml:space="preserve">de déclarer en toute liberté leur volonté d’être rattachés à ce groupe. </w:t>
      </w:r>
      <w:r w:rsidRPr="00E33B4C">
        <w:t>Le Bureau tchèque des statistiques s</w:t>
      </w:r>
      <w:r>
        <w:t>’</w:t>
      </w:r>
      <w:r w:rsidRPr="00E33B4C">
        <w:t xml:space="preserve">assure que tous les citoyens reçoivent les informations nécessaires sur le recensement et </w:t>
      </w:r>
      <w:r>
        <w:t xml:space="preserve">leur </w:t>
      </w:r>
      <w:r w:rsidRPr="00E33B4C">
        <w:t xml:space="preserve">fournit toute assistance nécessaire </w:t>
      </w:r>
      <w:r>
        <w:t>pour remplir</w:t>
      </w:r>
      <w:r w:rsidRPr="00E33B4C">
        <w:t xml:space="preserve"> les formulaires d</w:t>
      </w:r>
      <w:r>
        <w:t>e</w:t>
      </w:r>
      <w:r w:rsidRPr="00E33B4C">
        <w:t xml:space="preserve"> recensement. Cette assistance s</w:t>
      </w:r>
      <w:r>
        <w:t>’</w:t>
      </w:r>
      <w:r w:rsidRPr="00E33B4C">
        <w:t xml:space="preserve">adresse essentiellement aux personnes qui </w:t>
      </w:r>
      <w:r>
        <w:t>pourraient</w:t>
      </w:r>
      <w:r w:rsidRPr="00E33B4C">
        <w:t xml:space="preserve"> avoir des difficultés à remplir les formulaires en raison de leur âge, de leur état de santé ou de leur </w:t>
      </w:r>
      <w:r>
        <w:t xml:space="preserve">mauvaise </w:t>
      </w:r>
      <w:r w:rsidRPr="00E33B4C">
        <w:t>connaissance de la langue.</w:t>
      </w:r>
    </w:p>
    <w:p w:rsidR="004D42CE" w:rsidRPr="00E33B4C" w:rsidRDefault="004D42CE" w:rsidP="004D42CE">
      <w:pPr>
        <w:pStyle w:val="SingleTxtG"/>
      </w:pPr>
      <w:r w:rsidRPr="00E33B4C">
        <w:t>28.</w:t>
      </w:r>
      <w:r w:rsidRPr="00E33B4C">
        <w:tab/>
        <w:t>La protection contre la discrimination est garantie par la nouvelle loi antidiscrimination</w:t>
      </w:r>
      <w:r>
        <w:rPr>
          <w:rStyle w:val="FootnoteReference"/>
        </w:rPr>
        <w:footnoteReference w:id="13"/>
      </w:r>
      <w:r w:rsidRPr="00E33B4C">
        <w:t>, qui protège le droit de toutes les personnes à l</w:t>
      </w:r>
      <w:r>
        <w:t>’</w:t>
      </w:r>
      <w:r w:rsidRPr="00E33B4C">
        <w:t>égalité de traitement dans les domaines suivants: droit à l</w:t>
      </w:r>
      <w:r>
        <w:t>’</w:t>
      </w:r>
      <w:r w:rsidRPr="00E33B4C">
        <w:t>emploi et accès à l</w:t>
      </w:r>
      <w:r>
        <w:t>’</w:t>
      </w:r>
      <w:r w:rsidRPr="00E33B4C">
        <w:t>emploi</w:t>
      </w:r>
      <w:r>
        <w:t>;</w:t>
      </w:r>
      <w:r w:rsidRPr="00E33B4C">
        <w:t xml:space="preserve"> à une profession, à </w:t>
      </w:r>
      <w:r>
        <w:t xml:space="preserve">la création </w:t>
      </w:r>
      <w:r w:rsidRPr="00E33B4C">
        <w:t>d</w:t>
      </w:r>
      <w:r>
        <w:t>’</w:t>
      </w:r>
      <w:r w:rsidRPr="00E33B4C">
        <w:t xml:space="preserve">entreprise ou à </w:t>
      </w:r>
      <w:r>
        <w:t>d’</w:t>
      </w:r>
      <w:r w:rsidRPr="00E33B4C">
        <w:t>autre</w:t>
      </w:r>
      <w:r>
        <w:t>s formes d’</w:t>
      </w:r>
      <w:r w:rsidRPr="00E33B4C">
        <w:t>emploi</w:t>
      </w:r>
      <w:r>
        <w:t xml:space="preserve"> indépendant; emploi </w:t>
      </w:r>
      <w:r w:rsidRPr="00E33B4C">
        <w:t xml:space="preserve">dans la fonction publique et autres </w:t>
      </w:r>
      <w:r>
        <w:t>emplois salariés</w:t>
      </w:r>
      <w:r w:rsidRPr="00E33B4C">
        <w:t xml:space="preserve"> </w:t>
      </w:r>
      <w:r>
        <w:t>dans l’égalité</w:t>
      </w:r>
      <w:r w:rsidRPr="00E33B4C">
        <w:t xml:space="preserve"> en matière de rémunération; adhésion et participation aux syndicats, comités d</w:t>
      </w:r>
      <w:r>
        <w:t>’</w:t>
      </w:r>
      <w:r w:rsidRPr="00E33B4C">
        <w:t>entreprises et organisations d</w:t>
      </w:r>
      <w:r>
        <w:t xml:space="preserve">’employeurs, y compris </w:t>
      </w:r>
      <w:r w:rsidRPr="00E33B4C">
        <w:t xml:space="preserve">aux avantages que ces organisations </w:t>
      </w:r>
      <w:r>
        <w:t xml:space="preserve">offrent </w:t>
      </w:r>
      <w:r w:rsidRPr="00E33B4C">
        <w:t>à leur</w:t>
      </w:r>
      <w:r>
        <w:t>s</w:t>
      </w:r>
      <w:r w:rsidRPr="00E33B4C">
        <w:t xml:space="preserve"> membre</w:t>
      </w:r>
      <w:r>
        <w:t>s</w:t>
      </w:r>
      <w:r w:rsidRPr="00E33B4C">
        <w:t xml:space="preserve">; adhésion et participation à des organismes professionnels, y compris aux avantages que ces </w:t>
      </w:r>
      <w:r>
        <w:t xml:space="preserve">sociétés de droit public consentent </w:t>
      </w:r>
      <w:r w:rsidRPr="00E33B4C">
        <w:t>à leur</w:t>
      </w:r>
      <w:r>
        <w:t>s</w:t>
      </w:r>
      <w:r w:rsidRPr="00E33B4C">
        <w:t xml:space="preserve"> membres; sécurité sociale; octroi et fourniture de prestations sociales; accès aux </w:t>
      </w:r>
      <w:r>
        <w:t>prestations</w:t>
      </w:r>
      <w:r w:rsidRPr="00E33B4C">
        <w:t xml:space="preserve"> de santé</w:t>
      </w:r>
      <w:r>
        <w:t>; enfin,</w:t>
      </w:r>
      <w:r w:rsidRPr="00E33B4C">
        <w:t xml:space="preserve"> accès à des biens et services, </w:t>
      </w:r>
      <w:r>
        <w:t xml:space="preserve">y compris au </w:t>
      </w:r>
      <w:r w:rsidRPr="00E33B4C">
        <w:t>logement, lorsqu</w:t>
      </w:r>
      <w:r>
        <w:t>’</w:t>
      </w:r>
      <w:r w:rsidRPr="00E33B4C">
        <w:t xml:space="preserve">ils sont offerts à la population ou fourniture de ces derniers. Dans ces domaines, </w:t>
      </w:r>
      <w:r>
        <w:t>toute</w:t>
      </w:r>
      <w:r w:rsidRPr="00E33B4C">
        <w:t xml:space="preserve"> discrimination fondée sur le sexe, l</w:t>
      </w:r>
      <w:r>
        <w:t>’</w:t>
      </w:r>
      <w:r w:rsidRPr="00E33B4C">
        <w:t>âge, l</w:t>
      </w:r>
      <w:r>
        <w:t>’</w:t>
      </w:r>
      <w:r w:rsidRPr="00E33B4C">
        <w:t xml:space="preserve">orientation sexuelle, la religion, le handicap et la race est interdite. La loi </w:t>
      </w:r>
      <w:r>
        <w:t xml:space="preserve">antidiscrimination s’inspire des </w:t>
      </w:r>
      <w:r w:rsidRPr="00E33B4C">
        <w:t xml:space="preserve">règles des communautés européennes, </w:t>
      </w:r>
      <w:r>
        <w:t xml:space="preserve">de </w:t>
      </w:r>
      <w:r w:rsidRPr="00E33B4C">
        <w:t xml:space="preserve">la Charte des droits et libertés fondamentaux et </w:t>
      </w:r>
      <w:r>
        <w:t>des c</w:t>
      </w:r>
      <w:r w:rsidRPr="00E33B4C">
        <w:t xml:space="preserve">onventions internationales qui </w:t>
      </w:r>
      <w:r>
        <w:t xml:space="preserve">lient </w:t>
      </w:r>
      <w:r w:rsidRPr="00E33B4C">
        <w:t xml:space="preserve">la République tchèque. </w:t>
      </w:r>
      <w:r>
        <w:t>Elle</w:t>
      </w:r>
      <w:r w:rsidRPr="00E33B4C">
        <w:t xml:space="preserve"> c</w:t>
      </w:r>
      <w:r>
        <w:t>onfère de nouveaux pouvoirs au M</w:t>
      </w:r>
      <w:r w:rsidRPr="00E33B4C">
        <w:t xml:space="preserve">édiateur, qui est désormais en mesure de fournir aux victimes de discrimination une assistance méthodologique </w:t>
      </w:r>
      <w:r>
        <w:t>pour</w:t>
      </w:r>
      <w:r w:rsidRPr="00E33B4C">
        <w:t xml:space="preserve"> la présentation de requête</w:t>
      </w:r>
      <w:r>
        <w:t>s</w:t>
      </w:r>
      <w:r w:rsidRPr="00E33B4C">
        <w:t xml:space="preserve"> aux fins de </w:t>
      </w:r>
      <w:r>
        <w:t>procédures</w:t>
      </w:r>
      <w:r w:rsidRPr="00E33B4C">
        <w:t xml:space="preserve"> relatives à la discrimination. Le </w:t>
      </w:r>
      <w:r>
        <w:t>M</w:t>
      </w:r>
      <w:r w:rsidRPr="00E33B4C">
        <w:t xml:space="preserve">édiateur </w:t>
      </w:r>
      <w:r>
        <w:t>effectuera</w:t>
      </w:r>
      <w:r w:rsidRPr="00E33B4C">
        <w:t xml:space="preserve"> également des recherches </w:t>
      </w:r>
      <w:r>
        <w:t xml:space="preserve">portant sur les </w:t>
      </w:r>
      <w:r w:rsidRPr="00E33B4C">
        <w:t>discrimination</w:t>
      </w:r>
      <w:r>
        <w:t>s</w:t>
      </w:r>
      <w:r w:rsidRPr="00E33B4C">
        <w:t xml:space="preserve"> et publiera des rapports et recommandations sur cette question. Le principe du partage de la charge de la preuve est une mesure procédurale importante qui s</w:t>
      </w:r>
      <w:r>
        <w:t>’</w:t>
      </w:r>
      <w:r w:rsidRPr="00E33B4C">
        <w:t xml:space="preserve">applique aux différends civils en matière de discrimination et prévoit la protection procédurale des victimes de discrimination. </w:t>
      </w:r>
      <w:r>
        <w:t>P</w:t>
      </w:r>
      <w:r w:rsidRPr="00E33B4C">
        <w:t>our davantage de détail</w:t>
      </w:r>
      <w:r>
        <w:t>s</w:t>
      </w:r>
      <w:r w:rsidRPr="00E33B4C">
        <w:t xml:space="preserve"> sur la loi antidiscrimination</w:t>
      </w:r>
      <w:r>
        <w:t>, v</w:t>
      </w:r>
      <w:r w:rsidRPr="00E33B4C">
        <w:t>oir l</w:t>
      </w:r>
      <w:r>
        <w:t>’article 6</w:t>
      </w:r>
      <w:r w:rsidRPr="00E33B4C">
        <w:t>.</w:t>
      </w:r>
    </w:p>
    <w:p w:rsidR="004D42CE" w:rsidRPr="00E33B4C" w:rsidRDefault="004D42CE" w:rsidP="004D42CE">
      <w:pPr>
        <w:pStyle w:val="H1G"/>
      </w:pPr>
      <w:r>
        <w:tab/>
      </w:r>
      <w:r>
        <w:tab/>
      </w:r>
      <w:r w:rsidRPr="00E33B4C">
        <w:t>Article 3</w:t>
      </w:r>
    </w:p>
    <w:p w:rsidR="004D42CE" w:rsidRPr="00E33B4C" w:rsidRDefault="004D42CE" w:rsidP="004D42CE">
      <w:pPr>
        <w:pStyle w:val="H23G"/>
      </w:pPr>
      <w:r>
        <w:tab/>
      </w:r>
      <w:r>
        <w:tab/>
      </w:r>
      <w:r w:rsidRPr="00E33B4C">
        <w:t>Interdiction de la ségrégation raciale et de l</w:t>
      </w:r>
      <w:r>
        <w:t>’</w:t>
      </w:r>
      <w:r w:rsidRPr="00E33B4C">
        <w:t>apartheid</w:t>
      </w:r>
    </w:p>
    <w:p w:rsidR="004D42CE" w:rsidRPr="00E33B4C" w:rsidRDefault="004D42CE" w:rsidP="004D42CE">
      <w:pPr>
        <w:pStyle w:val="SingleTxtG"/>
      </w:pPr>
      <w:r w:rsidRPr="00E33B4C">
        <w:t>29.</w:t>
      </w:r>
      <w:r w:rsidRPr="00E33B4C">
        <w:tab/>
      </w:r>
      <w:r w:rsidRPr="004D42CE">
        <w:rPr>
          <w:spacing w:val="-2"/>
        </w:rPr>
        <w:t>L’exclusion sociale et la ségrégation spatiale sont des éléments importants qui ont une incidence négative sur la situation d’environ un tiers des Roms en République tchèque et, partant, réduisent leurs chances de profiter pleinement d’une vie agréable. Les rapports sur la situation dans les provinces indiquent que l’exclusion sociale et la ségrégation spatiale des communautés roms s’étendent. Dans l’analyse des localités roms socialement exclues qu’a faite M. Gabal (2006)</w:t>
      </w:r>
      <w:r w:rsidRPr="004D42CE">
        <w:rPr>
          <w:rStyle w:val="FootnoteReference"/>
          <w:spacing w:val="-2"/>
        </w:rPr>
        <w:footnoteReference w:id="14"/>
      </w:r>
      <w:r w:rsidRPr="004D42CE">
        <w:rPr>
          <w:spacing w:val="-2"/>
        </w:rPr>
        <w:t>, 310 localités socialement exclues ou risquant de l’être ont été définies. La population totale de ces localités se situerait entre 60 000 et 80 000 personnes.</w:t>
      </w:r>
      <w:r w:rsidRPr="00E33B4C">
        <w:t xml:space="preserve"> </w:t>
      </w:r>
    </w:p>
    <w:p w:rsidR="004D42CE" w:rsidRPr="00E33B4C" w:rsidRDefault="004D42CE" w:rsidP="004D42CE">
      <w:pPr>
        <w:pStyle w:val="SingleTxtG"/>
      </w:pPr>
      <w:r w:rsidRPr="00E33B4C">
        <w:t>30.</w:t>
      </w:r>
      <w:r w:rsidRPr="00E33B4C">
        <w:tab/>
        <w:t xml:space="preserve">Le soutien du Gouvernement tchèque aux solutions en faveur des zones démunies et exclues socialement ne se limite pas </w:t>
      </w:r>
      <w:r>
        <w:t xml:space="preserve">à des </w:t>
      </w:r>
      <w:r w:rsidRPr="00E33B4C">
        <w:t>mesures législatives, à l</w:t>
      </w:r>
      <w:r>
        <w:t>’</w:t>
      </w:r>
      <w:r w:rsidRPr="00E33B4C">
        <w:t xml:space="preserve">élaboration de documents stratégiques et à </w:t>
      </w:r>
      <w:r>
        <w:t xml:space="preserve">une aide </w:t>
      </w:r>
      <w:r w:rsidRPr="00E33B4C">
        <w:t>fi</w:t>
      </w:r>
      <w:r>
        <w:t>nancière sous forme</w:t>
      </w:r>
      <w:r w:rsidRPr="00E33B4C">
        <w:t xml:space="preserve"> d</w:t>
      </w:r>
      <w:r>
        <w:t>’</w:t>
      </w:r>
      <w:r w:rsidRPr="00E33B4C">
        <w:t>investissement</w:t>
      </w:r>
      <w:r>
        <w:t>s</w:t>
      </w:r>
      <w:r w:rsidRPr="00E33B4C">
        <w:t xml:space="preserve"> et sous d</w:t>
      </w:r>
      <w:r>
        <w:t>’autres formes. Gr</w:t>
      </w:r>
      <w:r w:rsidRPr="00E33B4C">
        <w:t>âce aux efforts du Gouvernement, de nombreuses régions et villes peuvent désormai</w:t>
      </w:r>
      <w:r>
        <w:t>s bénéficier de subventions du P</w:t>
      </w:r>
      <w:r w:rsidRPr="00E33B4C">
        <w:t>rogram</w:t>
      </w:r>
      <w:r>
        <w:t>me opérationnel régional et du P</w:t>
      </w:r>
      <w:r w:rsidRPr="00E33B4C">
        <w:t xml:space="preserve">rogramme opérationnel intégré pour faire face à la situation des zones démunies </w:t>
      </w:r>
      <w:r>
        <w:t>sur leur territoire. De plus, elle</w:t>
      </w:r>
      <w:r w:rsidRPr="00E33B4C">
        <w:t>s peuvent avoir recours à l</w:t>
      </w:r>
      <w:r>
        <w:t>’</w:t>
      </w:r>
      <w:r w:rsidRPr="00E33B4C">
        <w:t>appui financier du Fonds de développement du logement public.</w:t>
      </w:r>
    </w:p>
    <w:p w:rsidR="004D42CE" w:rsidRPr="00E33B4C" w:rsidRDefault="004D42CE" w:rsidP="004D42CE">
      <w:pPr>
        <w:pStyle w:val="SingleTxtG"/>
      </w:pPr>
      <w:r w:rsidRPr="00E33B4C">
        <w:t>31.</w:t>
      </w:r>
      <w:r w:rsidRPr="00E33B4C">
        <w:tab/>
      </w:r>
      <w:r>
        <w:t>A</w:t>
      </w:r>
      <w:r w:rsidRPr="00E33B4C">
        <w:t>fin d</w:t>
      </w:r>
      <w:r>
        <w:t>’</w:t>
      </w:r>
      <w:r w:rsidRPr="00E33B4C">
        <w:t xml:space="preserve">obtenir des subventions des fonds susmentionnés, </w:t>
      </w:r>
      <w:r>
        <w:t>les villes ont élaboré des p</w:t>
      </w:r>
      <w:r w:rsidRPr="00E33B4C">
        <w:t xml:space="preserve">lans de développement intégré dans lesquels </w:t>
      </w:r>
      <w:r>
        <w:t>figurent souvent des localités roms exclues socialement</w:t>
      </w:r>
      <w:r w:rsidRPr="00E33B4C">
        <w:t>. Ces plans constituent un cadre de coordination essentie</w:t>
      </w:r>
      <w:r>
        <w:t>l,</w:t>
      </w:r>
      <w:r w:rsidRPr="00E33B4C">
        <w:t xml:space="preserve"> qui s</w:t>
      </w:r>
      <w:r>
        <w:t>’</w:t>
      </w:r>
      <w:r w:rsidRPr="00E33B4C">
        <w:t xml:space="preserve">inscrit dans une </w:t>
      </w:r>
      <w:r>
        <w:t xml:space="preserve">vision et une </w:t>
      </w:r>
      <w:r w:rsidRPr="00E33B4C">
        <w:t xml:space="preserve">stratégie </w:t>
      </w:r>
      <w:r>
        <w:t xml:space="preserve">globales pour le </w:t>
      </w:r>
      <w:r w:rsidRPr="00E33B4C">
        <w:t xml:space="preserve">développement </w:t>
      </w:r>
      <w:r>
        <w:t>de</w:t>
      </w:r>
      <w:r w:rsidRPr="00E33B4C">
        <w:t xml:space="preserve"> la ville</w:t>
      </w:r>
      <w:r>
        <w:t xml:space="preserve">, permettant </w:t>
      </w:r>
      <w:r w:rsidRPr="00E33B4C">
        <w:t>d</w:t>
      </w:r>
      <w:r>
        <w:t>’</w:t>
      </w:r>
      <w:r w:rsidRPr="00E33B4C">
        <w:t>identifier et de résoudre les problèmes auxquels sont confrontées les zones de la ville</w:t>
      </w:r>
      <w:r>
        <w:t xml:space="preserve"> qui se développent grâce aux Fonds </w:t>
      </w:r>
      <w:r w:rsidRPr="00E33B4C">
        <w:t xml:space="preserve">structurels </w:t>
      </w:r>
      <w:r>
        <w:t xml:space="preserve">reçus </w:t>
      </w:r>
      <w:r w:rsidRPr="00E33B4C">
        <w:t>de l</w:t>
      </w:r>
      <w:r>
        <w:t>’</w:t>
      </w:r>
      <w:r w:rsidRPr="00E33B4C">
        <w:t xml:space="preserve">Union européenne. Les villes et les régions </w:t>
      </w:r>
      <w:r>
        <w:t xml:space="preserve">ne veulent pas </w:t>
      </w:r>
      <w:r w:rsidRPr="00E33B4C">
        <w:t xml:space="preserve">seulement </w:t>
      </w:r>
      <w:r>
        <w:t xml:space="preserve">rénover </w:t>
      </w:r>
      <w:r w:rsidRPr="00E33B4C">
        <w:t>le parc immobilier et redynamiser les espaces publics</w:t>
      </w:r>
      <w:r>
        <w:t xml:space="preserve"> car leurs</w:t>
      </w:r>
      <w:r w:rsidRPr="00E33B4C">
        <w:t xml:space="preserve"> plans ont des objectifs encore plus ambitieux</w:t>
      </w:r>
      <w:r>
        <w:t>:</w:t>
      </w:r>
      <w:r w:rsidRPr="00E33B4C">
        <w:t xml:space="preserve"> améliorer </w:t>
      </w:r>
      <w:r>
        <w:t>globalement</w:t>
      </w:r>
      <w:r w:rsidRPr="00E33B4C">
        <w:t xml:space="preserve"> les conditions d</w:t>
      </w:r>
      <w:r>
        <w:t>’</w:t>
      </w:r>
      <w:r w:rsidRPr="00E33B4C">
        <w:t xml:space="preserve">existence des habitants de ces localités en utilisant des instruments </w:t>
      </w:r>
      <w:r>
        <w:t>souples</w:t>
      </w:r>
      <w:r w:rsidRPr="00E33B4C">
        <w:t xml:space="preserve"> comme les services sociaux, les services d</w:t>
      </w:r>
      <w:r>
        <w:t>’</w:t>
      </w:r>
      <w:r w:rsidRPr="00E33B4C">
        <w:t>emploi et les activités éducatives pour développer les ressources humaines dans les zones défavorisées. L</w:t>
      </w:r>
      <w:r>
        <w:t>’</w:t>
      </w:r>
      <w:r w:rsidRPr="00E33B4C">
        <w:t>Agence pour l</w:t>
      </w:r>
      <w:r>
        <w:t>’</w:t>
      </w:r>
      <w:r w:rsidRPr="00E33B4C">
        <w:t>inclusion sociale a joué un rôle actif dans l</w:t>
      </w:r>
      <w:r>
        <w:t>’</w:t>
      </w:r>
      <w:r w:rsidRPr="00E33B4C">
        <w:t xml:space="preserve">élaboration de plans </w:t>
      </w:r>
      <w:r>
        <w:t>pour les villes comp</w:t>
      </w:r>
      <w:r w:rsidRPr="00E33B4C">
        <w:t xml:space="preserve">tant </w:t>
      </w:r>
      <w:r>
        <w:t>une forte proportion de zones marginalisées</w:t>
      </w:r>
      <w:r w:rsidRPr="00E33B4C">
        <w:t>. La République tchèque a également adopté la loi n</w:t>
      </w:r>
      <w:r w:rsidRPr="00E33B4C">
        <w:rPr>
          <w:vertAlign w:val="superscript"/>
        </w:rPr>
        <w:t>o</w:t>
      </w:r>
      <w:r>
        <w:t> </w:t>
      </w:r>
      <w:r w:rsidRPr="00E33B4C">
        <w:t>248/2000 sur la promotion du développement régional afin de favoriser ce dernier.</w:t>
      </w:r>
    </w:p>
    <w:p w:rsidR="004D42CE" w:rsidRPr="00E33B4C" w:rsidRDefault="004D42CE" w:rsidP="004D42CE">
      <w:pPr>
        <w:pStyle w:val="SingleTxtG"/>
      </w:pPr>
      <w:r>
        <w:t>32.</w:t>
      </w:r>
      <w:r>
        <w:tab/>
        <w:t>Le P</w:t>
      </w:r>
      <w:r w:rsidRPr="00E33B4C">
        <w:t>lan d</w:t>
      </w:r>
      <w:r>
        <w:t>’</w:t>
      </w:r>
      <w:r w:rsidRPr="00E33B4C">
        <w:t>action national pour l</w:t>
      </w:r>
      <w:r>
        <w:t>’</w:t>
      </w:r>
      <w:r w:rsidRPr="00E33B4C">
        <w:t xml:space="preserve">inclusion sociale 2008-2010 </w:t>
      </w:r>
      <w:r>
        <w:t xml:space="preserve">est l’un </w:t>
      </w:r>
      <w:r w:rsidRPr="00E33B4C">
        <w:t xml:space="preserve">des documents </w:t>
      </w:r>
      <w:r>
        <w:t>directeurs dans lesquels est envisagée l’action à mener pour améliorer la situation des R</w:t>
      </w:r>
      <w:r w:rsidRPr="00E33B4C">
        <w:t xml:space="preserve">oms exclus socialement. </w:t>
      </w:r>
      <w:r>
        <w:t xml:space="preserve">Son </w:t>
      </w:r>
      <w:r w:rsidRPr="00E33B4C">
        <w:t xml:space="preserve">principal objectif </w:t>
      </w:r>
      <w:r>
        <w:t>e</w:t>
      </w:r>
      <w:r w:rsidRPr="00E33B4C">
        <w:t>st de favoriser l</w:t>
      </w:r>
      <w:r>
        <w:t>’</w:t>
      </w:r>
      <w:r w:rsidRPr="00E33B4C">
        <w:t xml:space="preserve">intégration de groupes </w:t>
      </w:r>
      <w:r>
        <w:t>défavorisés</w:t>
      </w:r>
      <w:r w:rsidRPr="00E33B4C">
        <w:t xml:space="preserve"> par le biais d</w:t>
      </w:r>
      <w:r>
        <w:t>’</w:t>
      </w:r>
      <w:r w:rsidRPr="00E33B4C">
        <w:t xml:space="preserve">un large éventail de mesures </w:t>
      </w:r>
      <w:r>
        <w:t xml:space="preserve">touchant les </w:t>
      </w:r>
      <w:r w:rsidRPr="00E33B4C">
        <w:t>services sociaux</w:t>
      </w:r>
      <w:r>
        <w:t>,</w:t>
      </w:r>
      <w:r w:rsidRPr="00E33B4C">
        <w:t xml:space="preserve"> l</w:t>
      </w:r>
      <w:r>
        <w:t>’</w:t>
      </w:r>
      <w:r w:rsidRPr="00E33B4C">
        <w:t xml:space="preserve">éducation et </w:t>
      </w:r>
      <w:r>
        <w:t>les</w:t>
      </w:r>
      <w:r w:rsidRPr="00E33B4C">
        <w:t xml:space="preserve"> programmes de promotion de l</w:t>
      </w:r>
      <w:r>
        <w:t>’</w:t>
      </w:r>
      <w:r w:rsidRPr="00E33B4C">
        <w:t>emploi ou de prévention des pathologies</w:t>
      </w:r>
      <w:r>
        <w:t xml:space="preserve"> </w:t>
      </w:r>
      <w:r w:rsidRPr="00E33B4C">
        <w:t>sociale</w:t>
      </w:r>
      <w:r>
        <w:t>s</w:t>
      </w:r>
      <w:r w:rsidRPr="00E33B4C">
        <w:t>.</w:t>
      </w:r>
    </w:p>
    <w:p w:rsidR="004D42CE" w:rsidRPr="00E33B4C" w:rsidRDefault="004D42CE" w:rsidP="004D42CE">
      <w:pPr>
        <w:pStyle w:val="H1G"/>
      </w:pPr>
      <w:r>
        <w:tab/>
      </w:r>
      <w:r>
        <w:tab/>
      </w:r>
      <w:r w:rsidRPr="00E33B4C">
        <w:t>Article 4</w:t>
      </w:r>
    </w:p>
    <w:p w:rsidR="004D42CE" w:rsidRPr="00E33B4C" w:rsidRDefault="004D42CE" w:rsidP="004D42CE">
      <w:pPr>
        <w:pStyle w:val="H23G"/>
      </w:pPr>
      <w:r>
        <w:tab/>
      </w:r>
      <w:r>
        <w:tab/>
      </w:r>
      <w:r w:rsidRPr="00E33B4C">
        <w:t>Mesures législatives, administratives et autres mesures contre l</w:t>
      </w:r>
      <w:r>
        <w:t>’</w:t>
      </w:r>
      <w:r w:rsidRPr="00E33B4C">
        <w:t xml:space="preserve">incitation à la haine et à la violence </w:t>
      </w:r>
      <w:r>
        <w:t xml:space="preserve">raciales </w:t>
      </w:r>
      <w:r w:rsidRPr="00E33B4C">
        <w:t>contre des groupes raciaux et ethniques</w:t>
      </w:r>
    </w:p>
    <w:p w:rsidR="004D42CE" w:rsidRPr="00E33B4C" w:rsidRDefault="004D42CE" w:rsidP="004D42CE">
      <w:pPr>
        <w:pStyle w:val="SingleTxtG"/>
      </w:pPr>
      <w:r w:rsidRPr="00E33B4C">
        <w:t>33.</w:t>
      </w:r>
      <w:r w:rsidRPr="00E33B4C">
        <w:tab/>
      </w:r>
      <w:r>
        <w:t xml:space="preserve">Durant </w:t>
      </w:r>
      <w:r w:rsidRPr="00E33B4C">
        <w:t>la période faisant l</w:t>
      </w:r>
      <w:r>
        <w:t>’</w:t>
      </w:r>
      <w:r w:rsidRPr="00E33B4C">
        <w:t>objet du rapport, plusieurs modifications législatives relatives à la question de l</w:t>
      </w:r>
      <w:r>
        <w:t>’</w:t>
      </w:r>
      <w:r w:rsidRPr="00E33B4C">
        <w:t>extrémisme</w:t>
      </w:r>
      <w:r>
        <w:t xml:space="preserve"> ont été adoptées</w:t>
      </w:r>
      <w:r w:rsidRPr="00E33B4C">
        <w:t>. Le Gouvernement tchèque continue à suivre cette question et tous les ans depuis 1997 le Ministère de l</w:t>
      </w:r>
      <w:r>
        <w:t>’</w:t>
      </w:r>
      <w:r w:rsidRPr="00E33B4C">
        <w:t xml:space="preserve">intérieur </w:t>
      </w:r>
      <w:r>
        <w:t xml:space="preserve">lui </w:t>
      </w:r>
      <w:r w:rsidRPr="00E33B4C">
        <w:t>présente des rapports sur la question de l</w:t>
      </w:r>
      <w:r>
        <w:t>’</w:t>
      </w:r>
      <w:r w:rsidRPr="00E33B4C">
        <w:t>extrémisme en République tchèque</w:t>
      </w:r>
      <w:r>
        <w:t>,</w:t>
      </w:r>
      <w:r w:rsidRPr="00E33B4C">
        <w:t xml:space="preserve"> </w:t>
      </w:r>
      <w:r>
        <w:t xml:space="preserve">intitulés </w:t>
      </w:r>
      <w:r w:rsidRPr="00E33B4C">
        <w:t>depuis 2003</w:t>
      </w:r>
      <w:r>
        <w:t xml:space="preserve"> </w:t>
      </w:r>
      <w:r w:rsidRPr="00E33B4C">
        <w:t>«Information</w:t>
      </w:r>
      <w:r>
        <w:t>s</w:t>
      </w:r>
      <w:r w:rsidRPr="00E33B4C">
        <w:t xml:space="preserve"> sur le problème de l</w:t>
      </w:r>
      <w:r>
        <w:t>’</w:t>
      </w:r>
      <w:r w:rsidRPr="00E33B4C">
        <w:t xml:space="preserve">extrémisme </w:t>
      </w:r>
      <w:r>
        <w:t>en</w:t>
      </w:r>
      <w:r w:rsidRPr="00E33B4C">
        <w:t xml:space="preserve"> République tchèque».</w:t>
      </w:r>
    </w:p>
    <w:p w:rsidR="004D42CE" w:rsidRPr="00E33B4C" w:rsidRDefault="004D42CE" w:rsidP="004D42CE">
      <w:pPr>
        <w:pStyle w:val="SingleTxtG"/>
        <w:spacing w:line="220" w:lineRule="atLeast"/>
      </w:pPr>
      <w:r w:rsidRPr="00E33B4C">
        <w:t>34.</w:t>
      </w:r>
      <w:r w:rsidRPr="00E33B4C">
        <w:tab/>
        <w:t>Le nouveau Code pénal</w:t>
      </w:r>
      <w:r>
        <w:rPr>
          <w:rStyle w:val="FootnoteReference"/>
        </w:rPr>
        <w:footnoteReference w:id="15"/>
      </w:r>
      <w:r w:rsidRPr="00E33B4C">
        <w:t xml:space="preserve"> a introduit certains changements </w:t>
      </w:r>
      <w:r>
        <w:t xml:space="preserve">en matière de </w:t>
      </w:r>
      <w:r w:rsidRPr="00E33B4C">
        <w:t xml:space="preserve">crime raciste. </w:t>
      </w:r>
      <w:r>
        <w:t xml:space="preserve">Par suite d’une modification de la définition du </w:t>
      </w:r>
      <w:r w:rsidRPr="00E33B4C">
        <w:t>délit de «violence contre un groupe d</w:t>
      </w:r>
      <w:r>
        <w:t>’</w:t>
      </w:r>
      <w:r w:rsidRPr="00E33B4C">
        <w:t xml:space="preserve">habitants </w:t>
      </w:r>
      <w:r>
        <w:t>ou</w:t>
      </w:r>
      <w:r w:rsidRPr="00E33B4C">
        <w:t xml:space="preserve"> contre un individu»</w:t>
      </w:r>
      <w:r>
        <w:rPr>
          <w:rStyle w:val="FootnoteReference"/>
        </w:rPr>
        <w:footnoteReference w:id="16"/>
      </w:r>
      <w:r>
        <w:t>, ce dernier peut</w:t>
      </w:r>
      <w:r w:rsidRPr="00E33B4C">
        <w:t xml:space="preserve"> être motivé par l</w:t>
      </w:r>
      <w:r>
        <w:t>’</w:t>
      </w:r>
      <w:r w:rsidRPr="00E33B4C">
        <w:t xml:space="preserve">appartenance raciale, ethnique, nationale ou </w:t>
      </w:r>
      <w:r>
        <w:t xml:space="preserve">une </w:t>
      </w:r>
      <w:r w:rsidRPr="00E33B4C">
        <w:t>autre</w:t>
      </w:r>
      <w:r>
        <w:t xml:space="preserve"> forme d’appartenance, </w:t>
      </w:r>
      <w:r w:rsidRPr="00E33B4C">
        <w:t>réelle ou supposée</w:t>
      </w:r>
      <w:r>
        <w:t>, à un groupe de personnes</w:t>
      </w:r>
      <w:r w:rsidRPr="00E33B4C">
        <w:t>. L</w:t>
      </w:r>
      <w:r>
        <w:t>a définition du</w:t>
      </w:r>
      <w:r w:rsidRPr="00E33B4C">
        <w:t xml:space="preserve"> délit de «diffamation d</w:t>
      </w:r>
      <w:r>
        <w:t>’</w:t>
      </w:r>
      <w:r w:rsidRPr="00E33B4C">
        <w:t>une nation, d</w:t>
      </w:r>
      <w:r>
        <w:t>’</w:t>
      </w:r>
      <w:r w:rsidRPr="00E33B4C">
        <w:t>un groupe ethnique, d</w:t>
      </w:r>
      <w:r>
        <w:t>’</w:t>
      </w:r>
      <w:r w:rsidRPr="00E33B4C">
        <w:t>une race et de croyance</w:t>
      </w:r>
      <w:r>
        <w:t>s</w:t>
      </w:r>
      <w:r w:rsidRPr="00E33B4C">
        <w:t>»</w:t>
      </w:r>
      <w:r>
        <w:rPr>
          <w:rStyle w:val="FootnoteReference"/>
        </w:rPr>
        <w:footnoteReference w:id="17"/>
      </w:r>
      <w:r>
        <w:t>, remplacée par la «d</w:t>
      </w:r>
      <w:r w:rsidRPr="00E33B4C">
        <w:t>iffamation d</w:t>
      </w:r>
      <w:r>
        <w:t>’</w:t>
      </w:r>
      <w:r w:rsidRPr="00E33B4C">
        <w:t xml:space="preserve">une nation, </w:t>
      </w:r>
      <w:r>
        <w:t xml:space="preserve">d’une </w:t>
      </w:r>
      <w:r w:rsidRPr="00E33B4C">
        <w:t xml:space="preserve">race, </w:t>
      </w:r>
      <w:r>
        <w:t xml:space="preserve">d’un </w:t>
      </w:r>
      <w:r w:rsidRPr="00E33B4C">
        <w:t xml:space="preserve">groupe ethnique ou </w:t>
      </w:r>
      <w:r>
        <w:t xml:space="preserve">d’un </w:t>
      </w:r>
      <w:r w:rsidRPr="00E33B4C">
        <w:t>autre groupe de personnes»</w:t>
      </w:r>
      <w:r>
        <w:rPr>
          <w:rStyle w:val="FootnoteReference"/>
        </w:rPr>
        <w:footnoteReference w:id="18"/>
      </w:r>
      <w:r w:rsidRPr="00E33B4C">
        <w:t xml:space="preserve"> a </w:t>
      </w:r>
      <w:r>
        <w:t xml:space="preserve">ainsi </w:t>
      </w:r>
      <w:r w:rsidRPr="00E33B4C">
        <w:t>été modifié</w:t>
      </w:r>
      <w:r>
        <w:t>e</w:t>
      </w:r>
      <w:r w:rsidRPr="00E33B4C">
        <w:t xml:space="preserve"> afin </w:t>
      </w:r>
      <w:r>
        <w:t xml:space="preserve">de couvrir d’autres façons </w:t>
      </w:r>
      <w:r w:rsidRPr="00E33B4C">
        <w:t xml:space="preserve">de commettre ce délit par la </w:t>
      </w:r>
      <w:r>
        <w:t>voie d’imprimés</w:t>
      </w:r>
      <w:r w:rsidRPr="00E33B4C">
        <w:t xml:space="preserve">, </w:t>
      </w:r>
      <w:r>
        <w:t>de</w:t>
      </w:r>
      <w:r w:rsidRPr="00E33B4C">
        <w:t xml:space="preserve"> films, </w:t>
      </w:r>
      <w:r>
        <w:t>de</w:t>
      </w:r>
      <w:r w:rsidRPr="00E33B4C">
        <w:t xml:space="preserve"> radio, </w:t>
      </w:r>
      <w:r>
        <w:t>de</w:t>
      </w:r>
      <w:r w:rsidRPr="00E33B4C">
        <w:t xml:space="preserve"> télévision, </w:t>
      </w:r>
      <w:r>
        <w:t>de</w:t>
      </w:r>
      <w:r w:rsidRPr="00E33B4C">
        <w:t xml:space="preserve"> réseau</w:t>
      </w:r>
      <w:r>
        <w:t>x</w:t>
      </w:r>
      <w:r w:rsidRPr="00E33B4C">
        <w:t xml:space="preserve"> informatique</w:t>
      </w:r>
      <w:r>
        <w:t>s</w:t>
      </w:r>
      <w:r w:rsidRPr="00E33B4C">
        <w:t xml:space="preserve"> accessible</w:t>
      </w:r>
      <w:r>
        <w:t>s</w:t>
      </w:r>
      <w:r w:rsidRPr="00E33B4C">
        <w:t xml:space="preserve"> au public ou d</w:t>
      </w:r>
      <w:r>
        <w:t>’</w:t>
      </w:r>
      <w:r w:rsidRPr="00E33B4C">
        <w:t xml:space="preserve">autres moyens </w:t>
      </w:r>
      <w:r>
        <w:t xml:space="preserve">d’une </w:t>
      </w:r>
      <w:r w:rsidRPr="00E33B4C">
        <w:t xml:space="preserve">même efficacité. </w:t>
      </w:r>
      <w:r>
        <w:t xml:space="preserve">La qualification du </w:t>
      </w:r>
      <w:r w:rsidRPr="00E33B4C">
        <w:t>«génocide»</w:t>
      </w:r>
      <w:r>
        <w:rPr>
          <w:rStyle w:val="FootnoteReference"/>
        </w:rPr>
        <w:footnoteReference w:id="19"/>
      </w:r>
      <w:r>
        <w:t xml:space="preserve">, dans sa définition élargie, inclut tout </w:t>
      </w:r>
      <w:r w:rsidRPr="00E33B4C">
        <w:t xml:space="preserve">groupe de personnes contre lesquelles </w:t>
      </w:r>
      <w:r>
        <w:t xml:space="preserve">il a été </w:t>
      </w:r>
      <w:r w:rsidRPr="00E33B4C">
        <w:t>commis («une catégorie ou autre groupe de personnes»). La peine maximale d</w:t>
      </w:r>
      <w:r>
        <w:t>’</w:t>
      </w:r>
      <w:r w:rsidRPr="00E33B4C">
        <w:t>emprisonne</w:t>
      </w:r>
      <w:r>
        <w:t>ment a été portée à vingt ans. D</w:t>
      </w:r>
      <w:r w:rsidRPr="00E33B4C">
        <w:t xml:space="preserve">es sanctions pour incitation publique à commettre ce </w:t>
      </w:r>
      <w:r>
        <w:t>crime</w:t>
      </w:r>
      <w:r w:rsidRPr="00E33B4C">
        <w:t xml:space="preserve"> ont également été prévues, en application desquelles le </w:t>
      </w:r>
      <w:r>
        <w:t>coupable encourt la même peine</w:t>
      </w:r>
      <w:r w:rsidRPr="00E33B4C">
        <w:t>, à savoir jusqu</w:t>
      </w:r>
      <w:r>
        <w:t>’</w:t>
      </w:r>
      <w:r w:rsidRPr="00E33B4C">
        <w:t xml:space="preserve">à vingt ans de prison. Ces mesures </w:t>
      </w:r>
      <w:r>
        <w:t>alignent</w:t>
      </w:r>
      <w:r w:rsidRPr="00E33B4C">
        <w:t xml:space="preserve"> explicitement le texte de cette disposition </w:t>
      </w:r>
      <w:r>
        <w:t>sur</w:t>
      </w:r>
      <w:r w:rsidRPr="00E33B4C">
        <w:t xml:space="preserve"> la Convention pour la prévention et la répression du crime de génocide. Le Code </w:t>
      </w:r>
      <w:r>
        <w:t xml:space="preserve">complète la définition couvrant </w:t>
      </w:r>
      <w:r w:rsidRPr="00E33B4C">
        <w:t>«</w:t>
      </w:r>
      <w:r>
        <w:t xml:space="preserve">la </w:t>
      </w:r>
      <w:r w:rsidRPr="00E33B4C">
        <w:t xml:space="preserve">création, </w:t>
      </w:r>
      <w:r>
        <w:t xml:space="preserve">le </w:t>
      </w:r>
      <w:r w:rsidRPr="00E33B4C">
        <w:t xml:space="preserve">soutien et </w:t>
      </w:r>
      <w:r>
        <w:t xml:space="preserve">la </w:t>
      </w:r>
      <w:r w:rsidRPr="00E33B4C">
        <w:t>promotion d</w:t>
      </w:r>
      <w:r>
        <w:t>’un mouvement visant à ré</w:t>
      </w:r>
      <w:r w:rsidRPr="00E33B4C">
        <w:t>primer les droits et libertés»</w:t>
      </w:r>
      <w:r>
        <w:rPr>
          <w:rStyle w:val="FootnoteReference"/>
        </w:rPr>
        <w:footnoteReference w:id="20"/>
      </w:r>
      <w:r>
        <w:t xml:space="preserve"> par u</w:t>
      </w:r>
      <w:r w:rsidRPr="00E33B4C">
        <w:t xml:space="preserve">n nouveau cas dans lequel une sanction plus </w:t>
      </w:r>
      <w:r>
        <w:t>lourde</w:t>
      </w:r>
      <w:r w:rsidRPr="00E33B4C">
        <w:t xml:space="preserve"> doit être appliquée, à savoir lorsque </w:t>
      </w:r>
      <w:r>
        <w:t>ce crime</w:t>
      </w:r>
      <w:r w:rsidRPr="00E33B4C">
        <w:t xml:space="preserve"> est commis par le biais d</w:t>
      </w:r>
      <w:r>
        <w:t>’</w:t>
      </w:r>
      <w:r w:rsidRPr="00E33B4C">
        <w:t xml:space="preserve">un réseau informatique accessible au public. </w:t>
      </w:r>
      <w:r>
        <w:t>L</w:t>
      </w:r>
      <w:r w:rsidRPr="00E33B4C">
        <w:t xml:space="preserve">a peine </w:t>
      </w:r>
      <w:r>
        <w:t xml:space="preserve">maximale </w:t>
      </w:r>
      <w:r w:rsidRPr="00E33B4C">
        <w:t>d</w:t>
      </w:r>
      <w:r>
        <w:t>’</w:t>
      </w:r>
      <w:r w:rsidRPr="00E33B4C">
        <w:t xml:space="preserve">emprisonnement </w:t>
      </w:r>
      <w:r>
        <w:t>pour ce délit</w:t>
      </w:r>
      <w:r w:rsidRPr="00E33B4C">
        <w:t xml:space="preserve"> a été portée de huit à dix ans, ce qui l</w:t>
      </w:r>
      <w:r>
        <w:t>’</w:t>
      </w:r>
      <w:r w:rsidRPr="00E33B4C">
        <w:t xml:space="preserve">inscrit dans la catégorie des </w:t>
      </w:r>
      <w:r>
        <w:t>crimes</w:t>
      </w:r>
      <w:r w:rsidRPr="00E33B4C">
        <w:t xml:space="preserve"> particulièrement graves, avec toutes les conséquences que cela entraîne. Enfin, </w:t>
      </w:r>
      <w:r>
        <w:t xml:space="preserve">de nouvelles dispositions prévoyant </w:t>
      </w:r>
      <w:r w:rsidRPr="00E33B4C">
        <w:t xml:space="preserve">des </w:t>
      </w:r>
      <w:r>
        <w:t xml:space="preserve">peines </w:t>
      </w:r>
      <w:r w:rsidRPr="00E33B4C">
        <w:t>plus lourdes</w:t>
      </w:r>
      <w:r>
        <w:t xml:space="preserve"> </w:t>
      </w:r>
      <w:r w:rsidRPr="00E33B4C">
        <w:t xml:space="preserve">pour plusieurs </w:t>
      </w:r>
      <w:r>
        <w:t>crimes</w:t>
      </w:r>
      <w:r>
        <w:rPr>
          <w:rStyle w:val="FootnoteReference"/>
        </w:rPr>
        <w:footnoteReference w:id="21"/>
      </w:r>
      <w:r>
        <w:t xml:space="preserve"> ont été adoptées</w:t>
      </w:r>
      <w:r w:rsidRPr="00E33B4C">
        <w:t xml:space="preserve">, par exemple </w:t>
      </w:r>
      <w:r>
        <w:t xml:space="preserve">pour le fait de </w:t>
      </w:r>
      <w:r w:rsidRPr="00E33B4C">
        <w:t>commet</w:t>
      </w:r>
      <w:r>
        <w:t>tre</w:t>
      </w:r>
      <w:r w:rsidRPr="00E33B4C">
        <w:t xml:space="preserve"> un crime contre une autre personne </w:t>
      </w:r>
      <w:r>
        <w:t xml:space="preserve">au motif </w:t>
      </w:r>
      <w:r w:rsidRPr="00E33B4C">
        <w:t xml:space="preserve">de </w:t>
      </w:r>
      <w:r>
        <w:t>s</w:t>
      </w:r>
      <w:r w:rsidRPr="00E33B4C">
        <w:t>a race, d</w:t>
      </w:r>
      <w:r>
        <w:t>e son</w:t>
      </w:r>
      <w:r w:rsidRPr="00E33B4C">
        <w:t xml:space="preserve"> groupe ethnique, de </w:t>
      </w:r>
      <w:r>
        <w:t>s</w:t>
      </w:r>
      <w:r w:rsidRPr="00E33B4C">
        <w:t>a nationalité, de</w:t>
      </w:r>
      <w:r>
        <w:t xml:space="preserve"> ses croyances politiques ou de s</w:t>
      </w:r>
      <w:r w:rsidRPr="00E33B4C">
        <w:t>a religion réel</w:t>
      </w:r>
      <w:r>
        <w:t>s ou supposés,</w:t>
      </w:r>
      <w:r w:rsidRPr="00E33B4C">
        <w:t xml:space="preserve"> ou </w:t>
      </w:r>
      <w:r>
        <w:t>au motif</w:t>
      </w:r>
      <w:r w:rsidRPr="00E33B4C">
        <w:t xml:space="preserve"> qu</w:t>
      </w:r>
      <w:r>
        <w:t>’</w:t>
      </w:r>
      <w:r w:rsidRPr="00E33B4C">
        <w:t>elle n</w:t>
      </w:r>
      <w:r>
        <w:t>’</w:t>
      </w:r>
      <w:r w:rsidRPr="00E33B4C">
        <w:t>a pas ou semble ne pas avoir de religion</w:t>
      </w:r>
      <w:r>
        <w:rPr>
          <w:rStyle w:val="FootnoteReference"/>
        </w:rPr>
        <w:footnoteReference w:id="22"/>
      </w:r>
      <w:r w:rsidRPr="00E33B4C">
        <w:t>.</w:t>
      </w:r>
    </w:p>
    <w:p w:rsidR="004D42CE" w:rsidRDefault="004D42CE" w:rsidP="004D42CE">
      <w:pPr>
        <w:pStyle w:val="SingleTxtG"/>
        <w:spacing w:line="220" w:lineRule="atLeast"/>
      </w:pPr>
      <w:r>
        <w:t>35.</w:t>
      </w:r>
      <w:r>
        <w:tab/>
        <w:t>Conformément aux c</w:t>
      </w:r>
      <w:r w:rsidRPr="00E33B4C">
        <w:t>onventions internationales relatives au</w:t>
      </w:r>
      <w:r>
        <w:t>x</w:t>
      </w:r>
      <w:r w:rsidRPr="00E33B4C">
        <w:t xml:space="preserve"> crime</w:t>
      </w:r>
      <w:r>
        <w:t>s</w:t>
      </w:r>
      <w:r w:rsidRPr="00E33B4C">
        <w:t xml:space="preserve"> contre l</w:t>
      </w:r>
      <w:r>
        <w:t>’</w:t>
      </w:r>
      <w:r w:rsidRPr="00E33B4C">
        <w:t>humanité, le nouveau Code pénal définit de nouveaux éléments constituant une attaque contre l</w:t>
      </w:r>
      <w:r>
        <w:t>’</w:t>
      </w:r>
      <w:r w:rsidRPr="00E33B4C">
        <w:t>humanité</w:t>
      </w:r>
      <w:r>
        <w:rPr>
          <w:rStyle w:val="FootnoteReference"/>
        </w:rPr>
        <w:footnoteReference w:id="23"/>
      </w:r>
      <w:r w:rsidRPr="00E33B4C">
        <w:t>. Une attaque contre l</w:t>
      </w:r>
      <w:r>
        <w:t>’</w:t>
      </w:r>
      <w:r w:rsidRPr="00E33B4C">
        <w:t>humanité regroupe les crimes contre l</w:t>
      </w:r>
      <w:r>
        <w:t>’</w:t>
      </w:r>
      <w:r w:rsidRPr="00E33B4C">
        <w:t xml:space="preserve">humanité </w:t>
      </w:r>
      <w:r>
        <w:t xml:space="preserve">prévus habituellement dans le </w:t>
      </w:r>
      <w:r w:rsidRPr="00E33B4C">
        <w:t>droit international, notamment le meurtre, la torture, l</w:t>
      </w:r>
      <w:r>
        <w:t>’</w:t>
      </w:r>
      <w:r w:rsidRPr="00E33B4C">
        <w:t>extermination de personnes, l</w:t>
      </w:r>
      <w:r>
        <w:t>’</w:t>
      </w:r>
      <w:r w:rsidRPr="00E33B4C">
        <w:t>esclavage, la déportation ou le transfert forcé de population, le viol, l</w:t>
      </w:r>
      <w:r>
        <w:t>’</w:t>
      </w:r>
      <w:r w:rsidRPr="00E33B4C">
        <w:t>esclavage sexuel, la prostitution forcée, la grossesse forcée, la stérilisation forcée ou autres formes similaires de violence sexuelle, la persécution d</w:t>
      </w:r>
      <w:r>
        <w:t>’</w:t>
      </w:r>
      <w:r w:rsidRPr="00E33B4C">
        <w:t>une population, l</w:t>
      </w:r>
      <w:r>
        <w:t>’</w:t>
      </w:r>
      <w:r w:rsidRPr="00E33B4C">
        <w:t xml:space="preserve">apartheid ou autre </w:t>
      </w:r>
      <w:r>
        <w:t xml:space="preserve">forme de </w:t>
      </w:r>
      <w:r w:rsidRPr="00E33B4C">
        <w:t xml:space="preserve">ségrégation ou </w:t>
      </w:r>
      <w:r>
        <w:t xml:space="preserve">de </w:t>
      </w:r>
      <w:r w:rsidRPr="00E33B4C">
        <w:t xml:space="preserve">discrimination de même nature ou autres actes inhumains </w:t>
      </w:r>
      <w:r>
        <w:t>similaires</w:t>
      </w:r>
      <w:r w:rsidRPr="00E33B4C">
        <w:t>, notamment la disparition forcée d</w:t>
      </w:r>
      <w:r>
        <w:t>’</w:t>
      </w:r>
      <w:r w:rsidRPr="00E33B4C">
        <w:t>une personne, récemment codifiée</w:t>
      </w:r>
      <w:r>
        <w:t xml:space="preserve">, </w:t>
      </w:r>
      <w:r w:rsidRPr="00E33B4C">
        <w:t>l</w:t>
      </w:r>
      <w:r>
        <w:t>’</w:t>
      </w:r>
      <w:r w:rsidRPr="00E33B4C">
        <w:t xml:space="preserve">arrestation, la détention ou </w:t>
      </w:r>
      <w:r>
        <w:t>l’</w:t>
      </w:r>
      <w:r w:rsidRPr="00E33B4C">
        <w:t xml:space="preserve">enlèvement de personnes </w:t>
      </w:r>
      <w:r>
        <w:t xml:space="preserve">du fait de </w:t>
      </w:r>
      <w:r w:rsidRPr="00E33B4C">
        <w:t>l</w:t>
      </w:r>
      <w:r>
        <w:t>’</w:t>
      </w:r>
      <w:r w:rsidRPr="00E33B4C">
        <w:t xml:space="preserve">État ou </w:t>
      </w:r>
      <w:r>
        <w:t>d’</w:t>
      </w:r>
      <w:r w:rsidRPr="00E33B4C">
        <w:t>une organisation politique ou sous l</w:t>
      </w:r>
      <w:r>
        <w:t>’</w:t>
      </w:r>
      <w:r w:rsidRPr="00E33B4C">
        <w:t>autorité ou avec le soutien ou l</w:t>
      </w:r>
      <w:r>
        <w:t>’</w:t>
      </w:r>
      <w:r w:rsidRPr="00E33B4C">
        <w:t>accord d</w:t>
      </w:r>
      <w:r>
        <w:t>’</w:t>
      </w:r>
      <w:r w:rsidRPr="00E33B4C">
        <w:t>un État ou d</w:t>
      </w:r>
      <w:r>
        <w:t>’</w:t>
      </w:r>
      <w:r w:rsidRPr="00E33B4C">
        <w:t xml:space="preserve">une organisation politique, </w:t>
      </w:r>
      <w:r>
        <w:t xml:space="preserve">suivis du </w:t>
      </w:r>
      <w:r w:rsidRPr="00E33B4C">
        <w:t>refus de reconnaître qu</w:t>
      </w:r>
      <w:r>
        <w:t>’</w:t>
      </w:r>
      <w:r w:rsidRPr="00E33B4C">
        <w:t xml:space="preserve">il y a eu privation de liberté ou de révéler le sort </w:t>
      </w:r>
      <w:r>
        <w:t xml:space="preserve">de ces personnes </w:t>
      </w:r>
      <w:r w:rsidRPr="00E33B4C">
        <w:t xml:space="preserve">ou le lieu où </w:t>
      </w:r>
      <w:r>
        <w:t>elles se trouvent</w:t>
      </w:r>
      <w:r w:rsidRPr="00E33B4C">
        <w:t>, dans l</w:t>
      </w:r>
      <w:r>
        <w:t>’</w:t>
      </w:r>
      <w:r w:rsidRPr="00E33B4C">
        <w:t xml:space="preserve">intention de </w:t>
      </w:r>
      <w:r>
        <w:t xml:space="preserve">les </w:t>
      </w:r>
      <w:r w:rsidRPr="00E33B4C">
        <w:t xml:space="preserve">soustraire </w:t>
      </w:r>
      <w:r>
        <w:t xml:space="preserve">de façon prolongée </w:t>
      </w:r>
      <w:r w:rsidRPr="00E33B4C">
        <w:t>à la protection q</w:t>
      </w:r>
      <w:r>
        <w:t>ui leur est garantie par la loi.</w:t>
      </w:r>
    </w:p>
    <w:p w:rsidR="004D42CE" w:rsidRPr="00E33B4C" w:rsidRDefault="004D42CE" w:rsidP="004D42CE">
      <w:pPr>
        <w:pStyle w:val="SingleTxtG"/>
        <w:spacing w:line="220" w:lineRule="atLeast"/>
      </w:pPr>
      <w:r w:rsidRPr="00E33B4C">
        <w:t>36.</w:t>
      </w:r>
      <w:r w:rsidRPr="00E33B4C">
        <w:tab/>
        <w:t>Conformément à la Convention internationale sur l</w:t>
      </w:r>
      <w:r>
        <w:t>’</w:t>
      </w:r>
      <w:r w:rsidRPr="00E33B4C">
        <w:t>élimination et la répression du crime d</w:t>
      </w:r>
      <w:r>
        <w:t>’</w:t>
      </w:r>
      <w:r w:rsidRPr="00E33B4C">
        <w:t>apartheid du 30 novembre 1973, le Code pénal établit également de nouveaux éléments constitutifs d</w:t>
      </w:r>
      <w:r>
        <w:t>’</w:t>
      </w:r>
      <w:r w:rsidRPr="00E33B4C">
        <w:t xml:space="preserve">apartheid et de discrimination contre des groupes de personnes. La sanction de ce délit a été </w:t>
      </w:r>
      <w:r>
        <w:t>établie</w:t>
      </w:r>
      <w:r w:rsidRPr="00E33B4C">
        <w:t xml:space="preserve"> en fonction de la gravité de ce crime contre l</w:t>
      </w:r>
      <w:r>
        <w:t>’</w:t>
      </w:r>
      <w:r w:rsidRPr="00E33B4C">
        <w:t xml:space="preserve">humanité mais </w:t>
      </w:r>
      <w:r>
        <w:t xml:space="preserve">de manière </w:t>
      </w:r>
      <w:r w:rsidRPr="00E33B4C">
        <w:t>suffisamment large pour permettre aux tribunaux de prendre en compte les circonstances particulières de l</w:t>
      </w:r>
      <w:r>
        <w:t>’</w:t>
      </w:r>
      <w:r w:rsidRPr="00E33B4C">
        <w:t>affaire et du coupable.</w:t>
      </w:r>
    </w:p>
    <w:p w:rsidR="004D42CE" w:rsidRPr="00E33B4C" w:rsidRDefault="004D42CE" w:rsidP="004D42CE">
      <w:pPr>
        <w:pStyle w:val="SingleTxtG"/>
        <w:spacing w:line="220" w:lineRule="atLeast"/>
      </w:pPr>
      <w:r w:rsidRPr="00E33B4C">
        <w:t>37.</w:t>
      </w:r>
      <w:r w:rsidRPr="00E33B4C">
        <w:tab/>
        <w:t xml:space="preserve">Les rassemblements </w:t>
      </w:r>
      <w:r>
        <w:t xml:space="preserve">de sympathisants </w:t>
      </w:r>
      <w:r w:rsidRPr="00E33B4C">
        <w:t>d</w:t>
      </w:r>
      <w:r>
        <w:t xml:space="preserve">’extrême </w:t>
      </w:r>
      <w:r w:rsidRPr="00E33B4C">
        <w:t>droite se déroulent souvent sous le prétexte d</w:t>
      </w:r>
      <w:r>
        <w:t>’une naissance</w:t>
      </w:r>
      <w:r w:rsidRPr="00E33B4C">
        <w:t>, d</w:t>
      </w:r>
      <w:r>
        <w:t>’</w:t>
      </w:r>
      <w:r w:rsidRPr="00E33B4C">
        <w:t>un anniversaire, etc., dans des restaurants, au motif qu</w:t>
      </w:r>
      <w:r>
        <w:t>’</w:t>
      </w:r>
      <w:r w:rsidRPr="00E33B4C">
        <w:t>il s</w:t>
      </w:r>
      <w:r>
        <w:t>’</w:t>
      </w:r>
      <w:r w:rsidRPr="00E33B4C">
        <w:t>agit d</w:t>
      </w:r>
      <w:r>
        <w:t>’</w:t>
      </w:r>
      <w:r w:rsidRPr="00E33B4C">
        <w:t>un</w:t>
      </w:r>
      <w:r>
        <w:t xml:space="preserve"> événement</w:t>
      </w:r>
      <w:r w:rsidRPr="00E33B4C">
        <w:t xml:space="preserve"> privé. L</w:t>
      </w:r>
      <w:r>
        <w:t>’</w:t>
      </w:r>
      <w:r w:rsidRPr="00E33B4C">
        <w:t>entrée en vigueur de la nouvelle loi sur la Police tchèque</w:t>
      </w:r>
      <w:r>
        <w:rPr>
          <w:rStyle w:val="FootnoteReference"/>
        </w:rPr>
        <w:footnoteReference w:id="24"/>
      </w:r>
      <w:r>
        <w:t>,</w:t>
      </w:r>
      <w:r w:rsidRPr="00E33B4C">
        <w:t xml:space="preserve"> le 1</w:t>
      </w:r>
      <w:r w:rsidRPr="00E33B4C">
        <w:rPr>
          <w:vertAlign w:val="superscript"/>
        </w:rPr>
        <w:t>er</w:t>
      </w:r>
      <w:r w:rsidRPr="00F53397">
        <w:t> </w:t>
      </w:r>
      <w:r w:rsidRPr="00E33B4C">
        <w:t>janvier 2009</w:t>
      </w:r>
      <w:r>
        <w:t>,</w:t>
      </w:r>
      <w:r w:rsidRPr="00E33B4C">
        <w:t xml:space="preserve"> a entraîné une modification de l</w:t>
      </w:r>
      <w:r>
        <w:t>’</w:t>
      </w:r>
      <w:r w:rsidRPr="00E33B4C">
        <w:t xml:space="preserve">autorisation donnée à la police de pénétrer dans les établissements commerciaux. Cette loi autorise désormais la police à entrer non seulement dans les locaux destinés </w:t>
      </w:r>
      <w:r>
        <w:t>à accueillir les c</w:t>
      </w:r>
      <w:r w:rsidRPr="00E33B4C">
        <w:t xml:space="preserve">lients, mais </w:t>
      </w:r>
      <w:r>
        <w:t xml:space="preserve">aussi dans tous ceux </w:t>
      </w:r>
      <w:r w:rsidRPr="00E33B4C">
        <w:t xml:space="preserve">où elle peut raisonnablement </w:t>
      </w:r>
      <w:r>
        <w:t xml:space="preserve">supposer </w:t>
      </w:r>
      <w:r w:rsidRPr="00E33B4C">
        <w:t>qu</w:t>
      </w:r>
      <w:r>
        <w:t>’</w:t>
      </w:r>
      <w:r w:rsidRPr="00E33B4C">
        <w:t>il y a</w:t>
      </w:r>
      <w:r>
        <w:t xml:space="preserve"> des personnes</w:t>
      </w:r>
      <w:r w:rsidRPr="00E33B4C">
        <w:t xml:space="preserve">, </w:t>
      </w:r>
      <w:r>
        <w:t>même</w:t>
      </w:r>
      <w:r w:rsidRPr="00E33B4C">
        <w:t xml:space="preserve"> après les heures de fermeture. </w:t>
      </w:r>
    </w:p>
    <w:p w:rsidR="004D42CE" w:rsidRPr="00E33B4C" w:rsidRDefault="004D42CE" w:rsidP="004D42CE">
      <w:pPr>
        <w:pStyle w:val="SingleTxtG"/>
        <w:spacing w:line="220" w:lineRule="atLeast"/>
      </w:pPr>
      <w:r w:rsidRPr="00E33B4C">
        <w:t>38.</w:t>
      </w:r>
      <w:r w:rsidRPr="00E33B4C">
        <w:tab/>
        <w:t>Les personnes assistant à ces rassemblements dissimulaient souvent leur visage d</w:t>
      </w:r>
      <w:r>
        <w:t>’</w:t>
      </w:r>
      <w:r w:rsidRPr="00E33B4C">
        <w:t>une telle manière qu</w:t>
      </w:r>
      <w:r>
        <w:t>’</w:t>
      </w:r>
      <w:r w:rsidRPr="00E33B4C">
        <w:t xml:space="preserve">il était quasiment impossible de les identifier. </w:t>
      </w:r>
      <w:r>
        <w:t>Elles</w:t>
      </w:r>
      <w:r w:rsidRPr="00E33B4C">
        <w:t xml:space="preserve"> </w:t>
      </w:r>
      <w:r>
        <w:t>n’</w:t>
      </w:r>
      <w:r w:rsidRPr="00E33B4C">
        <w:t>étaient obligé</w:t>
      </w:r>
      <w:r>
        <w:t>e</w:t>
      </w:r>
      <w:r w:rsidRPr="00E33B4C">
        <w:t>s de montrer leur visage que dans le ca</w:t>
      </w:r>
      <w:r>
        <w:t>s</w:t>
      </w:r>
      <w:r w:rsidRPr="00E33B4C">
        <w:t xml:space="preserve"> d</w:t>
      </w:r>
      <w:r>
        <w:t>’</w:t>
      </w:r>
      <w:r w:rsidRPr="00E33B4C">
        <w:t>une intervention de la police. Une modification à la loi sur la liberté de réunion dispose que les participants ne doivent pas cacher leur visage d</w:t>
      </w:r>
      <w:r>
        <w:t>’</w:t>
      </w:r>
      <w:r w:rsidRPr="00E33B4C">
        <w:t xml:space="preserve">une façon qui empêche ou fasse obstacle à leur identification </w:t>
      </w:r>
      <w:r>
        <w:t>pendant toute</w:t>
      </w:r>
      <w:r w:rsidRPr="00E33B4C">
        <w:t xml:space="preserve"> la durée </w:t>
      </w:r>
      <w:r>
        <w:t>de la réunion</w:t>
      </w:r>
      <w:r w:rsidRPr="00E33B4C">
        <w:t>. Le rassemblement peut être dispersé si cette exigence n</w:t>
      </w:r>
      <w:r>
        <w:t>’</w:t>
      </w:r>
      <w:r w:rsidRPr="00E33B4C">
        <w:t xml:space="preserve">est pas respectée. </w:t>
      </w:r>
    </w:p>
    <w:p w:rsidR="004D42CE" w:rsidRPr="00E33B4C" w:rsidRDefault="004D42CE" w:rsidP="004D42CE">
      <w:pPr>
        <w:pStyle w:val="SingleTxtG"/>
        <w:spacing w:line="220" w:lineRule="atLeast"/>
      </w:pPr>
      <w:r w:rsidRPr="00E33B4C">
        <w:t>39.</w:t>
      </w:r>
      <w:r w:rsidRPr="00E33B4C">
        <w:tab/>
        <w:t>Le 4 mai 2009, le Gouvernement a adopté la stratégie contre l</w:t>
      </w:r>
      <w:r>
        <w:t>’</w:t>
      </w:r>
      <w:r w:rsidRPr="00E33B4C">
        <w:t>extrémisme, qui intègre le concept de lutte contre l</w:t>
      </w:r>
      <w:r>
        <w:t>’</w:t>
      </w:r>
      <w:r w:rsidRPr="00E33B4C">
        <w:t xml:space="preserve">extrémisme, dont le but est de </w:t>
      </w:r>
      <w:r>
        <w:t>définir</w:t>
      </w:r>
      <w:r w:rsidRPr="00E33B4C">
        <w:t xml:space="preserve"> des instructions qui </w:t>
      </w:r>
      <w:r>
        <w:t>aideront</w:t>
      </w:r>
      <w:r w:rsidRPr="00E33B4C">
        <w:t xml:space="preserve"> à marginaliser les extrémistes jusqu</w:t>
      </w:r>
      <w:r>
        <w:t>’</w:t>
      </w:r>
      <w:r w:rsidRPr="00E33B4C">
        <w:t>au point où ils ne constitueront plus une menace pour la sécurité. L</w:t>
      </w:r>
      <w:r>
        <w:t>’</w:t>
      </w:r>
      <w:r w:rsidRPr="00E33B4C">
        <w:t>objectif n</w:t>
      </w:r>
      <w:r>
        <w:t>’</w:t>
      </w:r>
      <w:r w:rsidRPr="00E33B4C">
        <w:t>est pas d</w:t>
      </w:r>
      <w:r>
        <w:t>’</w:t>
      </w:r>
      <w:r w:rsidRPr="00E33B4C">
        <w:t xml:space="preserve">effacer </w:t>
      </w:r>
      <w:r>
        <w:t xml:space="preserve">totalement </w:t>
      </w:r>
      <w:r w:rsidRPr="00E33B4C">
        <w:t>l</w:t>
      </w:r>
      <w:r>
        <w:t>’</w:t>
      </w:r>
      <w:r w:rsidRPr="00E33B4C">
        <w:t>extrémisme de la carte pol</w:t>
      </w:r>
      <w:r>
        <w:t>itique de la République tchèque</w:t>
      </w:r>
      <w:r w:rsidRPr="00E33B4C">
        <w:t xml:space="preserve">, mais </w:t>
      </w:r>
      <w:r>
        <w:t>de lui fixer</w:t>
      </w:r>
      <w:r w:rsidRPr="00E33B4C">
        <w:t xml:space="preserve"> des limites </w:t>
      </w:r>
      <w:r>
        <w:t xml:space="preserve">dans le cadre </w:t>
      </w:r>
      <w:r w:rsidRPr="00E33B4C">
        <w:t>des mécanismes démocratiques de la République tchèque.</w:t>
      </w:r>
    </w:p>
    <w:p w:rsidR="004D42CE" w:rsidRDefault="004D42CE" w:rsidP="004D42CE">
      <w:pPr>
        <w:pStyle w:val="H23G"/>
      </w:pPr>
      <w:r>
        <w:tab/>
      </w:r>
      <w:r>
        <w:tab/>
      </w:r>
      <w:r w:rsidRPr="00E33B4C">
        <w:t>Nombre total d</w:t>
      </w:r>
      <w:r>
        <w:t>’infractions</w:t>
      </w:r>
      <w:r w:rsidRPr="00E33B4C">
        <w:t xml:space="preserve"> à connotation extrémiste </w:t>
      </w:r>
      <w:r>
        <w:t>recensées</w:t>
      </w:r>
      <w:r w:rsidRPr="00E33B4C">
        <w:t xml:space="preserve"> en République tchèque de 2005 à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1051"/>
        <w:gridCol w:w="1051"/>
        <w:gridCol w:w="1051"/>
        <w:gridCol w:w="1051"/>
      </w:tblGrid>
      <w:tr w:rsidR="004D42CE" w:rsidRPr="00D1205C" w:rsidTr="00283F2E">
        <w:trPr>
          <w:tblHeader/>
        </w:trPr>
        <w:tc>
          <w:tcPr>
            <w:tcW w:w="3166" w:type="dxa"/>
            <w:tcBorders>
              <w:top w:val="single" w:sz="4" w:space="0" w:color="auto"/>
              <w:bottom w:val="single" w:sz="12" w:space="0" w:color="auto"/>
            </w:tcBorders>
            <w:shd w:val="clear" w:color="auto" w:fill="auto"/>
            <w:vAlign w:val="bottom"/>
          </w:tcPr>
          <w:p w:rsidR="004D42CE" w:rsidRPr="00D1205C" w:rsidRDefault="004D42CE" w:rsidP="00283F2E">
            <w:pPr>
              <w:spacing w:before="80" w:after="80" w:line="200" w:lineRule="exact"/>
              <w:rPr>
                <w:i/>
                <w:sz w:val="16"/>
              </w:rPr>
            </w:pPr>
            <w:r>
              <w:rPr>
                <w:i/>
                <w:sz w:val="16"/>
              </w:rPr>
              <w:t>Année</w:t>
            </w:r>
          </w:p>
        </w:tc>
        <w:tc>
          <w:tcPr>
            <w:tcW w:w="1051" w:type="dxa"/>
            <w:tcBorders>
              <w:top w:val="single" w:sz="4" w:space="0" w:color="auto"/>
              <w:bottom w:val="single" w:sz="12" w:space="0" w:color="auto"/>
            </w:tcBorders>
            <w:shd w:val="clear" w:color="auto" w:fill="auto"/>
            <w:vAlign w:val="bottom"/>
          </w:tcPr>
          <w:p w:rsidR="004D42CE" w:rsidRPr="00D1205C" w:rsidRDefault="004D42CE" w:rsidP="00283F2E">
            <w:pPr>
              <w:spacing w:before="80" w:after="80" w:line="200" w:lineRule="exact"/>
              <w:jc w:val="right"/>
              <w:rPr>
                <w:i/>
                <w:sz w:val="16"/>
              </w:rPr>
            </w:pPr>
            <w:r>
              <w:rPr>
                <w:i/>
                <w:sz w:val="16"/>
              </w:rPr>
              <w:t>2005</w:t>
            </w:r>
          </w:p>
        </w:tc>
        <w:tc>
          <w:tcPr>
            <w:tcW w:w="1051" w:type="dxa"/>
            <w:tcBorders>
              <w:top w:val="single" w:sz="4" w:space="0" w:color="auto"/>
              <w:bottom w:val="single" w:sz="12" w:space="0" w:color="auto"/>
            </w:tcBorders>
            <w:shd w:val="clear" w:color="auto" w:fill="auto"/>
            <w:vAlign w:val="bottom"/>
          </w:tcPr>
          <w:p w:rsidR="004D42CE" w:rsidRPr="00D1205C" w:rsidRDefault="004D42CE" w:rsidP="00283F2E">
            <w:pPr>
              <w:spacing w:before="80" w:after="80" w:line="200" w:lineRule="exact"/>
              <w:jc w:val="right"/>
              <w:rPr>
                <w:i/>
                <w:sz w:val="16"/>
              </w:rPr>
            </w:pPr>
            <w:r>
              <w:rPr>
                <w:i/>
                <w:sz w:val="16"/>
              </w:rPr>
              <w:t>2006</w:t>
            </w:r>
          </w:p>
        </w:tc>
        <w:tc>
          <w:tcPr>
            <w:tcW w:w="1051" w:type="dxa"/>
            <w:tcBorders>
              <w:top w:val="single" w:sz="4" w:space="0" w:color="auto"/>
              <w:bottom w:val="single" w:sz="12" w:space="0" w:color="auto"/>
            </w:tcBorders>
            <w:shd w:val="clear" w:color="auto" w:fill="auto"/>
            <w:vAlign w:val="bottom"/>
          </w:tcPr>
          <w:p w:rsidR="004D42CE" w:rsidRPr="00D1205C" w:rsidRDefault="004D42CE" w:rsidP="00283F2E">
            <w:pPr>
              <w:spacing w:before="80" w:after="80" w:line="200" w:lineRule="exact"/>
              <w:jc w:val="right"/>
              <w:rPr>
                <w:i/>
                <w:sz w:val="16"/>
              </w:rPr>
            </w:pPr>
            <w:r>
              <w:rPr>
                <w:i/>
                <w:sz w:val="16"/>
              </w:rPr>
              <w:t>2007</w:t>
            </w:r>
          </w:p>
        </w:tc>
        <w:tc>
          <w:tcPr>
            <w:tcW w:w="1051" w:type="dxa"/>
            <w:tcBorders>
              <w:top w:val="single" w:sz="4" w:space="0" w:color="auto"/>
              <w:bottom w:val="single" w:sz="12" w:space="0" w:color="auto"/>
            </w:tcBorders>
            <w:shd w:val="clear" w:color="auto" w:fill="auto"/>
            <w:vAlign w:val="bottom"/>
          </w:tcPr>
          <w:p w:rsidR="004D42CE" w:rsidRPr="00D1205C" w:rsidRDefault="004D42CE" w:rsidP="00283F2E">
            <w:pPr>
              <w:spacing w:before="80" w:after="80" w:line="200" w:lineRule="exact"/>
              <w:jc w:val="right"/>
              <w:rPr>
                <w:i/>
                <w:sz w:val="16"/>
              </w:rPr>
            </w:pPr>
            <w:r>
              <w:rPr>
                <w:i/>
                <w:sz w:val="16"/>
              </w:rPr>
              <w:t>2008</w:t>
            </w:r>
          </w:p>
        </w:tc>
      </w:tr>
      <w:tr w:rsidR="004D42CE" w:rsidTr="00283F2E">
        <w:tc>
          <w:tcPr>
            <w:tcW w:w="3166" w:type="dxa"/>
            <w:tcBorders>
              <w:top w:val="single" w:sz="12" w:space="0" w:color="auto"/>
            </w:tcBorders>
            <w:shd w:val="clear" w:color="auto" w:fill="auto"/>
            <w:vAlign w:val="bottom"/>
          </w:tcPr>
          <w:p w:rsidR="004D42CE" w:rsidRPr="00D1205C" w:rsidRDefault="004D42CE" w:rsidP="00283F2E">
            <w:pPr>
              <w:spacing w:before="40" w:after="40" w:line="220" w:lineRule="exact"/>
              <w:rPr>
                <w:sz w:val="18"/>
              </w:rPr>
            </w:pPr>
            <w:r>
              <w:rPr>
                <w:sz w:val="18"/>
              </w:rPr>
              <w:t>Nombre d’infractions recensées</w:t>
            </w:r>
          </w:p>
        </w:tc>
        <w:tc>
          <w:tcPr>
            <w:tcW w:w="1051" w:type="dxa"/>
            <w:tcBorders>
              <w:top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253</w:t>
            </w:r>
          </w:p>
        </w:tc>
        <w:tc>
          <w:tcPr>
            <w:tcW w:w="1051" w:type="dxa"/>
            <w:tcBorders>
              <w:top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248</w:t>
            </w:r>
          </w:p>
        </w:tc>
        <w:tc>
          <w:tcPr>
            <w:tcW w:w="1051" w:type="dxa"/>
            <w:tcBorders>
              <w:top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196</w:t>
            </w:r>
          </w:p>
        </w:tc>
        <w:tc>
          <w:tcPr>
            <w:tcW w:w="1051" w:type="dxa"/>
            <w:tcBorders>
              <w:top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217</w:t>
            </w:r>
          </w:p>
        </w:tc>
      </w:tr>
      <w:tr w:rsidR="004D42CE" w:rsidTr="00283F2E">
        <w:tc>
          <w:tcPr>
            <w:tcW w:w="3166" w:type="dxa"/>
            <w:shd w:val="clear" w:color="auto" w:fill="auto"/>
            <w:vAlign w:val="bottom"/>
          </w:tcPr>
          <w:p w:rsidR="004D42CE" w:rsidRPr="00D1205C" w:rsidRDefault="004D42CE" w:rsidP="00283F2E">
            <w:pPr>
              <w:spacing w:before="40" w:after="40" w:line="220" w:lineRule="exact"/>
              <w:rPr>
                <w:sz w:val="18"/>
              </w:rPr>
            </w:pPr>
            <w:r>
              <w:rPr>
                <w:sz w:val="18"/>
              </w:rPr>
              <w:t>Pourcentage de l’ensemble des infractions</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0,07 %</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0,07 %</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0,05 %</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0,06 %</w:t>
            </w:r>
          </w:p>
        </w:tc>
      </w:tr>
      <w:tr w:rsidR="004D42CE" w:rsidTr="00283F2E">
        <w:tc>
          <w:tcPr>
            <w:tcW w:w="3166" w:type="dxa"/>
            <w:shd w:val="clear" w:color="auto" w:fill="auto"/>
            <w:vAlign w:val="bottom"/>
          </w:tcPr>
          <w:p w:rsidR="004D42CE" w:rsidRPr="00D1205C" w:rsidRDefault="004D42CE" w:rsidP="00283F2E">
            <w:pPr>
              <w:spacing w:before="40" w:after="40" w:line="220" w:lineRule="exact"/>
              <w:rPr>
                <w:sz w:val="18"/>
              </w:rPr>
            </w:pPr>
            <w:r>
              <w:rPr>
                <w:sz w:val="18"/>
              </w:rPr>
              <w:t>Nombre d’infractions élucidées</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191</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196</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119</w:t>
            </w:r>
          </w:p>
        </w:tc>
        <w:tc>
          <w:tcPr>
            <w:tcW w:w="1051" w:type="dxa"/>
            <w:shd w:val="clear" w:color="auto" w:fill="auto"/>
            <w:vAlign w:val="bottom"/>
          </w:tcPr>
          <w:p w:rsidR="004D42CE" w:rsidRPr="00D1205C" w:rsidRDefault="004D42CE" w:rsidP="00283F2E">
            <w:pPr>
              <w:spacing w:before="40" w:after="40" w:line="220" w:lineRule="exact"/>
              <w:jc w:val="right"/>
              <w:rPr>
                <w:sz w:val="18"/>
              </w:rPr>
            </w:pPr>
            <w:r>
              <w:rPr>
                <w:sz w:val="18"/>
              </w:rPr>
              <w:t>126</w:t>
            </w:r>
          </w:p>
        </w:tc>
      </w:tr>
      <w:tr w:rsidR="004D42CE" w:rsidTr="00283F2E">
        <w:tc>
          <w:tcPr>
            <w:tcW w:w="3166" w:type="dxa"/>
            <w:tcBorders>
              <w:bottom w:val="single" w:sz="12" w:space="0" w:color="auto"/>
            </w:tcBorders>
            <w:shd w:val="clear" w:color="auto" w:fill="auto"/>
            <w:vAlign w:val="bottom"/>
          </w:tcPr>
          <w:p w:rsidR="004D42CE" w:rsidRPr="00D1205C" w:rsidRDefault="004D42CE" w:rsidP="00283F2E">
            <w:pPr>
              <w:spacing w:before="40" w:after="40" w:line="220" w:lineRule="exact"/>
              <w:rPr>
                <w:sz w:val="18"/>
              </w:rPr>
            </w:pPr>
            <w:r>
              <w:rPr>
                <w:sz w:val="18"/>
              </w:rPr>
              <w:t>Nombre de personnes poursuivies</w:t>
            </w:r>
          </w:p>
        </w:tc>
        <w:tc>
          <w:tcPr>
            <w:tcW w:w="1051" w:type="dxa"/>
            <w:tcBorders>
              <w:bottom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269</w:t>
            </w:r>
          </w:p>
        </w:tc>
        <w:tc>
          <w:tcPr>
            <w:tcW w:w="1051" w:type="dxa"/>
            <w:tcBorders>
              <w:bottom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242</w:t>
            </w:r>
          </w:p>
        </w:tc>
        <w:tc>
          <w:tcPr>
            <w:tcW w:w="1051" w:type="dxa"/>
            <w:tcBorders>
              <w:bottom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181</w:t>
            </w:r>
          </w:p>
        </w:tc>
        <w:tc>
          <w:tcPr>
            <w:tcW w:w="1051" w:type="dxa"/>
            <w:tcBorders>
              <w:bottom w:val="single" w:sz="12" w:space="0" w:color="auto"/>
            </w:tcBorders>
            <w:shd w:val="clear" w:color="auto" w:fill="auto"/>
            <w:vAlign w:val="bottom"/>
          </w:tcPr>
          <w:p w:rsidR="004D42CE" w:rsidRPr="00D1205C" w:rsidRDefault="004D42CE" w:rsidP="00283F2E">
            <w:pPr>
              <w:spacing w:before="40" w:after="40" w:line="220" w:lineRule="exact"/>
              <w:jc w:val="right"/>
              <w:rPr>
                <w:sz w:val="18"/>
              </w:rPr>
            </w:pPr>
            <w:r>
              <w:rPr>
                <w:sz w:val="18"/>
              </w:rPr>
              <w:t>195</w:t>
            </w:r>
          </w:p>
        </w:tc>
      </w:tr>
    </w:tbl>
    <w:p w:rsidR="004D42CE" w:rsidRDefault="004D42CE" w:rsidP="004D42CE">
      <w:pPr>
        <w:pStyle w:val="H23G"/>
      </w:pPr>
      <w:r>
        <w:tab/>
      </w:r>
      <w:r>
        <w:tab/>
        <w:t>Infractions</w:t>
      </w:r>
      <w:r w:rsidRPr="00E33B4C">
        <w:t xml:space="preserve"> à connotation extrémiste</w:t>
      </w:r>
      <w:r>
        <w:t xml:space="preserve"> recensées</w:t>
      </w:r>
      <w:r w:rsidRPr="00E33B4C">
        <w:t xml:space="preserve"> en République tchèque en 2009 (</w:t>
      </w:r>
      <w:r>
        <w:t>du </w:t>
      </w:r>
      <w:r w:rsidRPr="00E33B4C">
        <w:t>1</w:t>
      </w:r>
      <w:r w:rsidRPr="00E33B4C">
        <w:rPr>
          <w:vertAlign w:val="superscript"/>
        </w:rPr>
        <w:t>er</w:t>
      </w:r>
      <w:r w:rsidRPr="004B5BD6">
        <w:t> </w:t>
      </w:r>
      <w:r w:rsidRPr="00E33B4C">
        <w:t>janvier au 30 septembre</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1401"/>
        <w:gridCol w:w="1401"/>
        <w:gridCol w:w="1402"/>
      </w:tblGrid>
      <w:tr w:rsidR="004D42CE" w:rsidRPr="003768FC" w:rsidTr="00283F2E">
        <w:trPr>
          <w:tblHeader/>
        </w:trPr>
        <w:tc>
          <w:tcPr>
            <w:tcW w:w="3166" w:type="dxa"/>
            <w:tcBorders>
              <w:top w:val="single" w:sz="4" w:space="0" w:color="auto"/>
              <w:bottom w:val="single" w:sz="12" w:space="0" w:color="auto"/>
            </w:tcBorders>
            <w:shd w:val="clear" w:color="auto" w:fill="auto"/>
            <w:vAlign w:val="bottom"/>
          </w:tcPr>
          <w:p w:rsidR="004D42CE" w:rsidRPr="003768FC" w:rsidRDefault="004D42CE" w:rsidP="00283F2E">
            <w:pPr>
              <w:spacing w:before="80" w:after="80" w:line="200" w:lineRule="exact"/>
              <w:rPr>
                <w:i/>
                <w:sz w:val="16"/>
              </w:rPr>
            </w:pPr>
            <w:r>
              <w:rPr>
                <w:i/>
                <w:sz w:val="16"/>
              </w:rPr>
              <w:t>Provinces</w:t>
            </w:r>
          </w:p>
        </w:tc>
        <w:tc>
          <w:tcPr>
            <w:tcW w:w="1401" w:type="dxa"/>
            <w:tcBorders>
              <w:top w:val="single" w:sz="4" w:space="0" w:color="auto"/>
              <w:bottom w:val="single" w:sz="12" w:space="0" w:color="auto"/>
            </w:tcBorders>
            <w:shd w:val="clear" w:color="auto" w:fill="auto"/>
            <w:vAlign w:val="bottom"/>
          </w:tcPr>
          <w:p w:rsidR="004D42CE" w:rsidRPr="003768FC" w:rsidRDefault="004D42CE" w:rsidP="00283F2E">
            <w:pPr>
              <w:spacing w:before="80" w:after="80" w:line="200" w:lineRule="exact"/>
              <w:jc w:val="right"/>
              <w:rPr>
                <w:i/>
                <w:sz w:val="16"/>
              </w:rPr>
            </w:pPr>
            <w:r w:rsidRPr="003768FC">
              <w:rPr>
                <w:i/>
                <w:sz w:val="16"/>
              </w:rPr>
              <w:t>1</w:t>
            </w:r>
            <w:r w:rsidRPr="00EC5D01">
              <w:rPr>
                <w:i/>
                <w:sz w:val="16"/>
                <w:vertAlign w:val="superscript"/>
              </w:rPr>
              <w:t>er</w:t>
            </w:r>
            <w:r>
              <w:rPr>
                <w:i/>
                <w:sz w:val="16"/>
              </w:rPr>
              <w:t xml:space="preserve"> janv.</w:t>
            </w:r>
            <w:r w:rsidRPr="003768FC">
              <w:rPr>
                <w:i/>
                <w:sz w:val="16"/>
              </w:rPr>
              <w:t>-</w:t>
            </w:r>
            <w:r>
              <w:rPr>
                <w:i/>
                <w:sz w:val="16"/>
              </w:rPr>
              <w:br/>
            </w:r>
            <w:r w:rsidRPr="003768FC">
              <w:rPr>
                <w:i/>
                <w:sz w:val="16"/>
              </w:rPr>
              <w:t>31</w:t>
            </w:r>
            <w:r>
              <w:rPr>
                <w:i/>
                <w:sz w:val="16"/>
              </w:rPr>
              <w:t xml:space="preserve"> août </w:t>
            </w:r>
            <w:r w:rsidRPr="003768FC">
              <w:rPr>
                <w:i/>
                <w:sz w:val="16"/>
              </w:rPr>
              <w:t>2009</w:t>
            </w:r>
            <w:r w:rsidRPr="003768FC">
              <w:rPr>
                <w:i/>
                <w:sz w:val="16"/>
              </w:rPr>
              <w:br/>
              <w:t>(</w:t>
            </w:r>
            <w:r>
              <w:rPr>
                <w:i/>
                <w:sz w:val="16"/>
              </w:rPr>
              <w:t>infractions</w:t>
            </w:r>
            <w:r w:rsidRPr="003768FC">
              <w:rPr>
                <w:i/>
                <w:sz w:val="16"/>
              </w:rPr>
              <w:t xml:space="preserve"> recensé</w:t>
            </w:r>
            <w:r>
              <w:rPr>
                <w:i/>
                <w:sz w:val="16"/>
              </w:rPr>
              <w:t>e</w:t>
            </w:r>
            <w:r w:rsidRPr="003768FC">
              <w:rPr>
                <w:i/>
                <w:sz w:val="16"/>
              </w:rPr>
              <w:t>s)</w:t>
            </w:r>
          </w:p>
        </w:tc>
        <w:tc>
          <w:tcPr>
            <w:tcW w:w="1401" w:type="dxa"/>
            <w:tcBorders>
              <w:top w:val="single" w:sz="4" w:space="0" w:color="auto"/>
              <w:bottom w:val="single" w:sz="12" w:space="0" w:color="auto"/>
            </w:tcBorders>
            <w:shd w:val="clear" w:color="auto" w:fill="auto"/>
            <w:vAlign w:val="bottom"/>
          </w:tcPr>
          <w:p w:rsidR="004D42CE" w:rsidRPr="003768FC" w:rsidRDefault="004D42CE" w:rsidP="00283F2E">
            <w:pPr>
              <w:spacing w:before="80" w:after="80" w:line="200" w:lineRule="exact"/>
              <w:jc w:val="right"/>
              <w:rPr>
                <w:i/>
                <w:sz w:val="16"/>
              </w:rPr>
            </w:pPr>
            <w:r w:rsidRPr="003768FC">
              <w:rPr>
                <w:i/>
                <w:sz w:val="16"/>
              </w:rPr>
              <w:t>1</w:t>
            </w:r>
            <w:r w:rsidRPr="00EC5D01">
              <w:rPr>
                <w:i/>
                <w:sz w:val="16"/>
                <w:vertAlign w:val="superscript"/>
              </w:rPr>
              <w:t>er</w:t>
            </w:r>
            <w:r>
              <w:rPr>
                <w:i/>
                <w:sz w:val="16"/>
              </w:rPr>
              <w:t xml:space="preserve"> janv.</w:t>
            </w:r>
            <w:r w:rsidRPr="003768FC">
              <w:rPr>
                <w:i/>
                <w:sz w:val="16"/>
              </w:rPr>
              <w:t>-</w:t>
            </w:r>
            <w:r>
              <w:rPr>
                <w:i/>
                <w:sz w:val="16"/>
              </w:rPr>
              <w:br/>
            </w:r>
            <w:r w:rsidRPr="003768FC">
              <w:rPr>
                <w:i/>
                <w:sz w:val="16"/>
              </w:rPr>
              <w:t>30</w:t>
            </w:r>
            <w:r>
              <w:rPr>
                <w:i/>
                <w:sz w:val="16"/>
              </w:rPr>
              <w:t xml:space="preserve"> sept. </w:t>
            </w:r>
            <w:r w:rsidRPr="003768FC">
              <w:rPr>
                <w:i/>
                <w:sz w:val="16"/>
              </w:rPr>
              <w:t>2008</w:t>
            </w:r>
            <w:r w:rsidRPr="003768FC">
              <w:rPr>
                <w:i/>
                <w:sz w:val="16"/>
              </w:rPr>
              <w:br/>
              <w:t>(</w:t>
            </w:r>
            <w:r>
              <w:rPr>
                <w:i/>
                <w:sz w:val="16"/>
              </w:rPr>
              <w:t>infractions</w:t>
            </w:r>
            <w:r w:rsidRPr="003768FC">
              <w:rPr>
                <w:i/>
                <w:sz w:val="16"/>
              </w:rPr>
              <w:t xml:space="preserve"> recensé</w:t>
            </w:r>
            <w:r>
              <w:rPr>
                <w:i/>
                <w:sz w:val="16"/>
              </w:rPr>
              <w:t>e</w:t>
            </w:r>
            <w:r w:rsidRPr="003768FC">
              <w:rPr>
                <w:i/>
                <w:sz w:val="16"/>
              </w:rPr>
              <w:t>s)</w:t>
            </w:r>
          </w:p>
        </w:tc>
        <w:tc>
          <w:tcPr>
            <w:tcW w:w="1402" w:type="dxa"/>
            <w:tcBorders>
              <w:top w:val="single" w:sz="4" w:space="0" w:color="auto"/>
              <w:bottom w:val="single" w:sz="12" w:space="0" w:color="auto"/>
            </w:tcBorders>
            <w:shd w:val="clear" w:color="auto" w:fill="auto"/>
            <w:vAlign w:val="bottom"/>
          </w:tcPr>
          <w:p w:rsidR="004D42CE" w:rsidRPr="003768FC" w:rsidRDefault="004D42CE" w:rsidP="00283F2E">
            <w:pPr>
              <w:spacing w:before="80" w:after="80" w:line="200" w:lineRule="exact"/>
              <w:jc w:val="right"/>
              <w:rPr>
                <w:i/>
                <w:sz w:val="16"/>
              </w:rPr>
            </w:pPr>
            <w:r w:rsidRPr="003768FC">
              <w:rPr>
                <w:i/>
                <w:sz w:val="16"/>
              </w:rPr>
              <w:t>Écart</w:t>
            </w:r>
          </w:p>
        </w:tc>
      </w:tr>
      <w:tr w:rsidR="004D42CE" w:rsidRPr="003768FC" w:rsidTr="00283F2E">
        <w:tc>
          <w:tcPr>
            <w:tcW w:w="3166" w:type="dxa"/>
            <w:tcBorders>
              <w:top w:val="single" w:sz="12" w:space="0" w:color="auto"/>
            </w:tcBorders>
            <w:shd w:val="clear" w:color="auto" w:fill="auto"/>
            <w:vAlign w:val="bottom"/>
          </w:tcPr>
          <w:p w:rsidR="004D42CE" w:rsidRPr="003768FC" w:rsidRDefault="004D42CE" w:rsidP="00283F2E">
            <w:pPr>
              <w:spacing w:before="40" w:after="40" w:line="220" w:lineRule="exact"/>
              <w:rPr>
                <w:sz w:val="18"/>
              </w:rPr>
            </w:pPr>
            <w:r>
              <w:rPr>
                <w:sz w:val="18"/>
              </w:rPr>
              <w:t xml:space="preserve">Hlavní město Praha </w:t>
            </w:r>
            <w:r w:rsidRPr="003368F2">
              <w:rPr>
                <w:sz w:val="18"/>
              </w:rPr>
              <w:t>(Ville de Prague</w:t>
            </w:r>
            <w:r>
              <w:rPr>
                <w:sz w:val="18"/>
              </w:rPr>
              <w:t>)</w:t>
            </w:r>
          </w:p>
        </w:tc>
        <w:tc>
          <w:tcPr>
            <w:tcW w:w="1401" w:type="dxa"/>
            <w:tcBorders>
              <w:top w:val="single" w:sz="12" w:space="0" w:color="auto"/>
            </w:tcBorders>
            <w:shd w:val="clear" w:color="auto" w:fill="auto"/>
            <w:vAlign w:val="bottom"/>
          </w:tcPr>
          <w:p w:rsidR="004D42CE" w:rsidRPr="003768FC" w:rsidRDefault="004D42CE" w:rsidP="00283F2E">
            <w:pPr>
              <w:spacing w:before="40" w:after="40" w:line="220" w:lineRule="exact"/>
              <w:jc w:val="right"/>
              <w:rPr>
                <w:sz w:val="18"/>
              </w:rPr>
            </w:pPr>
            <w:r>
              <w:rPr>
                <w:sz w:val="18"/>
              </w:rPr>
              <w:t>24</w:t>
            </w:r>
          </w:p>
        </w:tc>
        <w:tc>
          <w:tcPr>
            <w:tcW w:w="1401" w:type="dxa"/>
            <w:tcBorders>
              <w:top w:val="single" w:sz="12" w:space="0" w:color="auto"/>
            </w:tcBorders>
            <w:shd w:val="clear" w:color="auto" w:fill="auto"/>
            <w:vAlign w:val="bottom"/>
          </w:tcPr>
          <w:p w:rsidR="004D42CE" w:rsidRPr="003768FC" w:rsidRDefault="004D42CE" w:rsidP="00283F2E">
            <w:pPr>
              <w:spacing w:before="40" w:after="40" w:line="220" w:lineRule="exact"/>
              <w:jc w:val="right"/>
              <w:rPr>
                <w:sz w:val="18"/>
              </w:rPr>
            </w:pPr>
            <w:r>
              <w:rPr>
                <w:sz w:val="18"/>
              </w:rPr>
              <w:t>27</w:t>
            </w:r>
          </w:p>
        </w:tc>
        <w:tc>
          <w:tcPr>
            <w:tcW w:w="1402" w:type="dxa"/>
            <w:tcBorders>
              <w:top w:val="single" w:sz="12" w:space="0" w:color="auto"/>
            </w:tcBorders>
            <w:shd w:val="clear" w:color="auto" w:fill="auto"/>
            <w:vAlign w:val="bottom"/>
          </w:tcPr>
          <w:p w:rsidR="004D42CE" w:rsidRPr="003768FC" w:rsidRDefault="004D42CE" w:rsidP="00283F2E">
            <w:pPr>
              <w:spacing w:before="40" w:after="40" w:line="220" w:lineRule="exact"/>
              <w:jc w:val="right"/>
              <w:rPr>
                <w:sz w:val="18"/>
              </w:rPr>
            </w:pPr>
            <w:r>
              <w:rPr>
                <w:sz w:val="18"/>
              </w:rPr>
              <w:t>-3</w:t>
            </w:r>
          </w:p>
        </w:tc>
      </w:tr>
      <w:tr w:rsidR="004D42CE" w:rsidRPr="003768FC" w:rsidTr="00283F2E">
        <w:tc>
          <w:tcPr>
            <w:tcW w:w="3166" w:type="dxa"/>
            <w:shd w:val="clear" w:color="auto" w:fill="auto"/>
            <w:vAlign w:val="bottom"/>
          </w:tcPr>
          <w:p w:rsidR="004D42CE" w:rsidRPr="003768FC" w:rsidRDefault="004D42CE" w:rsidP="00283F2E">
            <w:pPr>
              <w:spacing w:before="40" w:after="40" w:line="220" w:lineRule="exact"/>
              <w:rPr>
                <w:sz w:val="18"/>
              </w:rPr>
            </w:pPr>
            <w:r>
              <w:rPr>
                <w:sz w:val="18"/>
              </w:rPr>
              <w:t>Středočeský kraj (Bohê</w:t>
            </w:r>
            <w:r w:rsidRPr="003368F2">
              <w:rPr>
                <w:sz w:val="18"/>
              </w:rPr>
              <w:t>me centrale)</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17</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19</w:t>
            </w:r>
          </w:p>
        </w:tc>
        <w:tc>
          <w:tcPr>
            <w:tcW w:w="1402" w:type="dxa"/>
            <w:shd w:val="clear" w:color="auto" w:fill="auto"/>
            <w:vAlign w:val="bottom"/>
          </w:tcPr>
          <w:p w:rsidR="004D42CE" w:rsidRPr="003768FC" w:rsidRDefault="004D42CE" w:rsidP="00283F2E">
            <w:pPr>
              <w:spacing w:before="40" w:after="40" w:line="220" w:lineRule="exact"/>
              <w:jc w:val="right"/>
              <w:rPr>
                <w:sz w:val="18"/>
              </w:rPr>
            </w:pPr>
            <w:r>
              <w:rPr>
                <w:sz w:val="18"/>
              </w:rPr>
              <w:t>-2</w:t>
            </w:r>
          </w:p>
        </w:tc>
      </w:tr>
      <w:tr w:rsidR="004D42CE" w:rsidRPr="003768FC" w:rsidTr="00283F2E">
        <w:tc>
          <w:tcPr>
            <w:tcW w:w="3166" w:type="dxa"/>
            <w:shd w:val="clear" w:color="auto" w:fill="auto"/>
            <w:vAlign w:val="bottom"/>
          </w:tcPr>
          <w:p w:rsidR="004D42CE" w:rsidRPr="003768FC" w:rsidRDefault="004D42CE" w:rsidP="00283F2E">
            <w:pPr>
              <w:spacing w:before="40" w:after="40" w:line="220" w:lineRule="exact"/>
              <w:rPr>
                <w:sz w:val="18"/>
              </w:rPr>
            </w:pPr>
            <w:r>
              <w:rPr>
                <w:sz w:val="18"/>
              </w:rPr>
              <w:t>Jihočeský kraj (Bohê</w:t>
            </w:r>
            <w:r w:rsidRPr="003368F2">
              <w:rPr>
                <w:sz w:val="18"/>
              </w:rPr>
              <w:t>me du Sud)</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27</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11</w:t>
            </w:r>
          </w:p>
        </w:tc>
        <w:tc>
          <w:tcPr>
            <w:tcW w:w="1402" w:type="dxa"/>
            <w:shd w:val="clear" w:color="auto" w:fill="auto"/>
            <w:vAlign w:val="bottom"/>
          </w:tcPr>
          <w:p w:rsidR="004D42CE" w:rsidRPr="003768FC" w:rsidRDefault="004D42CE" w:rsidP="00283F2E">
            <w:pPr>
              <w:spacing w:before="40" w:after="40" w:line="220" w:lineRule="exact"/>
              <w:jc w:val="right"/>
              <w:rPr>
                <w:sz w:val="18"/>
              </w:rPr>
            </w:pPr>
            <w:r>
              <w:rPr>
                <w:sz w:val="18"/>
              </w:rPr>
              <w:t>16</w:t>
            </w:r>
          </w:p>
        </w:tc>
      </w:tr>
      <w:tr w:rsidR="004D42CE" w:rsidRPr="003768FC" w:rsidTr="00283F2E">
        <w:tc>
          <w:tcPr>
            <w:tcW w:w="3166" w:type="dxa"/>
            <w:shd w:val="clear" w:color="auto" w:fill="auto"/>
            <w:vAlign w:val="bottom"/>
          </w:tcPr>
          <w:p w:rsidR="004D42CE" w:rsidRPr="003768FC" w:rsidRDefault="004D42CE" w:rsidP="00283F2E">
            <w:pPr>
              <w:spacing w:before="40" w:after="40" w:line="220" w:lineRule="exact"/>
              <w:rPr>
                <w:sz w:val="18"/>
              </w:rPr>
            </w:pPr>
            <w:r>
              <w:rPr>
                <w:sz w:val="18"/>
              </w:rPr>
              <w:t>Západočeský kraj (Bohê</w:t>
            </w:r>
            <w:r w:rsidRPr="003368F2">
              <w:rPr>
                <w:sz w:val="18"/>
              </w:rPr>
              <w:t>me de l</w:t>
            </w:r>
            <w:r>
              <w:rPr>
                <w:sz w:val="18"/>
              </w:rPr>
              <w:t>’</w:t>
            </w:r>
            <w:r w:rsidRPr="003368F2">
              <w:rPr>
                <w:sz w:val="18"/>
              </w:rPr>
              <w:t>Ouest)</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20</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8</w:t>
            </w:r>
          </w:p>
        </w:tc>
        <w:tc>
          <w:tcPr>
            <w:tcW w:w="1402" w:type="dxa"/>
            <w:shd w:val="clear" w:color="auto" w:fill="auto"/>
            <w:vAlign w:val="bottom"/>
          </w:tcPr>
          <w:p w:rsidR="004D42CE" w:rsidRPr="003768FC" w:rsidRDefault="004D42CE" w:rsidP="00283F2E">
            <w:pPr>
              <w:spacing w:before="40" w:after="40" w:line="220" w:lineRule="exact"/>
              <w:jc w:val="right"/>
              <w:rPr>
                <w:sz w:val="18"/>
              </w:rPr>
            </w:pPr>
            <w:r>
              <w:rPr>
                <w:sz w:val="18"/>
              </w:rPr>
              <w:t>12</w:t>
            </w:r>
          </w:p>
        </w:tc>
      </w:tr>
      <w:tr w:rsidR="004D42CE" w:rsidRPr="003768FC" w:rsidTr="00283F2E">
        <w:tc>
          <w:tcPr>
            <w:tcW w:w="3166" w:type="dxa"/>
            <w:shd w:val="clear" w:color="auto" w:fill="auto"/>
            <w:vAlign w:val="bottom"/>
          </w:tcPr>
          <w:p w:rsidR="004D42CE" w:rsidRPr="003768FC" w:rsidRDefault="004D42CE" w:rsidP="00283F2E">
            <w:pPr>
              <w:spacing w:before="40" w:after="40" w:line="220" w:lineRule="exact"/>
              <w:rPr>
                <w:sz w:val="18"/>
              </w:rPr>
            </w:pPr>
            <w:r>
              <w:rPr>
                <w:sz w:val="18"/>
              </w:rPr>
              <w:t>Severočeský kraj (Bohê</w:t>
            </w:r>
            <w:r w:rsidRPr="003368F2">
              <w:rPr>
                <w:sz w:val="18"/>
              </w:rPr>
              <w:t>me du Nord)</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20</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25</w:t>
            </w:r>
          </w:p>
        </w:tc>
        <w:tc>
          <w:tcPr>
            <w:tcW w:w="1402" w:type="dxa"/>
            <w:shd w:val="clear" w:color="auto" w:fill="auto"/>
            <w:vAlign w:val="bottom"/>
          </w:tcPr>
          <w:p w:rsidR="004D42CE" w:rsidRPr="003768FC" w:rsidRDefault="004D42CE" w:rsidP="00283F2E">
            <w:pPr>
              <w:spacing w:before="40" w:after="40" w:line="220" w:lineRule="exact"/>
              <w:jc w:val="right"/>
              <w:rPr>
                <w:sz w:val="18"/>
              </w:rPr>
            </w:pPr>
            <w:r>
              <w:rPr>
                <w:sz w:val="18"/>
              </w:rPr>
              <w:t>-5</w:t>
            </w:r>
          </w:p>
        </w:tc>
      </w:tr>
      <w:tr w:rsidR="004D42CE" w:rsidRPr="003768FC" w:rsidTr="00283F2E">
        <w:tc>
          <w:tcPr>
            <w:tcW w:w="3166" w:type="dxa"/>
            <w:shd w:val="clear" w:color="auto" w:fill="auto"/>
            <w:vAlign w:val="bottom"/>
          </w:tcPr>
          <w:p w:rsidR="004D42CE" w:rsidRPr="003768FC" w:rsidRDefault="004D42CE" w:rsidP="00283F2E">
            <w:pPr>
              <w:spacing w:before="40" w:after="40" w:line="220" w:lineRule="exact"/>
              <w:rPr>
                <w:sz w:val="18"/>
              </w:rPr>
            </w:pPr>
            <w:r>
              <w:rPr>
                <w:sz w:val="18"/>
              </w:rPr>
              <w:t>Východočeský kraj (Bohê</w:t>
            </w:r>
            <w:r w:rsidRPr="003368F2">
              <w:rPr>
                <w:sz w:val="18"/>
              </w:rPr>
              <w:t>me de l</w:t>
            </w:r>
            <w:r>
              <w:rPr>
                <w:sz w:val="18"/>
              </w:rPr>
              <w:t>’</w:t>
            </w:r>
            <w:r w:rsidRPr="003368F2">
              <w:rPr>
                <w:sz w:val="18"/>
              </w:rPr>
              <w:t>Est)</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8</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13</w:t>
            </w:r>
          </w:p>
        </w:tc>
        <w:tc>
          <w:tcPr>
            <w:tcW w:w="1402" w:type="dxa"/>
            <w:shd w:val="clear" w:color="auto" w:fill="auto"/>
            <w:vAlign w:val="bottom"/>
          </w:tcPr>
          <w:p w:rsidR="004D42CE" w:rsidRPr="003768FC" w:rsidRDefault="004D42CE" w:rsidP="00283F2E">
            <w:pPr>
              <w:spacing w:before="40" w:after="40" w:line="220" w:lineRule="exact"/>
              <w:jc w:val="right"/>
              <w:rPr>
                <w:sz w:val="18"/>
              </w:rPr>
            </w:pPr>
            <w:r>
              <w:rPr>
                <w:sz w:val="18"/>
              </w:rPr>
              <w:t>-5</w:t>
            </w:r>
          </w:p>
        </w:tc>
      </w:tr>
      <w:tr w:rsidR="004D42CE" w:rsidRPr="003768FC" w:rsidTr="00283F2E">
        <w:tc>
          <w:tcPr>
            <w:tcW w:w="3166" w:type="dxa"/>
            <w:shd w:val="clear" w:color="auto" w:fill="auto"/>
            <w:vAlign w:val="bottom"/>
          </w:tcPr>
          <w:p w:rsidR="004D42CE" w:rsidRPr="003768FC" w:rsidRDefault="004D42CE" w:rsidP="00283F2E">
            <w:pPr>
              <w:spacing w:before="40" w:after="40" w:line="220" w:lineRule="exact"/>
              <w:rPr>
                <w:sz w:val="18"/>
              </w:rPr>
            </w:pPr>
            <w:r>
              <w:rPr>
                <w:sz w:val="18"/>
              </w:rPr>
              <w:t xml:space="preserve">Jihomoravský kraj </w:t>
            </w:r>
            <w:r w:rsidRPr="003368F2">
              <w:rPr>
                <w:sz w:val="18"/>
              </w:rPr>
              <w:t>(Moravie du Sud)</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32</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35</w:t>
            </w:r>
          </w:p>
        </w:tc>
        <w:tc>
          <w:tcPr>
            <w:tcW w:w="1402" w:type="dxa"/>
            <w:shd w:val="clear" w:color="auto" w:fill="auto"/>
            <w:vAlign w:val="bottom"/>
          </w:tcPr>
          <w:p w:rsidR="004D42CE" w:rsidRPr="003768FC" w:rsidRDefault="004D42CE" w:rsidP="00283F2E">
            <w:pPr>
              <w:spacing w:before="40" w:after="40" w:line="220" w:lineRule="exact"/>
              <w:jc w:val="right"/>
              <w:rPr>
                <w:sz w:val="18"/>
              </w:rPr>
            </w:pPr>
            <w:r>
              <w:rPr>
                <w:sz w:val="18"/>
              </w:rPr>
              <w:t>-3</w:t>
            </w:r>
          </w:p>
        </w:tc>
      </w:tr>
      <w:tr w:rsidR="004D42CE" w:rsidRPr="003768FC" w:rsidTr="00283F2E">
        <w:tc>
          <w:tcPr>
            <w:tcW w:w="3166" w:type="dxa"/>
            <w:shd w:val="clear" w:color="auto" w:fill="auto"/>
            <w:vAlign w:val="bottom"/>
          </w:tcPr>
          <w:p w:rsidR="004D42CE" w:rsidRPr="003768FC" w:rsidRDefault="004D42CE" w:rsidP="00283F2E">
            <w:pPr>
              <w:spacing w:before="40" w:after="40" w:line="220" w:lineRule="exact"/>
              <w:rPr>
                <w:sz w:val="18"/>
              </w:rPr>
            </w:pPr>
            <w:r>
              <w:rPr>
                <w:sz w:val="18"/>
              </w:rPr>
              <w:t xml:space="preserve">Severomoravský kraj </w:t>
            </w:r>
            <w:r w:rsidRPr="003368F2">
              <w:rPr>
                <w:sz w:val="18"/>
              </w:rPr>
              <w:t>(Moravie du Nord)</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38</w:t>
            </w:r>
          </w:p>
        </w:tc>
        <w:tc>
          <w:tcPr>
            <w:tcW w:w="1401" w:type="dxa"/>
            <w:shd w:val="clear" w:color="auto" w:fill="auto"/>
            <w:vAlign w:val="bottom"/>
          </w:tcPr>
          <w:p w:rsidR="004D42CE" w:rsidRPr="003768FC" w:rsidRDefault="004D42CE" w:rsidP="00283F2E">
            <w:pPr>
              <w:spacing w:before="40" w:after="40" w:line="220" w:lineRule="exact"/>
              <w:jc w:val="right"/>
              <w:rPr>
                <w:sz w:val="18"/>
              </w:rPr>
            </w:pPr>
            <w:r>
              <w:rPr>
                <w:sz w:val="18"/>
              </w:rPr>
              <w:t>31</w:t>
            </w:r>
          </w:p>
        </w:tc>
        <w:tc>
          <w:tcPr>
            <w:tcW w:w="1402" w:type="dxa"/>
            <w:shd w:val="clear" w:color="auto" w:fill="auto"/>
            <w:vAlign w:val="bottom"/>
          </w:tcPr>
          <w:p w:rsidR="004D42CE" w:rsidRPr="003768FC" w:rsidRDefault="004D42CE" w:rsidP="00283F2E">
            <w:pPr>
              <w:spacing w:before="40" w:after="40" w:line="220" w:lineRule="exact"/>
              <w:jc w:val="right"/>
              <w:rPr>
                <w:sz w:val="18"/>
              </w:rPr>
            </w:pPr>
            <w:r>
              <w:rPr>
                <w:sz w:val="18"/>
              </w:rPr>
              <w:t>7</w:t>
            </w:r>
          </w:p>
        </w:tc>
      </w:tr>
      <w:tr w:rsidR="004D42CE" w:rsidRPr="003768FC" w:rsidTr="00283F2E">
        <w:tc>
          <w:tcPr>
            <w:tcW w:w="3166" w:type="dxa"/>
            <w:tcBorders>
              <w:bottom w:val="single" w:sz="12" w:space="0" w:color="auto"/>
            </w:tcBorders>
            <w:shd w:val="clear" w:color="auto" w:fill="auto"/>
            <w:vAlign w:val="bottom"/>
          </w:tcPr>
          <w:p w:rsidR="004D42CE" w:rsidRPr="003768FC" w:rsidRDefault="004D42CE" w:rsidP="00283F2E">
            <w:pPr>
              <w:spacing w:before="40" w:after="40" w:line="220" w:lineRule="exact"/>
              <w:rPr>
                <w:sz w:val="18"/>
              </w:rPr>
            </w:pPr>
            <w:r w:rsidRPr="003368F2">
              <w:rPr>
                <w:sz w:val="18"/>
              </w:rPr>
              <w:t>République tchèque</w:t>
            </w:r>
          </w:p>
        </w:tc>
        <w:tc>
          <w:tcPr>
            <w:tcW w:w="1401" w:type="dxa"/>
            <w:tcBorders>
              <w:bottom w:val="single" w:sz="12" w:space="0" w:color="auto"/>
            </w:tcBorders>
            <w:shd w:val="clear" w:color="auto" w:fill="auto"/>
            <w:vAlign w:val="bottom"/>
          </w:tcPr>
          <w:p w:rsidR="004D42CE" w:rsidRPr="003768FC" w:rsidRDefault="004D42CE" w:rsidP="00283F2E">
            <w:pPr>
              <w:spacing w:before="40" w:after="40" w:line="220" w:lineRule="exact"/>
              <w:jc w:val="right"/>
              <w:rPr>
                <w:sz w:val="18"/>
              </w:rPr>
            </w:pPr>
            <w:r>
              <w:rPr>
                <w:sz w:val="18"/>
              </w:rPr>
              <w:t>186</w:t>
            </w:r>
          </w:p>
        </w:tc>
        <w:tc>
          <w:tcPr>
            <w:tcW w:w="1401" w:type="dxa"/>
            <w:tcBorders>
              <w:bottom w:val="single" w:sz="12" w:space="0" w:color="auto"/>
            </w:tcBorders>
            <w:shd w:val="clear" w:color="auto" w:fill="auto"/>
            <w:vAlign w:val="bottom"/>
          </w:tcPr>
          <w:p w:rsidR="004D42CE" w:rsidRPr="003768FC" w:rsidRDefault="004D42CE" w:rsidP="00283F2E">
            <w:pPr>
              <w:spacing w:before="40" w:after="40" w:line="220" w:lineRule="exact"/>
              <w:jc w:val="right"/>
              <w:rPr>
                <w:sz w:val="18"/>
              </w:rPr>
            </w:pPr>
            <w:r>
              <w:rPr>
                <w:sz w:val="18"/>
              </w:rPr>
              <w:t>169</w:t>
            </w:r>
          </w:p>
        </w:tc>
        <w:tc>
          <w:tcPr>
            <w:tcW w:w="1402" w:type="dxa"/>
            <w:tcBorders>
              <w:bottom w:val="single" w:sz="12" w:space="0" w:color="auto"/>
            </w:tcBorders>
            <w:shd w:val="clear" w:color="auto" w:fill="auto"/>
            <w:vAlign w:val="bottom"/>
          </w:tcPr>
          <w:p w:rsidR="004D42CE" w:rsidRPr="003768FC" w:rsidRDefault="004D42CE" w:rsidP="00283F2E">
            <w:pPr>
              <w:spacing w:before="40" w:after="40" w:line="220" w:lineRule="exact"/>
              <w:jc w:val="right"/>
              <w:rPr>
                <w:sz w:val="18"/>
              </w:rPr>
            </w:pPr>
            <w:r>
              <w:rPr>
                <w:sz w:val="18"/>
              </w:rPr>
              <w:t>17</w:t>
            </w:r>
          </w:p>
        </w:tc>
      </w:tr>
    </w:tbl>
    <w:p w:rsidR="004D42CE" w:rsidRDefault="004D42CE" w:rsidP="004D42CE">
      <w:pPr>
        <w:pStyle w:val="H23G"/>
      </w:pPr>
      <w:r>
        <w:tab/>
      </w:r>
      <w:r>
        <w:tab/>
      </w:r>
      <w:r w:rsidRPr="00E33B4C">
        <w:t>Vue d</w:t>
      </w:r>
      <w:r>
        <w:t>’</w:t>
      </w:r>
      <w:r w:rsidRPr="00E33B4C">
        <w:t xml:space="preserve">ensemble des </w:t>
      </w:r>
      <w:r>
        <w:t>infractions</w:t>
      </w:r>
      <w:r w:rsidRPr="00E33B4C">
        <w:t xml:space="preserve"> extrémistes impliquant une attaque contre une nation, nationalité ou race, ou fondée sur l</w:t>
      </w:r>
      <w:r>
        <w:t>’</w:t>
      </w:r>
      <w:r w:rsidRPr="00E33B4C">
        <w:t>appartenance à ces dernières</w:t>
      </w:r>
      <w:r>
        <w:t>,</w:t>
      </w:r>
      <w:r w:rsidRPr="00E33B4C">
        <w:t xml:space="preserve"> ou incitation à la haine ethnique ou raciale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66"/>
        <w:gridCol w:w="976"/>
        <w:gridCol w:w="976"/>
        <w:gridCol w:w="976"/>
        <w:gridCol w:w="976"/>
      </w:tblGrid>
      <w:tr w:rsidR="004D42CE" w:rsidRPr="00DB76BF" w:rsidTr="00283F2E">
        <w:trPr>
          <w:tblHeader/>
        </w:trPr>
        <w:tc>
          <w:tcPr>
            <w:tcW w:w="3466" w:type="dxa"/>
            <w:tcBorders>
              <w:top w:val="single" w:sz="4" w:space="0" w:color="auto"/>
              <w:bottom w:val="single" w:sz="12" w:space="0" w:color="auto"/>
            </w:tcBorders>
            <w:shd w:val="clear" w:color="auto" w:fill="auto"/>
            <w:vAlign w:val="bottom"/>
          </w:tcPr>
          <w:p w:rsidR="004D42CE" w:rsidRPr="00DB76BF" w:rsidRDefault="004D42CE" w:rsidP="00283F2E">
            <w:pPr>
              <w:spacing w:before="80" w:after="80" w:line="200" w:lineRule="exact"/>
              <w:rPr>
                <w:i/>
                <w:sz w:val="16"/>
              </w:rPr>
            </w:pPr>
            <w:r>
              <w:rPr>
                <w:i/>
                <w:sz w:val="16"/>
              </w:rPr>
              <w:t>Année</w:t>
            </w:r>
          </w:p>
        </w:tc>
        <w:tc>
          <w:tcPr>
            <w:tcW w:w="976" w:type="dxa"/>
            <w:tcBorders>
              <w:top w:val="single" w:sz="4" w:space="0" w:color="auto"/>
              <w:bottom w:val="single" w:sz="12" w:space="0" w:color="auto"/>
            </w:tcBorders>
            <w:shd w:val="clear" w:color="auto" w:fill="auto"/>
            <w:vAlign w:val="bottom"/>
          </w:tcPr>
          <w:p w:rsidR="004D42CE" w:rsidRPr="00DB76BF" w:rsidRDefault="004D42CE" w:rsidP="00283F2E">
            <w:pPr>
              <w:spacing w:before="80" w:after="80" w:line="200" w:lineRule="exact"/>
              <w:jc w:val="right"/>
              <w:rPr>
                <w:i/>
                <w:sz w:val="16"/>
              </w:rPr>
            </w:pPr>
            <w:r>
              <w:rPr>
                <w:i/>
                <w:sz w:val="16"/>
              </w:rPr>
              <w:t>2005</w:t>
            </w:r>
          </w:p>
        </w:tc>
        <w:tc>
          <w:tcPr>
            <w:tcW w:w="976" w:type="dxa"/>
            <w:tcBorders>
              <w:top w:val="single" w:sz="4" w:space="0" w:color="auto"/>
              <w:bottom w:val="single" w:sz="12" w:space="0" w:color="auto"/>
            </w:tcBorders>
            <w:shd w:val="clear" w:color="auto" w:fill="auto"/>
            <w:vAlign w:val="bottom"/>
          </w:tcPr>
          <w:p w:rsidR="004D42CE" w:rsidRPr="00DB76BF" w:rsidRDefault="004D42CE" w:rsidP="00283F2E">
            <w:pPr>
              <w:spacing w:before="80" w:after="80" w:line="200" w:lineRule="exact"/>
              <w:jc w:val="right"/>
              <w:rPr>
                <w:i/>
                <w:sz w:val="16"/>
              </w:rPr>
            </w:pPr>
            <w:r>
              <w:rPr>
                <w:i/>
                <w:sz w:val="16"/>
              </w:rPr>
              <w:t>2006</w:t>
            </w:r>
          </w:p>
        </w:tc>
        <w:tc>
          <w:tcPr>
            <w:tcW w:w="976" w:type="dxa"/>
            <w:tcBorders>
              <w:top w:val="single" w:sz="4" w:space="0" w:color="auto"/>
              <w:bottom w:val="single" w:sz="12" w:space="0" w:color="auto"/>
            </w:tcBorders>
            <w:shd w:val="clear" w:color="auto" w:fill="auto"/>
            <w:vAlign w:val="bottom"/>
          </w:tcPr>
          <w:p w:rsidR="004D42CE" w:rsidRPr="00DB76BF" w:rsidRDefault="004D42CE" w:rsidP="00283F2E">
            <w:pPr>
              <w:spacing w:before="80" w:after="80" w:line="200" w:lineRule="exact"/>
              <w:jc w:val="right"/>
              <w:rPr>
                <w:i/>
                <w:sz w:val="16"/>
              </w:rPr>
            </w:pPr>
            <w:r>
              <w:rPr>
                <w:i/>
                <w:sz w:val="16"/>
              </w:rPr>
              <w:t>2007</w:t>
            </w:r>
          </w:p>
        </w:tc>
        <w:tc>
          <w:tcPr>
            <w:tcW w:w="976" w:type="dxa"/>
            <w:tcBorders>
              <w:top w:val="single" w:sz="4" w:space="0" w:color="auto"/>
              <w:bottom w:val="single" w:sz="12" w:space="0" w:color="auto"/>
            </w:tcBorders>
            <w:shd w:val="clear" w:color="auto" w:fill="auto"/>
            <w:vAlign w:val="bottom"/>
          </w:tcPr>
          <w:p w:rsidR="004D42CE" w:rsidRPr="00DB76BF" w:rsidRDefault="004D42CE" w:rsidP="00283F2E">
            <w:pPr>
              <w:spacing w:before="80" w:after="80" w:line="200" w:lineRule="exact"/>
              <w:jc w:val="right"/>
              <w:rPr>
                <w:i/>
                <w:sz w:val="16"/>
              </w:rPr>
            </w:pPr>
            <w:r>
              <w:rPr>
                <w:i/>
                <w:sz w:val="16"/>
              </w:rPr>
              <w:t>2008</w:t>
            </w:r>
          </w:p>
        </w:tc>
      </w:tr>
      <w:tr w:rsidR="004D42CE" w:rsidTr="00283F2E">
        <w:tc>
          <w:tcPr>
            <w:tcW w:w="3466" w:type="dxa"/>
            <w:tcBorders>
              <w:top w:val="single" w:sz="12" w:space="0" w:color="auto"/>
            </w:tcBorders>
            <w:shd w:val="clear" w:color="auto" w:fill="auto"/>
            <w:vAlign w:val="bottom"/>
          </w:tcPr>
          <w:p w:rsidR="004D42CE" w:rsidRPr="00DB76BF" w:rsidRDefault="004D42CE" w:rsidP="00283F2E">
            <w:pPr>
              <w:spacing w:before="40" w:after="40" w:line="220" w:lineRule="exact"/>
              <w:rPr>
                <w:sz w:val="18"/>
              </w:rPr>
            </w:pPr>
            <w:r w:rsidRPr="000C1231">
              <w:rPr>
                <w:sz w:val="18"/>
              </w:rPr>
              <w:t xml:space="preserve">Appui et promotion </w:t>
            </w:r>
            <w:r>
              <w:rPr>
                <w:sz w:val="18"/>
              </w:rPr>
              <w:t>d’</w:t>
            </w:r>
            <w:r w:rsidRPr="000C1231">
              <w:rPr>
                <w:sz w:val="18"/>
              </w:rPr>
              <w:t>un mouvement visant à supprimer les droits et libertés individuels (</w:t>
            </w:r>
            <w:r>
              <w:rPr>
                <w:sz w:val="18"/>
              </w:rPr>
              <w:t>art</w:t>
            </w:r>
            <w:r w:rsidRPr="000C1231">
              <w:rPr>
                <w:sz w:val="18"/>
              </w:rPr>
              <w:t>.</w:t>
            </w:r>
            <w:r>
              <w:rPr>
                <w:sz w:val="18"/>
              </w:rPr>
              <w:t> </w:t>
            </w:r>
            <w:r w:rsidRPr="000C1231">
              <w:rPr>
                <w:sz w:val="18"/>
              </w:rPr>
              <w:t>260 de la loi pénale)</w:t>
            </w:r>
          </w:p>
        </w:tc>
        <w:tc>
          <w:tcPr>
            <w:tcW w:w="976" w:type="dxa"/>
            <w:tcBorders>
              <w:top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35</w:t>
            </w:r>
          </w:p>
        </w:tc>
        <w:tc>
          <w:tcPr>
            <w:tcW w:w="976" w:type="dxa"/>
            <w:tcBorders>
              <w:top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29</w:t>
            </w:r>
          </w:p>
        </w:tc>
        <w:tc>
          <w:tcPr>
            <w:tcW w:w="976" w:type="dxa"/>
            <w:tcBorders>
              <w:top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47</w:t>
            </w:r>
          </w:p>
        </w:tc>
        <w:tc>
          <w:tcPr>
            <w:tcW w:w="976" w:type="dxa"/>
            <w:tcBorders>
              <w:top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42</w:t>
            </w:r>
          </w:p>
        </w:tc>
      </w:tr>
      <w:tr w:rsidR="004D42CE" w:rsidTr="00283F2E">
        <w:tc>
          <w:tcPr>
            <w:tcW w:w="3466" w:type="dxa"/>
            <w:shd w:val="clear" w:color="auto" w:fill="auto"/>
            <w:vAlign w:val="bottom"/>
          </w:tcPr>
          <w:p w:rsidR="004D42CE" w:rsidRPr="00DB76BF" w:rsidRDefault="004D42CE" w:rsidP="00283F2E">
            <w:pPr>
              <w:spacing w:before="40" w:after="40" w:line="220" w:lineRule="exact"/>
              <w:rPr>
                <w:sz w:val="18"/>
              </w:rPr>
            </w:pPr>
            <w:r w:rsidRPr="000C1231">
              <w:rPr>
                <w:sz w:val="18"/>
              </w:rPr>
              <w:t>Manifestation publique de sympathie pour un mouvement visant à réprimer les droits et libertés individuels (art. 261 du Code pénal)</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73</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72</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63</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68</w:t>
            </w:r>
          </w:p>
        </w:tc>
      </w:tr>
      <w:tr w:rsidR="004D42CE" w:rsidTr="00283F2E">
        <w:tc>
          <w:tcPr>
            <w:tcW w:w="3466" w:type="dxa"/>
            <w:shd w:val="clear" w:color="auto" w:fill="auto"/>
            <w:vAlign w:val="bottom"/>
          </w:tcPr>
          <w:p w:rsidR="004D42CE" w:rsidRPr="00DB76BF" w:rsidRDefault="004D42CE" w:rsidP="00283F2E">
            <w:pPr>
              <w:spacing w:before="40" w:after="40" w:line="220" w:lineRule="exact"/>
              <w:rPr>
                <w:sz w:val="18"/>
              </w:rPr>
            </w:pPr>
            <w:r w:rsidRPr="000C1231">
              <w:rPr>
                <w:sz w:val="18"/>
              </w:rPr>
              <w:t>Diffamation d</w:t>
            </w:r>
            <w:r>
              <w:rPr>
                <w:sz w:val="18"/>
              </w:rPr>
              <w:t>’</w:t>
            </w:r>
            <w:r w:rsidRPr="000C1231">
              <w:rPr>
                <w:sz w:val="18"/>
              </w:rPr>
              <w:t>une nation, d</w:t>
            </w:r>
            <w:r>
              <w:rPr>
                <w:sz w:val="18"/>
              </w:rPr>
              <w:t>’</w:t>
            </w:r>
            <w:r w:rsidRPr="000C1231">
              <w:rPr>
                <w:sz w:val="18"/>
              </w:rPr>
              <w:t>un groupe ethnique, d</w:t>
            </w:r>
            <w:r>
              <w:rPr>
                <w:sz w:val="18"/>
              </w:rPr>
              <w:t>’</w:t>
            </w:r>
            <w:r w:rsidRPr="000C1231">
              <w:rPr>
                <w:sz w:val="18"/>
              </w:rPr>
              <w:t>une race ou de croyances</w:t>
            </w:r>
            <w:r>
              <w:rPr>
                <w:sz w:val="18"/>
              </w:rPr>
              <w:br/>
            </w:r>
            <w:r w:rsidRPr="000C1231">
              <w:rPr>
                <w:sz w:val="18"/>
              </w:rPr>
              <w:t>(art.</w:t>
            </w:r>
            <w:r>
              <w:rPr>
                <w:sz w:val="18"/>
              </w:rPr>
              <w:t> </w:t>
            </w:r>
            <w:r w:rsidRPr="000C1231">
              <w:rPr>
                <w:sz w:val="18"/>
              </w:rPr>
              <w:t>198 de la loi pénale)</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63</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63</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28</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41</w:t>
            </w:r>
          </w:p>
        </w:tc>
      </w:tr>
      <w:tr w:rsidR="004D42CE" w:rsidTr="00283F2E">
        <w:tc>
          <w:tcPr>
            <w:tcW w:w="3466" w:type="dxa"/>
            <w:shd w:val="clear" w:color="auto" w:fill="auto"/>
            <w:vAlign w:val="bottom"/>
          </w:tcPr>
          <w:p w:rsidR="004D42CE" w:rsidRPr="00DB76BF" w:rsidRDefault="004D42CE" w:rsidP="00283F2E">
            <w:pPr>
              <w:spacing w:before="40" w:after="40" w:line="220" w:lineRule="exact"/>
              <w:rPr>
                <w:sz w:val="18"/>
              </w:rPr>
            </w:pPr>
            <w:r w:rsidRPr="00D30491">
              <w:rPr>
                <w:sz w:val="18"/>
              </w:rPr>
              <w:t>Incitation à la haine contre un groupe de personnes ou à la restriction de leurs droits et liberté</w:t>
            </w:r>
            <w:r>
              <w:rPr>
                <w:sz w:val="18"/>
              </w:rPr>
              <w:t>s</w:t>
            </w:r>
            <w:r w:rsidRPr="00D30491">
              <w:rPr>
                <w:sz w:val="18"/>
              </w:rPr>
              <w:t xml:space="preserve"> (</w:t>
            </w:r>
            <w:r>
              <w:rPr>
                <w:sz w:val="18"/>
              </w:rPr>
              <w:t>art</w:t>
            </w:r>
            <w:r w:rsidRPr="00D30491">
              <w:rPr>
                <w:sz w:val="18"/>
              </w:rPr>
              <w:t>. 198a de la loi pénale)</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14</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23</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13</w:t>
            </w:r>
          </w:p>
        </w:tc>
        <w:tc>
          <w:tcPr>
            <w:tcW w:w="976" w:type="dxa"/>
            <w:shd w:val="clear" w:color="auto" w:fill="auto"/>
            <w:vAlign w:val="bottom"/>
          </w:tcPr>
          <w:p w:rsidR="004D42CE" w:rsidRPr="00DB76BF" w:rsidRDefault="004D42CE" w:rsidP="00283F2E">
            <w:pPr>
              <w:spacing w:before="40" w:after="40" w:line="220" w:lineRule="exact"/>
              <w:jc w:val="right"/>
              <w:rPr>
                <w:sz w:val="18"/>
              </w:rPr>
            </w:pPr>
            <w:r>
              <w:rPr>
                <w:sz w:val="18"/>
              </w:rPr>
              <w:t>11</w:t>
            </w:r>
          </w:p>
        </w:tc>
      </w:tr>
      <w:tr w:rsidR="004D42CE" w:rsidTr="00283F2E">
        <w:tc>
          <w:tcPr>
            <w:tcW w:w="3466" w:type="dxa"/>
            <w:tcBorders>
              <w:bottom w:val="single" w:sz="12" w:space="0" w:color="auto"/>
            </w:tcBorders>
            <w:shd w:val="clear" w:color="auto" w:fill="auto"/>
            <w:vAlign w:val="bottom"/>
          </w:tcPr>
          <w:p w:rsidR="004D42CE" w:rsidRPr="00DB76BF" w:rsidRDefault="004D42CE" w:rsidP="00283F2E">
            <w:pPr>
              <w:spacing w:before="40" w:after="40" w:line="220" w:lineRule="exact"/>
              <w:rPr>
                <w:sz w:val="18"/>
              </w:rPr>
            </w:pPr>
            <w:r w:rsidRPr="00D30491">
              <w:rPr>
                <w:sz w:val="18"/>
              </w:rPr>
              <w:t>Violence contre un groupe d</w:t>
            </w:r>
            <w:r>
              <w:rPr>
                <w:sz w:val="18"/>
              </w:rPr>
              <w:t xml:space="preserve">’habitants et contre un individu </w:t>
            </w:r>
            <w:r w:rsidRPr="00D30491">
              <w:rPr>
                <w:sz w:val="18"/>
              </w:rPr>
              <w:t>(</w:t>
            </w:r>
            <w:r>
              <w:rPr>
                <w:sz w:val="18"/>
              </w:rPr>
              <w:t>art</w:t>
            </w:r>
            <w:r w:rsidRPr="00D30491">
              <w:rPr>
                <w:sz w:val="18"/>
              </w:rPr>
              <w:t>. 196 2) de la loi pénale</w:t>
            </w:r>
            <w:r>
              <w:rPr>
                <w:sz w:val="18"/>
              </w:rPr>
              <w:t>)</w:t>
            </w:r>
          </w:p>
        </w:tc>
        <w:tc>
          <w:tcPr>
            <w:tcW w:w="976" w:type="dxa"/>
            <w:tcBorders>
              <w:bottom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29</w:t>
            </w:r>
          </w:p>
        </w:tc>
        <w:tc>
          <w:tcPr>
            <w:tcW w:w="976" w:type="dxa"/>
            <w:tcBorders>
              <w:bottom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59</w:t>
            </w:r>
          </w:p>
        </w:tc>
        <w:tc>
          <w:tcPr>
            <w:tcW w:w="976" w:type="dxa"/>
            <w:tcBorders>
              <w:bottom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18</w:t>
            </w:r>
          </w:p>
        </w:tc>
        <w:tc>
          <w:tcPr>
            <w:tcW w:w="976" w:type="dxa"/>
            <w:tcBorders>
              <w:bottom w:val="single" w:sz="12" w:space="0" w:color="auto"/>
            </w:tcBorders>
            <w:shd w:val="clear" w:color="auto" w:fill="auto"/>
            <w:vAlign w:val="bottom"/>
          </w:tcPr>
          <w:p w:rsidR="004D42CE" w:rsidRPr="00DB76BF" w:rsidRDefault="004D42CE" w:rsidP="00283F2E">
            <w:pPr>
              <w:spacing w:before="40" w:after="40" w:line="220" w:lineRule="exact"/>
              <w:jc w:val="right"/>
              <w:rPr>
                <w:sz w:val="18"/>
              </w:rPr>
            </w:pPr>
            <w:r>
              <w:rPr>
                <w:sz w:val="18"/>
              </w:rPr>
              <w:t>25</w:t>
            </w:r>
          </w:p>
        </w:tc>
      </w:tr>
    </w:tbl>
    <w:p w:rsidR="004D42CE" w:rsidRPr="00E33B4C" w:rsidRDefault="004D42CE" w:rsidP="004D42CE">
      <w:pPr>
        <w:pStyle w:val="SingleTxtG"/>
        <w:spacing w:before="240"/>
      </w:pPr>
      <w:r w:rsidRPr="00E33B4C">
        <w:t>40.</w:t>
      </w:r>
      <w:r w:rsidRPr="00E33B4C">
        <w:tab/>
        <w:t>Le</w:t>
      </w:r>
      <w:r>
        <w:t xml:space="preserve"> profil des auteurs d’infractions</w:t>
      </w:r>
      <w:r w:rsidRPr="00E33B4C">
        <w:t xml:space="preserve"> à connotation extrémiste au cours de la période du rapport </w:t>
      </w:r>
      <w:r>
        <w:t>est</w:t>
      </w:r>
      <w:r w:rsidRPr="00E33B4C">
        <w:t xml:space="preserve"> similaire</w:t>
      </w:r>
      <w:r>
        <w:t xml:space="preserve"> à celui des </w:t>
      </w:r>
      <w:r w:rsidRPr="00E33B4C">
        <w:t>années précédentes. Il s</w:t>
      </w:r>
      <w:r>
        <w:t>’</w:t>
      </w:r>
      <w:r w:rsidRPr="00E33B4C">
        <w:t xml:space="preserve">agit de militants et de </w:t>
      </w:r>
      <w:r>
        <w:t>sympathisants</w:t>
      </w:r>
      <w:r w:rsidRPr="00E33B4C">
        <w:t xml:space="preserve"> de mouvements d</w:t>
      </w:r>
      <w:r>
        <w:t>’</w:t>
      </w:r>
      <w:r w:rsidRPr="00E33B4C">
        <w:t>extrême</w:t>
      </w:r>
      <w:r>
        <w:t xml:space="preserve"> </w:t>
      </w:r>
      <w:r w:rsidRPr="00E33B4C">
        <w:t xml:space="preserve">droite et de membres de la population majoritaire </w:t>
      </w:r>
      <w:r>
        <w:t>sans liens a</w:t>
      </w:r>
      <w:r w:rsidRPr="00E33B4C">
        <w:t>pparent</w:t>
      </w:r>
      <w:r>
        <w:t>s</w:t>
      </w:r>
      <w:r w:rsidRPr="00E33B4C">
        <w:t xml:space="preserve"> avec des organisations d</w:t>
      </w:r>
      <w:r>
        <w:t xml:space="preserve">’extrême </w:t>
      </w:r>
      <w:r w:rsidRPr="00E33B4C">
        <w:t xml:space="preserve">droite; </w:t>
      </w:r>
      <w:r>
        <w:t xml:space="preserve">et, </w:t>
      </w:r>
      <w:r w:rsidRPr="00E33B4C">
        <w:t>dans certains cas</w:t>
      </w:r>
      <w:r>
        <w:t>,</w:t>
      </w:r>
      <w:r w:rsidRPr="00E33B4C">
        <w:t xml:space="preserve"> </w:t>
      </w:r>
      <w:r>
        <w:t>de R</w:t>
      </w:r>
      <w:r w:rsidRPr="00E33B4C">
        <w:t>oms. On n</w:t>
      </w:r>
      <w:r>
        <w:t>’</w:t>
      </w:r>
      <w:r w:rsidRPr="00E33B4C">
        <w:t>a pas observé non plus de grands changements d</w:t>
      </w:r>
      <w:r>
        <w:t>ans</w:t>
      </w:r>
      <w:r w:rsidRPr="00E33B4C">
        <w:t xml:space="preserve"> leur niveau d</w:t>
      </w:r>
      <w:r>
        <w:t>’</w:t>
      </w:r>
      <w:r w:rsidRPr="00E33B4C">
        <w:t xml:space="preserve">instruction. </w:t>
      </w:r>
      <w:r>
        <w:t xml:space="preserve">Parmi eux </w:t>
      </w:r>
      <w:r w:rsidRPr="00E33B4C">
        <w:t>prédomi</w:t>
      </w:r>
      <w:r>
        <w:t>nent</w:t>
      </w:r>
      <w:r w:rsidRPr="00E33B4C">
        <w:t xml:space="preserve"> </w:t>
      </w:r>
      <w:r>
        <w:t xml:space="preserve">les </w:t>
      </w:r>
      <w:r w:rsidRPr="00E33B4C">
        <w:t xml:space="preserve">individus ayant </w:t>
      </w:r>
      <w:r>
        <w:t>cessé leurs études</w:t>
      </w:r>
      <w:r w:rsidRPr="00E33B4C">
        <w:t xml:space="preserve"> à la fin de </w:t>
      </w:r>
      <w:r>
        <w:t>leur scolarité</w:t>
      </w:r>
      <w:r w:rsidRPr="00E33B4C">
        <w:t xml:space="preserve"> primaire (</w:t>
      </w:r>
      <w:r>
        <w:t>à</w:t>
      </w:r>
      <w:r w:rsidRPr="00E33B4C">
        <w:t xml:space="preserve"> l</w:t>
      </w:r>
      <w:r>
        <w:t>’</w:t>
      </w:r>
      <w:r w:rsidRPr="00E33B4C">
        <w:t xml:space="preserve">âge de 14 ou 15 ans) </w:t>
      </w:r>
      <w:r>
        <w:t>sans</w:t>
      </w:r>
      <w:r w:rsidRPr="00E33B4C">
        <w:t xml:space="preserve"> qualification</w:t>
      </w:r>
      <w:r>
        <w:t xml:space="preserve"> </w:t>
      </w:r>
      <w:r w:rsidRPr="00E33B4C">
        <w:t>(63 personnes, soit 32,3 %</w:t>
      </w:r>
      <w:r>
        <w:t xml:space="preserve"> des coupables</w:t>
      </w:r>
      <w:r w:rsidRPr="00E33B4C">
        <w:t xml:space="preserve">). Dix-huit </w:t>
      </w:r>
      <w:r>
        <w:t xml:space="preserve">d’entre eux </w:t>
      </w:r>
      <w:r w:rsidRPr="00E33B4C">
        <w:t xml:space="preserve">avaient </w:t>
      </w:r>
      <w:r>
        <w:t xml:space="preserve">fait des études </w:t>
      </w:r>
      <w:r w:rsidRPr="00E33B4C">
        <w:t>secondaire</w:t>
      </w:r>
      <w:r>
        <w:t>s</w:t>
      </w:r>
      <w:r w:rsidRPr="00E33B4C">
        <w:t xml:space="preserve"> (9,2 %) et six </w:t>
      </w:r>
      <w:r>
        <w:t xml:space="preserve">des études </w:t>
      </w:r>
      <w:r w:rsidRPr="00E33B4C">
        <w:t>universit</w:t>
      </w:r>
      <w:r>
        <w:t>aires</w:t>
      </w:r>
      <w:r w:rsidRPr="00E33B4C">
        <w:t xml:space="preserve"> (3,1 %)</w:t>
      </w:r>
      <w:r>
        <w:rPr>
          <w:rStyle w:val="FootnoteReference"/>
        </w:rPr>
        <w:footnoteReference w:id="25"/>
      </w:r>
      <w:r w:rsidRPr="00E33B4C">
        <w:t>. Le niveau d</w:t>
      </w:r>
      <w:r>
        <w:t>’</w:t>
      </w:r>
      <w:r w:rsidRPr="00E33B4C">
        <w:t>instruction de 43 auteurs d</w:t>
      </w:r>
      <w:r>
        <w:t>’infractions (22,1 %) −</w:t>
      </w:r>
      <w:r w:rsidRPr="00E33B4C">
        <w:t xml:space="preserve"> des jeunes et des étrangers</w:t>
      </w:r>
      <w:r>
        <w:t xml:space="preserve"> −</w:t>
      </w:r>
      <w:r w:rsidRPr="00E33B4C">
        <w:t xml:space="preserve"> n</w:t>
      </w:r>
      <w:r>
        <w:t>’</w:t>
      </w:r>
      <w:r w:rsidRPr="00E33B4C">
        <w:t xml:space="preserve">est pas connu. </w:t>
      </w:r>
      <w:r>
        <w:t xml:space="preserve">On compte également </w:t>
      </w:r>
      <w:r w:rsidRPr="00E33B4C">
        <w:t xml:space="preserve">deux personnes </w:t>
      </w:r>
      <w:r>
        <w:t xml:space="preserve">ayant fréquenté une </w:t>
      </w:r>
      <w:r w:rsidRPr="00E33B4C">
        <w:t>école</w:t>
      </w:r>
      <w:r>
        <w:t xml:space="preserve"> d’enseignement </w:t>
      </w:r>
      <w:r w:rsidRPr="00E33B4C">
        <w:t xml:space="preserve">spécialisé (1 %). On compte </w:t>
      </w:r>
      <w:r>
        <w:t xml:space="preserve">aussi </w:t>
      </w:r>
      <w:r w:rsidRPr="00E33B4C">
        <w:t xml:space="preserve">105 délinquants primaires (53,8 %) et 65 récidivistes (33,3 %). La structure </w:t>
      </w:r>
      <w:r>
        <w:t>d’</w:t>
      </w:r>
      <w:r w:rsidRPr="00E33B4C">
        <w:t xml:space="preserve">âge des </w:t>
      </w:r>
      <w:r>
        <w:t xml:space="preserve">auteurs d’infractions </w:t>
      </w:r>
      <w:r w:rsidRPr="00E33B4C">
        <w:t xml:space="preserve">est restée quasiment identique. En 2008, tout comme en 2007, la majorité </w:t>
      </w:r>
      <w:r>
        <w:t xml:space="preserve">d’entre eux avaient entre </w:t>
      </w:r>
      <w:r w:rsidRPr="00E33B4C">
        <w:t xml:space="preserve">21 </w:t>
      </w:r>
      <w:r>
        <w:t>et</w:t>
      </w:r>
      <w:r w:rsidRPr="00E33B4C">
        <w:t xml:space="preserve"> 29 ans (82, soit 42 %)</w:t>
      </w:r>
      <w:r>
        <w:t xml:space="preserve">; 42, soit 22,1 %, avaient entre 18 et 20 ans; 32, </w:t>
      </w:r>
      <w:r w:rsidRPr="00E33B4C">
        <w:t>soit 16,4 %</w:t>
      </w:r>
      <w:r>
        <w:t>, avaient entre 30 et 39 ans; et 11, soit 5,6 %, avaient entre 40 et 49 ans</w:t>
      </w:r>
      <w:r w:rsidRPr="00E33B4C">
        <w:t xml:space="preserve">. </w:t>
      </w:r>
      <w:r>
        <w:t xml:space="preserve">Les </w:t>
      </w:r>
      <w:r w:rsidRPr="00E33B4C">
        <w:t>tranche</w:t>
      </w:r>
      <w:r>
        <w:t>s</w:t>
      </w:r>
      <w:r w:rsidRPr="00E33B4C">
        <w:t xml:space="preserve"> d</w:t>
      </w:r>
      <w:r>
        <w:t>’</w:t>
      </w:r>
      <w:r w:rsidRPr="00E33B4C">
        <w:t xml:space="preserve">âge des moins de 15 ans (6, </w:t>
      </w:r>
      <w:r>
        <w:t>soit 3,1 %), 15 à</w:t>
      </w:r>
      <w:r w:rsidRPr="00E33B4C">
        <w:t xml:space="preserve"> 17 ans (9, soit 4,6 %), 50 </w:t>
      </w:r>
      <w:r>
        <w:t>à 59 ans (7, s</w:t>
      </w:r>
      <w:r w:rsidRPr="00E33B4C">
        <w:t>oit 3,6 %) et de</w:t>
      </w:r>
      <w:r>
        <w:t>s</w:t>
      </w:r>
      <w:r w:rsidRPr="00E33B4C">
        <w:t xml:space="preserve"> plus de 60 ans (4, soit 2,1 %) </w:t>
      </w:r>
      <w:r>
        <w:t xml:space="preserve">sont celles où </w:t>
      </w:r>
      <w:r w:rsidRPr="00E33B4C">
        <w:t>l</w:t>
      </w:r>
      <w:r>
        <w:t>’</w:t>
      </w:r>
      <w:r w:rsidRPr="00E33B4C">
        <w:t xml:space="preserve">on compte le moins </w:t>
      </w:r>
      <w:r>
        <w:t xml:space="preserve">d’auteurs d’infractions. Parmi les infractions </w:t>
      </w:r>
      <w:r w:rsidRPr="00E33B4C">
        <w:t>élucidé</w:t>
      </w:r>
      <w:r>
        <w:t>e</w:t>
      </w:r>
      <w:r w:rsidRPr="00E33B4C">
        <w:t xml:space="preserve">s, la plupart des </w:t>
      </w:r>
      <w:r>
        <w:t>auteurs</w:t>
      </w:r>
      <w:r w:rsidRPr="00E33B4C">
        <w:t xml:space="preserve"> étaient des hommes (182, soit 93,3 %). On compte aussi 13 femmes (soit 6,6 %).</w:t>
      </w:r>
    </w:p>
    <w:p w:rsidR="004D42CE" w:rsidRPr="004342E2" w:rsidRDefault="004D42CE" w:rsidP="004D42CE">
      <w:pPr>
        <w:pStyle w:val="SingleTxtG"/>
      </w:pPr>
      <w:r w:rsidRPr="00E33B4C">
        <w:t>41.</w:t>
      </w:r>
      <w:r w:rsidRPr="00E33B4C">
        <w:tab/>
        <w:t>En 2008, l</w:t>
      </w:r>
      <w:r>
        <w:t>’</w:t>
      </w:r>
      <w:r w:rsidRPr="00E33B4C">
        <w:t>Inspection du Ministère de l</w:t>
      </w:r>
      <w:r>
        <w:t>’</w:t>
      </w:r>
      <w:r w:rsidRPr="00E33B4C">
        <w:t xml:space="preserve">intérieur (désormais Inspection de la Police tchèque) a enquêté sur deux </w:t>
      </w:r>
      <w:r>
        <w:t>infractions</w:t>
      </w:r>
      <w:r w:rsidRPr="00E33B4C">
        <w:t xml:space="preserve"> à caractère extrémiste qui auraient été commis</w:t>
      </w:r>
      <w:r>
        <w:t>es</w:t>
      </w:r>
      <w:r w:rsidRPr="00E33B4C">
        <w:t xml:space="preserve"> par des policiers. L</w:t>
      </w:r>
      <w:r>
        <w:t>’enquête n’a pas permis d’établir le caractère extrémiste du</w:t>
      </w:r>
      <w:r w:rsidRPr="00E33B4C">
        <w:t xml:space="preserve"> comportement des suspects et a abouti dans les deux affaires</w:t>
      </w:r>
      <w:r>
        <w:t xml:space="preserve"> à</w:t>
      </w:r>
      <w:r w:rsidRPr="00E33B4C">
        <w:t xml:space="preserve"> une </w:t>
      </w:r>
      <w:r>
        <w:t xml:space="preserve">recommandation </w:t>
      </w:r>
      <w:r w:rsidRPr="00E33B4C">
        <w:t xml:space="preserve">de poursuites pénales </w:t>
      </w:r>
      <w:r>
        <w:t>pour</w:t>
      </w:r>
      <w:r w:rsidRPr="00E33B4C">
        <w:t xml:space="preserve"> délit pénal d</w:t>
      </w:r>
      <w:r>
        <w:t>’</w:t>
      </w:r>
      <w:r w:rsidRPr="00E33B4C">
        <w:t xml:space="preserve">hooliganisme. </w:t>
      </w:r>
    </w:p>
    <w:p w:rsidR="00AD3B8E" w:rsidRPr="00154629" w:rsidRDefault="00AD3B8E" w:rsidP="00AD3B8E">
      <w:pPr>
        <w:pStyle w:val="SingleTxtG"/>
      </w:pPr>
      <w:r w:rsidRPr="00154629">
        <w:t>42.</w:t>
      </w:r>
      <w:r w:rsidRPr="00154629">
        <w:tab/>
        <w:t xml:space="preserve">En 2008, la Police militaire a enquêté sur cinq affaires </w:t>
      </w:r>
      <w:r>
        <w:t xml:space="preserve">dans lesquelles des militaires tchèques étaient soupçonnés d’activités </w:t>
      </w:r>
      <w:r w:rsidRPr="00154629">
        <w:t>illicite</w:t>
      </w:r>
      <w:r>
        <w:t>s</w:t>
      </w:r>
      <w:r w:rsidRPr="00154629">
        <w:t xml:space="preserve"> en relation avec l</w:t>
      </w:r>
      <w:r>
        <w:t>’</w:t>
      </w:r>
      <w:r w:rsidRPr="00154629">
        <w:t xml:space="preserve">extrémisme. </w:t>
      </w:r>
      <w:r>
        <w:t xml:space="preserve">Dans l’une des </w:t>
      </w:r>
      <w:r w:rsidRPr="00154629">
        <w:t>affaire</w:t>
      </w:r>
      <w:r>
        <w:t xml:space="preserve">s, un militaire tchèque </w:t>
      </w:r>
      <w:r w:rsidRPr="00154629">
        <w:t xml:space="preserve">qui avait insulté un soldat de </w:t>
      </w:r>
      <w:r>
        <w:t xml:space="preserve">son </w:t>
      </w:r>
      <w:r w:rsidRPr="00154629">
        <w:t>unité en raison de la couleur de sa peau</w:t>
      </w:r>
      <w:r>
        <w:t xml:space="preserve"> était l’auteur présumé d’un délit pénal de </w:t>
      </w:r>
      <w:r w:rsidRPr="00154629">
        <w:t>diffamation d</w:t>
      </w:r>
      <w:r>
        <w:t>’</w:t>
      </w:r>
      <w:r w:rsidRPr="00154629">
        <w:t>une nation, d</w:t>
      </w:r>
      <w:r>
        <w:t>’</w:t>
      </w:r>
      <w:r w:rsidRPr="00154629">
        <w:t xml:space="preserve">une race </w:t>
      </w:r>
      <w:r>
        <w:t xml:space="preserve">ou d’une </w:t>
      </w:r>
      <w:r w:rsidRPr="00154629">
        <w:t>croyance. L</w:t>
      </w:r>
      <w:r>
        <w:t>’</w:t>
      </w:r>
      <w:r w:rsidRPr="00154629">
        <w:t xml:space="preserve">affaire a été transmise à la Police tchèque. Dans les quatre autres affaires, </w:t>
      </w:r>
      <w:r>
        <w:t xml:space="preserve">des éléments de preuve ont été examinés en rapport, dans un cas, avec </w:t>
      </w:r>
      <w:r w:rsidRPr="00154629">
        <w:t>l</w:t>
      </w:r>
      <w:r>
        <w:t>’</w:t>
      </w:r>
      <w:r w:rsidRPr="00154629">
        <w:t xml:space="preserve">éventuelle participation active de </w:t>
      </w:r>
      <w:r>
        <w:t xml:space="preserve">militaires </w:t>
      </w:r>
      <w:r w:rsidRPr="00154629">
        <w:t>tchèque</w:t>
      </w:r>
      <w:r>
        <w:t xml:space="preserve">s à un </w:t>
      </w:r>
      <w:r w:rsidRPr="00154629">
        <w:t>mouvement extrémiste et</w:t>
      </w:r>
      <w:r>
        <w:t>,</w:t>
      </w:r>
      <w:r w:rsidRPr="00154629">
        <w:t xml:space="preserve"> </w:t>
      </w:r>
      <w:r>
        <w:t xml:space="preserve">dans un autre cas, avec le comportement d’un militaire </w:t>
      </w:r>
      <w:r w:rsidRPr="00154629">
        <w:t xml:space="preserve">en service actif qui </w:t>
      </w:r>
      <w:r>
        <w:t xml:space="preserve">aurait fait des affaires comportant la vente de </w:t>
      </w:r>
      <w:r w:rsidRPr="00154629">
        <w:t>vêtements pri</w:t>
      </w:r>
      <w:r>
        <w:t>s</w:t>
      </w:r>
      <w:r w:rsidRPr="00154629">
        <w:t>és par les extrémistes</w:t>
      </w:r>
      <w:r>
        <w:t xml:space="preserve"> d’autre part. Ces soupçons </w:t>
      </w:r>
      <w:r w:rsidRPr="00154629">
        <w:t>n</w:t>
      </w:r>
      <w:r>
        <w:t>’</w:t>
      </w:r>
      <w:r w:rsidRPr="00154629">
        <w:t>ont pas été confirmés et l</w:t>
      </w:r>
      <w:r>
        <w:t>’</w:t>
      </w:r>
      <w:r w:rsidRPr="00154629">
        <w:t>enquête a été close. En 2007, une seule affaire a été signalée</w:t>
      </w:r>
      <w:r>
        <w:t>,</w:t>
      </w:r>
      <w:r w:rsidRPr="00154629">
        <w:t xml:space="preserve"> qui pourrait répondre à la </w:t>
      </w:r>
      <w:r>
        <w:t xml:space="preserve">définition d’une infraction </w:t>
      </w:r>
      <w:r w:rsidRPr="00154629">
        <w:t>à connotation</w:t>
      </w:r>
      <w:r>
        <w:t>s</w:t>
      </w:r>
      <w:r w:rsidRPr="00154629">
        <w:t xml:space="preserve"> raciale</w:t>
      </w:r>
      <w:r>
        <w:t>s</w:t>
      </w:r>
      <w:r w:rsidRPr="00154629">
        <w:t xml:space="preserve">. </w:t>
      </w:r>
      <w:r>
        <w:t xml:space="preserve">En 2006, une </w:t>
      </w:r>
      <w:r w:rsidRPr="00154629">
        <w:t>autre affaire a fait l</w:t>
      </w:r>
      <w:r>
        <w:t>’</w:t>
      </w:r>
      <w:r w:rsidRPr="00154629">
        <w:t>objet d</w:t>
      </w:r>
      <w:r>
        <w:t>’</w:t>
      </w:r>
      <w:r w:rsidRPr="00154629">
        <w:t>une enquête de la Police tchèque sans l</w:t>
      </w:r>
      <w:r>
        <w:t>’</w:t>
      </w:r>
      <w:r w:rsidRPr="00154629">
        <w:t>aide de la police militaire car elle mettait en cause un militaire de carrière qui n</w:t>
      </w:r>
      <w:r>
        <w:t>’</w:t>
      </w:r>
      <w:r w:rsidRPr="00154629">
        <w:t>était pas en service pour des faits s</w:t>
      </w:r>
      <w:r>
        <w:t>’</w:t>
      </w:r>
      <w:r w:rsidRPr="00154629">
        <w:t xml:space="preserve">étant déroulés dans un </w:t>
      </w:r>
      <w:r>
        <w:t xml:space="preserve">contexte </w:t>
      </w:r>
      <w:r w:rsidRPr="00154629">
        <w:t>civil.</w:t>
      </w:r>
    </w:p>
    <w:p w:rsidR="00AD3B8E" w:rsidRPr="00154629" w:rsidRDefault="00AD3B8E" w:rsidP="00AD3B8E">
      <w:pPr>
        <w:pStyle w:val="SingleTxtG"/>
      </w:pPr>
      <w:r w:rsidRPr="00154629">
        <w:t>43.</w:t>
      </w:r>
      <w:r w:rsidRPr="00154629">
        <w:tab/>
        <w:t xml:space="preserve">En 2008, les tribunaux </w:t>
      </w:r>
      <w:r>
        <w:t>t</w:t>
      </w:r>
      <w:r w:rsidRPr="00154629">
        <w:t xml:space="preserve">chèques ont prononcé, </w:t>
      </w:r>
      <w:r>
        <w:t xml:space="preserve">lors de </w:t>
      </w:r>
      <w:r w:rsidRPr="00154629">
        <w:t>procédure</w:t>
      </w:r>
      <w:r>
        <w:t>s</w:t>
      </w:r>
      <w:r w:rsidRPr="00154629">
        <w:t xml:space="preserve"> pénale</w:t>
      </w:r>
      <w:r>
        <w:t>s</w:t>
      </w:r>
      <w:r w:rsidRPr="00154629">
        <w:t xml:space="preserve">, des jugements exécutoires </w:t>
      </w:r>
      <w:r>
        <w:t>à l’encontre de 75 751 </w:t>
      </w:r>
      <w:r w:rsidRPr="00154629">
        <w:t xml:space="preserve">personnes, </w:t>
      </w:r>
      <w:r>
        <w:t xml:space="preserve">soit </w:t>
      </w:r>
      <w:r w:rsidRPr="00154629">
        <w:t xml:space="preserve">une légère augmentation </w:t>
      </w:r>
      <w:r>
        <w:t>de 23 personnes (environ 0,3 %</w:t>
      </w:r>
      <w:r w:rsidRPr="00154629">
        <w:t>) par rapport à 2007. Quatre-vingt-dix-sept d</w:t>
      </w:r>
      <w:r>
        <w:t>’</w:t>
      </w:r>
      <w:r w:rsidRPr="00154629">
        <w:t xml:space="preserve">entre elles </w:t>
      </w:r>
      <w:r>
        <w:t xml:space="preserve">ont été </w:t>
      </w:r>
      <w:r w:rsidRPr="00154629">
        <w:t xml:space="preserve">reconnues coupables de 192 </w:t>
      </w:r>
      <w:r>
        <w:t xml:space="preserve">infractions </w:t>
      </w:r>
      <w:r w:rsidRPr="00154629">
        <w:t>à connotation</w:t>
      </w:r>
      <w:r>
        <w:t>s</w:t>
      </w:r>
      <w:r w:rsidRPr="00154629">
        <w:t xml:space="preserve"> raciale</w:t>
      </w:r>
      <w:r>
        <w:t>s</w:t>
      </w:r>
      <w:r w:rsidRPr="00154629">
        <w:t>. Ce chiffre ne représente qu</w:t>
      </w:r>
      <w:r>
        <w:t>’</w:t>
      </w:r>
      <w:r w:rsidRPr="00154629">
        <w:t xml:space="preserve">environ 0,1 % du nombre total de personnes condamnées. </w:t>
      </w:r>
      <w:r>
        <w:t>P</w:t>
      </w:r>
      <w:r w:rsidRPr="00154629">
        <w:t>ar rapport à 2007</w:t>
      </w:r>
      <w:r>
        <w:t>,</w:t>
      </w:r>
      <w:r w:rsidRPr="00154629">
        <w:t xml:space="preserve"> </w:t>
      </w:r>
      <w:r>
        <w:t>année au cours de laquelle 72 </w:t>
      </w:r>
      <w:r w:rsidRPr="00154629">
        <w:t xml:space="preserve">personnes </w:t>
      </w:r>
      <w:r>
        <w:t xml:space="preserve">ont été </w:t>
      </w:r>
      <w:r w:rsidRPr="00154629">
        <w:t>reconnues coupables de crime à connotation raciale</w:t>
      </w:r>
      <w:r>
        <w:t xml:space="preserve"> (96 en 2006), on constate une augmentation. </w:t>
      </w:r>
      <w:r w:rsidRPr="00154629">
        <w:t>C</w:t>
      </w:r>
      <w:r>
        <w:t>’</w:t>
      </w:r>
      <w:r w:rsidRPr="00154629">
        <w:t xml:space="preserve">est en raison de cette augmentation </w:t>
      </w:r>
      <w:r>
        <w:t xml:space="preserve">que le nombre des infractions </w:t>
      </w:r>
      <w:r w:rsidRPr="00154629">
        <w:t xml:space="preserve">est passé de 155 en 2007 </w:t>
      </w:r>
      <w:r>
        <w:t>à</w:t>
      </w:r>
      <w:r w:rsidRPr="00154629">
        <w:t xml:space="preserve"> 192 en 2008</w:t>
      </w:r>
      <w:r>
        <w:t>, comme mentionné plus haut</w:t>
      </w:r>
      <w:r w:rsidRPr="00154629">
        <w:t>.</w:t>
      </w:r>
    </w:p>
    <w:p w:rsidR="00AD3B8E" w:rsidRPr="00154629" w:rsidRDefault="00AD3B8E" w:rsidP="00AD3B8E">
      <w:pPr>
        <w:pStyle w:val="SingleTxtG"/>
      </w:pPr>
      <w:r w:rsidRPr="00154629">
        <w:t>44.</w:t>
      </w:r>
      <w:r w:rsidRPr="00154629">
        <w:tab/>
        <w:t>En juin 2009, une initiative du Ministre des droits de l</w:t>
      </w:r>
      <w:r>
        <w:t>’</w:t>
      </w:r>
      <w:r w:rsidRPr="00154629">
        <w:t>homme a abouti à la conclusion d</w:t>
      </w:r>
      <w:r>
        <w:t>’</w:t>
      </w:r>
      <w:r w:rsidRPr="00154629">
        <w:t xml:space="preserve">un «accord entre les autorités constitutionnelles, les partis politiques parlementaires et les citoyens sur </w:t>
      </w:r>
      <w:r>
        <w:t xml:space="preserve">une action </w:t>
      </w:r>
      <w:r w:rsidRPr="00154629">
        <w:t>commune contre la montée de l</w:t>
      </w:r>
      <w:r>
        <w:t>’</w:t>
      </w:r>
      <w:r w:rsidRPr="00154629">
        <w:t xml:space="preserve">extrémisme et du racisme», qui condamne sans équivoque la poussée des idées extrémistes en République tchèque. Les autorités constitutionnelles et les représentants des partis politiques se sont engagés à ne pas permettre aux idées </w:t>
      </w:r>
      <w:r>
        <w:t xml:space="preserve">et opinions </w:t>
      </w:r>
      <w:r w:rsidRPr="00154629">
        <w:t xml:space="preserve">extrémistes de </w:t>
      </w:r>
      <w:r>
        <w:t xml:space="preserve">pénétrer </w:t>
      </w:r>
      <w:r w:rsidRPr="00154629">
        <w:t>le débat public et le discours politique des campagnes électorales. Ils ont demandé aux autorités publiques d</w:t>
      </w:r>
      <w:r>
        <w:t>’</w:t>
      </w:r>
      <w:r w:rsidRPr="00154629">
        <w:t xml:space="preserve">utiliser efficacement tous les moyens </w:t>
      </w:r>
      <w:r>
        <w:t>légaux</w:t>
      </w:r>
      <w:r w:rsidRPr="00154629">
        <w:t xml:space="preserve"> à leur disposition pour </w:t>
      </w:r>
      <w:r>
        <w:t xml:space="preserve">vaincre les idées et </w:t>
      </w:r>
      <w:r w:rsidRPr="00154629">
        <w:t>opinions extrémistes. Bien que cet accord ne soit pas un instrument juridiquement contraignant, on peut le considérer comme une mesure politique importante.</w:t>
      </w:r>
    </w:p>
    <w:p w:rsidR="00AD3B8E" w:rsidRPr="00154629" w:rsidRDefault="00AD3B8E" w:rsidP="00AD3B8E">
      <w:pPr>
        <w:pStyle w:val="SingleTxtG"/>
      </w:pPr>
      <w:r w:rsidRPr="00154629">
        <w:t>45.</w:t>
      </w:r>
      <w:r w:rsidRPr="00154629">
        <w:tab/>
        <w:t>Le Groupe de travail pour la lutte contre l</w:t>
      </w:r>
      <w:r>
        <w:t>’</w:t>
      </w:r>
      <w:r w:rsidRPr="00154629">
        <w:t>extrémisme</w:t>
      </w:r>
      <w:r>
        <w:t>,</w:t>
      </w:r>
      <w:r w:rsidRPr="00154629">
        <w:t xml:space="preserve"> composé des quatre pays membres du Groupe de Visegrad et de l</w:t>
      </w:r>
      <w:r>
        <w:t>’</w:t>
      </w:r>
      <w:r w:rsidRPr="00154629">
        <w:t xml:space="preserve">Autriche, </w:t>
      </w:r>
      <w:r>
        <w:t xml:space="preserve">qui est </w:t>
      </w:r>
      <w:r w:rsidRPr="00154629">
        <w:t>coordonn</w:t>
      </w:r>
      <w:r>
        <w:t xml:space="preserve">é par le </w:t>
      </w:r>
      <w:r w:rsidRPr="00154629">
        <w:t>Ministère de l</w:t>
      </w:r>
      <w:r>
        <w:t>’</w:t>
      </w:r>
      <w:r w:rsidRPr="00154629">
        <w:t>intérieur depuis février 2002, a poursuivi ses activités. Le Groupe fournit des informations sur l</w:t>
      </w:r>
      <w:r>
        <w:t>’</w:t>
      </w:r>
      <w:r w:rsidRPr="00154629">
        <w:t xml:space="preserve">extrémisme et ses manifestations, </w:t>
      </w:r>
      <w:r>
        <w:t xml:space="preserve">évalue les </w:t>
      </w:r>
      <w:r w:rsidRPr="00154629">
        <w:t>risques en matière de sécurité liés au phénomène de l</w:t>
      </w:r>
      <w:r>
        <w:t>’</w:t>
      </w:r>
      <w:r w:rsidRPr="00154629">
        <w:t>extrémisme dans la zone géopolitique d</w:t>
      </w:r>
      <w:r>
        <w:t>’</w:t>
      </w:r>
      <w:r w:rsidRPr="00154629">
        <w:t xml:space="preserve">Europe centrale et </w:t>
      </w:r>
      <w:r>
        <w:t xml:space="preserve">organise l’échange des </w:t>
      </w:r>
      <w:r w:rsidRPr="00154629">
        <w:t xml:space="preserve">connaissances et </w:t>
      </w:r>
      <w:r>
        <w:t>d</w:t>
      </w:r>
      <w:r w:rsidRPr="00154629">
        <w:t xml:space="preserve">es exemples de bonnes pratiques et de coopération entre </w:t>
      </w:r>
      <w:r>
        <w:t xml:space="preserve">les </w:t>
      </w:r>
      <w:r w:rsidRPr="00154629">
        <w:t xml:space="preserve">experts </w:t>
      </w:r>
      <w:r>
        <w:t xml:space="preserve">qui s’occupent de </w:t>
      </w:r>
      <w:r w:rsidRPr="00154629">
        <w:t>cette question dans différents</w:t>
      </w:r>
      <w:r>
        <w:t xml:space="preserve"> </w:t>
      </w:r>
      <w:r w:rsidRPr="00154629">
        <w:t>ministères et services de police.</w:t>
      </w:r>
    </w:p>
    <w:p w:rsidR="00AD3B8E" w:rsidRPr="00154629" w:rsidRDefault="00AD3B8E" w:rsidP="00AD3B8E">
      <w:pPr>
        <w:pStyle w:val="SingleTxtG"/>
      </w:pPr>
      <w:r w:rsidRPr="00154629">
        <w:t>46.</w:t>
      </w:r>
      <w:r w:rsidRPr="00154629">
        <w:tab/>
        <w:t>En 2006, le Traité entre la République tchèque et la République d</w:t>
      </w:r>
      <w:r>
        <w:t>’</w:t>
      </w:r>
      <w:r w:rsidRPr="00154629">
        <w:t xml:space="preserve">Autriche sur la coopération </w:t>
      </w:r>
      <w:r>
        <w:t xml:space="preserve">policière </w:t>
      </w:r>
      <w:r w:rsidRPr="00154629">
        <w:t xml:space="preserve">et sur le second Protocole additionnel à la Convention européenne </w:t>
      </w:r>
      <w:r>
        <w:t xml:space="preserve">d’entraide judiciaire en matière pénale, </w:t>
      </w:r>
      <w:r w:rsidRPr="00154629">
        <w:t>du 20 avril 1959</w:t>
      </w:r>
      <w:r>
        <w:t>,</w:t>
      </w:r>
      <w:r w:rsidRPr="00154629">
        <w:t xml:space="preserve"> et le Traité entre la République tchèque et la Confédération helvétique sur la coopération </w:t>
      </w:r>
      <w:r>
        <w:t xml:space="preserve">policière en matière de </w:t>
      </w:r>
      <w:r w:rsidRPr="00154629">
        <w:t xml:space="preserve">lutte contre </w:t>
      </w:r>
      <w:r>
        <w:t xml:space="preserve">la criminalité </w:t>
      </w:r>
      <w:r w:rsidRPr="00154629">
        <w:t>sont entrés en vigueur</w:t>
      </w:r>
      <w:r w:rsidRPr="00B43F53">
        <w:rPr>
          <w:rStyle w:val="FootnoteReference"/>
        </w:rPr>
        <w:footnoteReference w:id="26"/>
      </w:r>
      <w:r w:rsidRPr="00154629">
        <w:t xml:space="preserve">. En août 2007, le Traité entre la République tchèque et la République de Pologne sur la coopération </w:t>
      </w:r>
      <w:r>
        <w:t xml:space="preserve">en matière de </w:t>
      </w:r>
      <w:r w:rsidRPr="00154629">
        <w:t xml:space="preserve">lutte contre </w:t>
      </w:r>
      <w:r>
        <w:t xml:space="preserve">la criminalité, de </w:t>
      </w:r>
      <w:r w:rsidRPr="00154629">
        <w:t>protection de l</w:t>
      </w:r>
      <w:r>
        <w:t>’</w:t>
      </w:r>
      <w:r w:rsidRPr="00154629">
        <w:t xml:space="preserve">ordre public et sur la coopération dans les zones </w:t>
      </w:r>
      <w:r>
        <w:t>frontalières</w:t>
      </w:r>
      <w:r w:rsidRPr="00154629">
        <w:t xml:space="preserve"> est entré en vigueur.</w:t>
      </w:r>
    </w:p>
    <w:p w:rsidR="00AD3B8E" w:rsidRPr="00154629" w:rsidRDefault="00AD3B8E" w:rsidP="00AD3B8E">
      <w:pPr>
        <w:pStyle w:val="SingleTxtG"/>
      </w:pPr>
      <w:r w:rsidRPr="00154629">
        <w:t>47.</w:t>
      </w:r>
      <w:r w:rsidRPr="00154629">
        <w:tab/>
        <w:t xml:space="preserve">On a observé un intérêt </w:t>
      </w:r>
      <w:r>
        <w:t xml:space="preserve">croissant </w:t>
      </w:r>
      <w:r w:rsidRPr="00154629">
        <w:t xml:space="preserve">des néo-nazis tchèques </w:t>
      </w:r>
      <w:r>
        <w:t xml:space="preserve">pour les </w:t>
      </w:r>
      <w:r w:rsidRPr="00154629">
        <w:t xml:space="preserve">manifestations publiques </w:t>
      </w:r>
      <w:r>
        <w:t xml:space="preserve">à caractère </w:t>
      </w:r>
      <w:r w:rsidRPr="00154629">
        <w:t xml:space="preserve">politique au cours de la période du rapport. Bien que les néo-nazis </w:t>
      </w:r>
      <w:r>
        <w:t xml:space="preserve">aient continué de faire des </w:t>
      </w:r>
      <w:r w:rsidRPr="00154629">
        <w:t>efforts pour s</w:t>
      </w:r>
      <w:r>
        <w:t>’</w:t>
      </w:r>
      <w:r w:rsidRPr="00154629">
        <w:t xml:space="preserve">assurer que leurs actions respectent les procédures </w:t>
      </w:r>
      <w:r>
        <w:t xml:space="preserve">légales </w:t>
      </w:r>
      <w:r w:rsidRPr="00154629">
        <w:t xml:space="preserve">et en dépit du fait que leurs manifestations étaient pour la plupart dûment </w:t>
      </w:r>
      <w:r>
        <w:t xml:space="preserve">annoncées </w:t>
      </w:r>
      <w:r w:rsidRPr="00154629">
        <w:t xml:space="preserve">dans les délais, </w:t>
      </w:r>
      <w:r>
        <w:t xml:space="preserve">ces dernières </w:t>
      </w:r>
      <w:r w:rsidRPr="00154629">
        <w:t>ne se sont pas déroulées sans problème</w:t>
      </w:r>
      <w:r>
        <w:t xml:space="preserve"> en 2007 et 2008</w:t>
      </w:r>
      <w:r w:rsidRPr="00154629">
        <w:t>, à la différence de 2006. En 2007, la coopération internationale entre les néo-nazis s</w:t>
      </w:r>
      <w:r>
        <w:t>’</w:t>
      </w:r>
      <w:r w:rsidRPr="00154629">
        <w:t xml:space="preserve">est également renforcée, et </w:t>
      </w:r>
      <w:r>
        <w:t xml:space="preserve">on a constaté le </w:t>
      </w:r>
      <w:r w:rsidRPr="00154629">
        <w:t>rôle de plus en plus important</w:t>
      </w:r>
      <w:r>
        <w:t xml:space="preserve"> de l’Internet</w:t>
      </w:r>
      <w:r w:rsidRPr="00154629">
        <w:t>.</w:t>
      </w:r>
    </w:p>
    <w:p w:rsidR="00AD3B8E" w:rsidRPr="00154629" w:rsidRDefault="00AD3B8E" w:rsidP="00AD3B8E">
      <w:pPr>
        <w:pStyle w:val="SingleTxtG"/>
      </w:pPr>
      <w:r w:rsidRPr="00154629">
        <w:t>48.</w:t>
      </w:r>
      <w:r w:rsidRPr="00154629">
        <w:tab/>
        <w:t>Aucun parti politique d</w:t>
      </w:r>
      <w:r>
        <w:t>’</w:t>
      </w:r>
      <w:r w:rsidRPr="00154629">
        <w:t>extrême droite n</w:t>
      </w:r>
      <w:r>
        <w:t>’</w:t>
      </w:r>
      <w:r w:rsidRPr="00154629">
        <w:t>est représenté à la Chambre des députés</w:t>
      </w:r>
      <w:r>
        <w:t xml:space="preserve"> ou au Sénat </w:t>
      </w:r>
      <w:r w:rsidRPr="00154629">
        <w:t>du Parlement tchèque. Aucun parti politique de ce</w:t>
      </w:r>
      <w:r>
        <w:t xml:space="preserve">tte orientation n’a eu du succès aux </w:t>
      </w:r>
      <w:r w:rsidRPr="00154629">
        <w:t xml:space="preserve">élections de 2006 (élections à la Chambre des députés et élections municipales et régionales). En revanche, le </w:t>
      </w:r>
      <w:r>
        <w:t>P</w:t>
      </w:r>
      <w:r w:rsidRPr="00154629">
        <w:t xml:space="preserve">arti des travailleurs a obtenu de bons résultats </w:t>
      </w:r>
      <w:r>
        <w:t xml:space="preserve">lors des élections </w:t>
      </w:r>
      <w:r w:rsidRPr="00154629">
        <w:t>au Parlement européen en 2009, puisqu</w:t>
      </w:r>
      <w:r>
        <w:t>’</w:t>
      </w:r>
      <w:r w:rsidRPr="00154629">
        <w:t>il a recueilli 25 368 voix, soit 1,</w:t>
      </w:r>
      <w:r>
        <w:t>0</w:t>
      </w:r>
      <w:r w:rsidRPr="00154629">
        <w:t xml:space="preserve">7 % des voix, </w:t>
      </w:r>
      <w:r>
        <w:t xml:space="preserve">pourcentage </w:t>
      </w:r>
      <w:r w:rsidRPr="00154629">
        <w:t xml:space="preserve">suffisant pour bénéficier </w:t>
      </w:r>
      <w:r>
        <w:t>des fonds publics.</w:t>
      </w:r>
    </w:p>
    <w:p w:rsidR="00AD3B8E" w:rsidRPr="00154629" w:rsidRDefault="00AD3B8E" w:rsidP="00AD3B8E">
      <w:pPr>
        <w:pStyle w:val="SingleTxtG"/>
      </w:pPr>
      <w:r w:rsidRPr="00154629">
        <w:t>49.</w:t>
      </w:r>
      <w:r w:rsidRPr="00154629">
        <w:tab/>
        <w:t>Le</w:t>
      </w:r>
      <w:r>
        <w:t xml:space="preserve">s partis politiques </w:t>
      </w:r>
      <w:r w:rsidRPr="00154629">
        <w:t>extrémiste</w:t>
      </w:r>
      <w:r>
        <w:t>s ont</w:t>
      </w:r>
      <w:r w:rsidRPr="00154629">
        <w:t xml:space="preserve"> évolué en 2008, notamment du fait des efforts déployés par de nombreux militants </w:t>
      </w:r>
      <w:r>
        <w:t xml:space="preserve">d’extrême droite </w:t>
      </w:r>
      <w:r w:rsidRPr="00154629">
        <w:t xml:space="preserve">pour entrer sur la scène politique. À cette fin, les groupes </w:t>
      </w:r>
      <w:r>
        <w:t xml:space="preserve">non déclarés − </w:t>
      </w:r>
      <w:r w:rsidRPr="00154629">
        <w:t>Résistance nationale et Nationalistes autonomes</w:t>
      </w:r>
      <w:r>
        <w:t xml:space="preserve"> −</w:t>
      </w:r>
      <w:r w:rsidRPr="00154629">
        <w:t xml:space="preserve"> ont commencé à collaborer avec le </w:t>
      </w:r>
      <w:r>
        <w:t>P</w:t>
      </w:r>
      <w:r w:rsidRPr="00154629">
        <w:t xml:space="preserve">arti des travailleurs, qui a </w:t>
      </w:r>
      <w:r>
        <w:t xml:space="preserve">accueilli </w:t>
      </w:r>
      <w:r w:rsidRPr="00154629">
        <w:t xml:space="preserve">la plupart des néo-nazis et </w:t>
      </w:r>
      <w:r>
        <w:t xml:space="preserve">des </w:t>
      </w:r>
      <w:r w:rsidRPr="00154629">
        <w:t xml:space="preserve">nationalistes autonomes. Le </w:t>
      </w:r>
      <w:r>
        <w:t>P</w:t>
      </w:r>
      <w:r w:rsidRPr="00154629">
        <w:t xml:space="preserve">arti des travailleurs est </w:t>
      </w:r>
      <w:r>
        <w:t xml:space="preserve">soupçonné d’avoir des </w:t>
      </w:r>
      <w:r w:rsidRPr="00154629">
        <w:t>tendances d</w:t>
      </w:r>
      <w:r>
        <w:t>’</w:t>
      </w:r>
      <w:r w:rsidRPr="00154629">
        <w:t>extrême droit</w:t>
      </w:r>
      <w:r>
        <w:t>e</w:t>
      </w:r>
      <w:r w:rsidRPr="00154629">
        <w:t>, antisémite</w:t>
      </w:r>
      <w:r>
        <w:t>s</w:t>
      </w:r>
      <w:r w:rsidRPr="00154629">
        <w:t xml:space="preserve"> et antidémocratique</w:t>
      </w:r>
      <w:r>
        <w:t>s</w:t>
      </w:r>
      <w:r w:rsidRPr="00154629">
        <w:t xml:space="preserve"> et </w:t>
      </w:r>
      <w:r>
        <w:t xml:space="preserve">des </w:t>
      </w:r>
      <w:r w:rsidRPr="00154629">
        <w:t xml:space="preserve">opinions très xénophobes. Dans </w:t>
      </w:r>
      <w:r>
        <w:t>son arsenal promotionnel</w:t>
      </w:r>
      <w:r w:rsidRPr="00154629">
        <w:t>, il reprend des thèmes utilisés par l</w:t>
      </w:r>
      <w:r>
        <w:t>’</w:t>
      </w:r>
      <w:r w:rsidRPr="00154629">
        <w:t xml:space="preserve">appareil de propagande nazi du </w:t>
      </w:r>
      <w:r>
        <w:t>III</w:t>
      </w:r>
      <w:r w:rsidRPr="00B10697">
        <w:rPr>
          <w:vertAlign w:val="superscript"/>
        </w:rPr>
        <w:t>e</w:t>
      </w:r>
      <w:r w:rsidRPr="00154629">
        <w:t xml:space="preserve"> Reich, pendant la Seconde Guerre mondiale. Le Ministère de l</w:t>
      </w:r>
      <w:r>
        <w:t>’</w:t>
      </w:r>
      <w:r w:rsidRPr="00154629">
        <w:t xml:space="preserve">intérieur a </w:t>
      </w:r>
      <w:r>
        <w:t xml:space="preserve">engagé </w:t>
      </w:r>
      <w:r w:rsidRPr="00154629">
        <w:t xml:space="preserve">une procédure </w:t>
      </w:r>
      <w:r>
        <w:t xml:space="preserve">judiciaire en vue de faire interdire ce </w:t>
      </w:r>
      <w:r w:rsidRPr="00154629">
        <w:t>parti et a présenté à la Cour administrative suprême tchèque</w:t>
      </w:r>
      <w:r w:rsidRPr="00B43F53">
        <w:rPr>
          <w:rStyle w:val="FootnoteReference"/>
        </w:rPr>
        <w:footnoteReference w:id="27"/>
      </w:r>
      <w:r>
        <w:t>, en septembre 2009, une recommandation préconisant sa dissolution.</w:t>
      </w:r>
    </w:p>
    <w:p w:rsidR="00AD3B8E" w:rsidRPr="00154629" w:rsidRDefault="00AD3B8E" w:rsidP="00AD3B8E">
      <w:pPr>
        <w:pStyle w:val="SingleTxtG"/>
      </w:pPr>
      <w:r w:rsidRPr="00154629">
        <w:t>50.</w:t>
      </w:r>
      <w:r w:rsidRPr="00154629">
        <w:tab/>
        <w:t>L</w:t>
      </w:r>
      <w:r>
        <w:t>’</w:t>
      </w:r>
      <w:r w:rsidRPr="00154629">
        <w:t>organisation d</w:t>
      </w:r>
      <w:r>
        <w:t>’</w:t>
      </w:r>
      <w:r w:rsidRPr="00154629">
        <w:t>événements spontanés, essentiellement des manifestations, lors desquels un petit groupe de participants (50-60) se mobilise sur une période assez courte, afin d</w:t>
      </w:r>
      <w:r>
        <w:t>’</w:t>
      </w:r>
      <w:r w:rsidRPr="00154629">
        <w:t>organiser une manifestation à un endroit convenu à l</w:t>
      </w:r>
      <w:r>
        <w:t>’</w:t>
      </w:r>
      <w:r w:rsidRPr="00154629">
        <w:t>avance pour mettre en avant les valeurs et objectifs qu</w:t>
      </w:r>
      <w:r>
        <w:t>’</w:t>
      </w:r>
      <w:r w:rsidRPr="00154629">
        <w:t>il défend</w:t>
      </w:r>
      <w:r>
        <w:t>, constitue une autre tendance actuelle</w:t>
      </w:r>
      <w:r w:rsidRPr="00154629">
        <w:t xml:space="preserve">. Ces manifestations ne sont jamais annoncées, </w:t>
      </w:r>
      <w:r>
        <w:t xml:space="preserve">n’ont pas </w:t>
      </w:r>
      <w:r w:rsidRPr="00154629">
        <w:t>d</w:t>
      </w:r>
      <w:r>
        <w:t>’</w:t>
      </w:r>
      <w:r w:rsidRPr="00154629">
        <w:t xml:space="preserve">organisateur officiel et ne </w:t>
      </w:r>
      <w:r>
        <w:t xml:space="preserve">donnent pas lieu à des rassemblements </w:t>
      </w:r>
      <w:r w:rsidRPr="00154629">
        <w:t>de masse</w:t>
      </w:r>
      <w:r>
        <w:t xml:space="preserve"> publics</w:t>
      </w:r>
      <w:r w:rsidRPr="00154629">
        <w:t>. L</w:t>
      </w:r>
      <w:r>
        <w:t>es thèmes abordés l</w:t>
      </w:r>
      <w:r w:rsidRPr="00154629">
        <w:t>ors de ces manifestations</w:t>
      </w:r>
      <w:r>
        <w:t xml:space="preserve"> sont </w:t>
      </w:r>
      <w:r w:rsidRPr="00154629">
        <w:t xml:space="preserve">en général </w:t>
      </w:r>
      <w:r>
        <w:t xml:space="preserve">contraires à la loi </w:t>
      </w:r>
      <w:r w:rsidRPr="00154629">
        <w:t xml:space="preserve">et les discours sont toujours plus agressifs que ceux qui sont prononcés lors des manifestations </w:t>
      </w:r>
      <w:r>
        <w:t xml:space="preserve">annoncées. </w:t>
      </w:r>
      <w:r w:rsidRPr="00154629">
        <w:t>En général, la police n</w:t>
      </w:r>
      <w:r>
        <w:t>’</w:t>
      </w:r>
      <w:r w:rsidRPr="00154629">
        <w:t>a connaissance de ces événements que très tard</w:t>
      </w:r>
      <w:r>
        <w:t>ivement</w:t>
      </w:r>
      <w:r w:rsidRPr="00154629">
        <w:t xml:space="preserve">, et ne peut </w:t>
      </w:r>
      <w:r>
        <w:t>pas p</w:t>
      </w:r>
      <w:r w:rsidRPr="00154629">
        <w:t>rendre les mesures nécessaires. Elle n</w:t>
      </w:r>
      <w:r>
        <w:t>’</w:t>
      </w:r>
      <w:r w:rsidRPr="00154629">
        <w:t>est parfois même pas avertie à l</w:t>
      </w:r>
      <w:r>
        <w:t>’</w:t>
      </w:r>
      <w:r w:rsidRPr="00154629">
        <w:t xml:space="preserve">avance </w:t>
      </w:r>
      <w:r>
        <w:t>(d</w:t>
      </w:r>
      <w:r w:rsidRPr="00154629">
        <w:t xml:space="preserve">es </w:t>
      </w:r>
      <w:r>
        <w:t xml:space="preserve">comptes rendus </w:t>
      </w:r>
      <w:r w:rsidRPr="00154629">
        <w:t>sont ensuite affichés sur les sites Internet des organisations d</w:t>
      </w:r>
      <w:r>
        <w:t>’</w:t>
      </w:r>
      <w:r w:rsidRPr="00154629">
        <w:t>extrême droite).</w:t>
      </w:r>
    </w:p>
    <w:p w:rsidR="00AD3B8E" w:rsidRPr="00154629" w:rsidRDefault="00AD3B8E" w:rsidP="00AD3B8E">
      <w:pPr>
        <w:pStyle w:val="H1G"/>
      </w:pPr>
      <w:r>
        <w:tab/>
      </w:r>
      <w:r>
        <w:tab/>
      </w:r>
      <w:r w:rsidRPr="00154629">
        <w:t>Article 5</w:t>
      </w:r>
    </w:p>
    <w:p w:rsidR="00AD3B8E" w:rsidRPr="00154629" w:rsidRDefault="00AD3B8E" w:rsidP="00AD3B8E">
      <w:pPr>
        <w:pStyle w:val="H23G"/>
      </w:pPr>
      <w:r>
        <w:tab/>
      </w:r>
      <w:r>
        <w:tab/>
      </w:r>
      <w:r w:rsidRPr="00154629">
        <w:t>Droits garantis expressément par la Convention</w:t>
      </w:r>
    </w:p>
    <w:p w:rsidR="00AD3B8E" w:rsidRPr="00154629" w:rsidRDefault="00AD3B8E" w:rsidP="00AD3B8E">
      <w:pPr>
        <w:pStyle w:val="H1G"/>
      </w:pPr>
      <w:r>
        <w:tab/>
      </w:r>
      <w:r w:rsidRPr="00154629">
        <w:t>A.</w:t>
      </w:r>
      <w:r w:rsidRPr="00154629">
        <w:tab/>
        <w:t xml:space="preserve">Droit à un traitement égal devant les tribunaux et tout autre organe </w:t>
      </w:r>
      <w:r>
        <w:t xml:space="preserve">de l’État </w:t>
      </w:r>
      <w:r w:rsidRPr="00154629">
        <w:t>administrant la justice</w:t>
      </w:r>
    </w:p>
    <w:p w:rsidR="00AD3B8E" w:rsidRPr="00154629" w:rsidRDefault="00AD3B8E" w:rsidP="00AD3B8E">
      <w:pPr>
        <w:pStyle w:val="SingleTxtG"/>
      </w:pPr>
      <w:r w:rsidRPr="00154629">
        <w:t>51.</w:t>
      </w:r>
      <w:r w:rsidRPr="00154629">
        <w:tab/>
        <w:t>Il n</w:t>
      </w:r>
      <w:r>
        <w:t>’</w:t>
      </w:r>
      <w:r w:rsidRPr="00154629">
        <w:t>y a eu aucune modification dans ce domaine.</w:t>
      </w:r>
    </w:p>
    <w:p w:rsidR="00AD3B8E" w:rsidRPr="00154629" w:rsidRDefault="00AD3B8E" w:rsidP="00AD3B8E">
      <w:pPr>
        <w:pStyle w:val="H1G"/>
      </w:pPr>
      <w:r>
        <w:tab/>
      </w:r>
      <w:r w:rsidRPr="00154629">
        <w:t>B.</w:t>
      </w:r>
      <w:r w:rsidRPr="00154629">
        <w:tab/>
        <w:t>Droit à la liberté et la sûreté de la personne et à la protection de l</w:t>
      </w:r>
      <w:r>
        <w:t>’</w:t>
      </w:r>
      <w:r w:rsidRPr="00154629">
        <w:t>État contre la violence ou les sévices</w:t>
      </w:r>
    </w:p>
    <w:p w:rsidR="00AD3B8E" w:rsidRPr="00154629" w:rsidRDefault="00AD3B8E" w:rsidP="00AD3B8E">
      <w:pPr>
        <w:pStyle w:val="SingleTxtG"/>
      </w:pPr>
      <w:r w:rsidRPr="00154629">
        <w:t>52.</w:t>
      </w:r>
      <w:r w:rsidRPr="00154629">
        <w:tab/>
        <w:t xml:space="preserve">Voir </w:t>
      </w:r>
      <w:r>
        <w:t>l’</w:t>
      </w:r>
      <w:r w:rsidRPr="00154629">
        <w:t>article 4.</w:t>
      </w:r>
    </w:p>
    <w:p w:rsidR="00AD3B8E" w:rsidRPr="00154629" w:rsidRDefault="00AD3B8E" w:rsidP="00AD3B8E">
      <w:pPr>
        <w:pStyle w:val="SingleTxtG"/>
      </w:pPr>
      <w:r w:rsidRPr="00154629">
        <w:t>53.</w:t>
      </w:r>
      <w:r w:rsidRPr="00154629">
        <w:tab/>
        <w:t>D</w:t>
      </w:r>
      <w:r>
        <w:t>’</w:t>
      </w:r>
      <w:r w:rsidRPr="00154629">
        <w:t>après la législation applicable en République tchèque, l</w:t>
      </w:r>
      <w:r>
        <w:t>’</w:t>
      </w:r>
      <w:r w:rsidRPr="00154629">
        <w:t xml:space="preserve">appartenance à une minorité ou à une ethnie </w:t>
      </w:r>
      <w:r>
        <w:t xml:space="preserve">nationales </w:t>
      </w:r>
      <w:r w:rsidRPr="00154629">
        <w:t xml:space="preserve">est considérée comme une donnée sensible qui ne peut être collectée et enregistrée </w:t>
      </w:r>
      <w:r>
        <w:t xml:space="preserve">légalement si ce n’est </w:t>
      </w:r>
      <w:r w:rsidRPr="00154629">
        <w:t xml:space="preserve">hors </w:t>
      </w:r>
      <w:r>
        <w:t xml:space="preserve">d’un </w:t>
      </w:r>
      <w:r w:rsidRPr="00154629">
        <w:t xml:space="preserve">recensement de </w:t>
      </w:r>
      <w:r>
        <w:t xml:space="preserve">la </w:t>
      </w:r>
      <w:r w:rsidRPr="00154629">
        <w:t>population. Le Ministère de la justice dispose, par le biais des dossiers statistiques des tribunaux et des bureaux des procureurs, de données sur le nombre de personnes pour</w:t>
      </w:r>
      <w:r>
        <w:t xml:space="preserve">suivies, accusées et condamnées, ventilées selon la </w:t>
      </w:r>
      <w:r w:rsidRPr="00154629">
        <w:t xml:space="preserve">nationalité, mais pas </w:t>
      </w:r>
      <w:r>
        <w:t xml:space="preserve">la </w:t>
      </w:r>
      <w:r w:rsidRPr="00154629">
        <w:t xml:space="preserve">minorité nationale ou </w:t>
      </w:r>
      <w:r>
        <w:t>l’</w:t>
      </w:r>
      <w:r w:rsidRPr="00154629">
        <w:t>ethni</w:t>
      </w:r>
      <w:r>
        <w:t>e</w:t>
      </w:r>
      <w:r w:rsidRPr="00154629">
        <w:t>.</w:t>
      </w:r>
    </w:p>
    <w:p w:rsidR="00AD3B8E" w:rsidRPr="00154629" w:rsidRDefault="00AD3B8E" w:rsidP="00AD3B8E">
      <w:pPr>
        <w:pStyle w:val="H1G"/>
      </w:pPr>
      <w:r>
        <w:tab/>
      </w:r>
      <w:r w:rsidRPr="00154629">
        <w:t>C.</w:t>
      </w:r>
      <w:r w:rsidRPr="00154629">
        <w:tab/>
        <w:t>Droits politiques, notamment droit de participer aux élections</w:t>
      </w:r>
    </w:p>
    <w:p w:rsidR="00AD3B8E" w:rsidRPr="00154629" w:rsidRDefault="00AD3B8E" w:rsidP="00AD3B8E">
      <w:pPr>
        <w:pStyle w:val="SingleTxtG"/>
      </w:pPr>
      <w:r w:rsidRPr="00154629">
        <w:t>54.</w:t>
      </w:r>
      <w:r w:rsidRPr="00154629">
        <w:tab/>
        <w:t xml:space="preserve">Conformément à </w:t>
      </w:r>
      <w:r>
        <w:t xml:space="preserve">l’article </w:t>
      </w:r>
      <w:r w:rsidRPr="00154629">
        <w:t>10 de la loi sur les droits des minorités nationales</w:t>
      </w:r>
      <w:r w:rsidRPr="00B43F53">
        <w:rPr>
          <w:rStyle w:val="FootnoteReference"/>
        </w:rPr>
        <w:footnoteReference w:id="28"/>
      </w:r>
      <w:r w:rsidRPr="00154629">
        <w:t xml:space="preserve">, les minorités ethniques </w:t>
      </w:r>
      <w:r>
        <w:t xml:space="preserve">vivant en </w:t>
      </w:r>
      <w:r w:rsidRPr="00154629">
        <w:t xml:space="preserve">République tchèque de longue date ont droit </w:t>
      </w:r>
      <w:r>
        <w:t xml:space="preserve">à ce que </w:t>
      </w:r>
      <w:r w:rsidRPr="00154629">
        <w:t xml:space="preserve">les informations concernant la date et le lieu des élections et autres informations à destination des votants </w:t>
      </w:r>
      <w:r>
        <w:t xml:space="preserve">soient publiées </w:t>
      </w:r>
      <w:r w:rsidRPr="00154629">
        <w:t>dans leur langue</w:t>
      </w:r>
      <w:r>
        <w:t xml:space="preserve"> minoritaire</w:t>
      </w:r>
      <w:r w:rsidRPr="00154629">
        <w:t>. Sur cette base, le Ministère de l</w:t>
      </w:r>
      <w:r>
        <w:t>’</w:t>
      </w:r>
      <w:r w:rsidRPr="00154629">
        <w:t xml:space="preserve">intérieur </w:t>
      </w:r>
      <w:r>
        <w:t>envoie</w:t>
      </w:r>
      <w:r w:rsidRPr="00154629">
        <w:t xml:space="preserve">, avant chaque élection, des </w:t>
      </w:r>
      <w:r>
        <w:rPr>
          <w:i/>
        </w:rPr>
        <w:t>I</w:t>
      </w:r>
      <w:r w:rsidRPr="00154629">
        <w:rPr>
          <w:i/>
        </w:rPr>
        <w:t>nformations sur la manière de voter</w:t>
      </w:r>
      <w:r w:rsidRPr="00154629">
        <w:t xml:space="preserve"> dans les langues minoritaires </w:t>
      </w:r>
      <w:r>
        <w:t xml:space="preserve">adéquates </w:t>
      </w:r>
      <w:r w:rsidRPr="00154629">
        <w:t>à toutes les municipalités dans lesquelles les citoyens se réclamant d</w:t>
      </w:r>
      <w:r>
        <w:t>’</w:t>
      </w:r>
      <w:r w:rsidRPr="00154629">
        <w:t xml:space="preserve">une nationalité autre que tchèque représentent au moins 10 % de la population (un comité pour les minorités nationales est établi dans ces municipalités). Dans ces municipalités, </w:t>
      </w:r>
      <w:r>
        <w:t xml:space="preserve">les «Informations sur la manière de voter» sont publiées aux emplacements habituellement </w:t>
      </w:r>
      <w:r w:rsidRPr="00154629">
        <w:t>réservés à ces notifications, c</w:t>
      </w:r>
      <w:r>
        <w:t>’</w:t>
      </w:r>
      <w:r w:rsidRPr="00154629">
        <w:t>est-à-dire dans la plupart des cas sur le tableau d</w:t>
      </w:r>
      <w:r>
        <w:t>’</w:t>
      </w:r>
      <w:r w:rsidRPr="00154629">
        <w:t xml:space="preserve">affichage </w:t>
      </w:r>
      <w:r>
        <w:t xml:space="preserve">officiel </w:t>
      </w:r>
      <w:r w:rsidRPr="00154629">
        <w:t>de l</w:t>
      </w:r>
      <w:r>
        <w:t>’</w:t>
      </w:r>
      <w:r w:rsidRPr="00154629">
        <w:t xml:space="preserve">autorité municipale, ainsi que dans chaque </w:t>
      </w:r>
      <w:r>
        <w:t xml:space="preserve">salle </w:t>
      </w:r>
      <w:r w:rsidRPr="00154629">
        <w:t>du bureau de vote de la municipalité.</w:t>
      </w:r>
    </w:p>
    <w:p w:rsidR="00AD3B8E" w:rsidRPr="00154629" w:rsidRDefault="00AD3B8E" w:rsidP="00AD3B8E">
      <w:pPr>
        <w:pStyle w:val="H1G"/>
      </w:pPr>
      <w:r>
        <w:tab/>
      </w:r>
      <w:r w:rsidRPr="00154629">
        <w:t>D.</w:t>
      </w:r>
      <w:r w:rsidRPr="00154629">
        <w:tab/>
        <w:t>Autres droits civils</w:t>
      </w:r>
    </w:p>
    <w:p w:rsidR="00AD3B8E" w:rsidRPr="00154629" w:rsidRDefault="00AD3B8E" w:rsidP="00AD3B8E">
      <w:pPr>
        <w:pStyle w:val="H23G"/>
      </w:pPr>
      <w:r>
        <w:tab/>
      </w:r>
      <w:r w:rsidRPr="00154629">
        <w:t>1.</w:t>
      </w:r>
      <w:r w:rsidRPr="00154629">
        <w:tab/>
        <w:t>Droit de circuler librement et de choisir sa résidence à l</w:t>
      </w:r>
      <w:r>
        <w:t>’</w:t>
      </w:r>
      <w:r w:rsidRPr="00154629">
        <w:t>intérieur d</w:t>
      </w:r>
      <w:r>
        <w:t>’</w:t>
      </w:r>
      <w:r w:rsidRPr="00154629">
        <w:t>un pays</w:t>
      </w:r>
    </w:p>
    <w:p w:rsidR="00AD3B8E" w:rsidRPr="00154629" w:rsidRDefault="00AD3B8E" w:rsidP="00AD3B8E">
      <w:pPr>
        <w:pStyle w:val="SingleTxtG"/>
      </w:pPr>
      <w:r w:rsidRPr="00154629">
        <w:t>55.</w:t>
      </w:r>
      <w:r w:rsidRPr="00154629">
        <w:tab/>
        <w:t>Il n</w:t>
      </w:r>
      <w:r>
        <w:t>’</w:t>
      </w:r>
      <w:r w:rsidRPr="00154629">
        <w:t xml:space="preserve">y a </w:t>
      </w:r>
      <w:r>
        <w:t xml:space="preserve">eu </w:t>
      </w:r>
      <w:r w:rsidRPr="00154629">
        <w:t>aucun</w:t>
      </w:r>
      <w:r>
        <w:t xml:space="preserve">e modification </w:t>
      </w:r>
      <w:r w:rsidRPr="00154629">
        <w:t>dans ce domaine.</w:t>
      </w:r>
    </w:p>
    <w:p w:rsidR="00AD3B8E" w:rsidRPr="00154629" w:rsidRDefault="00AD3B8E" w:rsidP="00AD3B8E">
      <w:pPr>
        <w:pStyle w:val="H23G"/>
      </w:pPr>
      <w:r>
        <w:tab/>
      </w:r>
      <w:r w:rsidRPr="00154629">
        <w:t>2.</w:t>
      </w:r>
      <w:r w:rsidRPr="00154629">
        <w:tab/>
        <w:t>Droit de quitter tout pays, y compris le sien, et de revenir dans son pays</w:t>
      </w:r>
    </w:p>
    <w:p w:rsidR="00AD3B8E" w:rsidRPr="00154629" w:rsidRDefault="00AD3B8E" w:rsidP="00AD3B8E">
      <w:pPr>
        <w:pStyle w:val="SingleTxtG"/>
      </w:pPr>
      <w:r w:rsidRPr="00154629">
        <w:t>56.</w:t>
      </w:r>
      <w:r w:rsidRPr="00154629">
        <w:tab/>
        <w:t>La montée de l</w:t>
      </w:r>
      <w:r>
        <w:t>’</w:t>
      </w:r>
      <w:r w:rsidRPr="00154629">
        <w:t xml:space="preserve">extrémisme et les risques qui en découlent en matière de sécurité et qui ont </w:t>
      </w:r>
      <w:r>
        <w:t xml:space="preserve">des </w:t>
      </w:r>
      <w:r w:rsidRPr="00154629">
        <w:t>incidence</w:t>
      </w:r>
      <w:r>
        <w:t>s</w:t>
      </w:r>
      <w:r w:rsidRPr="00154629">
        <w:t xml:space="preserve"> négative</w:t>
      </w:r>
      <w:r>
        <w:t>s</w:t>
      </w:r>
      <w:r w:rsidRPr="00154629">
        <w:t xml:space="preserve"> sur la situation des Roms ont également pour effet d</w:t>
      </w:r>
      <w:r>
        <w:t>’</w:t>
      </w:r>
      <w:r w:rsidRPr="00154629">
        <w:t>accentuer la tendance de certains membre</w:t>
      </w:r>
      <w:r>
        <w:t>s de communautés roms à émigrer</w:t>
      </w:r>
      <w:r w:rsidRPr="00154629">
        <w:t>, bien qu</w:t>
      </w:r>
      <w:r>
        <w:t>’</w:t>
      </w:r>
      <w:r w:rsidRPr="00154629">
        <w:t xml:space="preserve">il ne soit pas certain que la décision de quitter la République tchèque puisse être </w:t>
      </w:r>
      <w:r>
        <w:t>imputée</w:t>
      </w:r>
      <w:r w:rsidRPr="00154629">
        <w:t xml:space="preserve"> uniquement </w:t>
      </w:r>
      <w:r>
        <w:t xml:space="preserve">à </w:t>
      </w:r>
      <w:r w:rsidRPr="00154629">
        <w:t>l</w:t>
      </w:r>
      <w:r>
        <w:t>’</w:t>
      </w:r>
      <w:r w:rsidRPr="00154629">
        <w:t>extrémisme.</w:t>
      </w:r>
    </w:p>
    <w:p w:rsidR="00AD3B8E" w:rsidRPr="00154629" w:rsidRDefault="00AD3B8E" w:rsidP="00AD3B8E">
      <w:pPr>
        <w:pStyle w:val="SingleTxtG"/>
      </w:pPr>
      <w:r w:rsidRPr="00154629">
        <w:t>57.</w:t>
      </w:r>
      <w:r w:rsidRPr="00154629">
        <w:tab/>
        <w:t>En 2008, le nombre de demandeurs d</w:t>
      </w:r>
      <w:r>
        <w:t>’</w:t>
      </w:r>
      <w:r w:rsidRPr="00154629">
        <w:t xml:space="preserve">asile qui se sont rendus au Canada et </w:t>
      </w:r>
      <w:r>
        <w:t xml:space="preserve">y </w:t>
      </w:r>
      <w:r w:rsidRPr="00154629">
        <w:t>ont demandé le statut de réfugié (asile) a augmenté</w:t>
      </w:r>
      <w:r w:rsidRPr="00B43F53">
        <w:rPr>
          <w:rStyle w:val="FootnoteReference"/>
        </w:rPr>
        <w:footnoteReference w:id="29"/>
      </w:r>
      <w:r w:rsidRPr="00154629">
        <w:t xml:space="preserve">. Depuis début 2008, le Conseil </w:t>
      </w:r>
      <w:r>
        <w:t xml:space="preserve">canadien </w:t>
      </w:r>
      <w:r w:rsidRPr="00154629">
        <w:t>de l</w:t>
      </w:r>
      <w:r>
        <w:t>’</w:t>
      </w:r>
      <w:r w:rsidRPr="00154629">
        <w:t>immigration a reçu 853 demandes</w:t>
      </w:r>
      <w:r>
        <w:t xml:space="preserve">, la plus forte augmentation s’étant produite en décembre 2008 où 129 demandes ont été enregistrées. </w:t>
      </w:r>
      <w:r w:rsidRPr="00154629">
        <w:t>En 2008, 84 demandes d</w:t>
      </w:r>
      <w:r>
        <w:t>’</w:t>
      </w:r>
      <w:r w:rsidRPr="00154629">
        <w:t>asile ont été acceptées, 5 rejetées et 746 sont en cours d</w:t>
      </w:r>
      <w:r>
        <w:t>’</w:t>
      </w:r>
      <w:r w:rsidRPr="00154629">
        <w:t>examen. Fin 2008, les ressortissants de République tchèque représentaient 2,</w:t>
      </w:r>
      <w:r>
        <w:t>4</w:t>
      </w:r>
      <w:r w:rsidRPr="00154629">
        <w:t>5 % des demandeurs d</w:t>
      </w:r>
      <w:r>
        <w:t>’</w:t>
      </w:r>
      <w:r w:rsidRPr="00154629">
        <w:t>asile au Canada, un record. Cette situation a compromis le régime d</w:t>
      </w:r>
      <w:r>
        <w:t xml:space="preserve">’exemption </w:t>
      </w:r>
      <w:r w:rsidRPr="00154629">
        <w:t xml:space="preserve">de visa dont les citoyens tchèques se rendant au Canada </w:t>
      </w:r>
      <w:r>
        <w:t xml:space="preserve">bénéficiaient depuis </w:t>
      </w:r>
      <w:r w:rsidRPr="00154629">
        <w:t xml:space="preserve">novembre 2007. </w:t>
      </w:r>
      <w:r>
        <w:t xml:space="preserve">Depuis </w:t>
      </w:r>
      <w:r w:rsidRPr="00154629">
        <w:t>l</w:t>
      </w:r>
      <w:r>
        <w:t>’</w:t>
      </w:r>
      <w:r w:rsidRPr="00154629">
        <w:t>exemption de visa, le nombre de demandeurs d</w:t>
      </w:r>
      <w:r>
        <w:t>’</w:t>
      </w:r>
      <w:r w:rsidRPr="00154629">
        <w:t xml:space="preserve">asile au Canada a </w:t>
      </w:r>
      <w:r>
        <w:t xml:space="preserve">plusieurs fois </w:t>
      </w:r>
      <w:r w:rsidRPr="00154629">
        <w:t xml:space="preserve">dépassé les 2 %. Ce problème a </w:t>
      </w:r>
      <w:r>
        <w:t xml:space="preserve">été soulevé dans le cadre des </w:t>
      </w:r>
      <w:r w:rsidRPr="00154629">
        <w:t>négociations bilatérales entre la République tchèque et le Canada</w:t>
      </w:r>
      <w:r>
        <w:t>,</w:t>
      </w:r>
      <w:r w:rsidRPr="00154629">
        <w:t xml:space="preserve"> en novembre 2008</w:t>
      </w:r>
      <w:r>
        <w:t>,</w:t>
      </w:r>
      <w:r w:rsidRPr="00154629">
        <w:t xml:space="preserve"> et la partie tchèque a reçu l</w:t>
      </w:r>
      <w:r>
        <w:t>’</w:t>
      </w:r>
      <w:r w:rsidRPr="00154629">
        <w:t xml:space="preserve">assurance que le Canada </w:t>
      </w:r>
      <w:r>
        <w:t xml:space="preserve">n’exigerait de nouveau des visas </w:t>
      </w:r>
      <w:r w:rsidRPr="00154629">
        <w:t xml:space="preserve">que si le nombre de demandes dépassait à plusieurs reprises la limite acceptable. Le nombre de demandes présentées </w:t>
      </w:r>
      <w:r>
        <w:t xml:space="preserve">depuis le </w:t>
      </w:r>
      <w:r w:rsidRPr="00154629">
        <w:t xml:space="preserve">début de 2009 </w:t>
      </w:r>
      <w:r>
        <w:t xml:space="preserve">ainsi que </w:t>
      </w:r>
      <w:r w:rsidRPr="00154629">
        <w:t xml:space="preserve">la part des demandes présentées par </w:t>
      </w:r>
      <w:r>
        <w:t>d</w:t>
      </w:r>
      <w:r w:rsidRPr="00154629">
        <w:t xml:space="preserve">es citoyens de la République tchèque dans le volume total </w:t>
      </w:r>
      <w:r>
        <w:t xml:space="preserve">de demandes </w:t>
      </w:r>
      <w:r w:rsidRPr="00154629">
        <w:t>a continué à augmenter en 2009</w:t>
      </w:r>
      <w:r w:rsidRPr="00B43F53">
        <w:rPr>
          <w:rStyle w:val="FootnoteReference"/>
        </w:rPr>
        <w:footnoteReference w:id="30"/>
      </w:r>
      <w:r w:rsidRPr="00154629">
        <w:t xml:space="preserve">, ce qui a conduit le Canada à exiger </w:t>
      </w:r>
      <w:r>
        <w:t xml:space="preserve">à nouveau </w:t>
      </w:r>
      <w:r w:rsidRPr="00154629">
        <w:t xml:space="preserve">un visa à partir du 14 juillet 2009. </w:t>
      </w:r>
    </w:p>
    <w:p w:rsidR="00AD3B8E" w:rsidRDefault="00AD3B8E" w:rsidP="00AD3B8E">
      <w:pPr>
        <w:pStyle w:val="SingleTxtG"/>
      </w:pPr>
      <w:r w:rsidRPr="00154629">
        <w:t>58.</w:t>
      </w:r>
      <w:r w:rsidRPr="00154629">
        <w:tab/>
        <w:t>D</w:t>
      </w:r>
      <w:r>
        <w:t>’</w:t>
      </w:r>
      <w:r w:rsidRPr="00154629">
        <w:t xml:space="preserve">après le Conseil gouvernemental pour les affaires de la communauté rom, la volonté de quitter la République tchèque </w:t>
      </w:r>
      <w:r>
        <w:t xml:space="preserve">obéit aux raisons </w:t>
      </w:r>
      <w:r w:rsidRPr="00154629">
        <w:t>suivant</w:t>
      </w:r>
      <w:r>
        <w:t>e</w:t>
      </w:r>
      <w:r w:rsidRPr="00154629">
        <w:t>s</w:t>
      </w:r>
      <w:r w:rsidRPr="00B43F53">
        <w:rPr>
          <w:rStyle w:val="FootnoteReference"/>
        </w:rPr>
        <w:footnoteReference w:id="31"/>
      </w:r>
      <w:r w:rsidRPr="00154629">
        <w:t>:</w:t>
      </w:r>
    </w:p>
    <w:p w:rsidR="00AD3B8E" w:rsidRDefault="00AD3B8E" w:rsidP="00AD3B8E">
      <w:pPr>
        <w:pStyle w:val="Bullet1G"/>
        <w:tabs>
          <w:tab w:val="clear" w:pos="1701"/>
        </w:tabs>
      </w:pPr>
      <w:r>
        <w:t>La r</w:t>
      </w:r>
      <w:r w:rsidRPr="00154629">
        <w:t>echerche de meilleures conditions de vie fondée sur l</w:t>
      </w:r>
      <w:r>
        <w:t>’</w:t>
      </w:r>
      <w:r w:rsidRPr="00154629">
        <w:t xml:space="preserve">amélioration </w:t>
      </w:r>
      <w:r>
        <w:t xml:space="preserve">du statut </w:t>
      </w:r>
      <w:r w:rsidRPr="00154629">
        <w:t xml:space="preserve">civil des </w:t>
      </w:r>
      <w:r>
        <w:t>im</w:t>
      </w:r>
      <w:r w:rsidRPr="00154629">
        <w:t>migrants. Au Canada, les Roms deviennent une minorité invisible et leurs enfants ont de meilleures perspectives dans le système d</w:t>
      </w:r>
      <w:r>
        <w:t>’</w:t>
      </w:r>
      <w:r w:rsidRPr="00154629">
        <w:t>éducation multiculturelle canadien, ce qui leur fait espérer une vie meilleure outre-</w:t>
      </w:r>
      <w:r>
        <w:t>Atlantique</w:t>
      </w:r>
      <w:r w:rsidRPr="00154629">
        <w:t>. De plus, ils sont attirés par les exemples de demandeurs d</w:t>
      </w:r>
      <w:r>
        <w:t>’</w:t>
      </w:r>
      <w:r w:rsidRPr="00154629">
        <w:t xml:space="preserve">asile qui ont </w:t>
      </w:r>
      <w:r>
        <w:t xml:space="preserve">réussi à obtenir </w:t>
      </w:r>
      <w:r w:rsidRPr="00154629">
        <w:t xml:space="preserve">ce statut ces dernières années et partagent leur expérience </w:t>
      </w:r>
      <w:r>
        <w:t xml:space="preserve">d’un </w:t>
      </w:r>
      <w:r w:rsidRPr="00154629">
        <w:t>environnement accueillant et non discriminatoire;</w:t>
      </w:r>
    </w:p>
    <w:p w:rsidR="00AD3B8E" w:rsidRDefault="00AD3B8E" w:rsidP="00AD3B8E">
      <w:pPr>
        <w:pStyle w:val="Bullet1G"/>
      </w:pPr>
      <w:r>
        <w:t>Des raisons</w:t>
      </w:r>
      <w:r w:rsidRPr="00154629">
        <w:t xml:space="preserve"> économiques</w:t>
      </w:r>
      <w:r>
        <w:t xml:space="preserve">: </w:t>
      </w:r>
      <w:r w:rsidRPr="00154629">
        <w:t xml:space="preserve">certains émigrants sont </w:t>
      </w:r>
      <w:r>
        <w:t xml:space="preserve">motivés </w:t>
      </w:r>
      <w:r w:rsidRPr="00154629">
        <w:t>par la perspective de trouver un emploi;</w:t>
      </w:r>
    </w:p>
    <w:p w:rsidR="00AD3B8E" w:rsidRDefault="00AD3B8E" w:rsidP="00AD3B8E">
      <w:pPr>
        <w:pStyle w:val="Bullet1G"/>
      </w:pPr>
      <w:r w:rsidRPr="00154629">
        <w:t>L</w:t>
      </w:r>
      <w:r>
        <w:t>es l</w:t>
      </w:r>
      <w:r w:rsidRPr="00154629">
        <w:t>iens familiaux</w:t>
      </w:r>
      <w:r>
        <w:t xml:space="preserve">: </w:t>
      </w:r>
      <w:r w:rsidRPr="00154629">
        <w:t xml:space="preserve">certains Roms </w:t>
      </w:r>
      <w:r>
        <w:t xml:space="preserve">suivent </w:t>
      </w:r>
      <w:r w:rsidRPr="00154629">
        <w:t>la première vague d</w:t>
      </w:r>
      <w:r>
        <w:t xml:space="preserve">’émigrants </w:t>
      </w:r>
      <w:r w:rsidRPr="00154629">
        <w:t>des années</w:t>
      </w:r>
      <w:r>
        <w:t> </w:t>
      </w:r>
      <w:r w:rsidRPr="00154629">
        <w:t>90. La migration s</w:t>
      </w:r>
      <w:r>
        <w:t>’</w:t>
      </w:r>
      <w:r w:rsidRPr="00154629">
        <w:t>effectue avec le soutien de réseaux sociaux et familiaux;</w:t>
      </w:r>
    </w:p>
    <w:p w:rsidR="00AD3B8E" w:rsidRPr="00154629" w:rsidRDefault="00AD3B8E" w:rsidP="00AD3B8E">
      <w:pPr>
        <w:pStyle w:val="Bullet1G"/>
      </w:pPr>
      <w:r>
        <w:t>La d</w:t>
      </w:r>
      <w:r w:rsidRPr="00154629">
        <w:t xml:space="preserve">iscrimination et </w:t>
      </w:r>
      <w:r>
        <w:t xml:space="preserve">les </w:t>
      </w:r>
      <w:r w:rsidRPr="00154629">
        <w:t>menaces à la sécurité individuelle</w:t>
      </w:r>
      <w:r>
        <w:t xml:space="preserve">: </w:t>
      </w:r>
      <w:r w:rsidRPr="00154629">
        <w:t xml:space="preserve">une étude menée par </w:t>
      </w:r>
      <w:r>
        <w:t>l’Agence des droits fondamentaux</w:t>
      </w:r>
      <w:r w:rsidRPr="00B43F53">
        <w:rPr>
          <w:rStyle w:val="FootnoteReference"/>
        </w:rPr>
        <w:footnoteReference w:id="32"/>
      </w:r>
      <w:r w:rsidRPr="00154629">
        <w:t xml:space="preserve"> montre que 88 % des Roms estiment </w:t>
      </w:r>
      <w:r>
        <w:t xml:space="preserve">être </w:t>
      </w:r>
      <w:r w:rsidRPr="00154629">
        <w:t>victimes de discrimination</w:t>
      </w:r>
      <w:r>
        <w:t>s</w:t>
      </w:r>
      <w:r w:rsidRPr="00154629">
        <w:t xml:space="preserve"> en République tchèque, 47 % d</w:t>
      </w:r>
      <w:r>
        <w:t>’</w:t>
      </w:r>
      <w:r w:rsidRPr="00154629">
        <w:t xml:space="preserve">entre eux déclarant </w:t>
      </w:r>
      <w:r>
        <w:t xml:space="preserve">en en </w:t>
      </w:r>
      <w:r w:rsidRPr="00154629">
        <w:t xml:space="preserve">avoir </w:t>
      </w:r>
      <w:r>
        <w:t xml:space="preserve">subi </w:t>
      </w:r>
      <w:r w:rsidRPr="00154629">
        <w:t>personnellement au cours de l</w:t>
      </w:r>
      <w:r>
        <w:t>’</w:t>
      </w:r>
      <w:r w:rsidRPr="00154629">
        <w:t>année passée. Les experts conviennent que la peur de l</w:t>
      </w:r>
      <w:r>
        <w:t>’</w:t>
      </w:r>
      <w:r w:rsidRPr="00154629">
        <w:t xml:space="preserve">extrémisme croissant, </w:t>
      </w:r>
      <w:r>
        <w:t xml:space="preserve">dans </w:t>
      </w:r>
      <w:r w:rsidRPr="00154629">
        <w:t>l</w:t>
      </w:r>
      <w:r>
        <w:t>’</w:t>
      </w:r>
      <w:r w:rsidRPr="00154629">
        <w:t xml:space="preserve">opinion publique négative </w:t>
      </w:r>
      <w:r>
        <w:t xml:space="preserve">à l’égard </w:t>
      </w:r>
      <w:r w:rsidRPr="00154629">
        <w:t>des Roms, le racisme et la xénophobie dans la société peuvent être des motifs de départ. On ne peut ignorer l</w:t>
      </w:r>
      <w:r>
        <w:t>’</w:t>
      </w:r>
      <w:r w:rsidRPr="00154629">
        <w:t>existence d</w:t>
      </w:r>
      <w:r>
        <w:t>’</w:t>
      </w:r>
      <w:r w:rsidRPr="00154629">
        <w:t>une discrimination fréquente, fortement ressentie, notamment dans l</w:t>
      </w:r>
      <w:r>
        <w:t>’</w:t>
      </w:r>
      <w:r w:rsidRPr="00154629">
        <w:t>éducation, l</w:t>
      </w:r>
      <w:r>
        <w:t>’</w:t>
      </w:r>
      <w:r w:rsidRPr="00154629">
        <w:t>accès aux services et sur le marché du travail.</w:t>
      </w:r>
    </w:p>
    <w:p w:rsidR="00AD3B8E" w:rsidRPr="00154629" w:rsidRDefault="00AD3B8E" w:rsidP="00AD3B8E">
      <w:pPr>
        <w:pStyle w:val="H23G"/>
      </w:pPr>
      <w:r>
        <w:tab/>
      </w:r>
      <w:r w:rsidRPr="00154629">
        <w:t>3.</w:t>
      </w:r>
      <w:r w:rsidRPr="00154629">
        <w:tab/>
        <w:t>Droit à une nationalité</w:t>
      </w:r>
    </w:p>
    <w:p w:rsidR="00AD3B8E" w:rsidRPr="00154629" w:rsidRDefault="00AD3B8E" w:rsidP="00AD3B8E">
      <w:pPr>
        <w:pStyle w:val="SingleTxtG"/>
      </w:pPr>
      <w:r w:rsidRPr="00154629">
        <w:t>59.</w:t>
      </w:r>
      <w:r w:rsidRPr="00154629">
        <w:tab/>
        <w:t>Lors de la période du rapport, il n</w:t>
      </w:r>
      <w:r>
        <w:t>’</w:t>
      </w:r>
      <w:r w:rsidRPr="00154629">
        <w:t>y a eu aucun changement en la matière. Une nouvelle législation a été élaborée</w:t>
      </w:r>
      <w:r>
        <w:t>,</w:t>
      </w:r>
      <w:r w:rsidRPr="00154629">
        <w:t xml:space="preserve"> relative à l</w:t>
      </w:r>
      <w:r>
        <w:t>’</w:t>
      </w:r>
      <w:r w:rsidRPr="00154629">
        <w:t>acquisition et à la perte de la nationalité tchèque, qui respecte les engagements de la République tchèque au titre de la Convention sur l</w:t>
      </w:r>
      <w:r>
        <w:t>’</w:t>
      </w:r>
      <w:r w:rsidRPr="00154629">
        <w:t>élimination de toutes les formes de discrimination raciale</w:t>
      </w:r>
      <w:r>
        <w:t xml:space="preserve"> et </w:t>
      </w:r>
      <w:r w:rsidRPr="00154629">
        <w:t xml:space="preserve">envisage la possibilité de la double nationalité. </w:t>
      </w:r>
    </w:p>
    <w:p w:rsidR="00AD3B8E" w:rsidRPr="00154629" w:rsidRDefault="00AD3B8E" w:rsidP="00AD3B8E">
      <w:pPr>
        <w:pStyle w:val="H23G"/>
      </w:pPr>
      <w:r>
        <w:tab/>
      </w:r>
      <w:r w:rsidRPr="00154629">
        <w:t>4.</w:t>
      </w:r>
      <w:r w:rsidRPr="00154629">
        <w:tab/>
        <w:t>Droit de se marier et de choisir son conjoint</w:t>
      </w:r>
    </w:p>
    <w:p w:rsidR="00AD3B8E" w:rsidRPr="00154629" w:rsidRDefault="00AD3B8E" w:rsidP="00AD3B8E">
      <w:pPr>
        <w:pStyle w:val="SingleTxtG"/>
      </w:pPr>
      <w:r w:rsidRPr="00154629">
        <w:t>60.</w:t>
      </w:r>
      <w:r w:rsidRPr="00154629">
        <w:tab/>
        <w:t>Il n</w:t>
      </w:r>
      <w:r>
        <w:t>’</w:t>
      </w:r>
      <w:r w:rsidRPr="00154629">
        <w:t xml:space="preserve">y a pas eu de changements en matière de protection contre la discrimination raciale dans le cadre du mariage pendant la période </w:t>
      </w:r>
      <w:r>
        <w:t xml:space="preserve">considérée. Les conditions du </w:t>
      </w:r>
      <w:r w:rsidRPr="00154629">
        <w:t xml:space="preserve">mariage </w:t>
      </w:r>
      <w:r>
        <w:t xml:space="preserve">sont fixées </w:t>
      </w:r>
      <w:r w:rsidRPr="00154629">
        <w:t>par la loi sur la famille</w:t>
      </w:r>
      <w:r w:rsidRPr="00B43F53">
        <w:rPr>
          <w:rStyle w:val="FootnoteReference"/>
        </w:rPr>
        <w:footnoteReference w:id="33"/>
      </w:r>
      <w:r>
        <w:t>,</w:t>
      </w:r>
      <w:r w:rsidRPr="00154629">
        <w:t xml:space="preserve"> la liste des documents que les fiancés doivent présenter afin de </w:t>
      </w:r>
      <w:r>
        <w:t xml:space="preserve">se marier </w:t>
      </w:r>
      <w:r w:rsidRPr="00154629">
        <w:t>figure dans la loi sur les registres d</w:t>
      </w:r>
      <w:r>
        <w:t>’</w:t>
      </w:r>
      <w:r w:rsidRPr="00154629">
        <w:t>état civil</w:t>
      </w:r>
      <w:r w:rsidRPr="00B43F53">
        <w:rPr>
          <w:rStyle w:val="FootnoteReference"/>
        </w:rPr>
        <w:footnoteReference w:id="34"/>
      </w:r>
      <w:r w:rsidRPr="00154629">
        <w:t>. D</w:t>
      </w:r>
      <w:r>
        <w:t>’</w:t>
      </w:r>
      <w:r w:rsidRPr="00154629">
        <w:t xml:space="preserve">après cette loi, </w:t>
      </w:r>
      <w:r>
        <w:t xml:space="preserve">le fiancé </w:t>
      </w:r>
      <w:r w:rsidRPr="00154629">
        <w:t>étranger</w:t>
      </w:r>
      <w:r>
        <w:t xml:space="preserve"> (ou la fiancée étrangère) </w:t>
      </w:r>
      <w:r w:rsidRPr="00154629">
        <w:t>doit présenter au bureau de l</w:t>
      </w:r>
      <w:r>
        <w:t>’</w:t>
      </w:r>
      <w:r w:rsidRPr="00154629">
        <w:t xml:space="preserve">état civil, au plus tard </w:t>
      </w:r>
      <w:r>
        <w:t xml:space="preserve">le jour </w:t>
      </w:r>
      <w:r w:rsidRPr="00154629">
        <w:t>du mariage</w:t>
      </w:r>
      <w:r>
        <w:t xml:space="preserve"> un document attestant son </w:t>
      </w:r>
      <w:r w:rsidRPr="00154629">
        <w:t>droit de résidence en République tchèque, délivré par la Police tchèque, qui ne doit pas dater de plus de sept jours ouvrés au jour du mariage. Cette disposition ne s</w:t>
      </w:r>
      <w:r>
        <w:t>’</w:t>
      </w:r>
      <w:r w:rsidRPr="00154629">
        <w:t>applique pas aux citoyens de l</w:t>
      </w:r>
      <w:r>
        <w:t>’</w:t>
      </w:r>
      <w:r w:rsidRPr="00154629">
        <w:t xml:space="preserve">Union européenne, </w:t>
      </w:r>
      <w:r>
        <w:t>aux</w:t>
      </w:r>
      <w:r w:rsidRPr="00154629">
        <w:t xml:space="preserve"> citoyens d</w:t>
      </w:r>
      <w:r>
        <w:t>’</w:t>
      </w:r>
      <w:r w:rsidRPr="00154629">
        <w:t>un autre État partie à l</w:t>
      </w:r>
      <w:r>
        <w:t>’</w:t>
      </w:r>
      <w:r w:rsidRPr="00154629">
        <w:t>accord sur l</w:t>
      </w:r>
      <w:r>
        <w:t>’E</w:t>
      </w:r>
      <w:r w:rsidRPr="00154629">
        <w:t xml:space="preserve">space économique européen </w:t>
      </w:r>
      <w:r>
        <w:t>ni</w:t>
      </w:r>
      <w:r w:rsidRPr="00154629">
        <w:t xml:space="preserve"> aux membres de leur famille. </w:t>
      </w:r>
    </w:p>
    <w:p w:rsidR="00AD3B8E" w:rsidRPr="00154629" w:rsidRDefault="00AD3B8E" w:rsidP="00AD3B8E">
      <w:pPr>
        <w:pStyle w:val="SingleTxtG"/>
      </w:pPr>
      <w:r w:rsidRPr="00154629">
        <w:t>61.</w:t>
      </w:r>
      <w:r w:rsidRPr="00154629">
        <w:tab/>
        <w:t>Le 1</w:t>
      </w:r>
      <w:r w:rsidRPr="00154629">
        <w:rPr>
          <w:vertAlign w:val="superscript"/>
        </w:rPr>
        <w:t>er</w:t>
      </w:r>
      <w:r w:rsidRPr="00154629">
        <w:t xml:space="preserve"> juillet 2006, la loi sur </w:t>
      </w:r>
      <w:r>
        <w:t xml:space="preserve">l’enregistrement des </w:t>
      </w:r>
      <w:r w:rsidRPr="00154629">
        <w:t>partenariat</w:t>
      </w:r>
      <w:r>
        <w:t>s</w:t>
      </w:r>
      <w:r w:rsidRPr="00B43F53">
        <w:rPr>
          <w:rStyle w:val="FootnoteReference"/>
        </w:rPr>
        <w:footnoteReference w:id="35"/>
      </w:r>
      <w:r w:rsidRPr="00154629">
        <w:t xml:space="preserve"> est entrée en vigueur. Chacun peut conclure un partenariat </w:t>
      </w:r>
      <w:r>
        <w:t xml:space="preserve">soumis à l’enregistrement </w:t>
      </w:r>
      <w:r w:rsidRPr="00154629">
        <w:t xml:space="preserve">à moins que la loi ne </w:t>
      </w:r>
      <w:r>
        <w:t>l’interdise</w:t>
      </w:r>
      <w:r w:rsidRPr="00154629">
        <w:t>. Au moins l</w:t>
      </w:r>
      <w:r>
        <w:t>’</w:t>
      </w:r>
      <w:r w:rsidRPr="00154629">
        <w:t>une des personnes qui conclu</w:t>
      </w:r>
      <w:r>
        <w:t>en</w:t>
      </w:r>
      <w:r w:rsidRPr="00154629">
        <w:t xml:space="preserve">t ce partenariat doit </w:t>
      </w:r>
      <w:r>
        <w:t xml:space="preserve">avoir la nationalité </w:t>
      </w:r>
      <w:r w:rsidRPr="00154629">
        <w:t>tchèque</w:t>
      </w:r>
      <w:r w:rsidRPr="00B43F53">
        <w:rPr>
          <w:rStyle w:val="FootnoteReference"/>
        </w:rPr>
        <w:footnoteReference w:id="36"/>
      </w:r>
      <w:r w:rsidRPr="00154629">
        <w:t xml:space="preserve">. Comme </w:t>
      </w:r>
      <w:r>
        <w:t xml:space="preserve">pour le </w:t>
      </w:r>
      <w:r w:rsidRPr="00154629">
        <w:t xml:space="preserve">mariage, </w:t>
      </w:r>
      <w:r>
        <w:t>l’étranger doit, a</w:t>
      </w:r>
      <w:r w:rsidRPr="00154629">
        <w:t xml:space="preserve">vant de conclure un partenariat, présenter au bureau </w:t>
      </w:r>
      <w:r>
        <w:t xml:space="preserve">d’enregistrement compétent, un document établi </w:t>
      </w:r>
      <w:r w:rsidRPr="00154629">
        <w:t xml:space="preserve">par la Police tchèque, </w:t>
      </w:r>
      <w:r>
        <w:t xml:space="preserve">attestant son </w:t>
      </w:r>
      <w:r w:rsidRPr="00154629">
        <w:t>droit de résider en République tchèque, qui ne doit pas dater de plus de sept jours ouvrés au jour de la conclusion du partenariat. Cette exigence ne s</w:t>
      </w:r>
      <w:r>
        <w:t>’</w:t>
      </w:r>
      <w:r w:rsidRPr="00154629">
        <w:t>applique pas aux citoyens de l</w:t>
      </w:r>
      <w:r>
        <w:t>’</w:t>
      </w:r>
      <w:r w:rsidRPr="00154629">
        <w:t>Union européenne, aux citoyens d</w:t>
      </w:r>
      <w:r>
        <w:t>’</w:t>
      </w:r>
      <w:r w:rsidRPr="00154629">
        <w:t>un autre État partie à l</w:t>
      </w:r>
      <w:r>
        <w:t>’</w:t>
      </w:r>
      <w:r w:rsidRPr="00154629">
        <w:t>Accord sur l</w:t>
      </w:r>
      <w:r>
        <w:t>’E</w:t>
      </w:r>
      <w:r w:rsidRPr="00154629">
        <w:t xml:space="preserve">space économique européen </w:t>
      </w:r>
      <w:r>
        <w:t>ni</w:t>
      </w:r>
      <w:r w:rsidRPr="00154629">
        <w:t xml:space="preserve"> aux membres de leur famille.</w:t>
      </w:r>
    </w:p>
    <w:p w:rsidR="00AD3B8E" w:rsidRPr="00154629" w:rsidRDefault="00AD3B8E" w:rsidP="00AD3B8E">
      <w:pPr>
        <w:pStyle w:val="SingleTxtG"/>
      </w:pPr>
      <w:r w:rsidRPr="00154629">
        <w:t>62.</w:t>
      </w:r>
      <w:r w:rsidRPr="00154629">
        <w:tab/>
        <w:t xml:space="preserve">Comme il ressort clairement du mémorandum explicatif de la loi sur </w:t>
      </w:r>
      <w:r>
        <w:t xml:space="preserve">l’enregistrement des </w:t>
      </w:r>
      <w:r w:rsidRPr="00154629">
        <w:t>partenariat</w:t>
      </w:r>
      <w:r>
        <w:t xml:space="preserve">s, il n’est pas possible, étant donné l’absence de directives </w:t>
      </w:r>
      <w:r w:rsidRPr="00154629">
        <w:t xml:space="preserve">(en particulier </w:t>
      </w:r>
      <w:r>
        <w:t>européennes</w:t>
      </w:r>
      <w:r w:rsidRPr="00154629">
        <w:t xml:space="preserve">) </w:t>
      </w:r>
      <w:r>
        <w:t xml:space="preserve">concernant la </w:t>
      </w:r>
      <w:r w:rsidRPr="00154629">
        <w:t>reconnaissance d</w:t>
      </w:r>
      <w:r>
        <w:t>’</w:t>
      </w:r>
      <w:r w:rsidRPr="00154629">
        <w:t>un partenariat</w:t>
      </w:r>
      <w:r>
        <w:t>,</w:t>
      </w:r>
      <w:r w:rsidRPr="00154629">
        <w:t xml:space="preserve"> et </w:t>
      </w:r>
      <w:r>
        <w:t xml:space="preserve">l’absence </w:t>
      </w:r>
      <w:r w:rsidRPr="00154629">
        <w:t>d</w:t>
      </w:r>
      <w:r>
        <w:t>’</w:t>
      </w:r>
      <w:r w:rsidRPr="00154629">
        <w:t xml:space="preserve">uniformité </w:t>
      </w:r>
      <w:r>
        <w:t xml:space="preserve">en matière d’enregistrement des partenariats, que deux </w:t>
      </w:r>
      <w:r w:rsidRPr="00154629">
        <w:t xml:space="preserve">étrangers </w:t>
      </w:r>
      <w:r>
        <w:t>concluent</w:t>
      </w:r>
      <w:r w:rsidRPr="00154629">
        <w:t xml:space="preserve"> un partenariat l</w:t>
      </w:r>
      <w:r>
        <w:t>’</w:t>
      </w:r>
      <w:r w:rsidRPr="00154629">
        <w:t>un avec l</w:t>
      </w:r>
      <w:r>
        <w:t>’</w:t>
      </w:r>
      <w:r w:rsidRPr="00154629">
        <w:t>autre en République tchèque.</w:t>
      </w:r>
    </w:p>
    <w:p w:rsidR="00AD3B8E" w:rsidRPr="00154629" w:rsidRDefault="00AD3B8E" w:rsidP="00AD3B8E">
      <w:pPr>
        <w:pStyle w:val="H23G"/>
      </w:pPr>
      <w:r>
        <w:tab/>
      </w:r>
      <w:r w:rsidRPr="00154629">
        <w:t>5.</w:t>
      </w:r>
      <w:r w:rsidRPr="00154629">
        <w:tab/>
        <w:t>Droit à la propriété, droit d</w:t>
      </w:r>
      <w:r>
        <w:t>’</w:t>
      </w:r>
      <w:r w:rsidRPr="00154629">
        <w:t>hériter</w:t>
      </w:r>
    </w:p>
    <w:p w:rsidR="00AD3B8E" w:rsidRPr="00154629" w:rsidRDefault="00AD3B8E" w:rsidP="00AD3B8E">
      <w:pPr>
        <w:pStyle w:val="SingleTxtG"/>
      </w:pPr>
      <w:r w:rsidRPr="00154629">
        <w:t>63.</w:t>
      </w:r>
      <w:r w:rsidRPr="00154629">
        <w:tab/>
        <w:t>Il n</w:t>
      </w:r>
      <w:r>
        <w:t>’</w:t>
      </w:r>
      <w:r w:rsidRPr="00154629">
        <w:t>y a eu aucun</w:t>
      </w:r>
      <w:r>
        <w:t>e modification</w:t>
      </w:r>
      <w:r w:rsidRPr="00154629">
        <w:t xml:space="preserve"> dans ce domaine.</w:t>
      </w:r>
    </w:p>
    <w:p w:rsidR="00AD3B8E" w:rsidRPr="00154629" w:rsidRDefault="00AD3B8E" w:rsidP="00AD3B8E">
      <w:pPr>
        <w:pStyle w:val="H23G"/>
      </w:pPr>
      <w:r>
        <w:tab/>
      </w:r>
      <w:r w:rsidRPr="00154629">
        <w:t>6.</w:t>
      </w:r>
      <w:r w:rsidRPr="00154629">
        <w:tab/>
        <w:t>Droit à la liberté de penser, de conscience et de religion</w:t>
      </w:r>
    </w:p>
    <w:p w:rsidR="00AD3B8E" w:rsidRPr="00154629" w:rsidRDefault="00AD3B8E" w:rsidP="00AD3B8E">
      <w:pPr>
        <w:pStyle w:val="SingleTxtG"/>
      </w:pPr>
      <w:r w:rsidRPr="00154629">
        <w:t>64.</w:t>
      </w:r>
      <w:r w:rsidRPr="00154629">
        <w:tab/>
        <w:t>Il n</w:t>
      </w:r>
      <w:r>
        <w:t>’</w:t>
      </w:r>
      <w:r w:rsidRPr="00154629">
        <w:t>y a eu aucun</w:t>
      </w:r>
      <w:r>
        <w:t>e modification</w:t>
      </w:r>
      <w:r w:rsidRPr="00154629">
        <w:t xml:space="preserve"> dans ce domaine.</w:t>
      </w:r>
    </w:p>
    <w:p w:rsidR="00AD3B8E" w:rsidRPr="00154629" w:rsidRDefault="00AD3B8E" w:rsidP="00AD3B8E">
      <w:pPr>
        <w:pStyle w:val="H23G"/>
      </w:pPr>
      <w:r>
        <w:tab/>
      </w:r>
      <w:r w:rsidRPr="00154629">
        <w:t>7.</w:t>
      </w:r>
      <w:r w:rsidRPr="00154629">
        <w:tab/>
        <w:t>Droit à la liberté d</w:t>
      </w:r>
      <w:r>
        <w:t>’</w:t>
      </w:r>
      <w:r w:rsidRPr="00154629">
        <w:t>opinion et d</w:t>
      </w:r>
      <w:r>
        <w:t>’</w:t>
      </w:r>
      <w:r w:rsidRPr="00154629">
        <w:t>expression</w:t>
      </w:r>
    </w:p>
    <w:p w:rsidR="00AD3B8E" w:rsidRPr="00154629" w:rsidRDefault="00AD3B8E" w:rsidP="00AD3B8E">
      <w:pPr>
        <w:pStyle w:val="SingleTxtG"/>
      </w:pPr>
      <w:r>
        <w:t>65.</w:t>
      </w:r>
      <w:r>
        <w:tab/>
        <w:t xml:space="preserve">Il n’y a eu aucune modification </w:t>
      </w:r>
      <w:r w:rsidRPr="00154629">
        <w:t>dans ce domaine.</w:t>
      </w:r>
    </w:p>
    <w:p w:rsidR="00AD3B8E" w:rsidRPr="00154629" w:rsidRDefault="00AD3B8E" w:rsidP="00AD3B8E">
      <w:pPr>
        <w:pStyle w:val="H23G"/>
      </w:pPr>
      <w:r>
        <w:tab/>
      </w:r>
      <w:r w:rsidRPr="00154629">
        <w:t>8.</w:t>
      </w:r>
      <w:r w:rsidRPr="00154629">
        <w:tab/>
        <w:t>Droit à la liberté de réunion et d</w:t>
      </w:r>
      <w:r>
        <w:t>’</w:t>
      </w:r>
      <w:r w:rsidRPr="00154629">
        <w:t>association</w:t>
      </w:r>
    </w:p>
    <w:p w:rsidR="00AD3B8E" w:rsidRPr="00154629" w:rsidRDefault="00AD3B8E" w:rsidP="00AD3B8E">
      <w:pPr>
        <w:pStyle w:val="SingleTxtG"/>
      </w:pPr>
      <w:r w:rsidRPr="00154629">
        <w:t>66.</w:t>
      </w:r>
      <w:r w:rsidRPr="00154629">
        <w:tab/>
        <w:t xml:space="preserve">La législation </w:t>
      </w:r>
      <w:r>
        <w:t xml:space="preserve">relative au </w:t>
      </w:r>
      <w:r w:rsidRPr="00154629">
        <w:t>droit d</w:t>
      </w:r>
      <w:r>
        <w:t>’</w:t>
      </w:r>
      <w:r w:rsidRPr="00154629">
        <w:t xml:space="preserve">association </w:t>
      </w:r>
      <w:r>
        <w:t xml:space="preserve">tel qu’établi dans la </w:t>
      </w:r>
      <w:r w:rsidRPr="00154629">
        <w:t>loi sur les associations civiques</w:t>
      </w:r>
      <w:r w:rsidRPr="00B43F53">
        <w:rPr>
          <w:rStyle w:val="FootnoteReference"/>
        </w:rPr>
        <w:footnoteReference w:id="37"/>
      </w:r>
      <w:r>
        <w:t xml:space="preserve">, </w:t>
      </w:r>
      <w:r w:rsidRPr="00154629">
        <w:t>a été modifiée au cours de la période du rapport afin d</w:t>
      </w:r>
      <w:r>
        <w:t>’</w:t>
      </w:r>
      <w:r w:rsidRPr="00154629">
        <w:t>uniformiser le</w:t>
      </w:r>
      <w:r>
        <w:t xml:space="preserve">s régimes prévus en matière </w:t>
      </w:r>
      <w:r w:rsidRPr="00154629">
        <w:t>d</w:t>
      </w:r>
      <w:r>
        <w:t>’</w:t>
      </w:r>
      <w:r w:rsidRPr="00154629">
        <w:t xml:space="preserve">association </w:t>
      </w:r>
      <w:r>
        <w:t xml:space="preserve">pour les </w:t>
      </w:r>
      <w:r w:rsidRPr="00154629">
        <w:t xml:space="preserve">citoyens tchèques et </w:t>
      </w:r>
      <w:r>
        <w:t xml:space="preserve">les </w:t>
      </w:r>
      <w:r w:rsidRPr="00154629">
        <w:t>étrangers. Cette modification a instauré les mêmes conditions d</w:t>
      </w:r>
      <w:r>
        <w:t>’</w:t>
      </w:r>
      <w:r w:rsidRPr="00154629">
        <w:t xml:space="preserve">association pour tous, indépendamment de la nationalité. </w:t>
      </w:r>
      <w:r>
        <w:t xml:space="preserve">En application de </w:t>
      </w:r>
      <w:r w:rsidRPr="00154629">
        <w:t>la nouvelle législation</w:t>
      </w:r>
      <w:r>
        <w:t xml:space="preserve">, les informations à fournir sur les </w:t>
      </w:r>
      <w:r w:rsidRPr="00154629">
        <w:t xml:space="preserve">membres </w:t>
      </w:r>
      <w:r>
        <w:t>d’un c</w:t>
      </w:r>
      <w:r w:rsidRPr="00154629">
        <w:t>omité préparatoire</w:t>
      </w:r>
      <w:r>
        <w:t xml:space="preserve"> </w:t>
      </w:r>
      <w:r w:rsidRPr="00154629">
        <w:t>dans l</w:t>
      </w:r>
      <w:r>
        <w:t>es</w:t>
      </w:r>
      <w:r w:rsidRPr="00154629">
        <w:t xml:space="preserve"> demande</w:t>
      </w:r>
      <w:r>
        <w:t>s</w:t>
      </w:r>
      <w:r w:rsidRPr="00154629">
        <w:t xml:space="preserve"> </w:t>
      </w:r>
      <w:r>
        <w:t xml:space="preserve">d’enregistrement </w:t>
      </w:r>
      <w:r w:rsidRPr="00154629">
        <w:t>d</w:t>
      </w:r>
      <w:r>
        <w:t>’</w:t>
      </w:r>
      <w:r w:rsidRPr="00154629">
        <w:t>association civique</w:t>
      </w:r>
      <w:r>
        <w:t xml:space="preserve"> ne comprennent plus les numéros d’identification, qui ont été </w:t>
      </w:r>
      <w:r w:rsidRPr="00154629">
        <w:t>remplacés par l</w:t>
      </w:r>
      <w:r>
        <w:t>a</w:t>
      </w:r>
      <w:r w:rsidRPr="00154629">
        <w:t xml:space="preserve"> date de naissance. Ces modifications ont mis tout</w:t>
      </w:r>
      <w:r>
        <w:t xml:space="preserve">es les personnes </w:t>
      </w:r>
      <w:r w:rsidRPr="00154629">
        <w:t>sur un pied</w:t>
      </w:r>
      <w:r>
        <w:t xml:space="preserve"> d’égalité</w:t>
      </w:r>
      <w:r w:rsidRPr="00154629">
        <w:t xml:space="preserve">, indépendamment de la nationalité. </w:t>
      </w:r>
    </w:p>
    <w:p w:rsidR="00AD3B8E" w:rsidRPr="00154629" w:rsidRDefault="00AD3B8E" w:rsidP="00AD3B8E">
      <w:pPr>
        <w:pStyle w:val="SingleTxtG"/>
      </w:pPr>
      <w:r w:rsidRPr="00154629">
        <w:t>67.</w:t>
      </w:r>
      <w:r w:rsidRPr="00154629">
        <w:tab/>
      </w:r>
      <w:r>
        <w:t xml:space="preserve">Au cours de </w:t>
      </w:r>
      <w:r w:rsidRPr="00154629">
        <w:t>la période du rapport, le Ministère de l</w:t>
      </w:r>
      <w:r>
        <w:t>’</w:t>
      </w:r>
      <w:r w:rsidRPr="00154629">
        <w:t>intérieur a dissous cinq associations civiques et une unité administrative d</w:t>
      </w:r>
      <w:r>
        <w:t>’</w:t>
      </w:r>
      <w:r w:rsidRPr="00154629">
        <w:t xml:space="preserve">une association civique qui avait statut </w:t>
      </w:r>
      <w:r>
        <w:t>légal</w:t>
      </w:r>
      <w:r w:rsidRPr="00154629">
        <w:t xml:space="preserve">. </w:t>
      </w:r>
      <w:r>
        <w:t xml:space="preserve">L’enregistrement de </w:t>
      </w:r>
      <w:r w:rsidRPr="00154629">
        <w:t xml:space="preserve">30 associations civiques </w:t>
      </w:r>
      <w:r>
        <w:t>a été refusé</w:t>
      </w:r>
      <w:r w:rsidRPr="00154629">
        <w:t xml:space="preserve"> en 2005, </w:t>
      </w:r>
      <w:r>
        <w:t xml:space="preserve">puis de </w:t>
      </w:r>
      <w:r w:rsidRPr="00154629">
        <w:t xml:space="preserve">13 en 2006, 48 en 2007, 129 en 2008 et 73 au 31 juillet 2009. </w:t>
      </w:r>
      <w:r>
        <w:t xml:space="preserve">Le refus d’enregistrement a été </w:t>
      </w:r>
      <w:r w:rsidRPr="00154629">
        <w:t xml:space="preserve">en général </w:t>
      </w:r>
      <w:r>
        <w:t xml:space="preserve">motivé par l’intention de créer </w:t>
      </w:r>
      <w:r w:rsidRPr="00154629">
        <w:t xml:space="preserve">une association </w:t>
      </w:r>
      <w:r>
        <w:t xml:space="preserve">ayant </w:t>
      </w:r>
      <w:r w:rsidRPr="00154629">
        <w:t xml:space="preserve">des fins lucratives ou professionnelles ou </w:t>
      </w:r>
      <w:r>
        <w:t xml:space="preserve">d’atteindre </w:t>
      </w:r>
      <w:r w:rsidRPr="00154629">
        <w:t>des objectifs d</w:t>
      </w:r>
      <w:r>
        <w:t>’</w:t>
      </w:r>
      <w:r w:rsidRPr="00154629">
        <w:t xml:space="preserve">une manière </w:t>
      </w:r>
      <w:r>
        <w:t xml:space="preserve">incompatible avec </w:t>
      </w:r>
      <w:r w:rsidRPr="00154629">
        <w:t xml:space="preserve">la Constitution et </w:t>
      </w:r>
      <w:r>
        <w:t xml:space="preserve">les </w:t>
      </w:r>
      <w:r w:rsidRPr="00154629">
        <w:t>lois</w:t>
      </w:r>
      <w:r w:rsidRPr="00B43F53">
        <w:rPr>
          <w:rStyle w:val="FootnoteReference"/>
        </w:rPr>
        <w:footnoteReference w:id="38"/>
      </w:r>
      <w:r w:rsidRPr="00154629">
        <w:t>. Au 31 juillet 2009, le Ministère de l</w:t>
      </w:r>
      <w:r>
        <w:t>’intérieur avait enregistré 692 </w:t>
      </w:r>
      <w:r w:rsidRPr="00154629">
        <w:t>associations civiques qui se consacraient aux questions des minorités nationales.</w:t>
      </w:r>
    </w:p>
    <w:p w:rsidR="00AD3B8E" w:rsidRPr="00154629" w:rsidRDefault="00AD3B8E" w:rsidP="00AD3B8E">
      <w:pPr>
        <w:pStyle w:val="H1G"/>
      </w:pPr>
      <w:r>
        <w:tab/>
      </w:r>
      <w:r w:rsidRPr="00154629">
        <w:t>E.</w:t>
      </w:r>
      <w:r w:rsidRPr="00154629">
        <w:tab/>
        <w:t>Droits économiques, sociaux et culturels</w:t>
      </w:r>
    </w:p>
    <w:p w:rsidR="00AD3B8E" w:rsidRPr="00154629" w:rsidRDefault="00AD3B8E" w:rsidP="00AD3B8E">
      <w:pPr>
        <w:pStyle w:val="H23G"/>
      </w:pPr>
      <w:r>
        <w:tab/>
      </w:r>
      <w:r w:rsidRPr="00154629">
        <w:t>1.</w:t>
      </w:r>
      <w:r w:rsidRPr="00154629">
        <w:tab/>
        <w:t>Droit au travail</w:t>
      </w:r>
    </w:p>
    <w:p w:rsidR="00AD3B8E" w:rsidRPr="00154629" w:rsidRDefault="00AD3B8E" w:rsidP="00AD3B8E">
      <w:pPr>
        <w:pStyle w:val="SingleTxtG"/>
      </w:pPr>
      <w:r w:rsidRPr="00154629">
        <w:t>68.</w:t>
      </w:r>
      <w:r w:rsidRPr="00154629">
        <w:tab/>
        <w:t>D</w:t>
      </w:r>
      <w:r>
        <w:t>’</w:t>
      </w:r>
      <w:r w:rsidRPr="00154629">
        <w:t>après la loi sur l</w:t>
      </w:r>
      <w:r>
        <w:t>’</w:t>
      </w:r>
      <w:r w:rsidRPr="00154629">
        <w:t>emploi</w:t>
      </w:r>
      <w:r w:rsidRPr="00B43F53">
        <w:rPr>
          <w:rStyle w:val="FootnoteReference"/>
        </w:rPr>
        <w:footnoteReference w:id="39"/>
      </w:r>
      <w:r w:rsidRPr="00154629">
        <w:t>, les</w:t>
      </w:r>
      <w:r>
        <w:t xml:space="preserve"> partenaires du monde du travail doivent garantir l’</w:t>
      </w:r>
      <w:r w:rsidRPr="00154629">
        <w:t>égalité de traitement de toutes les personnes physiques exerçant le</w:t>
      </w:r>
      <w:r>
        <w:t>ur</w:t>
      </w:r>
      <w:r w:rsidRPr="00154629">
        <w:t xml:space="preserve"> droit à l</w:t>
      </w:r>
      <w:r>
        <w:t>’</w:t>
      </w:r>
      <w:r w:rsidRPr="00154629">
        <w:t>emploi</w:t>
      </w:r>
      <w:r>
        <w:t>, les</w:t>
      </w:r>
      <w:r w:rsidRPr="00154629">
        <w:t xml:space="preserve"> distinctions établies par la loi sur l</w:t>
      </w:r>
      <w:r>
        <w:t>’</w:t>
      </w:r>
      <w:r w:rsidRPr="00154629">
        <w:t xml:space="preserve">emploi ou par </w:t>
      </w:r>
      <w:r>
        <w:t xml:space="preserve">une législation </w:t>
      </w:r>
      <w:r w:rsidRPr="00154629">
        <w:t>spéciale</w:t>
      </w:r>
      <w:r>
        <w:t xml:space="preserve"> n’étant </w:t>
      </w:r>
      <w:r w:rsidRPr="00154629">
        <w:t>pas considérées comme un traitement inégal. Dans l</w:t>
      </w:r>
      <w:r>
        <w:t>’</w:t>
      </w:r>
      <w:r w:rsidRPr="00154629">
        <w:t xml:space="preserve">exercice du droit au travail, la discrimination directe ou indirecte </w:t>
      </w:r>
      <w:r>
        <w:t xml:space="preserve">fondée sur le </w:t>
      </w:r>
      <w:r w:rsidRPr="00154629">
        <w:t>sexe, l</w:t>
      </w:r>
      <w:r>
        <w:t>’</w:t>
      </w:r>
      <w:r w:rsidRPr="00154629">
        <w:t>orientation sexuelle, l</w:t>
      </w:r>
      <w:r>
        <w:t>’</w:t>
      </w:r>
      <w:r w:rsidRPr="00154629">
        <w:t>origine raciale ou ethnique, la nationalité</w:t>
      </w:r>
      <w:r>
        <w:t xml:space="preserve"> ou la citoyenneté</w:t>
      </w:r>
      <w:r w:rsidRPr="00154629">
        <w:t>, l</w:t>
      </w:r>
      <w:r>
        <w:t>’</w:t>
      </w:r>
      <w:r w:rsidRPr="00154629">
        <w:t>origine sociale, la naissance, la langue, l</w:t>
      </w:r>
      <w:r>
        <w:t>’</w:t>
      </w:r>
      <w:r w:rsidRPr="00154629">
        <w:t>état de santé, l</w:t>
      </w:r>
      <w:r>
        <w:t>’</w:t>
      </w:r>
      <w:r w:rsidRPr="00154629">
        <w:t xml:space="preserve">âge, la religion ou la croyance, </w:t>
      </w:r>
      <w:r>
        <w:t>le</w:t>
      </w:r>
      <w:r w:rsidRPr="00154629">
        <w:t xml:space="preserve"> patrimoine, </w:t>
      </w:r>
      <w:r>
        <w:t>la situation matrimoniale</w:t>
      </w:r>
      <w:r w:rsidRPr="00154629">
        <w:t xml:space="preserve"> ou familial</w:t>
      </w:r>
      <w:r>
        <w:t>e</w:t>
      </w:r>
      <w:r w:rsidRPr="00154629">
        <w:t xml:space="preserve"> ou </w:t>
      </w:r>
      <w:r>
        <w:t>l</w:t>
      </w:r>
      <w:r w:rsidRPr="00154629">
        <w:t xml:space="preserve">es responsabilités familiales, </w:t>
      </w:r>
      <w:r>
        <w:t xml:space="preserve">les </w:t>
      </w:r>
      <w:r w:rsidRPr="00154629">
        <w:t>opinion</w:t>
      </w:r>
      <w:r>
        <w:t>s</w:t>
      </w:r>
      <w:r w:rsidRPr="00154629">
        <w:t xml:space="preserve"> politique</w:t>
      </w:r>
      <w:r>
        <w:t>s</w:t>
      </w:r>
      <w:r w:rsidRPr="00154629">
        <w:t xml:space="preserve"> ou autres, </w:t>
      </w:r>
      <w:r>
        <w:t xml:space="preserve">l’adhésion et </w:t>
      </w:r>
      <w:r w:rsidRPr="00154629">
        <w:t>la participation à des partis ou mouvements politique</w:t>
      </w:r>
      <w:r>
        <w:t xml:space="preserve">s, à des </w:t>
      </w:r>
      <w:r w:rsidRPr="00154629">
        <w:t xml:space="preserve">syndicats ou organisations </w:t>
      </w:r>
      <w:r>
        <w:t>patronales,</w:t>
      </w:r>
      <w:r w:rsidRPr="00154629">
        <w:t xml:space="preserve"> est interdite. La discrimination </w:t>
      </w:r>
      <w:r>
        <w:t xml:space="preserve">au motif de </w:t>
      </w:r>
      <w:r w:rsidRPr="00154629">
        <w:t xml:space="preserve">la grossesse ou </w:t>
      </w:r>
      <w:r>
        <w:t xml:space="preserve">de </w:t>
      </w:r>
      <w:r w:rsidRPr="00154629">
        <w:t xml:space="preserve">la maternité est assimilée à une discrimination </w:t>
      </w:r>
      <w:r>
        <w:t xml:space="preserve">au motif du </w:t>
      </w:r>
      <w:r w:rsidRPr="00154629">
        <w:t xml:space="preserve">sexe. </w:t>
      </w:r>
      <w:r>
        <w:t xml:space="preserve">Tout </w:t>
      </w:r>
      <w:r w:rsidRPr="00154629">
        <w:t xml:space="preserve">comportement qui </w:t>
      </w:r>
      <w:r>
        <w:t>tend à inciter</w:t>
      </w:r>
      <w:r w:rsidRPr="00154629">
        <w:t>, encourager ou contraindr</w:t>
      </w:r>
      <w:r>
        <w:t>e</w:t>
      </w:r>
      <w:r w:rsidRPr="00154629">
        <w:t xml:space="preserve"> à la discrimination est considéré comme </w:t>
      </w:r>
      <w:r>
        <w:t>un acte de discrimination</w:t>
      </w:r>
      <w:r w:rsidRPr="00154629">
        <w:t xml:space="preserve">. Les différences de traitement ne sont pas considérées comme une discrimination </w:t>
      </w:r>
      <w:r>
        <w:t xml:space="preserve">si, compte tenu de la </w:t>
      </w:r>
      <w:r w:rsidRPr="00154629">
        <w:t>nature de l</w:t>
      </w:r>
      <w:r>
        <w:t>’</w:t>
      </w:r>
      <w:r w:rsidRPr="00154629">
        <w:t xml:space="preserve">emploi ou </w:t>
      </w:r>
      <w:r>
        <w:t>le</w:t>
      </w:r>
      <w:r w:rsidRPr="00154629">
        <w:t xml:space="preserve"> contexte, </w:t>
      </w:r>
      <w:r>
        <w:t xml:space="preserve">elles ont leur raison d’être dans ce que </w:t>
      </w:r>
      <w:r w:rsidRPr="00154629">
        <w:t>l</w:t>
      </w:r>
      <w:r>
        <w:t>’</w:t>
      </w:r>
      <w:r w:rsidRPr="00154629">
        <w:t>emploi d</w:t>
      </w:r>
      <w:r>
        <w:t>’</w:t>
      </w:r>
      <w:r w:rsidRPr="00154629">
        <w:t xml:space="preserve">une </w:t>
      </w:r>
      <w:r>
        <w:t xml:space="preserve">certaine </w:t>
      </w:r>
      <w:r w:rsidRPr="00154629">
        <w:t xml:space="preserve">personne physique </w:t>
      </w:r>
      <w:r>
        <w:t xml:space="preserve">répond à </w:t>
      </w:r>
      <w:r w:rsidRPr="00154629">
        <w:t xml:space="preserve">des impératifs fondamentaux et </w:t>
      </w:r>
      <w:r>
        <w:t>est</w:t>
      </w:r>
      <w:r w:rsidRPr="00154629">
        <w:t xml:space="preserve"> nécessaire</w:t>
      </w:r>
      <w:r>
        <w:t xml:space="preserve"> à la bonne réalisation du </w:t>
      </w:r>
      <w:r w:rsidRPr="00154629">
        <w:t>travail. L</w:t>
      </w:r>
      <w:r>
        <w:t xml:space="preserve">e but d’une </w:t>
      </w:r>
      <w:r w:rsidRPr="00154629">
        <w:t xml:space="preserve">exception de ce type doit être justifié et </w:t>
      </w:r>
      <w:r>
        <w:t xml:space="preserve">les critères doivent être </w:t>
      </w:r>
      <w:r w:rsidRPr="00154629">
        <w:t>raisonnable</w:t>
      </w:r>
      <w:r>
        <w:t>s</w:t>
      </w:r>
      <w:r w:rsidRPr="00154629">
        <w:t xml:space="preserve">. </w:t>
      </w:r>
    </w:p>
    <w:p w:rsidR="00AD3B8E" w:rsidRPr="00154629" w:rsidRDefault="00AD3B8E" w:rsidP="00AD3B8E">
      <w:pPr>
        <w:pStyle w:val="SingleTxtG"/>
      </w:pPr>
      <w:r w:rsidRPr="00154629">
        <w:t>69.</w:t>
      </w:r>
      <w:r w:rsidRPr="00154629">
        <w:tab/>
        <w:t>D</w:t>
      </w:r>
      <w:r>
        <w:t>’</w:t>
      </w:r>
      <w:r w:rsidRPr="00154629">
        <w:t xml:space="preserve">autres lois contiennent des dispositions similaires: </w:t>
      </w:r>
      <w:r>
        <w:t xml:space="preserve">la </w:t>
      </w:r>
      <w:r w:rsidRPr="00154629">
        <w:t>loi sur les soldats de métier</w:t>
      </w:r>
      <w:r w:rsidRPr="00B43F53">
        <w:rPr>
          <w:rStyle w:val="FootnoteReference"/>
        </w:rPr>
        <w:footnoteReference w:id="40"/>
      </w:r>
      <w:r w:rsidRPr="00154629">
        <w:t xml:space="preserve">, </w:t>
      </w:r>
      <w:r>
        <w:t xml:space="preserve">la </w:t>
      </w:r>
      <w:r w:rsidRPr="00154629">
        <w:t>loi sur le</w:t>
      </w:r>
      <w:r>
        <w:t xml:space="preserve">s services </w:t>
      </w:r>
      <w:r w:rsidRPr="00154629">
        <w:t xml:space="preserve">des fonctionnaires </w:t>
      </w:r>
      <w:r>
        <w:t>des</w:t>
      </w:r>
      <w:r w:rsidRPr="00154629">
        <w:t xml:space="preserve"> autorités administratives et sur </w:t>
      </w:r>
      <w:r>
        <w:t xml:space="preserve">l’indemnisation </w:t>
      </w:r>
      <w:r w:rsidRPr="00154629">
        <w:t>de ces employés et d</w:t>
      </w:r>
      <w:r>
        <w:t>’</w:t>
      </w:r>
      <w:r w:rsidRPr="00154629">
        <w:t>autres employés des autorités administratives</w:t>
      </w:r>
      <w:r w:rsidRPr="00B43F53">
        <w:rPr>
          <w:rStyle w:val="FootnoteReference"/>
        </w:rPr>
        <w:footnoteReference w:id="41"/>
      </w:r>
      <w:r w:rsidRPr="00154629">
        <w:t xml:space="preserve">, et </w:t>
      </w:r>
      <w:r>
        <w:t xml:space="preserve">la </w:t>
      </w:r>
      <w:r w:rsidRPr="00154629">
        <w:t>loi sur le</w:t>
      </w:r>
      <w:r>
        <w:t>s</w:t>
      </w:r>
      <w:r w:rsidRPr="00154629">
        <w:t xml:space="preserve"> service</w:t>
      </w:r>
      <w:r>
        <w:t>s</w:t>
      </w:r>
      <w:r w:rsidRPr="00154629">
        <w:t xml:space="preserve"> des membres des forces de sécurité</w:t>
      </w:r>
      <w:r w:rsidRPr="00B43F53">
        <w:rPr>
          <w:rStyle w:val="FootnoteReference"/>
        </w:rPr>
        <w:footnoteReference w:id="42"/>
      </w:r>
      <w:r w:rsidRPr="00154629">
        <w:t>.</w:t>
      </w:r>
    </w:p>
    <w:p w:rsidR="00AD3B8E" w:rsidRDefault="00AD3B8E" w:rsidP="00AD3B8E">
      <w:pPr>
        <w:pStyle w:val="SingleTxtG"/>
      </w:pPr>
      <w:r w:rsidRPr="00154629">
        <w:t>70.</w:t>
      </w:r>
      <w:r w:rsidRPr="00154629">
        <w:tab/>
        <w:t xml:space="preserve">La </w:t>
      </w:r>
      <w:r>
        <w:t xml:space="preserve">plus importante </w:t>
      </w:r>
      <w:r w:rsidRPr="00154629">
        <w:t xml:space="preserve">disposition législative </w:t>
      </w:r>
      <w:r>
        <w:t xml:space="preserve">du monde </w:t>
      </w:r>
      <w:r w:rsidRPr="00154629">
        <w:t xml:space="preserve">du travail </w:t>
      </w:r>
      <w:r>
        <w:t xml:space="preserve">est </w:t>
      </w:r>
      <w:r w:rsidRPr="00154629">
        <w:t>le Code du travail</w:t>
      </w:r>
      <w:r w:rsidRPr="00B43F53">
        <w:rPr>
          <w:rStyle w:val="FootnoteReference"/>
        </w:rPr>
        <w:footnoteReference w:id="43"/>
      </w:r>
      <w:r w:rsidRPr="00154629">
        <w:t>, qui dispose qu</w:t>
      </w:r>
      <w:r>
        <w:t>’</w:t>
      </w:r>
      <w:r w:rsidRPr="00154629">
        <w:t>un employeur doit garantir à ses employés un égal traitement et respecter l</w:t>
      </w:r>
      <w:r>
        <w:t>’</w:t>
      </w:r>
      <w:r w:rsidRPr="00154629">
        <w:t xml:space="preserve">interdiction de toute discrimination à </w:t>
      </w:r>
      <w:r>
        <w:t>leur encontre</w:t>
      </w:r>
      <w:r w:rsidRPr="00154629">
        <w:t xml:space="preserve">. Les </w:t>
      </w:r>
      <w:r>
        <w:t xml:space="preserve">notions </w:t>
      </w:r>
      <w:r w:rsidRPr="00154629">
        <w:t xml:space="preserve">de discrimination directe, </w:t>
      </w:r>
      <w:r>
        <w:t xml:space="preserve">de </w:t>
      </w:r>
      <w:r w:rsidRPr="00154629">
        <w:t xml:space="preserve">discrimination indirecte, </w:t>
      </w:r>
      <w:r>
        <w:t xml:space="preserve">de </w:t>
      </w:r>
      <w:r w:rsidRPr="00154629">
        <w:t xml:space="preserve">harcèlement, </w:t>
      </w:r>
      <w:r>
        <w:t>de</w:t>
      </w:r>
      <w:r w:rsidRPr="00154629">
        <w:t xml:space="preserve"> discrimination </w:t>
      </w:r>
      <w:r>
        <w:t>sur instructions et d’</w:t>
      </w:r>
      <w:r w:rsidRPr="00154629">
        <w:t xml:space="preserve">incitation à la discrimination ainsi que les cas dans lesquels un traitement différent est autorisé, sont définis par la loi antidiscrimination, qui </w:t>
      </w:r>
      <w:r>
        <w:t xml:space="preserve">définit </w:t>
      </w:r>
      <w:r w:rsidRPr="00154629">
        <w:t>également les moyens juridiques de protection contre la discrimination (voir art. 6). Le Code du travail traite séparément la question de la rémunération du travail. Tous les employés d</w:t>
      </w:r>
      <w:r>
        <w:t>’</w:t>
      </w:r>
      <w:r w:rsidRPr="00154629">
        <w:t xml:space="preserve">un </w:t>
      </w:r>
      <w:r>
        <w:t xml:space="preserve">même </w:t>
      </w:r>
      <w:r w:rsidRPr="00154629">
        <w:t xml:space="preserve">employeur ont droit au même salaire, ou </w:t>
      </w:r>
      <w:r>
        <w:t xml:space="preserve">à la même </w:t>
      </w:r>
      <w:r w:rsidRPr="00154629">
        <w:t xml:space="preserve">rémunération, dont le montant </w:t>
      </w:r>
      <w:r>
        <w:t xml:space="preserve">est fixé dans </w:t>
      </w:r>
      <w:r w:rsidRPr="00154629">
        <w:t>un accord</w:t>
      </w:r>
      <w:r>
        <w:t>,</w:t>
      </w:r>
      <w:r w:rsidRPr="00154629">
        <w:t xml:space="preserve"> pour le même travail ou un travail de valeur</w:t>
      </w:r>
      <w:r>
        <w:t xml:space="preserve"> égale. Par </w:t>
      </w:r>
      <w:r w:rsidRPr="00154629">
        <w:t>«</w:t>
      </w:r>
      <w:r>
        <w:t>t</w:t>
      </w:r>
      <w:r w:rsidRPr="00154629">
        <w:t xml:space="preserve">ravail égal ou travail </w:t>
      </w:r>
      <w:r>
        <w:t xml:space="preserve">de valeur égale» on entend </w:t>
      </w:r>
      <w:r w:rsidRPr="00154629">
        <w:t xml:space="preserve">un travail </w:t>
      </w:r>
      <w:r>
        <w:t xml:space="preserve">d’un niveau égal ou comparable quant à sa </w:t>
      </w:r>
      <w:r w:rsidRPr="00154629">
        <w:t xml:space="preserve">complexité, </w:t>
      </w:r>
      <w:r>
        <w:t xml:space="preserve">aux </w:t>
      </w:r>
      <w:r w:rsidRPr="00154629">
        <w:t xml:space="preserve">responsabilités </w:t>
      </w:r>
      <w:r>
        <w:t xml:space="preserve">et à </w:t>
      </w:r>
      <w:r w:rsidRPr="00154629">
        <w:t xml:space="preserve">la quantité de travail, </w:t>
      </w:r>
      <w:r>
        <w:t xml:space="preserve">ayant lieu dans </w:t>
      </w:r>
      <w:r w:rsidRPr="00154629">
        <w:t>des conditions identiques ou comparables, avec une efficacité et des résultats identiques ou comparables. La complexité, le niveau de responsabilité et la quantité de travail nécessaire</w:t>
      </w:r>
      <w:r>
        <w:t>s</w:t>
      </w:r>
      <w:r w:rsidRPr="00154629">
        <w:t xml:space="preserve"> sont évalués sur la base des connaissances théoriques et pratiques et des compétences nécessaires pour réaliser le travail, de la complexité du travail et des activités, des exigences en matière d</w:t>
      </w:r>
      <w:r>
        <w:t>’</w:t>
      </w:r>
      <w:r w:rsidRPr="00154629">
        <w:t>organisation et de gestion, du niveau de responsabilité en cas de dommage</w:t>
      </w:r>
      <w:r>
        <w:t>s</w:t>
      </w:r>
      <w:r w:rsidRPr="00154629">
        <w:t xml:space="preserve"> et en matière de santé et de sécurité, </w:t>
      </w:r>
      <w:r>
        <w:t>d</w:t>
      </w:r>
      <w:r w:rsidRPr="00154629">
        <w:t xml:space="preserve">u stress physique, sensoriel et mental et </w:t>
      </w:r>
      <w:r>
        <w:t xml:space="preserve">de </w:t>
      </w:r>
      <w:r w:rsidRPr="00154629">
        <w:t>l</w:t>
      </w:r>
      <w:r>
        <w:t>’</w:t>
      </w:r>
      <w:r w:rsidRPr="00154629">
        <w:t>exposition aux incidences négatives du travail. Les employeurs doivent garantir l</w:t>
      </w:r>
      <w:r>
        <w:t>’</w:t>
      </w:r>
      <w:r w:rsidRPr="00154629">
        <w:t>égalité de traitement des employés, respecter l</w:t>
      </w:r>
      <w:r>
        <w:t>’</w:t>
      </w:r>
      <w:r w:rsidRPr="00154629">
        <w:t xml:space="preserve">interdiction de toute discrimination à </w:t>
      </w:r>
      <w:r>
        <w:t xml:space="preserve">leur </w:t>
      </w:r>
      <w:r w:rsidRPr="00154629">
        <w:t xml:space="preserve">encontre </w:t>
      </w:r>
      <w:r>
        <w:t xml:space="preserve">et assurer à l’égalité de traitement </w:t>
      </w:r>
      <w:r w:rsidRPr="00154629">
        <w:t>tous les employés s</w:t>
      </w:r>
      <w:r>
        <w:t>’</w:t>
      </w:r>
      <w:r w:rsidRPr="00154629">
        <w:t xml:space="preserve">agissant des conditions de travail, de la rémunération et </w:t>
      </w:r>
      <w:r>
        <w:t>de l’octroi d’</w:t>
      </w:r>
      <w:r w:rsidRPr="00154629">
        <w:t xml:space="preserve">autres prestations </w:t>
      </w:r>
      <w:r>
        <w:t>financières</w:t>
      </w:r>
      <w:r w:rsidRPr="00154629">
        <w:t xml:space="preserve">, de </w:t>
      </w:r>
      <w:r>
        <w:t xml:space="preserve">la </w:t>
      </w:r>
      <w:r w:rsidRPr="00154629">
        <w:t xml:space="preserve">formation et </w:t>
      </w:r>
      <w:r>
        <w:t xml:space="preserve">des possibilités </w:t>
      </w:r>
      <w:r w:rsidRPr="00154629">
        <w:t>d</w:t>
      </w:r>
      <w:r>
        <w:t>’</w:t>
      </w:r>
      <w:r w:rsidRPr="00154629">
        <w:t xml:space="preserve">avancement ou </w:t>
      </w:r>
      <w:r>
        <w:t>d’</w:t>
      </w:r>
      <w:r w:rsidRPr="00154629">
        <w:t xml:space="preserve">autres formes de promotion. </w:t>
      </w:r>
    </w:p>
    <w:p w:rsidR="00281669" w:rsidRPr="00A25913" w:rsidRDefault="00281669" w:rsidP="00281669">
      <w:pPr>
        <w:pStyle w:val="SingleTxtG"/>
      </w:pPr>
      <w:r w:rsidRPr="00A25913">
        <w:t>71.</w:t>
      </w:r>
      <w:r w:rsidRPr="00A25913">
        <w:tab/>
        <w:t>En juillet 2004, le Gouvernement tchèque a approuvé le Plan d</w:t>
      </w:r>
      <w:r>
        <w:t>’</w:t>
      </w:r>
      <w:r w:rsidRPr="00A25913">
        <w:t>action national pour l</w:t>
      </w:r>
      <w:r>
        <w:t>’</w:t>
      </w:r>
      <w:r w:rsidRPr="00A25913">
        <w:t xml:space="preserve">emploi </w:t>
      </w:r>
      <w:r>
        <w:t xml:space="preserve">dans la période </w:t>
      </w:r>
      <w:r w:rsidRPr="00A25913">
        <w:t>de 2004 à 2006. En 2005, le Plan d</w:t>
      </w:r>
      <w:r>
        <w:t>’</w:t>
      </w:r>
      <w:r w:rsidRPr="00A25913">
        <w:t xml:space="preserve">action national a été remplacé par le Programme de réforme national (Lisbonne) </w:t>
      </w:r>
      <w:r>
        <w:t xml:space="preserve">dans le cadre de </w:t>
      </w:r>
      <w:r w:rsidRPr="00A25913">
        <w:t>la révision de la Stratégie de Lisbonne. Ce programme s</w:t>
      </w:r>
      <w:r>
        <w:t>’</w:t>
      </w:r>
      <w:r w:rsidRPr="00A25913">
        <w:t>inspire des reco</w:t>
      </w:r>
      <w:r>
        <w:t>mmandations figurant dans les «D</w:t>
      </w:r>
      <w:r w:rsidRPr="00A25913">
        <w:t>irectives intégrées pour la croissance et l</w:t>
      </w:r>
      <w:r>
        <w:t>’</w:t>
      </w:r>
      <w:r w:rsidRPr="00A25913">
        <w:t>emploi» et intègre les réforme</w:t>
      </w:r>
      <w:r>
        <w:t>s</w:t>
      </w:r>
      <w:r w:rsidRPr="00A25913">
        <w:t xml:space="preserve"> proposées par le Gouvernement pour stimuler la croissance économique et l</w:t>
      </w:r>
      <w:r>
        <w:t>’</w:t>
      </w:r>
      <w:r w:rsidRPr="00A25913">
        <w:t xml:space="preserve">emploi dans la période </w:t>
      </w:r>
      <w:r>
        <w:t xml:space="preserve">triennale allant de 2005 à </w:t>
      </w:r>
      <w:r w:rsidRPr="00A25913">
        <w:t xml:space="preserve">2008. Le volet emploi du Programme de réforme national </w:t>
      </w:r>
      <w:r>
        <w:t xml:space="preserve">pour la période </w:t>
      </w:r>
      <w:r w:rsidRPr="00A25913">
        <w:t xml:space="preserve">2005-2008 accorde une attention particulière aux groupes vulnérables en danger </w:t>
      </w:r>
      <w:r>
        <w:t>d’exclusion</w:t>
      </w:r>
      <w:r w:rsidRPr="00A25913">
        <w:t xml:space="preserve"> sociale, tel</w:t>
      </w:r>
      <w:r>
        <w:t>s que définis</w:t>
      </w:r>
      <w:r w:rsidRPr="00A25913">
        <w:t xml:space="preserve"> par la loi sur l</w:t>
      </w:r>
      <w:r>
        <w:t>’</w:t>
      </w:r>
      <w:r w:rsidRPr="00A25913">
        <w:t xml:space="preserve">emploi. Les mesures </w:t>
      </w:r>
      <w:r>
        <w:t xml:space="preserve">étaient axées sur le </w:t>
      </w:r>
      <w:r w:rsidRPr="00A25913">
        <w:t xml:space="preserve">manque de motivation des personnes </w:t>
      </w:r>
      <w:r>
        <w:t>non</w:t>
      </w:r>
      <w:r w:rsidRPr="00A25913">
        <w:t xml:space="preserve"> qualifi</w:t>
      </w:r>
      <w:r>
        <w:t>ées</w:t>
      </w:r>
      <w:r w:rsidRPr="00A25913">
        <w:t xml:space="preserve"> ou peu qualifiées </w:t>
      </w:r>
      <w:r>
        <w:t>à</w:t>
      </w:r>
      <w:r w:rsidRPr="00A25913">
        <w:t xml:space="preserve"> trouver un travail et </w:t>
      </w:r>
      <w:r>
        <w:t xml:space="preserve">à </w:t>
      </w:r>
      <w:r w:rsidRPr="00A25913">
        <w:t xml:space="preserve">le conserver, </w:t>
      </w:r>
      <w:r>
        <w:t xml:space="preserve">en particulier sur l’insuffisance et le </w:t>
      </w:r>
      <w:r w:rsidRPr="00A25913">
        <w:t xml:space="preserve">contenu </w:t>
      </w:r>
      <w:r>
        <w:t xml:space="preserve">réduit </w:t>
      </w:r>
      <w:r w:rsidRPr="00A25913">
        <w:t xml:space="preserve">des services sociaux </w:t>
      </w:r>
      <w:r>
        <w:t xml:space="preserve">censés contribuer à </w:t>
      </w:r>
      <w:r w:rsidRPr="00A25913">
        <w:t>intégrer les personnes en danger d</w:t>
      </w:r>
      <w:r>
        <w:t>’</w:t>
      </w:r>
      <w:r w:rsidRPr="00A25913">
        <w:t xml:space="preserve">exclusion sociale, </w:t>
      </w:r>
      <w:r>
        <w:t>sur la non-</w:t>
      </w:r>
      <w:r w:rsidRPr="00A25913">
        <w:t xml:space="preserve">participation des mères célibataires, des personnes âgées, des personnes peu qualifiées et autres personnes inactives et </w:t>
      </w:r>
      <w:r>
        <w:t xml:space="preserve">défavorisées au </w:t>
      </w:r>
      <w:r w:rsidRPr="00A25913">
        <w:t xml:space="preserve">marché du travail, </w:t>
      </w:r>
      <w:r>
        <w:t>sur d</w:t>
      </w:r>
      <w:r w:rsidRPr="00A25913">
        <w:t xml:space="preserve">es problèmes relatifs au niveau de mobilité professionnelle et géographique de la population et </w:t>
      </w:r>
      <w:r>
        <w:t xml:space="preserve">sur </w:t>
      </w:r>
      <w:r w:rsidRPr="00A25913">
        <w:t xml:space="preserve">le système </w:t>
      </w:r>
      <w:r>
        <w:t xml:space="preserve">en vigueur </w:t>
      </w:r>
      <w:r w:rsidRPr="00A25913">
        <w:t>d</w:t>
      </w:r>
      <w:r>
        <w:t>’</w:t>
      </w:r>
      <w:r w:rsidRPr="00A25913">
        <w:t xml:space="preserve">apprentissage </w:t>
      </w:r>
      <w:r>
        <w:t>continu</w:t>
      </w:r>
      <w:r w:rsidRPr="00A25913">
        <w:t>, notamment en ce qui concerne le renforcement de la formation professionnelle.</w:t>
      </w:r>
    </w:p>
    <w:p w:rsidR="00281669" w:rsidRPr="00A25913" w:rsidRDefault="00281669" w:rsidP="00281669">
      <w:pPr>
        <w:pStyle w:val="H23G"/>
      </w:pPr>
      <w:r>
        <w:tab/>
      </w:r>
      <w:r w:rsidRPr="00A25913">
        <w:t>2.</w:t>
      </w:r>
      <w:r w:rsidRPr="00A25913">
        <w:tab/>
        <w:t>Droit de fonder des syndicats et de s</w:t>
      </w:r>
      <w:r>
        <w:t>’</w:t>
      </w:r>
      <w:r w:rsidRPr="00A25913">
        <w:t>affilier à des syndicats</w:t>
      </w:r>
    </w:p>
    <w:p w:rsidR="00281669" w:rsidRPr="00A25913" w:rsidRDefault="00281669" w:rsidP="00281669">
      <w:pPr>
        <w:pStyle w:val="SingleTxtG"/>
      </w:pPr>
      <w:r w:rsidRPr="00A25913">
        <w:t>72.</w:t>
      </w:r>
      <w:r w:rsidRPr="00A25913">
        <w:tab/>
        <w:t>Au cours de la période du rapport, il n</w:t>
      </w:r>
      <w:r>
        <w:t>’</w:t>
      </w:r>
      <w:r w:rsidRPr="00A25913">
        <w:t>y a eu aucun changement dans ce domaine sous l</w:t>
      </w:r>
      <w:r>
        <w:t>’</w:t>
      </w:r>
      <w:r w:rsidRPr="00A25913">
        <w:t>angle de la protection contre la discrimination raciale.</w:t>
      </w:r>
    </w:p>
    <w:p w:rsidR="00281669" w:rsidRPr="00A25913" w:rsidRDefault="00281669" w:rsidP="00281669">
      <w:pPr>
        <w:pStyle w:val="SingleTxtG"/>
      </w:pPr>
      <w:r w:rsidRPr="00A25913">
        <w:t>73.</w:t>
      </w:r>
      <w:r w:rsidRPr="00A25913">
        <w:tab/>
        <w:t>Le chômage parmi l</w:t>
      </w:r>
      <w:r>
        <w:t>es</w:t>
      </w:r>
      <w:r w:rsidRPr="00A25913">
        <w:t xml:space="preserve"> </w:t>
      </w:r>
      <w:r>
        <w:t>R</w:t>
      </w:r>
      <w:r w:rsidRPr="00A25913">
        <w:t>om</w:t>
      </w:r>
      <w:r>
        <w:t>s</w:t>
      </w:r>
      <w:r w:rsidRPr="00A25913">
        <w:t xml:space="preserve"> et</w:t>
      </w:r>
      <w:r>
        <w:t xml:space="preserve">, </w:t>
      </w:r>
      <w:r w:rsidRPr="00A25913">
        <w:t>de manière générale</w:t>
      </w:r>
      <w:r>
        <w:t>,</w:t>
      </w:r>
      <w:r w:rsidRPr="00A25913">
        <w:t xml:space="preserve"> les personnes socialement exclues reste un problème, tout particulièrement en cette période de récession économique. Le programme opérationnel </w:t>
      </w:r>
      <w:r>
        <w:t>«R</w:t>
      </w:r>
      <w:r w:rsidRPr="00A25913">
        <w:t>essources humaines et emploi</w:t>
      </w:r>
      <w:r>
        <w:t>»</w:t>
      </w:r>
      <w:r>
        <w:rPr>
          <w:rStyle w:val="FootnoteReference"/>
        </w:rPr>
        <w:footnoteReference w:id="44"/>
      </w:r>
      <w:r>
        <w:t>,</w:t>
      </w:r>
      <w:r w:rsidRPr="00A25913">
        <w:t xml:space="preserve"> axé </w:t>
      </w:r>
      <w:r>
        <w:t xml:space="preserve">globalement </w:t>
      </w:r>
      <w:r w:rsidRPr="00A25913">
        <w:t>sur l</w:t>
      </w:r>
      <w:r>
        <w:t>’</w:t>
      </w:r>
      <w:r w:rsidRPr="00A25913">
        <w:t>augmentation de l</w:t>
      </w:r>
      <w:r>
        <w:t>’</w:t>
      </w:r>
      <w:r w:rsidRPr="00A25913">
        <w:t>emploi et de l</w:t>
      </w:r>
      <w:r>
        <w:t>’</w:t>
      </w:r>
      <w:r w:rsidRPr="00A25913">
        <w:t xml:space="preserve">employabilité de groupes cibles, contient certains éléments qui peuvent </w:t>
      </w:r>
      <w:r>
        <w:t>être appliqués à des</w:t>
      </w:r>
      <w:r w:rsidRPr="00A25913">
        <w:t xml:space="preserve"> activités </w:t>
      </w:r>
      <w:r>
        <w:t xml:space="preserve">susceptibles de favoriser </w:t>
      </w:r>
      <w:r w:rsidRPr="00A25913">
        <w:t>l</w:t>
      </w:r>
      <w:r>
        <w:t>’</w:t>
      </w:r>
      <w:r w:rsidRPr="00A25913">
        <w:t>emploi des Roms. En 2009</w:t>
      </w:r>
      <w:r>
        <w:t>,</w:t>
      </w:r>
      <w:r w:rsidRPr="00A25913">
        <w:t xml:space="preserve"> par exemple</w:t>
      </w:r>
      <w:r>
        <w:t>,</w:t>
      </w:r>
      <w:r w:rsidRPr="00A25913">
        <w:t xml:space="preserve"> une subvention économique </w:t>
      </w:r>
      <w:r>
        <w:t xml:space="preserve">et </w:t>
      </w:r>
      <w:r w:rsidRPr="00A25913">
        <w:t>sociale globale a été annoncée afin de favoriser la création et le développement de nouvelles activités commerciales ciblées sur l</w:t>
      </w:r>
      <w:r>
        <w:t>’</w:t>
      </w:r>
      <w:r w:rsidRPr="00A25913">
        <w:t>entrepreneuriat social, afin de permettre aux personnes socialement exclues et à celles en danger d</w:t>
      </w:r>
      <w:r>
        <w:t>’</w:t>
      </w:r>
      <w:r w:rsidRPr="00A25913">
        <w:t>exclusion sociale (y compris les minorités ethniques) d</w:t>
      </w:r>
      <w:r>
        <w:t>’</w:t>
      </w:r>
      <w:r w:rsidRPr="00A25913">
        <w:t xml:space="preserve">entrer </w:t>
      </w:r>
      <w:r>
        <w:t>dans</w:t>
      </w:r>
      <w:r w:rsidRPr="00A25913">
        <w:t xml:space="preserve"> le marché du travail et </w:t>
      </w:r>
      <w:r>
        <w:t xml:space="preserve">le monde </w:t>
      </w:r>
      <w:r w:rsidRPr="00A25913">
        <w:t>des affaires et, partant, de faciliter leur intégration sociale. Par la</w:t>
      </w:r>
      <w:r>
        <w:t xml:space="preserve"> suite, c</w:t>
      </w:r>
      <w:r w:rsidRPr="00A25913">
        <w:t xml:space="preserve">es nouvelles activités commerciales </w:t>
      </w:r>
      <w:r>
        <w:t>devraient</w:t>
      </w:r>
      <w:r w:rsidRPr="00A25913">
        <w:t xml:space="preserve"> devenir indépendantes économiquement et </w:t>
      </w:r>
      <w:r>
        <w:t xml:space="preserve">être </w:t>
      </w:r>
      <w:r w:rsidRPr="00A25913">
        <w:t xml:space="preserve">capables de rester concurrentielles </w:t>
      </w:r>
      <w:r>
        <w:t xml:space="preserve">sur le marché </w:t>
      </w:r>
      <w:r w:rsidRPr="00A25913">
        <w:t>local</w:t>
      </w:r>
      <w:r>
        <w:t>,</w:t>
      </w:r>
      <w:r w:rsidRPr="00A25913">
        <w:t xml:space="preserve"> </w:t>
      </w:r>
      <w:r>
        <w:t xml:space="preserve">devenant par-là </w:t>
      </w:r>
      <w:r w:rsidRPr="00A25913">
        <w:t>des acteurs importants du développement régional</w:t>
      </w:r>
      <w:r>
        <w:rPr>
          <w:rStyle w:val="FootnoteReference"/>
        </w:rPr>
        <w:footnoteReference w:id="45"/>
      </w:r>
      <w:r w:rsidRPr="00A25913">
        <w:t>. L</w:t>
      </w:r>
      <w:r>
        <w:t>’</w:t>
      </w:r>
      <w:r w:rsidRPr="00A25913">
        <w:t>aide à l</w:t>
      </w:r>
      <w:r>
        <w:t>’</w:t>
      </w:r>
      <w:r w:rsidRPr="00A25913">
        <w:t xml:space="preserve">économie sociale est </w:t>
      </w:r>
      <w:r>
        <w:t xml:space="preserve">octroyée </w:t>
      </w:r>
      <w:r w:rsidRPr="00A25913">
        <w:t>parallèle</w:t>
      </w:r>
      <w:r>
        <w:t>ment</w:t>
      </w:r>
      <w:r w:rsidRPr="00A25913">
        <w:t xml:space="preserve"> à l</w:t>
      </w:r>
      <w:r>
        <w:t>’</w:t>
      </w:r>
      <w:r w:rsidRPr="00A25913">
        <w:t xml:space="preserve">aide fournie dans le cadre du programme opérationnel </w:t>
      </w:r>
      <w:r>
        <w:t>intégré</w:t>
      </w:r>
      <w:r w:rsidRPr="00A25913">
        <w:t xml:space="preserve">, qui </w:t>
      </w:r>
      <w:r>
        <w:t xml:space="preserve">a pour but de </w:t>
      </w:r>
      <w:r w:rsidRPr="00A25913">
        <w:t>fourni</w:t>
      </w:r>
      <w:r>
        <w:t>r</w:t>
      </w:r>
      <w:r w:rsidRPr="00A25913">
        <w:t xml:space="preserve"> une aide à l</w:t>
      </w:r>
      <w:r>
        <w:t>’</w:t>
      </w:r>
      <w:r w:rsidRPr="00A25913">
        <w:t>investissement aux prestataires de services sociaux, aux employeurs et autres acteurs intervenant dans la promotion et la mise en œuvre d</w:t>
      </w:r>
      <w:r>
        <w:t>’</w:t>
      </w:r>
      <w:r w:rsidRPr="00A25913">
        <w:t>instruments d</w:t>
      </w:r>
      <w:r>
        <w:t>’</w:t>
      </w:r>
      <w:r w:rsidRPr="00A25913">
        <w:t>économie sociale.</w:t>
      </w:r>
    </w:p>
    <w:p w:rsidR="00281669" w:rsidRPr="00A25913" w:rsidRDefault="00281669" w:rsidP="00281669">
      <w:pPr>
        <w:pStyle w:val="SingleTxtG"/>
      </w:pPr>
      <w:r w:rsidRPr="00A25913">
        <w:t>74.</w:t>
      </w:r>
      <w:r w:rsidRPr="00A25913">
        <w:tab/>
        <w:t>L</w:t>
      </w:r>
      <w:r>
        <w:t>’</w:t>
      </w:r>
      <w:r w:rsidRPr="00A25913">
        <w:t xml:space="preserve">intégration de la communauté rom est </w:t>
      </w:r>
      <w:r>
        <w:t>l’</w:t>
      </w:r>
      <w:r w:rsidRPr="00A25913">
        <w:t>un</w:t>
      </w:r>
      <w:r>
        <w:t>e</w:t>
      </w:r>
      <w:r w:rsidRPr="00A25913">
        <w:t xml:space="preserve"> des </w:t>
      </w:r>
      <w:r>
        <w:t xml:space="preserve">questions traitées dans le </w:t>
      </w:r>
      <w:r w:rsidRPr="00A25913">
        <w:t>programme opérationnel. L</w:t>
      </w:r>
      <w:r>
        <w:t>’</w:t>
      </w:r>
      <w:r w:rsidRPr="00A25913">
        <w:t>aide sera notamment consacrée à l</w:t>
      </w:r>
      <w:r>
        <w:t>’</w:t>
      </w:r>
      <w:r w:rsidRPr="00A25913">
        <w:t xml:space="preserve">éducation de personnes fournissant des services, à la fourniture de services sociaux et autres </w:t>
      </w:r>
      <w:r>
        <w:t>outils</w:t>
      </w:r>
      <w:r w:rsidRPr="00A25913">
        <w:t xml:space="preserve"> en faveur de l</w:t>
      </w:r>
      <w:r>
        <w:t>’</w:t>
      </w:r>
      <w:r w:rsidRPr="00A25913">
        <w:t>inclusion sociale des communautés roms socialement</w:t>
      </w:r>
      <w:r>
        <w:t xml:space="preserve"> exclues</w:t>
      </w:r>
      <w:r w:rsidRPr="00A25913">
        <w:t>, à l</w:t>
      </w:r>
      <w:r>
        <w:t>’</w:t>
      </w:r>
      <w:r w:rsidRPr="00A25913">
        <w:t xml:space="preserve">aide aux </w:t>
      </w:r>
      <w:r>
        <w:t xml:space="preserve">activités qui sous-tendent la </w:t>
      </w:r>
      <w:r w:rsidRPr="00A25913">
        <w:t>fourniture de services sociaux et à la conclusion</w:t>
      </w:r>
      <w:r>
        <w:t>,</w:t>
      </w:r>
      <w:r w:rsidRPr="00A25913">
        <w:t xml:space="preserve"> entre les différents intervenants</w:t>
      </w:r>
      <w:r>
        <w:t>,</w:t>
      </w:r>
      <w:r w:rsidRPr="00A25913">
        <w:t xml:space="preserve"> de partenariats </w:t>
      </w:r>
      <w:r>
        <w:t>pour</w:t>
      </w:r>
      <w:r w:rsidRPr="00A25913">
        <w:t xml:space="preserve"> l</w:t>
      </w:r>
      <w:r>
        <w:t>’</w:t>
      </w:r>
      <w:r w:rsidRPr="00A25913">
        <w:t xml:space="preserve">intégration des communautés roms socialement exclues. Une aide sera également consacrée </w:t>
      </w:r>
      <w:r>
        <w:t>à des</w:t>
      </w:r>
      <w:r w:rsidRPr="00A25913">
        <w:t xml:space="preserve"> programmes de motivation, de réinsertion </w:t>
      </w:r>
      <w:r>
        <w:t>dans la société</w:t>
      </w:r>
      <w:r w:rsidRPr="00A25913">
        <w:t xml:space="preserve"> et le marché du travail et d</w:t>
      </w:r>
      <w:r>
        <w:t>’</w:t>
      </w:r>
      <w:r w:rsidRPr="00A25913">
        <w:t>acquisition de com</w:t>
      </w:r>
      <w:r>
        <w:t xml:space="preserve">pétences professionnelles et sociales de base </w:t>
      </w:r>
      <w:r w:rsidRPr="00A25913">
        <w:t>qui devraient permettre aux bénéficiaires d</w:t>
      </w:r>
      <w:r>
        <w:t>’</w:t>
      </w:r>
      <w:r w:rsidRPr="00A25913">
        <w:t xml:space="preserve">entrer, de rester ou de retourner sur le marché du travail. Un autre </w:t>
      </w:r>
      <w:r>
        <w:t xml:space="preserve">aspect </w:t>
      </w:r>
      <w:r w:rsidRPr="00A25913">
        <w:t>de l</w:t>
      </w:r>
      <w:r>
        <w:t>’</w:t>
      </w:r>
      <w:r w:rsidRPr="00A25913">
        <w:t xml:space="preserve">aide vise </w:t>
      </w:r>
      <w:r>
        <w:t xml:space="preserve">à favoriser </w:t>
      </w:r>
      <w:r w:rsidRPr="00A25913">
        <w:t xml:space="preserve">directement le retour de groupes cibles, notamment des Roms, sur le marché du travail. </w:t>
      </w:r>
      <w:r>
        <w:t>D</w:t>
      </w:r>
      <w:r w:rsidRPr="00A25913">
        <w:t>es projets visant à améliorer l</w:t>
      </w:r>
      <w:r>
        <w:t>’</w:t>
      </w:r>
      <w:r w:rsidRPr="00A25913">
        <w:t xml:space="preserve">employabilité, en particulier </w:t>
      </w:r>
      <w:r>
        <w:t xml:space="preserve">par </w:t>
      </w:r>
      <w:r w:rsidRPr="00A25913">
        <w:t xml:space="preserve">la formation du groupe cible, </w:t>
      </w:r>
      <w:r>
        <w:t>bénéficient d’une assistance</w:t>
      </w:r>
      <w:r w:rsidRPr="00A25913">
        <w:t>. Des emplois sont également créés directement pour des membres des groupes cibles.</w:t>
      </w:r>
    </w:p>
    <w:p w:rsidR="00281669" w:rsidRPr="00A25913" w:rsidRDefault="00281669" w:rsidP="00281669">
      <w:pPr>
        <w:pStyle w:val="H23G"/>
      </w:pPr>
      <w:r>
        <w:tab/>
      </w:r>
      <w:r w:rsidRPr="00A25913">
        <w:t>3.</w:t>
      </w:r>
      <w:r w:rsidRPr="00A25913">
        <w:tab/>
        <w:t>Droit au logement et réponse à l</w:t>
      </w:r>
      <w:r>
        <w:t>’</w:t>
      </w:r>
      <w:r w:rsidRPr="00A25913">
        <w:t>observation finale n</w:t>
      </w:r>
      <w:r w:rsidRPr="00A25913">
        <w:rPr>
          <w:vertAlign w:val="superscript"/>
        </w:rPr>
        <w:t>o</w:t>
      </w:r>
      <w:r w:rsidRPr="00A25913">
        <w:t> 16</w:t>
      </w:r>
    </w:p>
    <w:p w:rsidR="00281669" w:rsidRPr="00A25913" w:rsidRDefault="00281669" w:rsidP="00281669">
      <w:pPr>
        <w:pStyle w:val="SingleTxtG"/>
      </w:pPr>
      <w:r w:rsidRPr="00A25913">
        <w:t>75.</w:t>
      </w:r>
      <w:r w:rsidRPr="00A25913">
        <w:tab/>
        <w:t xml:space="preserve">Au cours de la période du rapport, le Ministère du développement régional a octroyé des subventions aux municipalités pour la construction de logements </w:t>
      </w:r>
      <w:r>
        <w:t>sociaux</w:t>
      </w:r>
      <w:r w:rsidRPr="00A25913">
        <w:t xml:space="preserve"> pour les personnes ayant un accès limité au logement en raison de </w:t>
      </w:r>
      <w:r>
        <w:t>la</w:t>
      </w:r>
      <w:r w:rsidRPr="00A25913">
        <w:t xml:space="preserve"> faibles</w:t>
      </w:r>
      <w:r>
        <w:t>se</w:t>
      </w:r>
      <w:r w:rsidRPr="00A25913">
        <w:t xml:space="preserve"> </w:t>
      </w:r>
      <w:r>
        <w:t xml:space="preserve">de leurs </w:t>
      </w:r>
      <w:r w:rsidRPr="00A25913">
        <w:t xml:space="preserve">revenus et </w:t>
      </w:r>
      <w:r>
        <w:t>d’</w:t>
      </w:r>
      <w:r w:rsidRPr="00A25913">
        <w:t xml:space="preserve">autres handicaps sociaux. La subvention </w:t>
      </w:r>
      <w:r>
        <w:t>pour un</w:t>
      </w:r>
      <w:r w:rsidRPr="00A25913">
        <w:t xml:space="preserve"> «premier appartement» est particulièrement importante en </w:t>
      </w:r>
      <w:r>
        <w:t xml:space="preserve">tant que mesure </w:t>
      </w:r>
      <w:r w:rsidRPr="00A25913">
        <w:t>de prévention de la discrimination raciale dans l</w:t>
      </w:r>
      <w:r>
        <w:t>’</w:t>
      </w:r>
      <w:r w:rsidRPr="00A25913">
        <w:t xml:space="preserve">accès au logement. Ce programme prévoit </w:t>
      </w:r>
      <w:r>
        <w:t xml:space="preserve">l’attribution </w:t>
      </w:r>
      <w:r w:rsidRPr="00A25913">
        <w:t xml:space="preserve">de logements sociaux </w:t>
      </w:r>
      <w:r>
        <w:t xml:space="preserve">à des </w:t>
      </w:r>
      <w:r w:rsidRPr="00A25913">
        <w:t xml:space="preserve">personnes se trouvant dans des situations sociales difficiles </w:t>
      </w:r>
      <w:r>
        <w:t>causées</w:t>
      </w:r>
      <w:r w:rsidRPr="00A25913">
        <w:t xml:space="preserve"> par les circonstances sociales de leur vie, comme par exemple le fait d</w:t>
      </w:r>
      <w:r>
        <w:t>’</w:t>
      </w:r>
      <w:r w:rsidRPr="00A25913">
        <w:t xml:space="preserve">appartenir à un groupe ethnique minoritaire. De plus, dans la période du rapport, le Fonds national de développement du logement a accordé des subventions pour la construction de logements locatifs </w:t>
      </w:r>
      <w:r>
        <w:t>à</w:t>
      </w:r>
      <w:r w:rsidRPr="00A25913">
        <w:t xml:space="preserve"> des ménages à faible revenu</w:t>
      </w:r>
      <w:r>
        <w:rPr>
          <w:rStyle w:val="FootnoteReference"/>
        </w:rPr>
        <w:footnoteReference w:id="46"/>
      </w:r>
      <w:r w:rsidRPr="00A25913">
        <w:t xml:space="preserve">. </w:t>
      </w:r>
      <w:r>
        <w:t>C</w:t>
      </w:r>
      <w:r w:rsidRPr="00A25913">
        <w:t xml:space="preserve">ette subvention </w:t>
      </w:r>
      <w:r>
        <w:t xml:space="preserve">n’étant </w:t>
      </w:r>
      <w:r w:rsidRPr="00A25913">
        <w:t>octroyée qu</w:t>
      </w:r>
      <w:r>
        <w:t>’</w:t>
      </w:r>
      <w:r w:rsidRPr="00A25913">
        <w:t xml:space="preserve">à des municipalités et </w:t>
      </w:r>
      <w:r>
        <w:t>constituant</w:t>
      </w:r>
      <w:r w:rsidRPr="00A25913">
        <w:t xml:space="preserve"> une aide publique au regard du droit communautaire, </w:t>
      </w:r>
      <w:r>
        <w:t xml:space="preserve">le Gouvernement a publié en 2009 </w:t>
      </w:r>
      <w:r w:rsidRPr="00A25913">
        <w:t xml:space="preserve">un nouveau règlement </w:t>
      </w:r>
      <w:r>
        <w:t>q</w:t>
      </w:r>
      <w:r w:rsidRPr="00A25913">
        <w:t>ui régit les conditions d</w:t>
      </w:r>
      <w:r>
        <w:t>’</w:t>
      </w:r>
      <w:r w:rsidRPr="00A25913">
        <w:t>octroi d</w:t>
      </w:r>
      <w:r>
        <w:t>’</w:t>
      </w:r>
      <w:r w:rsidRPr="00A25913">
        <w:t>aide à l</w:t>
      </w:r>
      <w:r>
        <w:t>’</w:t>
      </w:r>
      <w:r w:rsidRPr="00A25913">
        <w:t>investissement pour la construction de logement</w:t>
      </w:r>
      <w:r>
        <w:t>s</w:t>
      </w:r>
      <w:r w:rsidRPr="00A25913">
        <w:t xml:space="preserve"> socia</w:t>
      </w:r>
      <w:r>
        <w:t>ux</w:t>
      </w:r>
      <w:r>
        <w:rPr>
          <w:rStyle w:val="FootnoteReference"/>
        </w:rPr>
        <w:footnoteReference w:id="47"/>
      </w:r>
      <w:r w:rsidRPr="00A25913">
        <w:t>. Ces subventions ne sont plus limitées aux municipalités, mais peuvent également être accordées à toute personne physique ou entité juridique pour la construction de logement</w:t>
      </w:r>
      <w:r>
        <w:t>s</w:t>
      </w:r>
      <w:r w:rsidRPr="00A25913">
        <w:t xml:space="preserve"> socia</w:t>
      </w:r>
      <w:r>
        <w:t>ux</w:t>
      </w:r>
      <w:r w:rsidRPr="00A25913">
        <w:t xml:space="preserve"> à loyer mod</w:t>
      </w:r>
      <w:r>
        <w:t>éré pour des personnes à faible</w:t>
      </w:r>
      <w:r w:rsidRPr="00A25913">
        <w:t xml:space="preserve"> revenu.</w:t>
      </w:r>
    </w:p>
    <w:p w:rsidR="00281669" w:rsidRDefault="00281669" w:rsidP="00281669">
      <w:pPr>
        <w:pStyle w:val="SingleTxtG"/>
      </w:pPr>
      <w:r w:rsidRPr="00A25913">
        <w:t>76.</w:t>
      </w:r>
      <w:r w:rsidRPr="00A25913">
        <w:tab/>
        <w:t>Le programme opérationnel intégré</w:t>
      </w:r>
      <w:r>
        <w:rPr>
          <w:rStyle w:val="FootnoteReference"/>
        </w:rPr>
        <w:footnoteReference w:id="48"/>
      </w:r>
      <w:r w:rsidRPr="00A25913">
        <w:t xml:space="preserve"> mis en œuvre pour la période 2007-2013 prévoit deux domaines d</w:t>
      </w:r>
      <w:r>
        <w:t>’</w:t>
      </w:r>
      <w:r w:rsidRPr="00A25913">
        <w:t>intervention relati</w:t>
      </w:r>
      <w:r>
        <w:t>fs</w:t>
      </w:r>
      <w:r w:rsidRPr="00A25913">
        <w:t xml:space="preserve"> à l</w:t>
      </w:r>
      <w:r>
        <w:t>’</w:t>
      </w:r>
      <w:r w:rsidRPr="00A25913">
        <w:t>aide à l</w:t>
      </w:r>
      <w:r>
        <w:t>’</w:t>
      </w:r>
      <w:r w:rsidRPr="00A25913">
        <w:t>investissement pour l</w:t>
      </w:r>
      <w:r>
        <w:t>’</w:t>
      </w:r>
      <w:r w:rsidRPr="00A25913">
        <w:t>intégration des communautés roms socialement exclues</w:t>
      </w:r>
      <w:r>
        <w:rPr>
          <w:rStyle w:val="FootnoteReference"/>
        </w:rPr>
        <w:footnoteReference w:id="49"/>
      </w:r>
      <w:r w:rsidRPr="00A25913">
        <w:t>.</w:t>
      </w:r>
      <w:r>
        <w:t xml:space="preserve"> </w:t>
      </w:r>
      <w:r w:rsidRPr="00A25913">
        <w:t>Le domaine d</w:t>
      </w:r>
      <w:r>
        <w:t>’</w:t>
      </w:r>
      <w:r w:rsidRPr="00A25913">
        <w:t>intervention</w:t>
      </w:r>
      <w:r>
        <w:t xml:space="preserve"> dit des «s</w:t>
      </w:r>
      <w:r w:rsidRPr="00A25913">
        <w:t>ervices d</w:t>
      </w:r>
      <w:r>
        <w:t>’</w:t>
      </w:r>
      <w:r w:rsidRPr="00A25913">
        <w:t>intégration sociale</w:t>
      </w:r>
      <w:r>
        <w:t>»</w:t>
      </w:r>
      <w:r>
        <w:rPr>
          <w:rStyle w:val="FootnoteReference"/>
        </w:rPr>
        <w:footnoteReference w:id="50"/>
      </w:r>
      <w:r w:rsidRPr="00A25913">
        <w:t xml:space="preserve"> répond aux problèmes auxquels sont confrontés les secteurs les plus touchés</w:t>
      </w:r>
      <w:r>
        <w:t>,</w:t>
      </w:r>
      <w:r w:rsidRPr="00A25913">
        <w:t xml:space="preserve"> d</w:t>
      </w:r>
      <w:r>
        <w:t>’</w:t>
      </w:r>
      <w:r w:rsidRPr="00A25913">
        <w:t>après l</w:t>
      </w:r>
      <w:r>
        <w:t>’</w:t>
      </w:r>
      <w:r w:rsidRPr="00A25913">
        <w:t>analyse ci-dessus. L</w:t>
      </w:r>
      <w:r>
        <w:t>’</w:t>
      </w:r>
      <w:r w:rsidRPr="00A25913">
        <w:t xml:space="preserve">assistance sera essentiellement consacrée au développement de services et de centres sociaux qui aideront les municipalités et les régions à </w:t>
      </w:r>
      <w:r>
        <w:t xml:space="preserve">traiter efficacement </w:t>
      </w:r>
      <w:r w:rsidRPr="00A25913">
        <w:t xml:space="preserve">les problèmes </w:t>
      </w:r>
      <w:r>
        <w:t xml:space="preserve">ressortant de </w:t>
      </w:r>
      <w:r w:rsidRPr="00A25913">
        <w:t>l</w:t>
      </w:r>
      <w:r>
        <w:t>’</w:t>
      </w:r>
      <w:r w:rsidRPr="00A25913">
        <w:t xml:space="preserve">analyse des localités socialement </w:t>
      </w:r>
      <w:r>
        <w:t>exclues</w:t>
      </w:r>
      <w:r w:rsidRPr="00A25913">
        <w:t>. Dans ce domaine, des projets pilotes destinés aux communautés roms en danger d</w:t>
      </w:r>
      <w:r>
        <w:t>’</w:t>
      </w:r>
      <w:r w:rsidRPr="00A25913">
        <w:t xml:space="preserve">exclusion sociale </w:t>
      </w:r>
      <w:r>
        <w:t>bénéficient</w:t>
      </w:r>
      <w:r w:rsidRPr="00A25913">
        <w:t xml:space="preserve"> également </w:t>
      </w:r>
      <w:r>
        <w:t>d’une assistance. C</w:t>
      </w:r>
      <w:r w:rsidRPr="00A25913">
        <w:t>es projets associent la rénovation de logements et la revitalisation de l</w:t>
      </w:r>
      <w:r>
        <w:t>’</w:t>
      </w:r>
      <w:r w:rsidRPr="00A25913">
        <w:t>espace public à des activités d</w:t>
      </w:r>
      <w:r>
        <w:t>’</w:t>
      </w:r>
      <w:r w:rsidRPr="00A25913">
        <w:t xml:space="preserve">inclusion sociale ou à des activités </w:t>
      </w:r>
      <w:r>
        <w:t xml:space="preserve">relevant </w:t>
      </w:r>
      <w:r w:rsidRPr="00A25913">
        <w:t xml:space="preserve">du programme opérationnel </w:t>
      </w:r>
      <w:r>
        <w:t>«R</w:t>
      </w:r>
      <w:r w:rsidRPr="00A25913">
        <w:t>essources humaines et emploi</w:t>
      </w:r>
      <w:r>
        <w:t>»</w:t>
      </w:r>
      <w:r w:rsidRPr="00A25913">
        <w:t>. L</w:t>
      </w:r>
      <w:r>
        <w:t>’</w:t>
      </w:r>
      <w:r w:rsidRPr="00A25913">
        <w:t xml:space="preserve">autre domaine prévu </w:t>
      </w:r>
      <w:r>
        <w:t xml:space="preserve">dans </w:t>
      </w:r>
      <w:r w:rsidRPr="00A25913">
        <w:t xml:space="preserve">le programme opérationnel intégré est </w:t>
      </w:r>
      <w:r>
        <w:t xml:space="preserve">intitulé </w:t>
      </w:r>
      <w:r w:rsidRPr="00A25913">
        <w:t>«</w:t>
      </w:r>
      <w:r>
        <w:t>Pour a</w:t>
      </w:r>
      <w:r w:rsidRPr="00A25913">
        <w:t>méliorer l</w:t>
      </w:r>
      <w:r>
        <w:t>’</w:t>
      </w:r>
      <w:r w:rsidRPr="00A25913">
        <w:t>environnement des cités difficiles» (</w:t>
      </w:r>
      <w:r>
        <w:t xml:space="preserve">dans </w:t>
      </w:r>
      <w:r w:rsidRPr="00A25913">
        <w:t xml:space="preserve">les villes </w:t>
      </w:r>
      <w:r>
        <w:t xml:space="preserve">et les cités </w:t>
      </w:r>
      <w:r w:rsidRPr="00A25913">
        <w:t>dont la population dépasse 20 000 habitants</w:t>
      </w:r>
      <w:r>
        <w:t>)</w:t>
      </w:r>
      <w:r w:rsidRPr="00A25913">
        <w:t>; 31,6 millions d</w:t>
      </w:r>
      <w:r>
        <w:t>’</w:t>
      </w:r>
      <w:r w:rsidRPr="00A25913">
        <w:t>euros ont été alloués à cette intervention</w:t>
      </w:r>
      <w:r>
        <w:rPr>
          <w:rStyle w:val="FootnoteReference"/>
        </w:rPr>
        <w:footnoteReference w:id="51"/>
      </w:r>
      <w:r w:rsidRPr="00A25913">
        <w:t xml:space="preserve">. Les municipalités </w:t>
      </w:r>
      <w:r>
        <w:t xml:space="preserve">qui ont moins de </w:t>
      </w:r>
      <w:r w:rsidRPr="00A25913">
        <w:t>3 000 </w:t>
      </w:r>
      <w:r>
        <w:t xml:space="preserve">habitants et une </w:t>
      </w:r>
      <w:r w:rsidRPr="00A25913">
        <w:t xml:space="preserve">concentration </w:t>
      </w:r>
      <w:r>
        <w:t>relativement pl</w:t>
      </w:r>
      <w:r w:rsidRPr="00A25913">
        <w:t xml:space="preserve">us élevée de Roms socialement </w:t>
      </w:r>
      <w:r>
        <w:t>défavorisés</w:t>
      </w:r>
      <w:r w:rsidRPr="00A25913">
        <w:t xml:space="preserve"> peuvent, depuis 2009, recevoir une aide </w:t>
      </w:r>
      <w:r>
        <w:t xml:space="preserve">au titre </w:t>
      </w:r>
      <w:r w:rsidRPr="00A25913">
        <w:t>du «Programme de réhabilitation rurale</w:t>
      </w:r>
      <w:r>
        <w:t>»</w:t>
      </w:r>
      <w:r w:rsidRPr="00A25913">
        <w:t>, qui propose la subvention «Aide à l</w:t>
      </w:r>
      <w:r>
        <w:t>’</w:t>
      </w:r>
      <w:r w:rsidRPr="00A25913">
        <w:t>intégration de la communauté rom (socialement exclue</w:t>
      </w:r>
      <w:r>
        <w:t>)</w:t>
      </w:r>
      <w:r w:rsidRPr="00A25913">
        <w:t xml:space="preserve"> à </w:t>
      </w:r>
      <w:r>
        <w:t xml:space="preserve">la vie de la municipalité et </w:t>
      </w:r>
      <w:r w:rsidRPr="00A25913">
        <w:t>la société».</w:t>
      </w:r>
    </w:p>
    <w:p w:rsidR="00281669" w:rsidRPr="00A25913" w:rsidRDefault="00281669" w:rsidP="00281669">
      <w:pPr>
        <w:pStyle w:val="SingleTxtG"/>
      </w:pPr>
      <w:r w:rsidRPr="00A25913">
        <w:t>77.</w:t>
      </w:r>
      <w:r w:rsidRPr="00A25913">
        <w:tab/>
        <w:t>La discrimination dans l</w:t>
      </w:r>
      <w:r>
        <w:t>’</w:t>
      </w:r>
      <w:r w:rsidRPr="00A25913">
        <w:t xml:space="preserve">accès au logement est interdite </w:t>
      </w:r>
      <w:r>
        <w:t xml:space="preserve">par </w:t>
      </w:r>
      <w:r w:rsidRPr="00A25913">
        <w:t>la loi antidiscrimination réce</w:t>
      </w:r>
      <w:r>
        <w:t>mment adoptée (voir art.</w:t>
      </w:r>
      <w:r w:rsidRPr="00A25913">
        <w:t> 6).</w:t>
      </w:r>
    </w:p>
    <w:p w:rsidR="00281669" w:rsidRPr="00A25913" w:rsidRDefault="00281669" w:rsidP="00281669">
      <w:pPr>
        <w:pStyle w:val="H23G"/>
      </w:pPr>
      <w:r>
        <w:tab/>
      </w:r>
      <w:r w:rsidRPr="00A25913">
        <w:t>4.</w:t>
      </w:r>
      <w:r w:rsidRPr="00A25913">
        <w:tab/>
        <w:t>Droit à la santé, aux soins médicaux, à la sécurité sociale et aux services sociaux et réponse à l</w:t>
      </w:r>
      <w:r>
        <w:t>’</w:t>
      </w:r>
      <w:r w:rsidRPr="00A25913">
        <w:t>observation finale n</w:t>
      </w:r>
      <w:r w:rsidRPr="00A25913">
        <w:rPr>
          <w:vertAlign w:val="superscript"/>
        </w:rPr>
        <w:t>o</w:t>
      </w:r>
      <w:r w:rsidRPr="00A25913">
        <w:t> 14</w:t>
      </w:r>
    </w:p>
    <w:p w:rsidR="00281669" w:rsidRPr="00A25913" w:rsidRDefault="00281669" w:rsidP="00281669">
      <w:pPr>
        <w:pStyle w:val="SingleTxtG"/>
      </w:pPr>
      <w:r w:rsidRPr="00A25913">
        <w:t>78.</w:t>
      </w:r>
      <w:r w:rsidRPr="00A25913">
        <w:tab/>
        <w:t>À ce jour, la République tchèque n</w:t>
      </w:r>
      <w:r>
        <w:t>’</w:t>
      </w:r>
      <w:r w:rsidRPr="00A25913">
        <w:t xml:space="preserve">a pas encore pris de mesure qui ouvrirait la voie à </w:t>
      </w:r>
      <w:r>
        <w:t>l’indemnisation</w:t>
      </w:r>
      <w:r w:rsidRPr="00A25913">
        <w:t xml:space="preserve"> des femmes stérilisées. Dans la plupart des cas, il est impossible d</w:t>
      </w:r>
      <w:r>
        <w:t>’</w:t>
      </w:r>
      <w:r w:rsidRPr="00A25913">
        <w:t xml:space="preserve">obtenir des réparations civiles. </w:t>
      </w:r>
      <w:r>
        <w:t xml:space="preserve">Dans une action en justice pour la protection de </w:t>
      </w:r>
      <w:r w:rsidRPr="00A25913">
        <w:t xml:space="preserve">droits personnels, </w:t>
      </w:r>
      <w:r>
        <w:t xml:space="preserve">on ne peut demander que des excuses pour ingérence dans le droit à la vie privée, </w:t>
      </w:r>
      <w:r w:rsidRPr="00A25913">
        <w:t xml:space="preserve">ce que deux femmes stérilisées ont obtenu. Cependant, dans la jurisprudence unifiée de la Cour suprême, </w:t>
      </w:r>
      <w:r>
        <w:t xml:space="preserve">actuellement en vigueur, l’action en indemnisation </w:t>
      </w:r>
      <w:r w:rsidRPr="00A25913">
        <w:t>financière e</w:t>
      </w:r>
      <w:r>
        <w:t xml:space="preserve">st soumise </w:t>
      </w:r>
      <w:r w:rsidRPr="00A25913">
        <w:t>à un délai de trois ans</w:t>
      </w:r>
      <w:r>
        <w:t xml:space="preserve">, ce qui empêche </w:t>
      </w:r>
      <w:r w:rsidRPr="00A25913">
        <w:t xml:space="preserve">la plupart des femmes stérilisées </w:t>
      </w:r>
      <w:r>
        <w:t>de s’en servir</w:t>
      </w:r>
      <w:r w:rsidRPr="00A25913">
        <w:t>. Tant qu</w:t>
      </w:r>
      <w:r>
        <w:t>’</w:t>
      </w:r>
      <w:r w:rsidRPr="00A25913">
        <w:t xml:space="preserve">un mécanisme de compensation ne sera pas mis en place, il est peu probable que les victimes de stérilisation abusive puissent obtenir </w:t>
      </w:r>
      <w:r>
        <w:t>des</w:t>
      </w:r>
      <w:r w:rsidRPr="00A25913">
        <w:t xml:space="preserve"> réparation</w:t>
      </w:r>
      <w:r>
        <w:t>s</w:t>
      </w:r>
      <w:r w:rsidRPr="00A25913">
        <w:t xml:space="preserve"> financière</w:t>
      </w:r>
      <w:r>
        <w:t>s</w:t>
      </w:r>
      <w:r w:rsidRPr="00A25913">
        <w:t xml:space="preserve">, </w:t>
      </w:r>
      <w:r>
        <w:t>soit</w:t>
      </w:r>
      <w:r w:rsidRPr="00A25913">
        <w:t xml:space="preserve"> que le délai de trois ans a expiré ou que les dossiers médicaux des femmes stérilisées ont été détruits ou en raison d</w:t>
      </w:r>
      <w:r>
        <w:t>’</w:t>
      </w:r>
      <w:r w:rsidRPr="00A25913">
        <w:t xml:space="preserve">un manque de moyens financiers pour </w:t>
      </w:r>
      <w:r>
        <w:t>intenter</w:t>
      </w:r>
      <w:r w:rsidRPr="00A25913">
        <w:t xml:space="preserve"> un procès.</w:t>
      </w:r>
    </w:p>
    <w:p w:rsidR="00281669" w:rsidRDefault="00281669" w:rsidP="00281669">
      <w:pPr>
        <w:pStyle w:val="SingleTxtG"/>
      </w:pPr>
      <w:r w:rsidRPr="00A25913">
        <w:t>79.</w:t>
      </w:r>
      <w:r w:rsidRPr="00A25913">
        <w:tab/>
        <w:t xml:space="preserve">Les stérilisations non </w:t>
      </w:r>
      <w:r>
        <w:t>consenties</w:t>
      </w:r>
      <w:r w:rsidRPr="00A25913">
        <w:t xml:space="preserve"> ont fait l</w:t>
      </w:r>
      <w:r>
        <w:t>’</w:t>
      </w:r>
      <w:r w:rsidRPr="00A25913">
        <w:t>objet d</w:t>
      </w:r>
      <w:r>
        <w:t>’</w:t>
      </w:r>
      <w:r w:rsidRPr="00A25913">
        <w:t>un</w:t>
      </w:r>
      <w:r>
        <w:t xml:space="preserve"> long examen du </w:t>
      </w:r>
      <w:r w:rsidRPr="00A25913">
        <w:t xml:space="preserve">Conseil gouvernemental </w:t>
      </w:r>
      <w:r>
        <w:t>des</w:t>
      </w:r>
      <w:r w:rsidRPr="00A25913">
        <w:t xml:space="preserve"> droits de l</w:t>
      </w:r>
      <w:r>
        <w:t>’homme (o</w:t>
      </w:r>
      <w:r w:rsidRPr="00A25913">
        <w:t>rgane consultatif du Gouvernement</w:t>
      </w:r>
      <w:r>
        <w:t>). Le C</w:t>
      </w:r>
      <w:r w:rsidRPr="00A25913">
        <w:t xml:space="preserve">onseil a élaboré une initiative </w:t>
      </w:r>
      <w:r>
        <w:t>dans laquelle il a proposé</w:t>
      </w:r>
      <w:r w:rsidRPr="00A25913">
        <w:t xml:space="preserve"> que le Gouvernement </w:t>
      </w:r>
      <w:r w:rsidRPr="00CD66EB">
        <w:t>déclare regretter les erreurs mises au jour en ce qui concerne la stérilisation de femmes en violation d’une directive du Ministère de la santé</w:t>
      </w:r>
      <w:r>
        <w:rPr>
          <w:rStyle w:val="FootnoteReference"/>
        </w:rPr>
        <w:footnoteReference w:id="52"/>
      </w:r>
      <w:r w:rsidRPr="00CD66EB">
        <w:t xml:space="preserve">, et </w:t>
      </w:r>
      <w:r>
        <w:t xml:space="preserve">s’engage à prendre d’autres mesures </w:t>
      </w:r>
      <w:r w:rsidRPr="00CD66EB">
        <w:t>visant à garantir que de tels actes ne se re</w:t>
      </w:r>
      <w:r>
        <w:t>produisen</w:t>
      </w:r>
      <w:r w:rsidRPr="00CD66EB">
        <w:t xml:space="preserve">t jamais. </w:t>
      </w:r>
      <w:r>
        <w:t xml:space="preserve">L’initiative a été soumise au </w:t>
      </w:r>
      <w:r w:rsidRPr="00CD66EB">
        <w:t xml:space="preserve">Gouvernement </w:t>
      </w:r>
      <w:r>
        <w:t xml:space="preserve">par le Ministre des droits de l’homme et approuvée </w:t>
      </w:r>
      <w:r w:rsidRPr="00CD66EB">
        <w:t>en novembre 2009</w:t>
      </w:r>
      <w:r>
        <w:rPr>
          <w:rStyle w:val="FootnoteReference"/>
        </w:rPr>
        <w:footnoteReference w:id="53"/>
      </w:r>
      <w:r w:rsidRPr="00CD66EB">
        <w:t>. Le public ainsi que les femmes stérilisées ont accueilli avec satisfaction les excuses faites et les premières mesures prises en la matière</w:t>
      </w:r>
      <w:r>
        <w:rPr>
          <w:rStyle w:val="FootnoteReference"/>
        </w:rPr>
        <w:footnoteReference w:id="54"/>
      </w:r>
      <w:r w:rsidRPr="00CD66EB">
        <w:t xml:space="preserve">. </w:t>
      </w:r>
      <w:r>
        <w:t>Dans</w:t>
      </w:r>
      <w:r w:rsidRPr="00CD66EB">
        <w:t xml:space="preserve"> cette résolution, le Gouvernement a ordonné au Ministère de la santé d’engager d’autres </w:t>
      </w:r>
      <w:r>
        <w:t>mesures</w:t>
      </w:r>
      <w:r w:rsidRPr="00CD66EB">
        <w:t xml:space="preserve"> visant à éviter que des affaires telles que celles qui ont eu lieu dans le passé ne se répètent. </w:t>
      </w:r>
      <w:r>
        <w:t>Parmi ces mesures, le</w:t>
      </w:r>
      <w:r w:rsidRPr="00CD66EB">
        <w:t xml:space="preserve"> Ministère a notamment l’obligation de fournir au Gouvernement des informations sur la mise en œuvre des recommandations émanant d’un organe consultatif qui lui est attaché, d’incorporer les questions relatives à la stérilisation dans le programme du Forum d’experts chargé de la création de normes de prise en charge et de la concentration de certains types de prises en charge hautement spécialisées et, dans le cadre de la prévention et de la formation continue, de prendre contact directement avec les organisations et les structures de soins de santé </w:t>
      </w:r>
      <w:r>
        <w:t xml:space="preserve">de la République tchèque </w:t>
      </w:r>
      <w:r w:rsidRPr="00CD66EB">
        <w:t>qui dispensent des soins gynécologiques et obstétri</w:t>
      </w:r>
      <w:r>
        <w:t>ques</w:t>
      </w:r>
      <w:r w:rsidRPr="00CD66EB">
        <w:t>, afin de vérifier et de garantir le respect de la législation en matière de stérilisation.</w:t>
      </w:r>
    </w:p>
    <w:p w:rsidR="00281669" w:rsidRPr="00A25913" w:rsidRDefault="00281669" w:rsidP="00281669">
      <w:pPr>
        <w:pStyle w:val="SingleTxtG"/>
      </w:pPr>
      <w:r w:rsidRPr="00A25913">
        <w:t>80.</w:t>
      </w:r>
      <w:r w:rsidRPr="00A25913">
        <w:tab/>
        <w:t xml:space="preserve">Les dispositions relatives à la stérilisation sont actuellement </w:t>
      </w:r>
      <w:r>
        <w:t>énoncées</w:t>
      </w:r>
      <w:r w:rsidRPr="00A25913">
        <w:t xml:space="preserve"> dans la loi n</w:t>
      </w:r>
      <w:r w:rsidRPr="00A25913">
        <w:rPr>
          <w:vertAlign w:val="superscript"/>
        </w:rPr>
        <w:t>o</w:t>
      </w:r>
      <w:r w:rsidRPr="00A25913">
        <w:t xml:space="preserve"> 20/1966 sur les soins de santé publique, telle que modifiée. Cette loi exige le consentement en connaissance de cause ou une demande émanant de la personne </w:t>
      </w:r>
      <w:r>
        <w:t xml:space="preserve">qui souhaite subir </w:t>
      </w:r>
      <w:r w:rsidRPr="00A25913">
        <w:t xml:space="preserve">une telle </w:t>
      </w:r>
      <w:r>
        <w:t xml:space="preserve">intervention </w:t>
      </w:r>
      <w:r w:rsidRPr="00A25913">
        <w:t>chirurgicale</w:t>
      </w:r>
      <w:r>
        <w:rPr>
          <w:rStyle w:val="FootnoteReference"/>
        </w:rPr>
        <w:footnoteReference w:id="55"/>
      </w:r>
      <w:r w:rsidRPr="00A25913">
        <w:t xml:space="preserve">. </w:t>
      </w:r>
      <w:r>
        <w:t>Parmi les dispositions législatives figure l</w:t>
      </w:r>
      <w:r w:rsidRPr="00A25913">
        <w:t>e décret n</w:t>
      </w:r>
      <w:r w:rsidRPr="00A25913">
        <w:rPr>
          <w:vertAlign w:val="superscript"/>
        </w:rPr>
        <w:t>o</w:t>
      </w:r>
      <w:r w:rsidRPr="00A25913">
        <w:t> 385/2006 sur le dossier médical, qui régit en détail le consentement en connaissance de cause</w:t>
      </w:r>
      <w:r>
        <w:t>.</w:t>
      </w:r>
      <w:r w:rsidRPr="00A25913">
        <w:t xml:space="preserve"> L</w:t>
      </w:r>
      <w:r>
        <w:t>’</w:t>
      </w:r>
      <w:r w:rsidRPr="00A25913">
        <w:t xml:space="preserve">ensemble </w:t>
      </w:r>
      <w:r>
        <w:t xml:space="preserve">des dispositions </w:t>
      </w:r>
      <w:r w:rsidRPr="00A25913">
        <w:t>applicable</w:t>
      </w:r>
      <w:r>
        <w:t>s</w:t>
      </w:r>
      <w:r w:rsidRPr="00A25913">
        <w:t xml:space="preserve"> à cette question devait être intégré à la nouvelle loi sur les services de santé spéci</w:t>
      </w:r>
      <w:r>
        <w:t>aux</w:t>
      </w:r>
      <w:r w:rsidRPr="00A25913">
        <w:t>, mais le projet a été retiré du débat à la Chambre des députés en mars 2009. L</w:t>
      </w:r>
      <w:r>
        <w:t>’</w:t>
      </w:r>
      <w:r w:rsidRPr="00A25913">
        <w:t xml:space="preserve">adoption de cette loi a </w:t>
      </w:r>
      <w:r>
        <w:t xml:space="preserve">par conséquent été reportée </w:t>
      </w:r>
      <w:r w:rsidRPr="008D140C">
        <w:rPr>
          <w:i/>
        </w:rPr>
        <w:t>sine die</w:t>
      </w:r>
      <w:r w:rsidRPr="00A25913">
        <w:t>.</w:t>
      </w:r>
    </w:p>
    <w:p w:rsidR="00281669" w:rsidRPr="00A25913" w:rsidRDefault="00281669" w:rsidP="00281669">
      <w:pPr>
        <w:pStyle w:val="SingleTxtG"/>
      </w:pPr>
      <w:r>
        <w:t>81.</w:t>
      </w:r>
      <w:r>
        <w:tab/>
        <w:t>Helena Ferenčí</w:t>
      </w:r>
      <w:r w:rsidRPr="00A25913">
        <w:t xml:space="preserve">ková a déposé une plainte constitutionnelle </w:t>
      </w:r>
      <w:r>
        <w:t>concernant son cas. Le 23 </w:t>
      </w:r>
      <w:r w:rsidRPr="00A25913">
        <w:t xml:space="preserve">octobre 2009, la Cour constitutionnelle a confirmé la décision du premier tribunal, </w:t>
      </w:r>
      <w:r>
        <w:t xml:space="preserve">qui avait </w:t>
      </w:r>
      <w:r w:rsidRPr="00A25913">
        <w:t>jugé que les médecins avaient agi de manière illicite en pratiquant une stérilisation sans consentement donné en connaissance de cause, mais a également rejeté la demande de réparation financière de la demanderesse au motif que le délai de recours de trois ans avait expiré. À cet égard, la Cour constitutionnelle n</w:t>
      </w:r>
      <w:r>
        <w:t>’</w:t>
      </w:r>
      <w:r w:rsidRPr="00A25913">
        <w:t>a</w:t>
      </w:r>
      <w:r>
        <w:t xml:space="preserve"> pas fait droit à la demande d’indemnisation </w:t>
      </w:r>
      <w:r w:rsidRPr="00A25913">
        <w:t>financière de la demanderesse, mais lui a accordé le droit à recevoir des excuses de l</w:t>
      </w:r>
      <w:r>
        <w:t>’</w:t>
      </w:r>
      <w:r w:rsidRPr="00A25913">
        <w:t>hôpital dans lequel l</w:t>
      </w:r>
      <w:r>
        <w:t>’</w:t>
      </w:r>
      <w:r w:rsidRPr="00A25913">
        <w:t>opération s</w:t>
      </w:r>
      <w:r>
        <w:t>’était</w:t>
      </w:r>
      <w:r w:rsidRPr="00A25913">
        <w:t xml:space="preserve"> déroulée. </w:t>
      </w:r>
    </w:p>
    <w:p w:rsidR="00281669" w:rsidRPr="00A25913" w:rsidRDefault="00281669" w:rsidP="00281669">
      <w:pPr>
        <w:pStyle w:val="SingleTxtG"/>
      </w:pPr>
      <w:r>
        <w:t>82.</w:t>
      </w:r>
      <w:r>
        <w:tab/>
        <w:t>Un c</w:t>
      </w:r>
      <w:r w:rsidRPr="00A25913">
        <w:t xml:space="preserve">onseil consultatif a été créé au Ministère de la santé pour enquêter sur les plaintes présentées par des femmes au sujet de la stérilisation dont elles </w:t>
      </w:r>
      <w:r>
        <w:t>avaient</w:t>
      </w:r>
      <w:r w:rsidRPr="00A25913">
        <w:t xml:space="preserve"> été l</w:t>
      </w:r>
      <w:r>
        <w:t>’</w:t>
      </w:r>
      <w:r w:rsidRPr="00A25913">
        <w:t>objet dans le cadre de soins de santé. Ce conseil a découvert que des erreurs s</w:t>
      </w:r>
      <w:r>
        <w:t xml:space="preserve">’étaient produites lors des actes de </w:t>
      </w:r>
      <w:r w:rsidRPr="00A25913">
        <w:t>stérilisation</w:t>
      </w:r>
      <w:r>
        <w:t xml:space="preserve"> pratiqués</w:t>
      </w:r>
      <w:r w:rsidRPr="00A25913">
        <w:t>, mais qu</w:t>
      </w:r>
      <w:r>
        <w:t>’</w:t>
      </w:r>
      <w:r w:rsidRPr="00A25913">
        <w:t xml:space="preserve">elles ne </w:t>
      </w:r>
      <w:r>
        <w:t>pouvaient</w:t>
      </w:r>
      <w:r w:rsidRPr="00A25913">
        <w:t xml:space="preserve"> en aucune manière être assimilées à une politique nationale ou à une politique ciblant la race ou l</w:t>
      </w:r>
      <w:r>
        <w:t>’</w:t>
      </w:r>
      <w:r w:rsidRPr="00A25913">
        <w:t>ethnicité</w:t>
      </w:r>
      <w:r>
        <w:t xml:space="preserve">: il s’agissait purement et simplement </w:t>
      </w:r>
      <w:r w:rsidRPr="00A25913">
        <w:t>d</w:t>
      </w:r>
      <w:r>
        <w:t>’</w:t>
      </w:r>
      <w:r w:rsidRPr="00A25913">
        <w:t>erreurs commises par certains établissements sanitaires. L</w:t>
      </w:r>
      <w:r>
        <w:t xml:space="preserve">’enquête </w:t>
      </w:r>
      <w:r w:rsidRPr="00A25913">
        <w:t>menée par le Conseil consultatif n</w:t>
      </w:r>
      <w:r>
        <w:t>’</w:t>
      </w:r>
      <w:r w:rsidRPr="00A25913">
        <w:t xml:space="preserve">a pas prouvé que les erreurs </w:t>
      </w:r>
      <w:r>
        <w:t xml:space="preserve">qui avaient marqué les actes de </w:t>
      </w:r>
      <w:r w:rsidRPr="00A25913">
        <w:t xml:space="preserve">stérilisation </w:t>
      </w:r>
      <w:r>
        <w:t>avaient été</w:t>
      </w:r>
      <w:r w:rsidRPr="00A25913">
        <w:t xml:space="preserve"> planifiées, systématiques et intentionnelles. La stérilisation de femmes en République tchèque n</w:t>
      </w:r>
      <w:r>
        <w:t xml:space="preserve">’avait </w:t>
      </w:r>
      <w:r w:rsidRPr="00A25913">
        <w:t xml:space="preserve">en aucune façon </w:t>
      </w:r>
      <w:r>
        <w:t xml:space="preserve">des motivations </w:t>
      </w:r>
      <w:r w:rsidRPr="00A25913">
        <w:t xml:space="preserve">ethniques ou raciales. Dans toutes les affaires, la stérilisation a été effectuée sur </w:t>
      </w:r>
      <w:r>
        <w:t>la base d’</w:t>
      </w:r>
      <w:r w:rsidRPr="00A25913">
        <w:t xml:space="preserve">indications médicales données par un </w:t>
      </w:r>
      <w:r>
        <w:t>médecin. Après son enquête, le c</w:t>
      </w:r>
      <w:r w:rsidRPr="00A25913">
        <w:t xml:space="preserve">onseil consultatif a été dissous et </w:t>
      </w:r>
      <w:r>
        <w:t>n’existe donc plus</w:t>
      </w:r>
      <w:r w:rsidRPr="00A25913">
        <w:t xml:space="preserve">. La façon dont le consentement en connaissance de cause du patient </w:t>
      </w:r>
      <w:r>
        <w:t>est</w:t>
      </w:r>
      <w:r w:rsidRPr="00A25913">
        <w:t xml:space="preserve"> obtenu avant l</w:t>
      </w:r>
      <w:r>
        <w:t>’</w:t>
      </w:r>
      <w:r w:rsidRPr="00A25913">
        <w:t xml:space="preserve">opération est </w:t>
      </w:r>
      <w:r>
        <w:t>l’</w:t>
      </w:r>
      <w:r w:rsidRPr="00A25913">
        <w:t xml:space="preserve">un des principaux problèmes </w:t>
      </w:r>
      <w:r>
        <w:t xml:space="preserve">que pose </w:t>
      </w:r>
      <w:r w:rsidRPr="00A25913">
        <w:t xml:space="preserve">la stérilisation des femmes </w:t>
      </w:r>
      <w:r>
        <w:t xml:space="preserve">et des </w:t>
      </w:r>
      <w:r w:rsidRPr="00A25913">
        <w:t>hommes dans la grande majorité des cas. Lorsqu</w:t>
      </w:r>
      <w:r>
        <w:t>e</w:t>
      </w:r>
      <w:r w:rsidRPr="00A25913">
        <w:t xml:space="preserve"> cette question</w:t>
      </w:r>
      <w:r>
        <w:t xml:space="preserve"> a été examinée,</w:t>
      </w:r>
      <w:r w:rsidRPr="00A25913">
        <w:t xml:space="preserve"> on a découvert que par le passé</w:t>
      </w:r>
      <w:r>
        <w:t>,</w:t>
      </w:r>
      <w:r w:rsidRPr="00A25913">
        <w:t xml:space="preserve"> l</w:t>
      </w:r>
      <w:r>
        <w:t>’</w:t>
      </w:r>
      <w:r w:rsidRPr="00A25913">
        <w:t xml:space="preserve">obtention </w:t>
      </w:r>
      <w:r>
        <w:t>du</w:t>
      </w:r>
      <w:r w:rsidRPr="00A25913">
        <w:t xml:space="preserve"> consentement en connaissance de cause </w:t>
      </w:r>
      <w:r>
        <w:t xml:space="preserve">posait </w:t>
      </w:r>
      <w:r w:rsidRPr="00A25913">
        <w:t xml:space="preserve">également un problème </w:t>
      </w:r>
      <w:r>
        <w:t xml:space="preserve">majeur </w:t>
      </w:r>
      <w:r w:rsidRPr="00A25913">
        <w:t>dans d</w:t>
      </w:r>
      <w:r>
        <w:t>’</w:t>
      </w:r>
      <w:r w:rsidRPr="00A25913">
        <w:t>autres domaines</w:t>
      </w:r>
      <w:r>
        <w:t>, lors d’opérations</w:t>
      </w:r>
      <w:r w:rsidRPr="00A25913">
        <w:t>.</w:t>
      </w:r>
    </w:p>
    <w:p w:rsidR="00281669" w:rsidRPr="00A25913" w:rsidRDefault="00281669" w:rsidP="00281669">
      <w:pPr>
        <w:pStyle w:val="H23G"/>
      </w:pPr>
      <w:r>
        <w:tab/>
      </w:r>
      <w:r w:rsidRPr="00A25913">
        <w:t>5.</w:t>
      </w:r>
      <w:r w:rsidRPr="00A25913">
        <w:tab/>
        <w:t>Droit à l</w:t>
      </w:r>
      <w:r>
        <w:t>’</w:t>
      </w:r>
      <w:r w:rsidRPr="00A25913">
        <w:t>éducation et à la formation professionnelle</w:t>
      </w:r>
    </w:p>
    <w:p w:rsidR="00281669" w:rsidRDefault="00281669" w:rsidP="00281669">
      <w:pPr>
        <w:pStyle w:val="SingleTxtG"/>
      </w:pPr>
      <w:r w:rsidRPr="00A25913">
        <w:t>83.</w:t>
      </w:r>
      <w:r w:rsidRPr="00A25913">
        <w:tab/>
        <w:t>Le Ministère de l</w:t>
      </w:r>
      <w:r>
        <w:t>’</w:t>
      </w:r>
      <w:r w:rsidRPr="00A25913">
        <w:t xml:space="preserve">éducation, de la </w:t>
      </w:r>
      <w:r>
        <w:t>jeunesse</w:t>
      </w:r>
      <w:r w:rsidRPr="00A25913">
        <w:t xml:space="preserve"> et des sports </w:t>
      </w:r>
      <w:r>
        <w:t xml:space="preserve">procède à </w:t>
      </w:r>
      <w:r w:rsidRPr="00A25913">
        <w:t xml:space="preserve">une réforme des </w:t>
      </w:r>
      <w:r>
        <w:t>programmes d’</w:t>
      </w:r>
      <w:r w:rsidRPr="00A25913">
        <w:t>études. Cette réforme a également</w:t>
      </w:r>
      <w:r>
        <w:t xml:space="preserve"> des</w:t>
      </w:r>
      <w:r w:rsidRPr="00A25913">
        <w:t xml:space="preserve"> incidence</w:t>
      </w:r>
      <w:r>
        <w:t>s</w:t>
      </w:r>
      <w:r w:rsidRPr="00A25913">
        <w:t xml:space="preserve"> majeure</w:t>
      </w:r>
      <w:r>
        <w:t>s</w:t>
      </w:r>
      <w:r w:rsidRPr="00A25913">
        <w:t xml:space="preserve"> sur l</w:t>
      </w:r>
      <w:r>
        <w:t>’</w:t>
      </w:r>
      <w:r w:rsidRPr="00A25913">
        <w:t>éducation et l</w:t>
      </w:r>
      <w:r>
        <w:t>’</w:t>
      </w:r>
      <w:r w:rsidRPr="00A25913">
        <w:t>instruction des enfants et des élèves dans le domaine de l</w:t>
      </w:r>
      <w:r>
        <w:t>’</w:t>
      </w:r>
      <w:r w:rsidRPr="00A25913">
        <w:t xml:space="preserve">éducation interculturelle dans la mesure où </w:t>
      </w:r>
      <w:r>
        <w:t>elle modifie la démarche éducative globale en concentrant les efforts sur l’acq</w:t>
      </w:r>
      <w:r w:rsidRPr="00A25913">
        <w:t xml:space="preserve">uisition de compétences </w:t>
      </w:r>
      <w:r>
        <w:t>clefs e</w:t>
      </w:r>
      <w:r w:rsidRPr="00A25913">
        <w:t>t en accordant davantage d</w:t>
      </w:r>
      <w:r>
        <w:t>’</w:t>
      </w:r>
      <w:r w:rsidRPr="00A25913">
        <w:t xml:space="preserve">autonomie aux écoles. </w:t>
      </w:r>
      <w:r>
        <w:t>L’</w:t>
      </w:r>
      <w:r w:rsidRPr="00A25913">
        <w:t>éducation multiculturelle dote les élèves de connaissances de base sur les différents groupes ethniques et culturels vivant dans la société tchèque et européenne, développe leur capacité à évoluer au sein d</w:t>
      </w:r>
      <w:r>
        <w:t>’</w:t>
      </w:r>
      <w:r w:rsidRPr="00A25913">
        <w:t xml:space="preserve">une société pluraliste et à tirer profit du contact interculturel pour leur enrichissement personnel et celui des autres, </w:t>
      </w:r>
      <w:r>
        <w:t xml:space="preserve">accroît </w:t>
      </w:r>
      <w:r w:rsidRPr="00A25913">
        <w:t xml:space="preserve">la capacité </w:t>
      </w:r>
      <w:r>
        <w:t>de reconnaître et de</w:t>
      </w:r>
      <w:r w:rsidRPr="00A25913">
        <w:t xml:space="preserve"> tolérer les différences d</w:t>
      </w:r>
      <w:r>
        <w:t>’</w:t>
      </w:r>
      <w:r w:rsidRPr="00A25913">
        <w:t xml:space="preserve">autres groupes nationaux, ethniques, religieux et sociaux et de travailler avec des membres de groupes socioculturels différents, </w:t>
      </w:r>
      <w:r>
        <w:t>augmente</w:t>
      </w:r>
      <w:r w:rsidRPr="00A25913">
        <w:t xml:space="preserve"> la capacité </w:t>
      </w:r>
      <w:r>
        <w:t>de reconnaître l</w:t>
      </w:r>
      <w:r w:rsidRPr="00A25913">
        <w:t>es signes d</w:t>
      </w:r>
      <w:r>
        <w:t>e l’</w:t>
      </w:r>
      <w:r w:rsidRPr="00A25913">
        <w:t>intolérance raciale et contribue à la prévention de la xénophobie.</w:t>
      </w:r>
    </w:p>
    <w:p w:rsidR="00281669" w:rsidRPr="00A25913" w:rsidRDefault="00281669" w:rsidP="00281669">
      <w:pPr>
        <w:pStyle w:val="SingleTxtG"/>
      </w:pPr>
      <w:r w:rsidRPr="00A25913">
        <w:t>84.</w:t>
      </w:r>
      <w:r w:rsidRPr="00A25913">
        <w:tab/>
      </w:r>
      <w:r>
        <w:t>D</w:t>
      </w:r>
      <w:r w:rsidRPr="00A25913">
        <w:t xml:space="preserve">es programmes-cadres </w:t>
      </w:r>
      <w:r>
        <w:t>d’enseignement</w:t>
      </w:r>
      <w:r>
        <w:rPr>
          <w:rStyle w:val="FootnoteReference"/>
        </w:rPr>
        <w:footnoteReference w:id="56"/>
      </w:r>
      <w:r w:rsidRPr="00A25913">
        <w:t xml:space="preserve"> sont mis en </w:t>
      </w:r>
      <w:r>
        <w:t>place depuis 2005</w:t>
      </w:r>
      <w:r w:rsidRPr="00A25913">
        <w:t xml:space="preserve"> dans le système éducatif tchèque. Un ensemble d</w:t>
      </w:r>
      <w:r>
        <w:t>’</w:t>
      </w:r>
      <w:r w:rsidRPr="00A25913">
        <w:t>activités en matière d</w:t>
      </w:r>
      <w:r>
        <w:t>’</w:t>
      </w:r>
      <w:r w:rsidRPr="00A25913">
        <w:t xml:space="preserve">éducation multiculturelle a </w:t>
      </w:r>
      <w:r>
        <w:t>été le moteur de la réforme des programmes d’</w:t>
      </w:r>
      <w:r w:rsidRPr="00A25913">
        <w:t xml:space="preserve">enseignement. Le site </w:t>
      </w:r>
      <w:r>
        <w:t xml:space="preserve">des méthodes, </w:t>
      </w:r>
      <w:hyperlink r:id="rId8" w:history="1">
        <w:r w:rsidRPr="00A25913">
          <w:rPr>
            <w:rStyle w:val="Hyperlink"/>
          </w:rPr>
          <w:t>www.rvp.cz</w:t>
        </w:r>
      </w:hyperlink>
      <w:r w:rsidRPr="00A25913">
        <w:t>, géré par l</w:t>
      </w:r>
      <w:r>
        <w:t>’</w:t>
      </w:r>
      <w:r w:rsidRPr="00A25913">
        <w:t>Institut de recherche de l</w:t>
      </w:r>
      <w:r>
        <w:t>’</w:t>
      </w:r>
      <w:r w:rsidRPr="00A25913">
        <w:t xml:space="preserve">éducation, </w:t>
      </w:r>
      <w:r>
        <w:t>illustre bien cette réforme</w:t>
      </w:r>
      <w:r>
        <w:rPr>
          <w:rStyle w:val="FootnoteReference"/>
        </w:rPr>
        <w:footnoteReference w:id="57"/>
      </w:r>
      <w:r w:rsidRPr="00A25913">
        <w:t xml:space="preserve">. Ce site </w:t>
      </w:r>
      <w:r>
        <w:t>constitue</w:t>
      </w:r>
      <w:r w:rsidRPr="00A25913">
        <w:t xml:space="preserve"> le principal appui méthodologique </w:t>
      </w:r>
      <w:r>
        <w:t xml:space="preserve">pour </w:t>
      </w:r>
      <w:r w:rsidRPr="00A25913">
        <w:t>l</w:t>
      </w:r>
      <w:r>
        <w:t>’</w:t>
      </w:r>
      <w:r w:rsidRPr="00A25913">
        <w:t xml:space="preserve">introduction de programmes-cadres </w:t>
      </w:r>
      <w:r>
        <w:t>d’enseignement</w:t>
      </w:r>
      <w:r w:rsidRPr="00A25913">
        <w:t xml:space="preserve"> dans les écoles. </w:t>
      </w:r>
      <w:r>
        <w:t xml:space="preserve">Le but </w:t>
      </w:r>
      <w:r w:rsidRPr="00A25913">
        <w:t xml:space="preserve">est de créer un </w:t>
      </w:r>
      <w:r>
        <w:t xml:space="preserve">cadre </w:t>
      </w:r>
      <w:r w:rsidRPr="00A25913">
        <w:t>dans lequel les enseignants pourront s</w:t>
      </w:r>
      <w:r>
        <w:t>’inspirer de leurs expériences respectives et s’en informer mutuellement</w:t>
      </w:r>
      <w:r w:rsidRPr="00A25913">
        <w:t>.</w:t>
      </w:r>
    </w:p>
    <w:p w:rsidR="00281669" w:rsidRPr="00A25913" w:rsidRDefault="00281669" w:rsidP="00281669">
      <w:pPr>
        <w:pStyle w:val="SingleTxtG"/>
      </w:pPr>
      <w:r w:rsidRPr="00A25913">
        <w:t>85.</w:t>
      </w:r>
      <w:r w:rsidRPr="00A25913">
        <w:tab/>
        <w:t>La</w:t>
      </w:r>
      <w:r>
        <w:t xml:space="preserve"> modification de la loi sur l’</w:t>
      </w:r>
      <w:r w:rsidRPr="00A25913">
        <w:t>école</w:t>
      </w:r>
      <w:r>
        <w:rPr>
          <w:rStyle w:val="FootnoteReference"/>
        </w:rPr>
        <w:footnoteReference w:id="58"/>
      </w:r>
      <w:r w:rsidRPr="00A25913">
        <w:t xml:space="preserve"> garantit l</w:t>
      </w:r>
      <w:r>
        <w:t>’</w:t>
      </w:r>
      <w:r w:rsidRPr="00A25913">
        <w:t>égalité d</w:t>
      </w:r>
      <w:r>
        <w:t>’</w:t>
      </w:r>
      <w:r w:rsidRPr="00A25913">
        <w:t xml:space="preserve">accès </w:t>
      </w:r>
      <w:r>
        <w:t>des</w:t>
      </w:r>
      <w:r w:rsidRPr="00A25913">
        <w:t xml:space="preserve"> élèves ayant l</w:t>
      </w:r>
      <w:r>
        <w:t>’</w:t>
      </w:r>
      <w:r w:rsidRPr="00A25913">
        <w:t>âge de la scolari</w:t>
      </w:r>
      <w:r>
        <w:t>sation</w:t>
      </w:r>
      <w:r w:rsidRPr="00A25913">
        <w:t xml:space="preserve"> obligatoire </w:t>
      </w:r>
      <w:r>
        <w:t>aux</w:t>
      </w:r>
      <w:r w:rsidRPr="00A25913">
        <w:t xml:space="preserve"> écoles primaires</w:t>
      </w:r>
      <w:r>
        <w:t xml:space="preserve"> et au premier cycle des collèges et des </w:t>
      </w:r>
      <w:r w:rsidRPr="00A25913">
        <w:t>conservatoire</w:t>
      </w:r>
      <w:r>
        <w:t>s</w:t>
      </w:r>
      <w:r w:rsidRPr="00A25913">
        <w:t>, à l</w:t>
      </w:r>
      <w:r>
        <w:t xml:space="preserve">’enseignement </w:t>
      </w:r>
      <w:r w:rsidRPr="00A25913">
        <w:t>de base, aux repas et aux services scolaires</w:t>
      </w:r>
      <w:r>
        <w:t xml:space="preserve"> (clubs scolaires, par exemple)</w:t>
      </w:r>
      <w:r w:rsidRPr="00A25913">
        <w:t>. Cette égalité d</w:t>
      </w:r>
      <w:r>
        <w:t>’</w:t>
      </w:r>
      <w:r w:rsidRPr="00A25913">
        <w:t xml:space="preserve">accès </w:t>
      </w:r>
      <w:r>
        <w:t>est garantie à t</w:t>
      </w:r>
      <w:r w:rsidRPr="00A25913">
        <w:t xml:space="preserve">ous les enfants, indépendamment </w:t>
      </w:r>
      <w:r>
        <w:t xml:space="preserve">de leur pays d’origine, </w:t>
      </w:r>
      <w:r w:rsidRPr="00A25913">
        <w:t>même lorsque rien ne prouve qu</w:t>
      </w:r>
      <w:r>
        <w:t>’ils</w:t>
      </w:r>
      <w:r w:rsidRPr="00A25913">
        <w:t xml:space="preserve"> se trouvent lég</w:t>
      </w:r>
      <w:r>
        <w:t>alement en République tchèque. Les</w:t>
      </w:r>
      <w:r w:rsidRPr="00A25913">
        <w:t xml:space="preserve"> crédits alloués aux écoles </w:t>
      </w:r>
      <w:r>
        <w:t xml:space="preserve">sont destinés à </w:t>
      </w:r>
      <w:r w:rsidRPr="00A25913">
        <w:t xml:space="preserve">tous les élèves, y compris </w:t>
      </w:r>
      <w:r>
        <w:t xml:space="preserve">aux </w:t>
      </w:r>
      <w:r w:rsidRPr="00A25913">
        <w:t>étrangers. Les écoles primaires n</w:t>
      </w:r>
      <w:r>
        <w:t>’</w:t>
      </w:r>
      <w:r w:rsidRPr="00A25913">
        <w:t>ont plus le droit, lorsqu</w:t>
      </w:r>
      <w:r>
        <w:t>’</w:t>
      </w:r>
      <w:r w:rsidRPr="00A25913">
        <w:t xml:space="preserve">elles inscrivent les enfants de parents étrangers, de juger de la légitimité de leur présence en République tchèque. </w:t>
      </w:r>
    </w:p>
    <w:p w:rsidR="00281669" w:rsidRPr="00A25913" w:rsidRDefault="00281669" w:rsidP="00281669">
      <w:pPr>
        <w:pStyle w:val="SingleTxtG"/>
      </w:pPr>
      <w:r w:rsidRPr="00A25913">
        <w:t>86.</w:t>
      </w:r>
      <w:r w:rsidRPr="00A25913">
        <w:tab/>
        <w:t>La réforme a aussi aboli les écoles spéciales (</w:t>
      </w:r>
      <w:r w:rsidRPr="00A25913">
        <w:rPr>
          <w:i/>
        </w:rPr>
        <w:t>zvláštni školy</w:t>
      </w:r>
      <w:r w:rsidRPr="00A25913">
        <w:t xml:space="preserve">). Les élèves reçoivent, dans le cadre de la scolarisation obligatoire, un enseignement conforme aux programmes-cadres </w:t>
      </w:r>
      <w:r>
        <w:t>d’enseignement</w:t>
      </w:r>
      <w:r w:rsidRPr="00A25913">
        <w:t xml:space="preserve"> pour l</w:t>
      </w:r>
      <w:r>
        <w:t>’</w:t>
      </w:r>
      <w:r w:rsidRPr="00A25913">
        <w:t>enseignement primaire ou</w:t>
      </w:r>
      <w:r>
        <w:t>, le cas échéant,</w:t>
      </w:r>
      <w:r w:rsidRPr="00A25913">
        <w:t xml:space="preserve"> une version adaptée </w:t>
      </w:r>
      <w:r>
        <w:t>aux</w:t>
      </w:r>
      <w:r w:rsidRPr="00A25913">
        <w:t xml:space="preserve"> enfants présentant un handicap mental </w:t>
      </w:r>
      <w:r>
        <w:t>mineur</w:t>
      </w:r>
      <w:r w:rsidRPr="00A25913">
        <w:t xml:space="preserve">. Les élèves </w:t>
      </w:r>
      <w:r>
        <w:t xml:space="preserve">souffrant d’un handicap mental </w:t>
      </w:r>
      <w:r w:rsidRPr="00A25913">
        <w:t xml:space="preserve">moyennement </w:t>
      </w:r>
      <w:r>
        <w:t>grave ou très grave</w:t>
      </w:r>
      <w:r w:rsidRPr="00A25913">
        <w:t xml:space="preserve">, ceux qui présentent des handicaps multiples </w:t>
      </w:r>
      <w:r>
        <w:t xml:space="preserve">ou sont </w:t>
      </w:r>
      <w:r w:rsidRPr="00A25913">
        <w:t xml:space="preserve">autistes ont le droit de </w:t>
      </w:r>
      <w:r>
        <w:t>fréquenter</w:t>
      </w:r>
      <w:r w:rsidRPr="00A25913">
        <w:t xml:space="preserve"> une école primaire spéciale (</w:t>
      </w:r>
      <w:r w:rsidRPr="00A25913">
        <w:rPr>
          <w:i/>
        </w:rPr>
        <w:t>speciální</w:t>
      </w:r>
      <w:r w:rsidRPr="00A25913">
        <w:t xml:space="preserve"> </w:t>
      </w:r>
      <w:r w:rsidRPr="00A25913">
        <w:rPr>
          <w:i/>
        </w:rPr>
        <w:t>z</w:t>
      </w:r>
      <w:r>
        <w:rPr>
          <w:i/>
        </w:rPr>
        <w:t>ákladní</w:t>
      </w:r>
      <w:r w:rsidRPr="00A25913">
        <w:rPr>
          <w:i/>
        </w:rPr>
        <w:t xml:space="preserve"> škola</w:t>
      </w:r>
      <w:r w:rsidRPr="00A25913">
        <w:t>) conformément au</w:t>
      </w:r>
      <w:r>
        <w:t xml:space="preserve"> </w:t>
      </w:r>
      <w:r w:rsidRPr="00A25913">
        <w:t xml:space="preserve">programme-cadre </w:t>
      </w:r>
      <w:r>
        <w:t>d’enseignement</w:t>
      </w:r>
      <w:r w:rsidRPr="00A25913">
        <w:t xml:space="preserve"> </w:t>
      </w:r>
      <w:r>
        <w:t xml:space="preserve">pour les </w:t>
      </w:r>
      <w:r w:rsidRPr="00A25913">
        <w:t xml:space="preserve">«Écoles primaires spéciales». Le programme-cadre </w:t>
      </w:r>
      <w:r>
        <w:t>d’enseignement</w:t>
      </w:r>
      <w:r w:rsidRPr="00A25913">
        <w:t xml:space="preserve"> </w:t>
      </w:r>
      <w:r>
        <w:t>pour les écoles spécial</w:t>
      </w:r>
      <w:r w:rsidRPr="00A25913">
        <w:t>es a ét</w:t>
      </w:r>
      <w:r>
        <w:t>é utilisé par 386 écoles pour 6 </w:t>
      </w:r>
      <w:r w:rsidRPr="00A25913">
        <w:t>666 étudiants pendant l</w:t>
      </w:r>
      <w:r>
        <w:t>’</w:t>
      </w:r>
      <w:r w:rsidRPr="00A25913">
        <w:t xml:space="preserve">année scolaire 2008/09. Cent trois de ces écoles se sont inspirées du programme pour intégrer </w:t>
      </w:r>
      <w:r>
        <w:t xml:space="preserve">individuellement </w:t>
      </w:r>
      <w:r w:rsidRPr="00A25913">
        <w:t>206 élèves présentant un handicap mental lourd dans l</w:t>
      </w:r>
      <w:r>
        <w:t>’</w:t>
      </w:r>
      <w:r w:rsidRPr="00A25913">
        <w:t xml:space="preserve">enseignement </w:t>
      </w:r>
      <w:r>
        <w:t>ordinaire</w:t>
      </w:r>
      <w:r w:rsidRPr="00A25913">
        <w:t xml:space="preserve">. </w:t>
      </w:r>
    </w:p>
    <w:p w:rsidR="00281669" w:rsidRPr="00A25913" w:rsidRDefault="00281669" w:rsidP="00281669">
      <w:pPr>
        <w:pStyle w:val="SingleTxtG"/>
      </w:pPr>
      <w:r w:rsidRPr="00A25913">
        <w:t>87.</w:t>
      </w:r>
      <w:r w:rsidRPr="00A25913">
        <w:tab/>
        <w:t xml:space="preserve">Une analyse qualitative des méthodes </w:t>
      </w:r>
      <w:r>
        <w:t>individuelles utilisées</w:t>
      </w:r>
      <w:r w:rsidRPr="00A25913">
        <w:t xml:space="preserve"> par les enseignants </w:t>
      </w:r>
      <w:r>
        <w:t xml:space="preserve">chargés </w:t>
      </w:r>
      <w:r w:rsidRPr="00A25913">
        <w:t>d</w:t>
      </w:r>
      <w:r>
        <w:t>’</w:t>
      </w:r>
      <w:r w:rsidRPr="00A25913">
        <w:t xml:space="preserve">enfants ayant des besoins éducatifs </w:t>
      </w:r>
      <w:r>
        <w:t>spéciaux</w:t>
      </w:r>
      <w:r w:rsidRPr="00A25913">
        <w:t xml:space="preserve"> a examiné les progrès réalisés dans la transformation des anciennes écoles spéciales (</w:t>
      </w:r>
      <w:r w:rsidRPr="00A25913">
        <w:rPr>
          <w:i/>
        </w:rPr>
        <w:t>speciální</w:t>
      </w:r>
      <w:r w:rsidRPr="00A25913">
        <w:t xml:space="preserve"> </w:t>
      </w:r>
      <w:r w:rsidRPr="00A25913">
        <w:rPr>
          <w:i/>
        </w:rPr>
        <w:t>školy</w:t>
      </w:r>
      <w:r w:rsidRPr="00A25913">
        <w:t>)</w:t>
      </w:r>
      <w:r>
        <w:t xml:space="preserve"> en nouvelles écoles spéciales (</w:t>
      </w:r>
      <w:r w:rsidRPr="00C70C72">
        <w:rPr>
          <w:i/>
        </w:rPr>
        <w:t>zvláštní školy</w:t>
      </w:r>
      <w:r>
        <w:t>)</w:t>
      </w:r>
      <w:r w:rsidRPr="00A25913">
        <w:t xml:space="preserve">. Les résultats indiquent que, par rapport à la situation </w:t>
      </w:r>
      <w:r>
        <w:t xml:space="preserve">qui </w:t>
      </w:r>
      <w:r w:rsidRPr="00A25913">
        <w:t>exista</w:t>
      </w:r>
      <w:r>
        <w:t>i</w:t>
      </w:r>
      <w:r w:rsidRPr="00A25913">
        <w:t xml:space="preserve">t avant le début de la réforme scolaire, environ un tiers des écoles </w:t>
      </w:r>
      <w:r>
        <w:t xml:space="preserve">qui </w:t>
      </w:r>
      <w:r w:rsidRPr="00A25913">
        <w:t>appliqua</w:t>
      </w:r>
      <w:r>
        <w:t>ie</w:t>
      </w:r>
      <w:r w:rsidRPr="00A25913">
        <w:t xml:space="preserve">nt </w:t>
      </w:r>
      <w:r>
        <w:t xml:space="preserve">les directives figurant dans </w:t>
      </w:r>
      <w:r w:rsidRPr="00A25913">
        <w:t>l</w:t>
      </w:r>
      <w:r>
        <w:t>’A</w:t>
      </w:r>
      <w:r w:rsidRPr="00A25913">
        <w:t xml:space="preserve">nnexe </w:t>
      </w:r>
      <w:r>
        <w:t>du</w:t>
      </w:r>
      <w:r w:rsidRPr="00A25913">
        <w:t xml:space="preserve"> programme-cadre </w:t>
      </w:r>
      <w:r>
        <w:t>d’enseignement</w:t>
      </w:r>
      <w:r w:rsidRPr="00A25913">
        <w:t xml:space="preserve"> </w:t>
      </w:r>
      <w:r>
        <w:t>pour l’enseignement p</w:t>
      </w:r>
      <w:r w:rsidRPr="00A25913">
        <w:t xml:space="preserve">rimaire des enfants présentant un handicap léger avaient constaté un changement progressif </w:t>
      </w:r>
      <w:r>
        <w:t xml:space="preserve">d’attitude du </w:t>
      </w:r>
      <w:r w:rsidRPr="00A25913">
        <w:t>groupe cible à l</w:t>
      </w:r>
      <w:r>
        <w:t>’</w:t>
      </w:r>
      <w:r w:rsidRPr="00A25913">
        <w:t xml:space="preserve">égard des enfants atteints de handicaps plus lourds. </w:t>
      </w:r>
    </w:p>
    <w:p w:rsidR="00281669" w:rsidRPr="00A25913" w:rsidRDefault="00281669" w:rsidP="00281669">
      <w:pPr>
        <w:pStyle w:val="SingleTxtG"/>
      </w:pPr>
      <w:r w:rsidRPr="00A25913">
        <w:t>88.</w:t>
      </w:r>
      <w:r w:rsidRPr="00A25913">
        <w:tab/>
        <w:t>Depuis 1998, le Ministère de l</w:t>
      </w:r>
      <w:r>
        <w:t>’</w:t>
      </w:r>
      <w:r w:rsidRPr="00A25913">
        <w:t xml:space="preserve">éducation, de la jeunesse et des sports fournit des crédits pour les </w:t>
      </w:r>
      <w:r>
        <w:t>assistants</w:t>
      </w:r>
      <w:r w:rsidRPr="00A25913">
        <w:t xml:space="preserve"> d</w:t>
      </w:r>
      <w:r>
        <w:t>’</w:t>
      </w:r>
      <w:r w:rsidRPr="00A25913">
        <w:t xml:space="preserve">enseignement. Les </w:t>
      </w:r>
      <w:r>
        <w:t>assistants</w:t>
      </w:r>
      <w:r w:rsidRPr="00A25913">
        <w:t xml:space="preserve"> d</w:t>
      </w:r>
      <w:r>
        <w:t>’</w:t>
      </w:r>
      <w:r w:rsidRPr="00A25913">
        <w:t xml:space="preserve">enseignement </w:t>
      </w:r>
      <w:r>
        <w:t xml:space="preserve">chargés des </w:t>
      </w:r>
      <w:r w:rsidRPr="00A25913">
        <w:t xml:space="preserve">enfants issus de milieux socialement défavorisés </w:t>
      </w:r>
      <w:r>
        <w:t>travaillent</w:t>
      </w:r>
      <w:r w:rsidRPr="00A25913">
        <w:t xml:space="preserve"> essentiellement dans les écoles primaires, bien qu</w:t>
      </w:r>
      <w:r>
        <w:t>e l’</w:t>
      </w:r>
      <w:r w:rsidRPr="00A25913">
        <w:t>on en compte également quelques-uns dans les crèches et établissements secondaires, y compris dans des écoles p</w:t>
      </w:r>
      <w:r>
        <w:t>rivées et confessionnelles (304 </w:t>
      </w:r>
      <w:r w:rsidRPr="00A25913">
        <w:t xml:space="preserve">écoles en 2009). Ces dernières années, le nombre </w:t>
      </w:r>
      <w:r>
        <w:t>des auxiliaires</w:t>
      </w:r>
      <w:r w:rsidRPr="00A25913">
        <w:t xml:space="preserve"> a augmenté, </w:t>
      </w:r>
      <w:r>
        <w:t>probablement</w:t>
      </w:r>
      <w:r w:rsidRPr="00A25913">
        <w:t xml:space="preserve"> parce que les écoles se sont rendu compte qu</w:t>
      </w:r>
      <w:r>
        <w:t>’</w:t>
      </w:r>
      <w:r w:rsidRPr="00A25913">
        <w:t xml:space="preserve">ils fournissaient une aide </w:t>
      </w:r>
      <w:r>
        <w:t>substantielle</w:t>
      </w:r>
      <w:r w:rsidRPr="00A25913">
        <w:t xml:space="preserve"> aux enseignants et que leur présence était </w:t>
      </w:r>
      <w:r>
        <w:t>inestimable</w:t>
      </w:r>
      <w:r w:rsidRPr="00A25913">
        <w:t xml:space="preserve"> dans des classes ou écoles comportant de nombreux enfants issus d</w:t>
      </w:r>
      <w:r>
        <w:t xml:space="preserve">’un milieu </w:t>
      </w:r>
      <w:r w:rsidRPr="00A25913">
        <w:t>socialement</w:t>
      </w:r>
      <w:r>
        <w:t xml:space="preserve"> </w:t>
      </w:r>
      <w:r w:rsidRPr="00A25913">
        <w:t>défavorisé.</w:t>
      </w:r>
    </w:p>
    <w:p w:rsidR="00281669" w:rsidRPr="00A25913" w:rsidRDefault="00281669" w:rsidP="00281669">
      <w:pPr>
        <w:pStyle w:val="SingleTxtG"/>
      </w:pPr>
      <w:r w:rsidRPr="00A25913">
        <w:t>89.</w:t>
      </w:r>
      <w:r w:rsidRPr="00A25913">
        <w:tab/>
        <w:t>Les écoles se sont aperçu</w:t>
      </w:r>
      <w:r>
        <w:t>es</w:t>
      </w:r>
      <w:r w:rsidRPr="00A25913">
        <w:t xml:space="preserve"> que les </w:t>
      </w:r>
      <w:r>
        <w:t>assistants</w:t>
      </w:r>
      <w:r w:rsidRPr="00A25913">
        <w:t xml:space="preserve"> d</w:t>
      </w:r>
      <w:r>
        <w:t>’</w:t>
      </w:r>
      <w:r w:rsidRPr="00A25913">
        <w:t xml:space="preserve">enseignement contribuaient </w:t>
      </w:r>
      <w:r>
        <w:t xml:space="preserve">fortement </w:t>
      </w:r>
      <w:r w:rsidRPr="00A25913">
        <w:t>à une baisse de l</w:t>
      </w:r>
      <w:r>
        <w:t>’</w:t>
      </w:r>
      <w:r w:rsidRPr="00A25913">
        <w:t xml:space="preserve">absentéisme, </w:t>
      </w:r>
      <w:r>
        <w:t xml:space="preserve">facilitaient </w:t>
      </w:r>
      <w:r w:rsidRPr="00A25913">
        <w:t xml:space="preserve">la communication entre les écoles et les familles, aidaient les élèves à utiliser le matériel </w:t>
      </w:r>
      <w:r>
        <w:t>didactique</w:t>
      </w:r>
      <w:r w:rsidRPr="00A25913">
        <w:t xml:space="preserve"> et, souvent, à </w:t>
      </w:r>
      <w:r>
        <w:t>préparer leurs cours</w:t>
      </w:r>
      <w:r w:rsidRPr="00A25913">
        <w:t xml:space="preserve">. Par conséquent, après plusieurs années </w:t>
      </w:r>
      <w:r>
        <w:t xml:space="preserve">d’expérimentation, </w:t>
      </w:r>
      <w:r w:rsidRPr="00A25913">
        <w:t>le rôle de l</w:t>
      </w:r>
      <w:r>
        <w:t>’</w:t>
      </w:r>
      <w:r w:rsidRPr="00A25913">
        <w:t>a</w:t>
      </w:r>
      <w:r>
        <w:t>ssistant d’</w:t>
      </w:r>
      <w:r w:rsidRPr="00A25913">
        <w:t xml:space="preserve">enseignement </w:t>
      </w:r>
      <w:r>
        <w:t>s’</w:t>
      </w:r>
      <w:r w:rsidRPr="00A25913">
        <w:t>est fermement ancré dans le système éducatif de la République tchèque. Il s</w:t>
      </w:r>
      <w:r>
        <w:t>’</w:t>
      </w:r>
      <w:r w:rsidRPr="00A25913">
        <w:t xml:space="preserve">inscrit dans un ensemble de mesures </w:t>
      </w:r>
      <w:r>
        <w:t>volontaristes</w:t>
      </w:r>
      <w:r w:rsidRPr="00A25913">
        <w:t xml:space="preserve"> systém</w:t>
      </w:r>
      <w:r>
        <w:t>i</w:t>
      </w:r>
      <w:r w:rsidRPr="00A25913">
        <w:t xml:space="preserve">ques visant à fournir une aide efficace et </w:t>
      </w:r>
      <w:r>
        <w:t>concrète</w:t>
      </w:r>
      <w:r w:rsidRPr="00A25913">
        <w:t xml:space="preserve">, </w:t>
      </w:r>
      <w:r>
        <w:t>en cas de besoin, a</w:t>
      </w:r>
      <w:r w:rsidRPr="00A25913">
        <w:t>ux enfants, élèves et étudiants socialement dé</w:t>
      </w:r>
      <w:r>
        <w:t xml:space="preserve">favorisés ou issus </w:t>
      </w:r>
      <w:r w:rsidRPr="00A25913">
        <w:t>d</w:t>
      </w:r>
      <w:r>
        <w:t>’</w:t>
      </w:r>
      <w:r w:rsidRPr="00A25913">
        <w:t xml:space="preserve">un </w:t>
      </w:r>
      <w:r>
        <w:t xml:space="preserve">milieu </w:t>
      </w:r>
      <w:r w:rsidRPr="00A25913">
        <w:t>social et culturel différent, pour leur permettre de réussir dans l</w:t>
      </w:r>
      <w:r>
        <w:t>’</w:t>
      </w:r>
      <w:r w:rsidRPr="00A25913">
        <w:t xml:space="preserve">enseignement </w:t>
      </w:r>
      <w:r>
        <w:t>ordinaire</w:t>
      </w:r>
      <w:r w:rsidRPr="00A25913">
        <w:t xml:space="preserve">. </w:t>
      </w:r>
    </w:p>
    <w:p w:rsidR="00281669" w:rsidRPr="004342E2" w:rsidRDefault="00281669" w:rsidP="00281669">
      <w:pPr>
        <w:pStyle w:val="SingleTxtG"/>
      </w:pPr>
      <w:r w:rsidRPr="00A25913">
        <w:t>90.</w:t>
      </w:r>
      <w:r w:rsidRPr="00A25913">
        <w:tab/>
        <w:t xml:space="preserve">En </w:t>
      </w:r>
      <w:r>
        <w:t>vertu</w:t>
      </w:r>
      <w:r w:rsidRPr="00A25913">
        <w:t xml:space="preserve"> de la loi sur l</w:t>
      </w:r>
      <w:r>
        <w:t>’</w:t>
      </w:r>
      <w:r w:rsidRPr="00A25913">
        <w:t>école, les municipalités, associations de municipalités ou provinces peuvent ouvrir des classes préparatoires à l</w:t>
      </w:r>
      <w:r>
        <w:t>’</w:t>
      </w:r>
      <w:r w:rsidRPr="00A25913">
        <w:t xml:space="preserve">école primaire pour les enfants socialement </w:t>
      </w:r>
      <w:r>
        <w:t>défavorisés</w:t>
      </w:r>
      <w:r w:rsidRPr="00A25913">
        <w:t xml:space="preserve"> dans l</w:t>
      </w:r>
      <w:r>
        <w:t>’</w:t>
      </w:r>
      <w:r w:rsidRPr="00A25913">
        <w:t xml:space="preserve">année précédant le début de </w:t>
      </w:r>
      <w:r>
        <w:t>la scolarité</w:t>
      </w:r>
      <w:r w:rsidRPr="00A25913">
        <w:t xml:space="preserve"> obligatoire, si elles estiment que la fréquentation d</w:t>
      </w:r>
      <w:r>
        <w:t>’</w:t>
      </w:r>
      <w:r w:rsidRPr="00A25913">
        <w:t xml:space="preserve">une classe préparatoire les aidera à se mettre à niveau. Une classe préparatoire peut être ouverte pour un minimum de sept enfants et </w:t>
      </w:r>
      <w:r>
        <w:t xml:space="preserve">en </w:t>
      </w:r>
      <w:r w:rsidRPr="00A25913">
        <w:t xml:space="preserve">accueillir </w:t>
      </w:r>
      <w:r>
        <w:t>15 au maximum</w:t>
      </w:r>
      <w:r w:rsidRPr="00A25913">
        <w:t>. C</w:t>
      </w:r>
      <w:r>
        <w:t>’</w:t>
      </w:r>
      <w:r w:rsidRPr="00A25913">
        <w:t>est le directeur qui décide d</w:t>
      </w:r>
      <w:r>
        <w:t>’</w:t>
      </w:r>
      <w:r w:rsidRPr="00A25913">
        <w:t>inscrire un enfant dans une classe préparatoire</w:t>
      </w:r>
      <w:r>
        <w:t>,</w:t>
      </w:r>
      <w:r w:rsidRPr="00A25913">
        <w:t xml:space="preserve"> à la demande de</w:t>
      </w:r>
      <w:r>
        <w:t xml:space="preserve"> se</w:t>
      </w:r>
      <w:r w:rsidRPr="00A25913">
        <w:t>s parents et</w:t>
      </w:r>
      <w:r>
        <w:t xml:space="preserve"> après consultation</w:t>
      </w:r>
      <w:r w:rsidRPr="00A25913">
        <w:t xml:space="preserve"> des conseillers de l</w:t>
      </w:r>
      <w:r>
        <w:t>’</w:t>
      </w:r>
      <w:r w:rsidRPr="00A25913">
        <w:t>école. D</w:t>
      </w:r>
      <w:r>
        <w:t>’</w:t>
      </w:r>
      <w:r w:rsidRPr="00A25913">
        <w:t xml:space="preserve">après les statistiques, 146 écoles ont ouvert 166 </w:t>
      </w:r>
      <w:r>
        <w:t>classes</w:t>
      </w:r>
      <w:r w:rsidRPr="00A25913">
        <w:t xml:space="preserve"> préparatoires </w:t>
      </w:r>
      <w:r>
        <w:t xml:space="preserve">à l’école </w:t>
      </w:r>
      <w:r w:rsidRPr="00A25913">
        <w:t xml:space="preserve">primaire </w:t>
      </w:r>
      <w:r>
        <w:t xml:space="preserve">au cours de l’année scolaire 2008/09, </w:t>
      </w:r>
      <w:r w:rsidRPr="00A25913">
        <w:t xml:space="preserve">soit </w:t>
      </w:r>
      <w:r>
        <w:t>d</w:t>
      </w:r>
      <w:r w:rsidRPr="00A25913">
        <w:t xml:space="preserve">eux </w:t>
      </w:r>
      <w:r>
        <w:t>de plus (164) que</w:t>
      </w:r>
      <w:r w:rsidRPr="00A25913">
        <w:t xml:space="preserve"> l</w:t>
      </w:r>
      <w:r>
        <w:t>’</w:t>
      </w:r>
      <w:r w:rsidRPr="00A25913">
        <w:t>année précédente</w:t>
      </w:r>
      <w:r>
        <w:t>. Sur ces 166 classes, 106</w:t>
      </w:r>
      <w:r w:rsidRPr="00A25913">
        <w:t xml:space="preserve"> ont été ouvertes dans des écoles </w:t>
      </w:r>
      <w:r>
        <w:t>ordinaires</w:t>
      </w:r>
      <w:r w:rsidRPr="00A25913">
        <w:t xml:space="preserve"> et 40 dans des écoles primaires pour </w:t>
      </w:r>
      <w:r>
        <w:t xml:space="preserve">accueillir </w:t>
      </w:r>
      <w:r w:rsidRPr="00A25913">
        <w:t>des enfants ayant des besoins éducatifs spéciaux.</w:t>
      </w:r>
    </w:p>
    <w:p w:rsidR="00C62601" w:rsidRPr="00626454" w:rsidRDefault="00C62601" w:rsidP="00C62601">
      <w:pPr>
        <w:pStyle w:val="SingleTxtG"/>
      </w:pPr>
      <w:r w:rsidRPr="00626454">
        <w:t>91.</w:t>
      </w:r>
      <w:r w:rsidRPr="00626454">
        <w:tab/>
        <w:t>Entre septembre 2008 et mars 2009, le Ministère de l’éducation, de la jeunesse et des sports a réalisé deux études sur des écoles primaires s</w:t>
      </w:r>
      <w:r>
        <w:t>ituées</w:t>
      </w:r>
      <w:r w:rsidRPr="00626454">
        <w:t xml:space="preserve"> à proximité d</w:t>
      </w:r>
      <w:r>
        <w:t>e localités socialement exclues</w:t>
      </w:r>
      <w:r w:rsidRPr="00626454">
        <w:t xml:space="preserve">. Les résultats et principales conclusions </w:t>
      </w:r>
      <w:r>
        <w:t>portent</w:t>
      </w:r>
      <w:r w:rsidRPr="00626454">
        <w:t xml:space="preserve"> spécifique</w:t>
      </w:r>
      <w:r>
        <w:t>ment</w:t>
      </w:r>
      <w:r w:rsidRPr="00626454">
        <w:t xml:space="preserve"> </w:t>
      </w:r>
      <w:r>
        <w:t>sur d</w:t>
      </w:r>
      <w:r w:rsidRPr="00626454">
        <w:t xml:space="preserve">es écoles </w:t>
      </w:r>
      <w:r>
        <w:t xml:space="preserve">situées </w:t>
      </w:r>
      <w:r w:rsidRPr="00626454">
        <w:t xml:space="preserve">dans </w:t>
      </w:r>
      <w:r>
        <w:t>c</w:t>
      </w:r>
      <w:r w:rsidRPr="00626454">
        <w:t xml:space="preserve">es localités </w:t>
      </w:r>
      <w:r>
        <w:t>et leurs</w:t>
      </w:r>
      <w:r w:rsidRPr="00626454">
        <w:t xml:space="preserve"> environs et ne peuvent être généralisés à l’ensemble de la République tchèque. </w:t>
      </w:r>
      <w:r>
        <w:t>Par ailleurs</w:t>
      </w:r>
      <w:r w:rsidRPr="00626454">
        <w:t xml:space="preserve">, la population des localités étudiées se situe entre 60 </w:t>
      </w:r>
      <w:r>
        <w:t xml:space="preserve">000 </w:t>
      </w:r>
      <w:r w:rsidRPr="00626454">
        <w:t xml:space="preserve">et 80 000 habitants, soit environ un tiers de l’ensemble des Roms </w:t>
      </w:r>
      <w:r>
        <w:t xml:space="preserve">qui </w:t>
      </w:r>
      <w:r w:rsidRPr="00626454">
        <w:t>viv</w:t>
      </w:r>
      <w:r>
        <w:t>r</w:t>
      </w:r>
      <w:r w:rsidRPr="00626454">
        <w:t>a</w:t>
      </w:r>
      <w:r>
        <w:t>ie</w:t>
      </w:r>
      <w:r w:rsidRPr="00626454">
        <w:t>nt en République tchèque. L</w:t>
      </w:r>
      <w:r>
        <w:t>’étude révèle</w:t>
      </w:r>
      <w:r w:rsidRPr="00626454">
        <w:t xml:space="preserve"> que le </w:t>
      </w:r>
      <w:r>
        <w:t>niveau</w:t>
      </w:r>
      <w:r w:rsidRPr="00626454">
        <w:t xml:space="preserve"> de préparation et </w:t>
      </w:r>
      <w:r>
        <w:t xml:space="preserve">la façon d’appréhender les </w:t>
      </w:r>
      <w:r w:rsidRPr="00626454">
        <w:t xml:space="preserve">besoins d’apprentissage des élèves ayant des besoins éducatifs spéciaux varient considérablement d’une école à l’autre dans les écoles traditionnelles </w:t>
      </w:r>
      <w:r>
        <w:t>qui</w:t>
      </w:r>
      <w:r w:rsidRPr="00626454">
        <w:t xml:space="preserve"> ont fait l’objet de l’étude. Un tiers des écoles offre de très bonnes conditions d’intégration à de nombreux enfants ayant des besoins éducatifs spéciaux </w:t>
      </w:r>
      <w:r>
        <w:t>(elles disposent d’un personnel adapté</w:t>
      </w:r>
      <w:r w:rsidRPr="00626454">
        <w:t xml:space="preserve">, </w:t>
      </w:r>
      <w:r>
        <w:t xml:space="preserve">un </w:t>
      </w:r>
      <w:r w:rsidRPr="00626454">
        <w:t>éducateur spécial</w:t>
      </w:r>
      <w:r>
        <w:t>isé</w:t>
      </w:r>
      <w:r w:rsidRPr="00626454">
        <w:t xml:space="preserve"> par école, </w:t>
      </w:r>
      <w:r>
        <w:t>sont expérimentées</w:t>
      </w:r>
      <w:r w:rsidRPr="00626454">
        <w:t xml:space="preserve"> en matière d’intégration des enfants ayant des besoins éducatifs spéciaux, </w:t>
      </w:r>
      <w:r>
        <w:t xml:space="preserve">ont des </w:t>
      </w:r>
      <w:r w:rsidRPr="00626454">
        <w:t xml:space="preserve">installations adaptées, </w:t>
      </w:r>
      <w:r>
        <w:t xml:space="preserve">leur </w:t>
      </w:r>
      <w:r w:rsidRPr="00626454">
        <w:t>programme d’étude</w:t>
      </w:r>
      <w:r>
        <w:t>s corresponde</w:t>
      </w:r>
      <w:r w:rsidRPr="00626454">
        <w:t>nt aux besoins d</w:t>
      </w:r>
      <w:r>
        <w:t>u groupe cible</w:t>
      </w:r>
      <w:r w:rsidRPr="00626454">
        <w:t>, etc.). En revanche, un qu</w:t>
      </w:r>
      <w:r>
        <w:t>art des écoles environ n’offre pas ces conditions et n’a</w:t>
      </w:r>
      <w:r w:rsidRPr="00626454">
        <w:t xml:space="preserve"> ni les capacités ni les ressources de le faire (par exemple </w:t>
      </w:r>
      <w:r>
        <w:t xml:space="preserve">l’architecture des locaux ne facilite pas </w:t>
      </w:r>
      <w:r w:rsidRPr="00626454">
        <w:t>l’intégration d</w:t>
      </w:r>
      <w:r>
        <w:t xml:space="preserve">es </w:t>
      </w:r>
      <w:r w:rsidRPr="00626454">
        <w:t xml:space="preserve">enfants lourdement handicapés ou malvoyants, </w:t>
      </w:r>
      <w:r>
        <w:t xml:space="preserve">les capacités et la disponibilité du </w:t>
      </w:r>
      <w:r w:rsidRPr="00626454">
        <w:t xml:space="preserve">personnel </w:t>
      </w:r>
      <w:r>
        <w:t>ne sont pas adaptées, le matériel est insuffisant</w:t>
      </w:r>
      <w:r w:rsidRPr="00626454">
        <w:t xml:space="preserve">, etc.). Ces écoles ne peuvent intégrer que très peu de catégories d’enfants </w:t>
      </w:r>
      <w:r>
        <w:t xml:space="preserve">ayant </w:t>
      </w:r>
      <w:r w:rsidRPr="00626454">
        <w:t xml:space="preserve">des besoins éducatifs spéciaux et sont par conséquent </w:t>
      </w:r>
      <w:r>
        <w:t xml:space="preserve">favorables à </w:t>
      </w:r>
      <w:r w:rsidRPr="00626454">
        <w:t xml:space="preserve">une </w:t>
      </w:r>
      <w:r>
        <w:t xml:space="preserve">sorte de </w:t>
      </w:r>
      <w:r w:rsidRPr="00626454">
        <w:t>ségrégation. Les autres écoles de l’échantillon se situent entre ces deux extrêmes.</w:t>
      </w:r>
    </w:p>
    <w:p w:rsidR="00C62601" w:rsidRPr="00626454" w:rsidRDefault="00C62601" w:rsidP="00C62601">
      <w:pPr>
        <w:pStyle w:val="SingleTxtG"/>
      </w:pPr>
      <w:r w:rsidRPr="00626454">
        <w:t>92.</w:t>
      </w:r>
      <w:r w:rsidRPr="00626454">
        <w:tab/>
      </w:r>
      <w:r>
        <w:t>L</w:t>
      </w:r>
      <w:r w:rsidRPr="00626454">
        <w:t>es enfants roms ayant fréquenté l</w:t>
      </w:r>
      <w:r>
        <w:t>’école maternelle</w:t>
      </w:r>
      <w:r w:rsidRPr="00626454">
        <w:t xml:space="preserve"> ont </w:t>
      </w:r>
      <w:r>
        <w:t>manifestement</w:t>
      </w:r>
      <w:r w:rsidRPr="00626454">
        <w:t xml:space="preserve"> plus de succès dans leur </w:t>
      </w:r>
      <w:r>
        <w:t xml:space="preserve">«carrière </w:t>
      </w:r>
      <w:r w:rsidRPr="00626454">
        <w:t>scolaire</w:t>
      </w:r>
      <w:r>
        <w:t>»</w:t>
      </w:r>
      <w:r w:rsidRPr="00626454">
        <w:t xml:space="preserve">. Cependant, le fait que </w:t>
      </w:r>
      <w:r>
        <w:t>peu</w:t>
      </w:r>
      <w:r w:rsidRPr="00626454">
        <w:t xml:space="preserve"> d’enfants roms (environ les deux cinquièmes) fréquent</w:t>
      </w:r>
      <w:r>
        <w:t>ent</w:t>
      </w:r>
      <w:r w:rsidRPr="00626454">
        <w:t xml:space="preserve"> les écoles maternelles </w:t>
      </w:r>
      <w:r>
        <w:t>pose</w:t>
      </w:r>
      <w:r w:rsidRPr="00626454">
        <w:t xml:space="preserve"> un problème </w:t>
      </w:r>
      <w:r>
        <w:t>persistant</w:t>
      </w:r>
      <w:r w:rsidRPr="00626454">
        <w:t xml:space="preserve">. L’influence des classes préparatoires sur l’amélioration des chances en matière d’éducation n’est pas aussi forte que celle des écoles maternelles, et ses bienfaits ne se font sentir qu’au début </w:t>
      </w:r>
      <w:r>
        <w:t>de la scolarité</w:t>
      </w:r>
      <w:r w:rsidRPr="00626454">
        <w:t xml:space="preserve"> obligatoire. Les enfants qui ont suivi l’année préparatoire rattrapent progressivement le</w:t>
      </w:r>
      <w:r>
        <w:t>ur</w:t>
      </w:r>
      <w:r w:rsidRPr="00626454">
        <w:t xml:space="preserve"> retard sur leurs pairs. Les écoles maternelles et les classes préparatoires </w:t>
      </w:r>
      <w:r>
        <w:t xml:space="preserve">à l’école obligatoire des localités marginalisées faisant l’objet de l’enquête </w:t>
      </w:r>
      <w:r w:rsidRPr="00626454">
        <w:t>sont fréquentées par environ 48 % des enfants roms.</w:t>
      </w:r>
    </w:p>
    <w:p w:rsidR="00C62601" w:rsidRPr="00626454" w:rsidRDefault="00C62601" w:rsidP="00C62601">
      <w:pPr>
        <w:pStyle w:val="SingleTxtG"/>
      </w:pPr>
      <w:r w:rsidRPr="00626454">
        <w:t>93.</w:t>
      </w:r>
      <w:r w:rsidRPr="00626454">
        <w:tab/>
        <w:t xml:space="preserve">En 2008, le Ministère de l’éducation, de la jeunesse et des sports a annoncé un programme de développement pour aider les écoles offrant </w:t>
      </w:r>
      <w:r>
        <w:t xml:space="preserve">un enseignement d’intégration </w:t>
      </w:r>
      <w:r w:rsidRPr="00626454">
        <w:t xml:space="preserve">et un enseignement </w:t>
      </w:r>
      <w:r>
        <w:t xml:space="preserve">adapté </w:t>
      </w:r>
      <w:r w:rsidRPr="00626454">
        <w:t>aux enfants et aux élèves issus de milieux socioculturel</w:t>
      </w:r>
      <w:r>
        <w:t>s défavorisés</w:t>
      </w:r>
      <w:r w:rsidRPr="00626454">
        <w:t xml:space="preserve">. Le groupe cible </w:t>
      </w:r>
      <w:r>
        <w:t xml:space="preserve">était celui des </w:t>
      </w:r>
      <w:r w:rsidRPr="00626454">
        <w:t>écoles qui mett</w:t>
      </w:r>
      <w:r>
        <w:t>ai</w:t>
      </w:r>
      <w:r w:rsidRPr="00626454">
        <w:t xml:space="preserve">ent manifestement en œuvre des mesures de soutien </w:t>
      </w:r>
      <w:r>
        <w:t xml:space="preserve">aux </w:t>
      </w:r>
      <w:r w:rsidRPr="00626454">
        <w:t xml:space="preserve">élèves </w:t>
      </w:r>
      <w:r>
        <w:t xml:space="preserve">issus </w:t>
      </w:r>
      <w:r w:rsidRPr="00626454">
        <w:t>de milieux socialement</w:t>
      </w:r>
      <w:r>
        <w:t xml:space="preserve"> défavorisés</w:t>
      </w:r>
      <w:r w:rsidRPr="00626454">
        <w:t>. Ces mesures sont les suivantes: classes préparatoires</w:t>
      </w:r>
      <w:r>
        <w:t>,</w:t>
      </w:r>
      <w:r w:rsidRPr="00626454">
        <w:t xml:space="preserve"> </w:t>
      </w:r>
      <w:r>
        <w:t>assistants</w:t>
      </w:r>
      <w:r w:rsidRPr="00626454">
        <w:t xml:space="preserve"> d’enseignement pour les enfants socialement dé</w:t>
      </w:r>
      <w:r>
        <w:t>favorisés,</w:t>
      </w:r>
      <w:r w:rsidRPr="00626454">
        <w:t xml:space="preserve"> mesures permettant aux enfants socialement dé</w:t>
      </w:r>
      <w:r>
        <w:t>favorisés</w:t>
      </w:r>
      <w:r w:rsidRPr="00626454">
        <w:t xml:space="preserve"> de préparer leurs </w:t>
      </w:r>
      <w:r>
        <w:t>leçons</w:t>
      </w:r>
      <w:r w:rsidRPr="00626454">
        <w:t xml:space="preserve"> (soutien individuel des professeurs, utilisation des locaux de l’école pour la préparation préscolaire en dehors des heures de classe)</w:t>
      </w:r>
      <w:r>
        <w:t>, un</w:t>
      </w:r>
      <w:r w:rsidRPr="00626454">
        <w:t xml:space="preserve"> </w:t>
      </w:r>
      <w:r>
        <w:t xml:space="preserve">ensemble </w:t>
      </w:r>
      <w:r w:rsidRPr="00626454">
        <w:t>d’activités de loisirs spécifiques</w:t>
      </w:r>
      <w:r>
        <w:t>,</w:t>
      </w:r>
      <w:r w:rsidRPr="00626454">
        <w:t xml:space="preserve"> la «réinsertion</w:t>
      </w:r>
      <w:r>
        <w:t>»</w:t>
      </w:r>
      <w:r w:rsidRPr="00626454">
        <w:t xml:space="preserve"> d’élèves </w:t>
      </w:r>
      <w:r>
        <w:t xml:space="preserve">issus des </w:t>
      </w:r>
      <w:r w:rsidRPr="00626454">
        <w:t>école</w:t>
      </w:r>
      <w:r>
        <w:t>s</w:t>
      </w:r>
      <w:r w:rsidRPr="00626454">
        <w:t xml:space="preserve"> primaire</w:t>
      </w:r>
      <w:r>
        <w:t>s</w:t>
      </w:r>
      <w:r w:rsidRPr="00626454">
        <w:t xml:space="preserve"> pratique</w:t>
      </w:r>
      <w:r>
        <w:t>s</w:t>
      </w:r>
      <w:r w:rsidRPr="00626454">
        <w:t xml:space="preserve"> (</w:t>
      </w:r>
      <w:r w:rsidRPr="00626454">
        <w:rPr>
          <w:i/>
        </w:rPr>
        <w:t>praktické základní školy</w:t>
      </w:r>
      <w:r w:rsidRPr="00626454">
        <w:t xml:space="preserve">) et </w:t>
      </w:r>
      <w:r>
        <w:t>la collaboration</w:t>
      </w:r>
      <w:r w:rsidRPr="00626454">
        <w:t xml:space="preserve"> avec des organisations à but non lucratif et autres entités travaillant activement avec des enfants issus de milieux socialement dé</w:t>
      </w:r>
      <w:r>
        <w:t>favorisés</w:t>
      </w:r>
      <w:r w:rsidRPr="00626454">
        <w:t>.</w:t>
      </w:r>
    </w:p>
    <w:p w:rsidR="00C62601" w:rsidRPr="00626454" w:rsidRDefault="00C62601" w:rsidP="00C62601">
      <w:pPr>
        <w:pStyle w:val="SingleTxtG"/>
      </w:pPr>
      <w:r w:rsidRPr="00626454">
        <w:t>94.</w:t>
      </w:r>
      <w:r w:rsidRPr="00626454">
        <w:tab/>
        <w:t xml:space="preserve">En application du concept pour l’intégration des étrangers, adopté chaque année par résolution gouvernementale, le Gouvernement tchèque soutient les activités menées en faveur de l’intégration des étrangers en République tchèque. En 2008, 13 projets ont reçu des aides </w:t>
      </w:r>
      <w:r>
        <w:t xml:space="preserve">pour un </w:t>
      </w:r>
      <w:r w:rsidRPr="00626454">
        <w:t xml:space="preserve">montant total </w:t>
      </w:r>
      <w:r>
        <w:t>d’</w:t>
      </w:r>
      <w:r w:rsidRPr="00626454">
        <w:t>1,5 million de couronnes tchèques</w:t>
      </w:r>
      <w:r>
        <w:t xml:space="preserve"> environ. En 2009, 31 </w:t>
      </w:r>
      <w:r w:rsidRPr="00626454">
        <w:t>projets ont bénéficié d’aide</w:t>
      </w:r>
      <w:r>
        <w:t>s</w:t>
      </w:r>
      <w:r w:rsidRPr="00626454">
        <w:t xml:space="preserve"> </w:t>
      </w:r>
      <w:r>
        <w:t>atteignant</w:t>
      </w:r>
      <w:r w:rsidRPr="00626454">
        <w:t xml:space="preserve"> un montant total de 4,25 millions </w:t>
      </w:r>
      <w:r>
        <w:t>environ</w:t>
      </w:r>
      <w:r w:rsidRPr="00626454">
        <w:t xml:space="preserve"> au titre de ce programme.</w:t>
      </w:r>
    </w:p>
    <w:p w:rsidR="00C62601" w:rsidRPr="00626454" w:rsidRDefault="00C62601" w:rsidP="00C62601">
      <w:pPr>
        <w:pStyle w:val="SingleTxtG"/>
      </w:pPr>
      <w:r w:rsidRPr="00626454">
        <w:t>95.</w:t>
      </w:r>
      <w:r w:rsidRPr="00626454">
        <w:tab/>
        <w:t xml:space="preserve">Les projets </w:t>
      </w:r>
      <w:r>
        <w:t>assistés</w:t>
      </w:r>
      <w:r w:rsidRPr="00626454">
        <w:t xml:space="preserve"> sont consacrés à l’éducation multiculturelle des enfants et des jeunes</w:t>
      </w:r>
      <w:r>
        <w:t>,</w:t>
      </w:r>
      <w:r w:rsidRPr="00626454">
        <w:t xml:space="preserve"> </w:t>
      </w:r>
      <w:r>
        <w:t>l’</w:t>
      </w:r>
      <w:r w:rsidRPr="00626454">
        <w:t>aide à l’enseignement du tchèque comme langue étrangère</w:t>
      </w:r>
      <w:r>
        <w:t>, la réalisation d’</w:t>
      </w:r>
      <w:r w:rsidRPr="00626454">
        <w:t xml:space="preserve">études sur l’éducation des étrangers migrants et </w:t>
      </w:r>
      <w:r>
        <w:t>l’</w:t>
      </w:r>
      <w:r w:rsidRPr="00626454">
        <w:t>organisation de séminaires pour l</w:t>
      </w:r>
      <w:r>
        <w:t>es</w:t>
      </w:r>
      <w:r w:rsidRPr="00626454">
        <w:t xml:space="preserve"> étrangers. Le Ministère de l’éducation, de la jeunesse et des sports définit les conditions pour </w:t>
      </w:r>
      <w:r>
        <w:t xml:space="preserve">fournir un </w:t>
      </w:r>
      <w:r w:rsidRPr="00626454">
        <w:t xml:space="preserve">enseignement de base </w:t>
      </w:r>
      <w:r>
        <w:t>aux</w:t>
      </w:r>
      <w:r w:rsidRPr="00626454">
        <w:t xml:space="preserve"> mineurs reconnus comme réfugiés, </w:t>
      </w:r>
      <w:r>
        <w:t>aux</w:t>
      </w:r>
      <w:r w:rsidRPr="00626454">
        <w:t xml:space="preserve"> personnes bénéficiant d</w:t>
      </w:r>
      <w:r>
        <w:t>’un</w:t>
      </w:r>
      <w:r w:rsidRPr="00626454">
        <w:t xml:space="preserve">e protection subsidiaire, </w:t>
      </w:r>
      <w:r>
        <w:t xml:space="preserve">aux personnes qui demandent une </w:t>
      </w:r>
      <w:r w:rsidRPr="00626454">
        <w:t xml:space="preserve">protection internationale en République tchèque et </w:t>
      </w:r>
      <w:r>
        <w:t>aux</w:t>
      </w:r>
      <w:r w:rsidRPr="00626454">
        <w:t xml:space="preserve"> enfants d’étrangers placés dans des centres de détention pour étrangers. Le Ministère du travail et des affaires sociales soutient également des cours permettant d’acquérir des connaissances socioculturelles rudimentaires.</w:t>
      </w:r>
    </w:p>
    <w:p w:rsidR="00C62601" w:rsidRPr="00626454" w:rsidRDefault="00C62601" w:rsidP="00C62601">
      <w:pPr>
        <w:pStyle w:val="SingleTxtG"/>
      </w:pPr>
      <w:r w:rsidRPr="00626454">
        <w:t>96.</w:t>
      </w:r>
      <w:r w:rsidRPr="00626454">
        <w:tab/>
      </w:r>
      <w:r>
        <w:t>Un</w:t>
      </w:r>
      <w:r w:rsidRPr="00626454">
        <w:t xml:space="preserve"> groupe </w:t>
      </w:r>
      <w:r>
        <w:t xml:space="preserve">a été </w:t>
      </w:r>
      <w:r w:rsidRPr="00626454">
        <w:t>constitué au Ministère de l’éducation, de la jeunesse et des sports</w:t>
      </w:r>
      <w:r>
        <w:t>,</w:t>
      </w:r>
      <w:r w:rsidRPr="00626454">
        <w:t xml:space="preserve"> chargé des programmes sociaux </w:t>
      </w:r>
      <w:r>
        <w:t>liés à l’</w:t>
      </w:r>
      <w:r w:rsidRPr="00626454">
        <w:t xml:space="preserve">éducation, </w:t>
      </w:r>
      <w:r>
        <w:t>qui met</w:t>
      </w:r>
      <w:r w:rsidRPr="00626454">
        <w:t xml:space="preserve"> l’accent sur les enfants, les élèves et les étudiants présentant des handicaps physiques ou sociaux, </w:t>
      </w:r>
      <w:r>
        <w:t xml:space="preserve">sur </w:t>
      </w:r>
      <w:r w:rsidRPr="00626454">
        <w:t xml:space="preserve">les étrangers, les réfugiés, les minorités, la prévention des </w:t>
      </w:r>
      <w:r>
        <w:t>pathologi</w:t>
      </w:r>
      <w:r w:rsidRPr="00626454">
        <w:t>es</w:t>
      </w:r>
      <w:r>
        <w:t xml:space="preserve"> sociales</w:t>
      </w:r>
      <w:r w:rsidRPr="00626454">
        <w:t xml:space="preserve">, les arts et les questions multiculturelles, etc. En 2008, ce groupe a donné naissance au groupe de travail sur le multiculturalisme et </w:t>
      </w:r>
      <w:r>
        <w:t>l</w:t>
      </w:r>
      <w:r w:rsidRPr="00626454">
        <w:t xml:space="preserve">’éducation des étrangers, </w:t>
      </w:r>
      <w:r>
        <w:t>composé d’</w:t>
      </w:r>
      <w:r w:rsidRPr="00626454">
        <w:t>experts de</w:t>
      </w:r>
      <w:r>
        <w:t xml:space="preserve"> ces questions, de</w:t>
      </w:r>
      <w:r w:rsidRPr="00626454">
        <w:t xml:space="preserve"> représentants d’organisations à but non lucratif et d</w:t>
      </w:r>
      <w:r>
        <w:t>’</w:t>
      </w:r>
      <w:r w:rsidRPr="00626454">
        <w:t xml:space="preserve">organisations </w:t>
      </w:r>
      <w:r>
        <w:t xml:space="preserve">administrées directement par le </w:t>
      </w:r>
      <w:r w:rsidRPr="00626454">
        <w:t>Minist</w:t>
      </w:r>
      <w:r>
        <w:t>è</w:t>
      </w:r>
      <w:r w:rsidRPr="00626454">
        <w:t xml:space="preserve">re de l’éducation, de la jeunesse et des sports, </w:t>
      </w:r>
      <w:r>
        <w:t xml:space="preserve">de </w:t>
      </w:r>
      <w:r w:rsidRPr="00626454">
        <w:t xml:space="preserve">l’Inspection de l’enseignement, </w:t>
      </w:r>
      <w:r>
        <w:t>d</w:t>
      </w:r>
      <w:r w:rsidRPr="00626454">
        <w:t xml:space="preserve">es camps de réfugiés et </w:t>
      </w:r>
      <w:r>
        <w:t>des</w:t>
      </w:r>
      <w:r w:rsidRPr="00626454">
        <w:t xml:space="preserve"> enseignant</w:t>
      </w:r>
      <w:r>
        <w:t>s</w:t>
      </w:r>
      <w:r w:rsidRPr="00626454">
        <w:t xml:space="preserve">. Ce groupe </w:t>
      </w:r>
      <w:r>
        <w:t>s’occupe</w:t>
      </w:r>
      <w:r w:rsidRPr="00626454">
        <w:t xml:space="preserve"> des problèmes multiculturels </w:t>
      </w:r>
      <w:r>
        <w:t>qui se posent</w:t>
      </w:r>
      <w:r w:rsidRPr="00626454">
        <w:t xml:space="preserve"> dans le système éducatif et de l’</w:t>
      </w:r>
      <w:r>
        <w:t>éducation</w:t>
      </w:r>
      <w:r w:rsidRPr="00626454">
        <w:t xml:space="preserve"> des étrangers. </w:t>
      </w:r>
    </w:p>
    <w:p w:rsidR="00C62601" w:rsidRPr="00626454" w:rsidRDefault="00C62601" w:rsidP="00C62601">
      <w:pPr>
        <w:pStyle w:val="SingleTxtG"/>
      </w:pPr>
      <w:r w:rsidRPr="00626454">
        <w:t>97.</w:t>
      </w:r>
      <w:r w:rsidRPr="00626454">
        <w:tab/>
        <w:t xml:space="preserve">Le Ministère de l’éducation, de la jeunesse et des sports gère également un programme de subventions </w:t>
      </w:r>
      <w:r>
        <w:t>à</w:t>
      </w:r>
      <w:r w:rsidRPr="00626454">
        <w:t xml:space="preserve"> l’</w:t>
      </w:r>
      <w:r>
        <w:t>enseignement</w:t>
      </w:r>
      <w:r w:rsidRPr="00626454">
        <w:t xml:space="preserve"> dans les langues des minorités nationales et </w:t>
      </w:r>
      <w:r>
        <w:t>à</w:t>
      </w:r>
      <w:r w:rsidRPr="00626454">
        <w:t xml:space="preserve"> l’éducation multiculturelle</w:t>
      </w:r>
      <w:r>
        <w:rPr>
          <w:rStyle w:val="FootnoteReference"/>
        </w:rPr>
        <w:footnoteReference w:id="59"/>
      </w:r>
      <w:r w:rsidRPr="00626454">
        <w:t>.</w:t>
      </w:r>
    </w:p>
    <w:p w:rsidR="00C62601" w:rsidRPr="00CD663C" w:rsidRDefault="00C62601" w:rsidP="00C62601">
      <w:pPr>
        <w:pStyle w:val="H23G"/>
      </w:pPr>
      <w:r>
        <w:tab/>
      </w:r>
      <w:r w:rsidRPr="00CD663C">
        <w:t>6.</w:t>
      </w:r>
      <w:r w:rsidRPr="00CD663C">
        <w:tab/>
        <w:t>Droit de prendre part, dans des conditions d’égalité, aux activités culturelles</w:t>
      </w:r>
    </w:p>
    <w:p w:rsidR="00C62601" w:rsidRPr="00CD663C" w:rsidRDefault="00C62601" w:rsidP="00C62601">
      <w:pPr>
        <w:pStyle w:val="SingleTxtG"/>
      </w:pPr>
      <w:r w:rsidRPr="00CD663C">
        <w:t>98.</w:t>
      </w:r>
      <w:r w:rsidRPr="00CD663C">
        <w:tab/>
        <w:t xml:space="preserve">Faire bien connaître </w:t>
      </w:r>
      <w:r>
        <w:t xml:space="preserve">à </w:t>
      </w:r>
      <w:r w:rsidRPr="00CD663C">
        <w:t xml:space="preserve">la population sa propre culture, son histoire et sa situation actuelle, ainsi que celles des nations et ethnies d’autres pays, </w:t>
      </w:r>
      <w:r>
        <w:t>même situés hors d’</w:t>
      </w:r>
      <w:r w:rsidRPr="00CD663C">
        <w:t xml:space="preserve">Europe, fait partie intégrante d’une éducation universelle en faveur de la tolérance religieuse et ethnique. Des musées, galeries et monuments </w:t>
      </w:r>
      <w:r>
        <w:t>ayant une mission</w:t>
      </w:r>
      <w:r w:rsidRPr="00CD663C">
        <w:t xml:space="preserve"> spécifique (Musée de la culture rom, Musée juif, Mémorial de Lidice et Mémorial de Terezín) renforcent ces activités éducatives </w:t>
      </w:r>
      <w:r>
        <w:t>moyennant</w:t>
      </w:r>
      <w:r w:rsidRPr="00CD663C">
        <w:t xml:space="preserve"> d’autres activités d’appui (séminaires, ateliers, </w:t>
      </w:r>
      <w:r>
        <w:t>conférences</w:t>
      </w:r>
      <w:r w:rsidRPr="00CD663C">
        <w:t xml:space="preserve"> et réunions</w:t>
      </w:r>
      <w:r>
        <w:t>)</w:t>
      </w:r>
      <w:r w:rsidRPr="00CD663C">
        <w:t xml:space="preserve"> avec des témoins vivant</w:t>
      </w:r>
      <w:r>
        <w:t>s</w:t>
      </w:r>
      <w:r w:rsidRPr="00CD663C">
        <w:t xml:space="preserve"> d’événements qui non seulement </w:t>
      </w:r>
      <w:r>
        <w:t xml:space="preserve">apportent leur témoignage </w:t>
      </w:r>
      <w:r w:rsidRPr="00CD663C">
        <w:t xml:space="preserve">sur </w:t>
      </w:r>
      <w:r>
        <w:t>d</w:t>
      </w:r>
      <w:r w:rsidRPr="00CD663C">
        <w:t xml:space="preserve">es manifestations de discrimination raciale </w:t>
      </w:r>
      <w:r>
        <w:t xml:space="preserve">qui ont eu lieu </w:t>
      </w:r>
      <w:r w:rsidRPr="00CD663C">
        <w:t>dans un passé proche</w:t>
      </w:r>
      <w:r>
        <w:t>,</w:t>
      </w:r>
      <w:r w:rsidRPr="00CD663C">
        <w:t xml:space="preserve"> mais </w:t>
      </w:r>
      <w:r>
        <w:t xml:space="preserve">les </w:t>
      </w:r>
      <w:r w:rsidRPr="00CD663C">
        <w:t xml:space="preserve">rappellent à la société et l’avertit des dangers qu’elles </w:t>
      </w:r>
      <w:r>
        <w:t>comportent</w:t>
      </w:r>
      <w:r w:rsidRPr="00CD663C">
        <w:t>.</w:t>
      </w:r>
    </w:p>
    <w:p w:rsidR="00C62601" w:rsidRPr="00CD663C" w:rsidRDefault="00C62601" w:rsidP="00C62601">
      <w:pPr>
        <w:pStyle w:val="SingleTxtG"/>
      </w:pPr>
      <w:r w:rsidRPr="00CD663C">
        <w:t>99.</w:t>
      </w:r>
      <w:r w:rsidRPr="00CD663C">
        <w:tab/>
        <w:t>La loi sur la protection des collections des musées</w:t>
      </w:r>
      <w:r>
        <w:rPr>
          <w:rStyle w:val="FootnoteReference"/>
        </w:rPr>
        <w:footnoteReference w:id="60"/>
      </w:r>
      <w:r w:rsidRPr="00CD663C">
        <w:t xml:space="preserve"> garantit l’égalité d’accès à la connaissance et à l’utilisation </w:t>
      </w:r>
      <w:r>
        <w:t>du patrimoine</w:t>
      </w:r>
      <w:r w:rsidRPr="00CD663C">
        <w:t xml:space="preserve"> culturel </w:t>
      </w:r>
      <w:r>
        <w:t>mobile</w:t>
      </w:r>
      <w:r w:rsidRPr="00CD663C">
        <w:t xml:space="preserve">. Le Ministère de la culture </w:t>
      </w:r>
      <w:r>
        <w:t>contribue</w:t>
      </w:r>
      <w:r w:rsidRPr="00CD663C">
        <w:t xml:space="preserve"> aux études et activités </w:t>
      </w:r>
      <w:r>
        <w:t>pédagogiques relatives</w:t>
      </w:r>
      <w:r w:rsidRPr="00CD663C">
        <w:t xml:space="preserve"> à l’Holocauste. Dans tous les documents, études et autres activités sur ce thème, l’holocauste des juifs est mis en parallèle avec l’holocauste des Roms. Ce thème est systématiquement traité par le Mémorial de Terezín (</w:t>
      </w:r>
      <w:r>
        <w:t>institution</w:t>
      </w:r>
      <w:r w:rsidRPr="00CD663C">
        <w:t xml:space="preserve"> créée par le Ministère de la culture et financée en partie sur les deniers publics)</w:t>
      </w:r>
      <w:r>
        <w:t>,</w:t>
      </w:r>
      <w:r w:rsidRPr="00CD663C">
        <w:t xml:space="preserve"> en coopération avec le Musée de la culture rom</w:t>
      </w:r>
      <w:r>
        <w:t>,</w:t>
      </w:r>
      <w:r w:rsidRPr="00CD663C">
        <w:t xml:space="preserve"> à Brno. L’holocauste des Roms </w:t>
      </w:r>
      <w:r>
        <w:t>fait l’objet d’une</w:t>
      </w:r>
      <w:r w:rsidRPr="00CD663C">
        <w:t xml:space="preserve"> exposition </w:t>
      </w:r>
      <w:r>
        <w:t xml:space="preserve">organisée </w:t>
      </w:r>
      <w:r w:rsidRPr="00CD663C">
        <w:t>par le Mémorial de Terezín et d</w:t>
      </w:r>
      <w:r>
        <w:t>’</w:t>
      </w:r>
      <w:r w:rsidRPr="00CD663C">
        <w:t xml:space="preserve">expositions </w:t>
      </w:r>
      <w:r>
        <w:t xml:space="preserve">réalisées </w:t>
      </w:r>
      <w:r w:rsidRPr="00CD663C">
        <w:t xml:space="preserve">par cette </w:t>
      </w:r>
      <w:r>
        <w:t>institution à l’étranger,</w:t>
      </w:r>
      <w:r w:rsidRPr="00CD663C">
        <w:t xml:space="preserve"> dans les anciens camps de concentration </w:t>
      </w:r>
      <w:r>
        <w:t>d’</w:t>
      </w:r>
      <w:r w:rsidRPr="00CD663C">
        <w:t xml:space="preserve">Auschwitz et </w:t>
      </w:r>
      <w:r>
        <w:t>de</w:t>
      </w:r>
      <w:r w:rsidRPr="00CD663C">
        <w:t xml:space="preserve"> Ravensbrück. L’organisation tient des séminaires et des ateliers </w:t>
      </w:r>
      <w:r>
        <w:t>sur cette question à l’intention</w:t>
      </w:r>
      <w:r w:rsidRPr="00CD663C">
        <w:t xml:space="preserve"> des experts et, en collaboration avec le Ministère de l’éducation</w:t>
      </w:r>
      <w:r>
        <w:t>,</w:t>
      </w:r>
      <w:r w:rsidRPr="00CD663C">
        <w:t xml:space="preserve"> </w:t>
      </w:r>
      <w:r>
        <w:t>d</w:t>
      </w:r>
      <w:r w:rsidRPr="00CD663C">
        <w:t>es enseignants, élèves et étudiants. Le 1</w:t>
      </w:r>
      <w:r w:rsidRPr="00CD663C">
        <w:rPr>
          <w:vertAlign w:val="superscript"/>
        </w:rPr>
        <w:t>er</w:t>
      </w:r>
      <w:r w:rsidRPr="00CD663C">
        <w:t xml:space="preserve"> janvier 2010, l’Institut européen de l’héritage de la Shoa a été créé. </w:t>
      </w:r>
    </w:p>
    <w:p w:rsidR="00C62601" w:rsidRPr="00CD663C" w:rsidRDefault="00C62601" w:rsidP="00C62601">
      <w:pPr>
        <w:pStyle w:val="SingleTxtG"/>
      </w:pPr>
      <w:r w:rsidRPr="00CD663C">
        <w:t>100.</w:t>
      </w:r>
      <w:r w:rsidRPr="00CD663C">
        <w:tab/>
        <w:t>Le Gouvernement a décidé</w:t>
      </w:r>
      <w:r>
        <w:rPr>
          <w:rStyle w:val="FootnoteReference"/>
        </w:rPr>
        <w:footnoteReference w:id="61"/>
      </w:r>
      <w:r w:rsidRPr="00CD663C">
        <w:t xml:space="preserve"> de rénover les lieux de </w:t>
      </w:r>
      <w:r>
        <w:t>prières de</w:t>
      </w:r>
      <w:r w:rsidRPr="00CD663C">
        <w:t xml:space="preserve"> Lety u Písku et Hodonín u Kunštátu. Le Mémorial de Lidice, qui est une </w:t>
      </w:r>
      <w:r>
        <w:t>institution</w:t>
      </w:r>
      <w:r w:rsidRPr="00CD663C">
        <w:t xml:space="preserve"> financée en partie par des fonds publics et coordonné</w:t>
      </w:r>
      <w:r>
        <w:t>e</w:t>
      </w:r>
      <w:r w:rsidRPr="00CD663C">
        <w:t xml:space="preserve"> par le Ministère de la culture, sera chargé de la gestion du site de l’holocauste </w:t>
      </w:r>
      <w:r>
        <w:t xml:space="preserve">des </w:t>
      </w:r>
      <w:r w:rsidRPr="00CD663C">
        <w:t>Rom</w:t>
      </w:r>
      <w:r>
        <w:t>s,</w:t>
      </w:r>
      <w:r w:rsidRPr="00CD663C">
        <w:t xml:space="preserve"> à Lety. Le Gouvernement a provisionné 21,5 millions de couronnes tchèques pour la modification du site </w:t>
      </w:r>
      <w:r>
        <w:t>de</w:t>
      </w:r>
      <w:r w:rsidRPr="00CD663C">
        <w:t xml:space="preserve"> Lety u Písku</w:t>
      </w:r>
      <w:r>
        <w:t>,</w:t>
      </w:r>
      <w:r w:rsidRPr="00CD663C">
        <w:t xml:space="preserve"> en 2009, </w:t>
      </w:r>
      <w:r>
        <w:t xml:space="preserve">dont </w:t>
      </w:r>
      <w:r w:rsidRPr="00CD663C">
        <w:t xml:space="preserve">il a confié </w:t>
      </w:r>
      <w:r>
        <w:t xml:space="preserve">la gestion </w:t>
      </w:r>
      <w:r w:rsidRPr="00CD663C">
        <w:t>au Ministère de la culture. Le Ministère de l’éducation, de la jeunesse et des sports a créé un centre de formation et de conférence</w:t>
      </w:r>
      <w:r>
        <w:t>s</w:t>
      </w:r>
      <w:r w:rsidRPr="00CD663C">
        <w:t xml:space="preserve"> à Hodonín u Kunštátu</w:t>
      </w:r>
      <w:r>
        <w:t>,</w:t>
      </w:r>
      <w:r w:rsidRPr="00CD663C">
        <w:t xml:space="preserve"> en collaboration avec le musée de la culture rom de Brno, pour </w:t>
      </w:r>
      <w:r>
        <w:t xml:space="preserve">faire la lumière sur </w:t>
      </w:r>
      <w:r w:rsidRPr="00CD663C">
        <w:t xml:space="preserve">l’holocauste </w:t>
      </w:r>
      <w:r>
        <w:t xml:space="preserve">des </w:t>
      </w:r>
      <w:r w:rsidRPr="00CD663C">
        <w:t>Rom</w:t>
      </w:r>
      <w:r>
        <w:t>s</w:t>
      </w:r>
      <w:r w:rsidRPr="00CD663C">
        <w:t xml:space="preserve"> et l’intolérance raciale en général.</w:t>
      </w:r>
    </w:p>
    <w:p w:rsidR="00C62601" w:rsidRPr="00CD663C" w:rsidRDefault="00C62601" w:rsidP="00C62601">
      <w:pPr>
        <w:pStyle w:val="SingleTxtG"/>
      </w:pPr>
      <w:r w:rsidRPr="00CD663C">
        <w:t>101.</w:t>
      </w:r>
      <w:r w:rsidRPr="00CD663C">
        <w:tab/>
        <w:t xml:space="preserve">Dans les procédures d’octroi de subventions, des crédits sont affectés à des minorités ethniques vivant en République tchèque pour le développement de leur culture et de leurs activités culturelles. Un programme spécial de subventions vise à soutenir l’intégration de la communauté rom. Les projets recevant une aide sont présentés essentiellement par des associations civiques et </w:t>
      </w:r>
      <w:r>
        <w:t>s’adressent à</w:t>
      </w:r>
      <w:r w:rsidRPr="00CD663C">
        <w:t xml:space="preserve"> des citoyens </w:t>
      </w:r>
      <w:r>
        <w:t>tchèques de nationalité</w:t>
      </w:r>
      <w:r w:rsidRPr="00CD663C">
        <w:t xml:space="preserve"> bulgare, croate, hongroise, allemande, polonaise, rom, ruthène</w:t>
      </w:r>
      <w:r>
        <w:t>, russe, grecque, slovaque, serb</w:t>
      </w:r>
      <w:r w:rsidRPr="00CD663C">
        <w:t xml:space="preserve">e et ukrainienne. Il existe également un projet </w:t>
      </w:r>
      <w:r>
        <w:t>axé sur la</w:t>
      </w:r>
      <w:r w:rsidRPr="00CD663C">
        <w:t xml:space="preserve"> culture juive. Dans le </w:t>
      </w:r>
      <w:r>
        <w:t>cadre du programme</w:t>
      </w:r>
      <w:r w:rsidRPr="00CD663C">
        <w:t xml:space="preserve">, des subventions sont également octroyées à des événements culturels multiethniques qui contribuent à une connaissance mutuelle des différentes cultures ethniques, </w:t>
      </w:r>
      <w:r>
        <w:t xml:space="preserve">s’efforçant ainsi </w:t>
      </w:r>
      <w:r w:rsidRPr="00CD663C">
        <w:t>de prévenir la xénophobie.</w:t>
      </w:r>
    </w:p>
    <w:p w:rsidR="00C62601" w:rsidRPr="00CD663C" w:rsidRDefault="00C62601" w:rsidP="00C62601">
      <w:pPr>
        <w:pStyle w:val="SingleTxtG"/>
      </w:pPr>
      <w:r w:rsidRPr="00CD663C">
        <w:t>102.</w:t>
      </w:r>
      <w:r w:rsidRPr="00CD663C">
        <w:tab/>
        <w:t xml:space="preserve">Le soutien à l’intégration de la communauté rom est </w:t>
      </w:r>
      <w:r>
        <w:t xml:space="preserve">considéré comme une question d’une </w:t>
      </w:r>
      <w:r w:rsidRPr="00CD663C">
        <w:t xml:space="preserve">grande importance </w:t>
      </w:r>
      <w:r>
        <w:t xml:space="preserve">pour le </w:t>
      </w:r>
      <w:r w:rsidRPr="00CD663C">
        <w:t xml:space="preserve">développement </w:t>
      </w:r>
      <w:r>
        <w:t>d’une</w:t>
      </w:r>
      <w:r w:rsidRPr="00CD663C">
        <w:t xml:space="preserve"> culture ethnique et l’éducation d’une société multiculturelle, </w:t>
      </w:r>
      <w:r>
        <w:t xml:space="preserve">tendant à </w:t>
      </w:r>
      <w:r w:rsidRPr="00CD663C">
        <w:t xml:space="preserve">éliminer les préjugés et les attitudes racistes et xénophobes. Dans </w:t>
      </w:r>
      <w:r>
        <w:t xml:space="preserve">le cadre du </w:t>
      </w:r>
      <w:r w:rsidRPr="00CD663C">
        <w:t>programme de subventions, le Ministère de la culture soutient des projets thématiques</w:t>
      </w:r>
      <w:r>
        <w:t xml:space="preserve">, par exemple des </w:t>
      </w:r>
      <w:r w:rsidRPr="00CD663C">
        <w:t xml:space="preserve">activités artistiques, culturelles et éducatives, </w:t>
      </w:r>
      <w:r>
        <w:t>l’étude</w:t>
      </w:r>
      <w:r w:rsidRPr="00CD663C">
        <w:t xml:space="preserve"> de la culture et des traditions roms, </w:t>
      </w:r>
      <w:r>
        <w:t>des travaux de documentation et de publication</w:t>
      </w:r>
      <w:r w:rsidRPr="00CD663C">
        <w:t xml:space="preserve"> et </w:t>
      </w:r>
      <w:r>
        <w:t xml:space="preserve">des </w:t>
      </w:r>
      <w:r w:rsidRPr="00CD663C">
        <w:t>manifestations culturelles multiethniques.</w:t>
      </w:r>
    </w:p>
    <w:p w:rsidR="00C62601" w:rsidRPr="00CD663C" w:rsidRDefault="00C62601" w:rsidP="00C62601">
      <w:pPr>
        <w:pStyle w:val="SingleTxtG"/>
      </w:pPr>
      <w:r w:rsidRPr="00CD663C">
        <w:t>103.</w:t>
      </w:r>
      <w:r w:rsidRPr="00CD663C">
        <w:tab/>
        <w:t>Le programme de subventions «</w:t>
      </w:r>
      <w:r>
        <w:t>Pour</w:t>
      </w:r>
      <w:r w:rsidRPr="00CD663C">
        <w:t xml:space="preserve"> la diffusion et la réception d’informations dans les langues de</w:t>
      </w:r>
      <w:r>
        <w:t>s</w:t>
      </w:r>
      <w:r w:rsidRPr="00CD663C">
        <w:t xml:space="preserve"> minorités nationales </w:t>
      </w:r>
      <w:r>
        <w:t>de la</w:t>
      </w:r>
      <w:r w:rsidRPr="00CD663C">
        <w:t xml:space="preserve"> République tchèque» soutient la publication de périodiques dans les langues minoritaires: bulgare, hongrois</w:t>
      </w:r>
      <w:r>
        <w:t>e</w:t>
      </w:r>
      <w:r w:rsidRPr="00CD663C">
        <w:t>, allemand</w:t>
      </w:r>
      <w:r>
        <w:t>e</w:t>
      </w:r>
      <w:r w:rsidRPr="00CD663C">
        <w:t>, polonais</w:t>
      </w:r>
      <w:r>
        <w:t>e</w:t>
      </w:r>
      <w:r w:rsidRPr="00CD663C">
        <w:t>, romani, ruth</w:t>
      </w:r>
      <w:r>
        <w:t>ène</w:t>
      </w:r>
      <w:r w:rsidRPr="00CD663C">
        <w:t>, russe, slovaque, serbe et ukrainien</w:t>
      </w:r>
      <w:r>
        <w:t>ne</w:t>
      </w:r>
      <w:r w:rsidRPr="00CD663C">
        <w:t xml:space="preserve"> </w:t>
      </w:r>
      <w:r>
        <w:t>ainsi qu’un</w:t>
      </w:r>
      <w:r w:rsidRPr="00CD663C">
        <w:t xml:space="preserve"> projet </w:t>
      </w:r>
      <w:r>
        <w:t xml:space="preserve">axé sur la </w:t>
      </w:r>
      <w:r w:rsidRPr="00CD663C">
        <w:t xml:space="preserve">culture juive. Dans </w:t>
      </w:r>
      <w:r>
        <w:t>l</w:t>
      </w:r>
      <w:r w:rsidRPr="00CD663C">
        <w:t>e cadre</w:t>
      </w:r>
      <w:r>
        <w:t xml:space="preserve"> du programme</w:t>
      </w:r>
      <w:r w:rsidRPr="00CD663C">
        <w:t xml:space="preserve">, des subventions sont </w:t>
      </w:r>
      <w:r>
        <w:t>allouées pour</w:t>
      </w:r>
      <w:r w:rsidRPr="00CD663C">
        <w:t xml:space="preserve"> la production de programmes dans ces langues </w:t>
      </w:r>
      <w:r>
        <w:t xml:space="preserve">pour la </w:t>
      </w:r>
      <w:r w:rsidRPr="00CD663C">
        <w:t xml:space="preserve">radio et </w:t>
      </w:r>
      <w:r>
        <w:t xml:space="preserve">la télévision, </w:t>
      </w:r>
      <w:r w:rsidRPr="00CD663C">
        <w:t xml:space="preserve">afin de contribuer à </w:t>
      </w:r>
      <w:r>
        <w:t xml:space="preserve">la découverte </w:t>
      </w:r>
      <w:r w:rsidRPr="00CD663C">
        <w:t>mutuel</w:t>
      </w:r>
      <w:r>
        <w:t>le</w:t>
      </w:r>
      <w:r w:rsidRPr="00CD663C">
        <w:t xml:space="preserve"> de différentes cultures ethniques et </w:t>
      </w:r>
      <w:r>
        <w:t xml:space="preserve">de </w:t>
      </w:r>
      <w:r w:rsidRPr="00CD663C">
        <w:t xml:space="preserve">favoriser la compréhension et une plus grande tolérance entre </w:t>
      </w:r>
      <w:r>
        <w:t xml:space="preserve">les </w:t>
      </w:r>
      <w:r w:rsidRPr="00CD663C">
        <w:t>différents groupes et minorités ethniques.</w:t>
      </w:r>
    </w:p>
    <w:p w:rsidR="00C62601" w:rsidRPr="00CD663C" w:rsidRDefault="00C62601" w:rsidP="00C62601">
      <w:pPr>
        <w:pStyle w:val="SingleTxtG"/>
      </w:pPr>
      <w:r w:rsidRPr="00CD663C">
        <w:t>104.</w:t>
      </w:r>
      <w:r w:rsidRPr="00CD663C">
        <w:tab/>
        <w:t>Le 13 novembre 2007, la Grande Chambre de la Cour européenne des droits de l’homme a estimé, dans l</w:t>
      </w:r>
      <w:r>
        <w:t>’arrêt</w:t>
      </w:r>
      <w:r w:rsidRPr="00CD663C">
        <w:t xml:space="preserve"> n</w:t>
      </w:r>
      <w:r w:rsidRPr="00CD663C">
        <w:rPr>
          <w:vertAlign w:val="superscript"/>
        </w:rPr>
        <w:t>o</w:t>
      </w:r>
      <w:r w:rsidRPr="00CD663C">
        <w:t xml:space="preserve"> 57325/00 (</w:t>
      </w:r>
      <w:r w:rsidRPr="00CD663C">
        <w:rPr>
          <w:i/>
        </w:rPr>
        <w:t>D</w:t>
      </w:r>
      <w:r>
        <w:rPr>
          <w:i/>
        </w:rPr>
        <w:t xml:space="preserve">. </w:t>
      </w:r>
      <w:r w:rsidRPr="00CD663C">
        <w:rPr>
          <w:i/>
        </w:rPr>
        <w:t>H</w:t>
      </w:r>
      <w:r>
        <w:rPr>
          <w:i/>
        </w:rPr>
        <w:t>.</w:t>
      </w:r>
      <w:r w:rsidRPr="00CD663C">
        <w:rPr>
          <w:i/>
        </w:rPr>
        <w:t xml:space="preserve"> et autres</w:t>
      </w:r>
      <w:r w:rsidRPr="00CD663C">
        <w:t xml:space="preserve"> c. </w:t>
      </w:r>
      <w:r w:rsidRPr="00CD663C">
        <w:rPr>
          <w:i/>
        </w:rPr>
        <w:t>République tchèque</w:t>
      </w:r>
      <w:r w:rsidRPr="00CD663C">
        <w:t xml:space="preserve">) que la République tchèque, dans l’affaire des enfants roms inscrits dans des écoles spéciales, violait l’interdiction de </w:t>
      </w:r>
      <w:r>
        <w:t xml:space="preserve">pratiquer toute </w:t>
      </w:r>
      <w:r w:rsidRPr="00CD663C">
        <w:t xml:space="preserve">discrimination </w:t>
      </w:r>
      <w:r>
        <w:t>à l’égard du</w:t>
      </w:r>
      <w:r w:rsidRPr="00CD663C">
        <w:t xml:space="preserve"> droit à l’éducation</w:t>
      </w:r>
      <w:r>
        <w:t>,</w:t>
      </w:r>
      <w:r w:rsidRPr="00CD663C">
        <w:t xml:space="preserve"> garanti</w:t>
      </w:r>
      <w:r>
        <w:t>e</w:t>
      </w:r>
      <w:r w:rsidRPr="00CD663C">
        <w:t xml:space="preserve"> par l’article 14 de la Convention de sauvegarde des droits de l’homme et des libertés fondamentales et l’article 2 du Protocole n</w:t>
      </w:r>
      <w:r w:rsidRPr="00CD663C">
        <w:rPr>
          <w:vertAlign w:val="superscript"/>
        </w:rPr>
        <w:t>o</w:t>
      </w:r>
      <w:r w:rsidRPr="00CD663C">
        <w:t xml:space="preserve"> 1 </w:t>
      </w:r>
      <w:r>
        <w:t>amendant ladite</w:t>
      </w:r>
      <w:r w:rsidRPr="00CD663C">
        <w:t xml:space="preserve"> convention. </w:t>
      </w:r>
      <w:r>
        <w:t>L</w:t>
      </w:r>
      <w:r w:rsidRPr="00CD663C">
        <w:t xml:space="preserve">a Cour </w:t>
      </w:r>
      <w:r>
        <w:t>a estimé</w:t>
      </w:r>
      <w:r w:rsidRPr="00CD663C">
        <w:t xml:space="preserve"> que le traitement discriminatoire </w:t>
      </w:r>
      <w:r>
        <w:t>subi par les</w:t>
      </w:r>
      <w:r w:rsidRPr="00CD663C">
        <w:t xml:space="preserve"> enfan</w:t>
      </w:r>
      <w:r>
        <w:t>ts roms dans l’exercice de leur droit</w:t>
      </w:r>
      <w:r w:rsidRPr="00CD663C">
        <w:t xml:space="preserve"> à l’éducation </w:t>
      </w:r>
      <w:r>
        <w:t xml:space="preserve">apparaissait comme </w:t>
      </w:r>
      <w:r w:rsidRPr="00CD663C">
        <w:t>une discrimination indirecte liée à l’appartenance ethnique de</w:t>
      </w:r>
      <w:r>
        <w:t xml:space="preserve"> ce</w:t>
      </w:r>
      <w:r w:rsidRPr="00CD663C">
        <w:t>s élèves</w:t>
      </w:r>
      <w:r>
        <w:t>, qui</w:t>
      </w:r>
      <w:r w:rsidRPr="00CD663C">
        <w:t xml:space="preserve"> consistait </w:t>
      </w:r>
      <w:r>
        <w:t xml:space="preserve">à les </w:t>
      </w:r>
      <w:r w:rsidRPr="00CD663C">
        <w:t>place</w:t>
      </w:r>
      <w:r>
        <w:t>r</w:t>
      </w:r>
      <w:r w:rsidRPr="00CD663C">
        <w:t xml:space="preserve"> dans des écoles spéciales dont le</w:t>
      </w:r>
      <w:r>
        <w:t>s</w:t>
      </w:r>
      <w:r w:rsidRPr="00CD663C">
        <w:t xml:space="preserve"> programme</w:t>
      </w:r>
      <w:r>
        <w:t>s</w:t>
      </w:r>
      <w:r w:rsidRPr="00CD663C">
        <w:t xml:space="preserve"> </w:t>
      </w:r>
      <w:r>
        <w:t>d’éducation</w:t>
      </w:r>
      <w:r w:rsidRPr="00CD663C">
        <w:t xml:space="preserve"> ne vis</w:t>
      </w:r>
      <w:r>
        <w:t>aien</w:t>
      </w:r>
      <w:r w:rsidRPr="00CD663C">
        <w:t>t pas à compenser le</w:t>
      </w:r>
      <w:r>
        <w:t>ur</w:t>
      </w:r>
      <w:r w:rsidRPr="00CD663C">
        <w:t xml:space="preserve">s </w:t>
      </w:r>
      <w:r>
        <w:t>handicaps de départ</w:t>
      </w:r>
      <w:r w:rsidRPr="00CD663C">
        <w:t>. La Cour a également noté l’absence de</w:t>
      </w:r>
      <w:r>
        <w:t>s</w:t>
      </w:r>
      <w:r w:rsidRPr="00CD663C">
        <w:t xml:space="preserve"> garanties nécessaires pour </w:t>
      </w:r>
      <w:r>
        <w:t>prévenir toute</w:t>
      </w:r>
      <w:r w:rsidRPr="00CD663C">
        <w:t xml:space="preserve"> discrimination indirecte </w:t>
      </w:r>
      <w:r>
        <w:t>liée au placement des</w:t>
      </w:r>
      <w:r w:rsidRPr="00CD663C">
        <w:t xml:space="preserve"> enfants dans des écoles spéciales.</w:t>
      </w:r>
    </w:p>
    <w:p w:rsidR="00C62601" w:rsidRPr="00CD663C" w:rsidRDefault="00C62601" w:rsidP="00C62601">
      <w:pPr>
        <w:pStyle w:val="SingleTxtG"/>
      </w:pPr>
      <w:r w:rsidRPr="00CD663C">
        <w:t>105.</w:t>
      </w:r>
      <w:r w:rsidRPr="00CD663C">
        <w:tab/>
        <w:t xml:space="preserve">La Cour a pris en compte l’abolition </w:t>
      </w:r>
      <w:r>
        <w:t>formelle</w:t>
      </w:r>
      <w:r w:rsidRPr="00CD663C">
        <w:t xml:space="preserve"> des écoles spéciales et n’a pas accepté l’argument des requérants selon le</w:t>
      </w:r>
      <w:r>
        <w:t>quel</w:t>
      </w:r>
      <w:r w:rsidRPr="00CD663C">
        <w:t xml:space="preserve"> la discrimination contre les enfants roms s’était poursuivie même après la promulgation de la nouvelle loi sur l</w:t>
      </w:r>
      <w:r>
        <w:t>es écoles</w:t>
      </w:r>
      <w:r w:rsidRPr="00CD663C">
        <w:t xml:space="preserve">. La Cour ne s’est pas prononcée sur la méthode d’éducation des enfants roms qui serait acceptable. L’État </w:t>
      </w:r>
      <w:r>
        <w:t>ayant</w:t>
      </w:r>
      <w:r w:rsidRPr="00CD663C">
        <w:t xml:space="preserve"> toute latitude </w:t>
      </w:r>
      <w:r>
        <w:t>pour</w:t>
      </w:r>
      <w:r w:rsidRPr="00CD663C">
        <w:t xml:space="preserve"> élabor</w:t>
      </w:r>
      <w:r>
        <w:t>er</w:t>
      </w:r>
      <w:r w:rsidRPr="00CD663C">
        <w:t xml:space="preserve"> son système éducatif </w:t>
      </w:r>
      <w:r>
        <w:t xml:space="preserve">comme il l’entend, </w:t>
      </w:r>
      <w:r w:rsidRPr="00CD663C">
        <w:t xml:space="preserve">la Cour </w:t>
      </w:r>
      <w:r>
        <w:t>s’est limitée à signaler</w:t>
      </w:r>
      <w:r w:rsidRPr="00CD663C">
        <w:t xml:space="preserve"> le caractère inacceptable d’un système consistant à placer un grand nombre d’enfants roms dans des écoles pour handicapés mentaux où le programme d’étude</w:t>
      </w:r>
      <w:r>
        <w:t>, au lieu de tendre à effacer</w:t>
      </w:r>
      <w:r w:rsidRPr="00CD663C">
        <w:t xml:space="preserve"> le</w:t>
      </w:r>
      <w:r>
        <w:t>s</w:t>
      </w:r>
      <w:r w:rsidRPr="00CD663C">
        <w:t xml:space="preserve"> désavantage</w:t>
      </w:r>
      <w:r>
        <w:t>s</w:t>
      </w:r>
      <w:r w:rsidRPr="00CD663C">
        <w:t xml:space="preserve"> de départ de ces élèves en fait un handicap permanent qui </w:t>
      </w:r>
      <w:r>
        <w:t>bouche</w:t>
      </w:r>
      <w:r w:rsidRPr="00CD663C">
        <w:t xml:space="preserve"> </w:t>
      </w:r>
      <w:r>
        <w:t>les</w:t>
      </w:r>
      <w:r w:rsidRPr="00CD663C">
        <w:t xml:space="preserve"> perspective</w:t>
      </w:r>
      <w:r>
        <w:t>s</w:t>
      </w:r>
      <w:r w:rsidRPr="00CD663C">
        <w:t xml:space="preserve"> </w:t>
      </w:r>
      <w:r>
        <w:t>offertes à</w:t>
      </w:r>
      <w:r w:rsidRPr="00CD663C">
        <w:t xml:space="preserve"> ces enfants à la fois au sein du système éducatif et sur le marché du travail en </w:t>
      </w:r>
      <w:r>
        <w:t>abaissant</w:t>
      </w:r>
      <w:r w:rsidRPr="00CD663C">
        <w:t xml:space="preserve"> les objectifs </w:t>
      </w:r>
      <w:r>
        <w:t>d’éducation à leur égard</w:t>
      </w:r>
      <w:r w:rsidRPr="00CD663C">
        <w:t xml:space="preserve"> </w:t>
      </w:r>
      <w:r>
        <w:t xml:space="preserve">et </w:t>
      </w:r>
      <w:r w:rsidRPr="00CD663C">
        <w:t xml:space="preserve">en </w:t>
      </w:r>
      <w:r>
        <w:t xml:space="preserve">les séparant </w:t>
      </w:r>
      <w:r w:rsidRPr="00CD663C">
        <w:t xml:space="preserve">de la société ordinaire, les privant </w:t>
      </w:r>
      <w:r>
        <w:t>ainsi</w:t>
      </w:r>
      <w:r w:rsidRPr="00CD663C">
        <w:t xml:space="preserve"> de </w:t>
      </w:r>
      <w:r>
        <w:t>la</w:t>
      </w:r>
      <w:r w:rsidRPr="00CD663C">
        <w:t xml:space="preserve"> capacité de s’intégrer dans la société.</w:t>
      </w:r>
    </w:p>
    <w:p w:rsidR="00C62601" w:rsidRDefault="00C62601" w:rsidP="00C62601">
      <w:pPr>
        <w:pStyle w:val="SingleTxtG"/>
      </w:pPr>
      <w:r>
        <w:t>106.</w:t>
      </w:r>
      <w:r>
        <w:tab/>
        <w:t>Le 16 mars 2009, le Gouvernement tchèque a approuvé</w:t>
      </w:r>
      <w:r>
        <w:rPr>
          <w:rStyle w:val="FootnoteReference"/>
        </w:rPr>
        <w:footnoteReference w:id="62"/>
      </w:r>
      <w:r>
        <w:t xml:space="preserve"> le rapport sur les mesures générales d’application de cet arrêt et a chargé le Ministre de l’éducation, de la jeunesse et des sports de lui présenter un projet de plan d’action national pour une école d’intégration avant le 31 janvier 2010, afin d’éradiquer la pratique en cause. Nombre de ces mesures ont déjà été mises en œuvre et il s’avère que les mesures visant spécifiquement à assurer l’application de l’arrêt nécessitent des enquêtes statistiques et sociologiques permettant de recenser les problèmes des enfants roms dans le système éducatif et de connaître leur ampleur. Ce n’est qu’après la réalisation de ces études que l’on pourra cibler plus précisément certaines mesures, notamment le plan d’action national.</w:t>
      </w:r>
    </w:p>
    <w:p w:rsidR="00C62601" w:rsidRDefault="00C62601" w:rsidP="00C62601">
      <w:pPr>
        <w:pStyle w:val="SingleTxtG"/>
      </w:pPr>
      <w:r>
        <w:t>107.</w:t>
      </w:r>
      <w:r>
        <w:tab/>
        <w:t>Le Ministère de l’éducation, de la jeunesse et des sports annonce chaque année un programme pour l’intégration de la communauté rom, en application d’une disposition gouvernementale. L’aide est fournie pour des activités éducatives impliquant les enfants et leurs parents, l’accent étant mis sur la préparation préscolaire des enfants, des activités tendant à accroître la participation des enfants roms à l’éducation préscolaire, des méthodes et types de travail visant à améliorer l’efficacité de l’éducation préscolaire des enfants roms, la formation continue des enseignants et assistants d’enseignement s’occupant des enfants roms d’âge préscolaire à l’utilisation de méthodes efficaces pour l’éducation des enfants roms, des activités propres à améliorer les chances des enfants roms de bien commencer l’école obligatoire, des activités visant à impliquer la famille dans l’éducation préscolaire des enfants, des activités permettant de sensibiliser les parents à l’éducation préscolaire, des activités d’appui aux écoles primaires aidant les enfants roms à surmonter leurs difficultés au cours de la scolarité obligatoire et la création de projets globaux de formation et d’intégration axés sur la préparation préscolaire des enfants roms</w:t>
      </w:r>
      <w:r>
        <w:rPr>
          <w:rStyle w:val="FootnoteReference"/>
        </w:rPr>
        <w:footnoteReference w:id="63"/>
      </w:r>
      <w:r>
        <w:t>.</w:t>
      </w:r>
    </w:p>
    <w:p w:rsidR="00C62601" w:rsidRDefault="00C62601" w:rsidP="00C62601">
      <w:pPr>
        <w:pStyle w:val="SingleTxtG"/>
      </w:pPr>
      <w:r>
        <w:t>108.</w:t>
      </w:r>
      <w:r>
        <w:tab/>
        <w:t xml:space="preserve">Il existe également un programme d’«Aide aux élèves roms de l’enseignement secondaire», qui a pour but d’encourager les études des élèves roms dont les familles s’exposent à de grosses difficultés financières pour faire face au coût des études secondaires. En 2008, environ 10 millions de couronnes tchèques ont été dépensées au titre de ce programme de subventions, soit la même somme qu’au cours des années récentes, et le programme a bénéficié à environ 1 280 élèves. Seuls les élèves assidus, dont les absences sont excusées et qui n’ont pas de problème de discipline majeur, peuvent bénéficier de ce programme. </w:t>
      </w:r>
    </w:p>
    <w:p w:rsidR="00C62601" w:rsidRPr="00EE4599" w:rsidRDefault="00C62601" w:rsidP="00C62601">
      <w:pPr>
        <w:pStyle w:val="H1G"/>
      </w:pPr>
      <w:r>
        <w:tab/>
        <w:t>F.</w:t>
      </w:r>
      <w:r>
        <w:tab/>
        <w:t>Droit d’accès à tous lieux et services destinés à l’usage du public</w:t>
      </w:r>
    </w:p>
    <w:p w:rsidR="00C62601" w:rsidRDefault="00C62601" w:rsidP="00C62601">
      <w:pPr>
        <w:pStyle w:val="SingleTxtG"/>
      </w:pPr>
      <w:r>
        <w:t>109.</w:t>
      </w:r>
      <w:r>
        <w:tab/>
        <w:t>La loi antidiscrimination garantit le droit de tous, sans distinction de race et d’origine ethnique, d’avoir accès aux biens et services (y compris au logement) offerts au public ou à leur fourniture (voir également l’article 6).</w:t>
      </w:r>
    </w:p>
    <w:p w:rsidR="00C62601" w:rsidRDefault="00C62601" w:rsidP="00C62601">
      <w:pPr>
        <w:pStyle w:val="SingleTxtG"/>
      </w:pPr>
      <w:r>
        <w:t>110.</w:t>
      </w:r>
      <w:r>
        <w:tab/>
        <w:t>L’Inspection du commerce tchèque contrôle le respect de l’interdiction de faire des discriminations dans la vente de produits et dans la fourniture de services</w:t>
      </w:r>
      <w:r>
        <w:rPr>
          <w:rStyle w:val="FootnoteReference"/>
        </w:rPr>
        <w:footnoteReference w:id="64"/>
      </w:r>
      <w:r>
        <w:t>; elle effectue des inspections dans les entreprises pertinentes sur la base de notifications et est habilitée à infliger une amende lorsqu’elle découvre des irrégularités au cours d’une inspection. Les résultats des activités de l’Inspection tchèque du travail sont présentés dans le tableau ci-dessous: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91"/>
        <w:gridCol w:w="1254"/>
        <w:gridCol w:w="1254"/>
        <w:gridCol w:w="2453"/>
        <w:gridCol w:w="2453"/>
      </w:tblGrid>
      <w:tr w:rsidR="00C62601" w:rsidRPr="008133C5" w:rsidTr="00283F2E">
        <w:tc>
          <w:tcPr>
            <w:tcW w:w="1134" w:type="dxa"/>
            <w:tcBorders>
              <w:top w:val="single" w:sz="4" w:space="0" w:color="auto"/>
              <w:bottom w:val="single" w:sz="12" w:space="0" w:color="auto"/>
            </w:tcBorders>
            <w:shd w:val="clear" w:color="auto" w:fill="auto"/>
            <w:vAlign w:val="bottom"/>
          </w:tcPr>
          <w:p w:rsidR="00C62601" w:rsidRPr="008133C5" w:rsidRDefault="00C62601" w:rsidP="00283F2E">
            <w:pPr>
              <w:spacing w:before="80" w:after="80" w:line="200" w:lineRule="exact"/>
              <w:ind w:right="113"/>
              <w:rPr>
                <w:i/>
                <w:sz w:val="16"/>
              </w:rPr>
            </w:pPr>
            <w:r>
              <w:rPr>
                <w:i/>
                <w:sz w:val="16"/>
              </w:rPr>
              <w:t>Année</w:t>
            </w:r>
          </w:p>
        </w:tc>
        <w:tc>
          <w:tcPr>
            <w:tcW w:w="1304" w:type="dxa"/>
            <w:tcBorders>
              <w:top w:val="single" w:sz="4" w:space="0" w:color="auto"/>
              <w:bottom w:val="single" w:sz="12" w:space="0" w:color="auto"/>
            </w:tcBorders>
            <w:shd w:val="clear" w:color="auto" w:fill="auto"/>
            <w:vAlign w:val="bottom"/>
          </w:tcPr>
          <w:p w:rsidR="00C62601" w:rsidRPr="008133C5" w:rsidRDefault="00C62601" w:rsidP="00283F2E">
            <w:pPr>
              <w:spacing w:before="80" w:after="80" w:line="200" w:lineRule="exact"/>
              <w:ind w:right="113"/>
              <w:rPr>
                <w:i/>
                <w:sz w:val="16"/>
              </w:rPr>
            </w:pPr>
            <w:r>
              <w:rPr>
                <w:i/>
                <w:sz w:val="16"/>
              </w:rPr>
              <w:t>Nombre de plaintes</w:t>
            </w:r>
          </w:p>
        </w:tc>
        <w:tc>
          <w:tcPr>
            <w:tcW w:w="1304" w:type="dxa"/>
            <w:tcBorders>
              <w:top w:val="single" w:sz="4" w:space="0" w:color="auto"/>
              <w:bottom w:val="single" w:sz="12" w:space="0" w:color="auto"/>
            </w:tcBorders>
            <w:shd w:val="clear" w:color="auto" w:fill="auto"/>
            <w:vAlign w:val="bottom"/>
          </w:tcPr>
          <w:p w:rsidR="00C62601" w:rsidRPr="008133C5" w:rsidRDefault="00C62601" w:rsidP="00283F2E">
            <w:pPr>
              <w:spacing w:before="80" w:after="80" w:line="200" w:lineRule="exact"/>
              <w:ind w:right="113"/>
              <w:rPr>
                <w:i/>
                <w:sz w:val="16"/>
              </w:rPr>
            </w:pPr>
            <w:r>
              <w:rPr>
                <w:i/>
                <w:sz w:val="16"/>
              </w:rPr>
              <w:t>Nombre de plaintes retenues</w:t>
            </w:r>
          </w:p>
        </w:tc>
        <w:tc>
          <w:tcPr>
            <w:tcW w:w="2552" w:type="dxa"/>
            <w:tcBorders>
              <w:top w:val="single" w:sz="4" w:space="0" w:color="auto"/>
              <w:bottom w:val="single" w:sz="12" w:space="0" w:color="auto"/>
            </w:tcBorders>
            <w:shd w:val="clear" w:color="auto" w:fill="auto"/>
            <w:vAlign w:val="bottom"/>
          </w:tcPr>
          <w:p w:rsidR="00C62601" w:rsidRPr="008133C5" w:rsidRDefault="00C62601" w:rsidP="00283F2E">
            <w:pPr>
              <w:spacing w:before="80" w:after="80" w:line="200" w:lineRule="exact"/>
              <w:ind w:right="113"/>
              <w:rPr>
                <w:i/>
                <w:sz w:val="16"/>
              </w:rPr>
            </w:pPr>
            <w:r>
              <w:rPr>
                <w:i/>
                <w:sz w:val="16"/>
              </w:rPr>
              <w:t>Description de l’affaire</w:t>
            </w:r>
          </w:p>
        </w:tc>
        <w:tc>
          <w:tcPr>
            <w:tcW w:w="2552" w:type="dxa"/>
            <w:tcBorders>
              <w:top w:val="single" w:sz="4" w:space="0" w:color="auto"/>
              <w:bottom w:val="single" w:sz="12" w:space="0" w:color="auto"/>
            </w:tcBorders>
            <w:shd w:val="clear" w:color="auto" w:fill="auto"/>
            <w:vAlign w:val="bottom"/>
          </w:tcPr>
          <w:p w:rsidR="00C62601" w:rsidRPr="008133C5" w:rsidRDefault="00C62601" w:rsidP="00283F2E">
            <w:pPr>
              <w:spacing w:before="80" w:after="80" w:line="200" w:lineRule="exact"/>
              <w:ind w:right="113"/>
              <w:rPr>
                <w:i/>
                <w:sz w:val="16"/>
              </w:rPr>
            </w:pPr>
            <w:r>
              <w:rPr>
                <w:i/>
                <w:sz w:val="16"/>
              </w:rPr>
              <w:t>Sanction</w:t>
            </w:r>
          </w:p>
        </w:tc>
      </w:tr>
      <w:tr w:rsidR="00C62601" w:rsidRPr="008133C5" w:rsidTr="00283F2E">
        <w:trPr>
          <w:trHeight w:hRule="exact" w:val="113"/>
        </w:trPr>
        <w:tc>
          <w:tcPr>
            <w:tcW w:w="1134" w:type="dxa"/>
            <w:tcBorders>
              <w:top w:val="single" w:sz="12" w:space="0" w:color="auto"/>
            </w:tcBorders>
            <w:shd w:val="clear" w:color="auto" w:fill="auto"/>
            <w:vAlign w:val="bottom"/>
          </w:tcPr>
          <w:p w:rsidR="00C62601" w:rsidRDefault="00C62601" w:rsidP="00283F2E">
            <w:pPr>
              <w:spacing w:before="80" w:after="80" w:line="200" w:lineRule="exact"/>
              <w:ind w:right="113"/>
              <w:rPr>
                <w:i/>
                <w:sz w:val="16"/>
              </w:rPr>
            </w:pPr>
          </w:p>
        </w:tc>
        <w:tc>
          <w:tcPr>
            <w:tcW w:w="1304" w:type="dxa"/>
            <w:tcBorders>
              <w:top w:val="single" w:sz="12" w:space="0" w:color="auto"/>
            </w:tcBorders>
            <w:shd w:val="clear" w:color="auto" w:fill="auto"/>
            <w:vAlign w:val="bottom"/>
          </w:tcPr>
          <w:p w:rsidR="00C62601" w:rsidRDefault="00C62601" w:rsidP="00283F2E">
            <w:pPr>
              <w:spacing w:before="80" w:after="80" w:line="200" w:lineRule="exact"/>
              <w:ind w:right="113"/>
              <w:rPr>
                <w:i/>
                <w:sz w:val="16"/>
              </w:rPr>
            </w:pPr>
          </w:p>
        </w:tc>
        <w:tc>
          <w:tcPr>
            <w:tcW w:w="1304" w:type="dxa"/>
            <w:tcBorders>
              <w:top w:val="single" w:sz="12" w:space="0" w:color="auto"/>
            </w:tcBorders>
            <w:shd w:val="clear" w:color="auto" w:fill="auto"/>
            <w:vAlign w:val="bottom"/>
          </w:tcPr>
          <w:p w:rsidR="00C62601" w:rsidRDefault="00C62601" w:rsidP="00283F2E">
            <w:pPr>
              <w:spacing w:before="80" w:after="80" w:line="200" w:lineRule="exact"/>
              <w:ind w:right="113"/>
              <w:rPr>
                <w:i/>
                <w:sz w:val="16"/>
              </w:rPr>
            </w:pPr>
          </w:p>
        </w:tc>
        <w:tc>
          <w:tcPr>
            <w:tcW w:w="2552" w:type="dxa"/>
            <w:tcBorders>
              <w:top w:val="single" w:sz="12" w:space="0" w:color="auto"/>
            </w:tcBorders>
            <w:shd w:val="clear" w:color="auto" w:fill="auto"/>
            <w:vAlign w:val="bottom"/>
          </w:tcPr>
          <w:p w:rsidR="00C62601" w:rsidRDefault="00C62601" w:rsidP="00283F2E">
            <w:pPr>
              <w:spacing w:before="80" w:after="80" w:line="200" w:lineRule="exact"/>
              <w:ind w:right="113"/>
              <w:rPr>
                <w:i/>
                <w:sz w:val="16"/>
              </w:rPr>
            </w:pPr>
          </w:p>
        </w:tc>
        <w:tc>
          <w:tcPr>
            <w:tcW w:w="2552" w:type="dxa"/>
            <w:tcBorders>
              <w:top w:val="single" w:sz="12" w:space="0" w:color="auto"/>
            </w:tcBorders>
            <w:shd w:val="clear" w:color="auto" w:fill="auto"/>
            <w:vAlign w:val="bottom"/>
          </w:tcPr>
          <w:p w:rsidR="00C62601" w:rsidRDefault="00C62601" w:rsidP="00283F2E">
            <w:pPr>
              <w:spacing w:before="80" w:after="80" w:line="200" w:lineRule="exact"/>
              <w:ind w:right="113"/>
              <w:rPr>
                <w:i/>
                <w:sz w:val="16"/>
              </w:rPr>
            </w:pPr>
          </w:p>
        </w:tc>
      </w:tr>
      <w:tr w:rsidR="00C62601" w:rsidRPr="008133C5" w:rsidTr="00283F2E">
        <w:tc>
          <w:tcPr>
            <w:tcW w:w="1134" w:type="dxa"/>
            <w:shd w:val="clear" w:color="auto" w:fill="auto"/>
          </w:tcPr>
          <w:p w:rsidR="00C62601" w:rsidRPr="008133C5" w:rsidRDefault="00C62601" w:rsidP="00283F2E">
            <w:pPr>
              <w:spacing w:before="40" w:after="120"/>
              <w:ind w:right="113"/>
            </w:pPr>
            <w:r>
              <w:t>2005</w:t>
            </w:r>
          </w:p>
        </w:tc>
        <w:tc>
          <w:tcPr>
            <w:tcW w:w="1304" w:type="dxa"/>
            <w:shd w:val="clear" w:color="auto" w:fill="auto"/>
          </w:tcPr>
          <w:p w:rsidR="00C62601" w:rsidRPr="008133C5" w:rsidRDefault="00C62601" w:rsidP="00283F2E">
            <w:pPr>
              <w:spacing w:before="40" w:after="120"/>
              <w:ind w:right="113"/>
            </w:pPr>
            <w:r>
              <w:t>7</w:t>
            </w:r>
          </w:p>
        </w:tc>
        <w:tc>
          <w:tcPr>
            <w:tcW w:w="1304" w:type="dxa"/>
            <w:shd w:val="clear" w:color="auto" w:fill="auto"/>
          </w:tcPr>
          <w:p w:rsidR="00C62601" w:rsidRPr="008133C5" w:rsidRDefault="00C62601" w:rsidP="00283F2E">
            <w:pPr>
              <w:spacing w:before="40" w:after="120"/>
              <w:ind w:right="113"/>
            </w:pPr>
            <w:r>
              <w:t>1</w:t>
            </w:r>
          </w:p>
        </w:tc>
        <w:tc>
          <w:tcPr>
            <w:tcW w:w="2552" w:type="dxa"/>
            <w:shd w:val="clear" w:color="auto" w:fill="auto"/>
          </w:tcPr>
          <w:p w:rsidR="00C62601" w:rsidRPr="008133C5" w:rsidRDefault="00C62601" w:rsidP="00283F2E">
            <w:pPr>
              <w:spacing w:before="40" w:after="120"/>
              <w:ind w:right="113"/>
            </w:pPr>
            <w:r>
              <w:t>Refus d’admettre un Rom dans un restaurant.</w:t>
            </w:r>
          </w:p>
        </w:tc>
        <w:tc>
          <w:tcPr>
            <w:tcW w:w="2552" w:type="dxa"/>
            <w:shd w:val="clear" w:color="auto" w:fill="auto"/>
          </w:tcPr>
          <w:p w:rsidR="00C62601" w:rsidRPr="008133C5" w:rsidRDefault="00C62601" w:rsidP="00283F2E">
            <w:pPr>
              <w:spacing w:before="40" w:after="120"/>
              <w:ind w:right="57"/>
            </w:pPr>
            <w:r>
              <w:t>Amen</w:t>
            </w:r>
            <w:r w:rsidRPr="003F5849">
              <w:rPr>
                <w:spacing w:val="-2"/>
              </w:rPr>
              <w:t>de de 10 000 couronnes</w:t>
            </w:r>
            <w:r>
              <w:t xml:space="preserve"> tchèques</w:t>
            </w:r>
          </w:p>
        </w:tc>
      </w:tr>
      <w:tr w:rsidR="00C62601" w:rsidRPr="008133C5" w:rsidTr="00283F2E">
        <w:tc>
          <w:tcPr>
            <w:tcW w:w="1134" w:type="dxa"/>
            <w:shd w:val="clear" w:color="auto" w:fill="auto"/>
          </w:tcPr>
          <w:p w:rsidR="00C62601" w:rsidRPr="008133C5" w:rsidRDefault="00C62601" w:rsidP="00283F2E">
            <w:pPr>
              <w:spacing w:before="40" w:after="120"/>
              <w:ind w:right="113"/>
            </w:pPr>
            <w:r>
              <w:t>2006</w:t>
            </w:r>
          </w:p>
        </w:tc>
        <w:tc>
          <w:tcPr>
            <w:tcW w:w="1304" w:type="dxa"/>
            <w:shd w:val="clear" w:color="auto" w:fill="auto"/>
          </w:tcPr>
          <w:p w:rsidR="00C62601" w:rsidRPr="008133C5" w:rsidRDefault="00C62601" w:rsidP="00283F2E">
            <w:pPr>
              <w:spacing w:before="40" w:after="120"/>
              <w:ind w:right="113"/>
            </w:pPr>
            <w:r>
              <w:t>5</w:t>
            </w:r>
          </w:p>
        </w:tc>
        <w:tc>
          <w:tcPr>
            <w:tcW w:w="1304" w:type="dxa"/>
            <w:shd w:val="clear" w:color="auto" w:fill="auto"/>
          </w:tcPr>
          <w:p w:rsidR="00C62601" w:rsidRPr="008133C5" w:rsidRDefault="00C62601" w:rsidP="00283F2E">
            <w:pPr>
              <w:spacing w:before="40" w:after="120"/>
              <w:ind w:right="113"/>
            </w:pPr>
            <w:r>
              <w:t>1</w:t>
            </w:r>
          </w:p>
        </w:tc>
        <w:tc>
          <w:tcPr>
            <w:tcW w:w="2552" w:type="dxa"/>
            <w:shd w:val="clear" w:color="auto" w:fill="auto"/>
          </w:tcPr>
          <w:p w:rsidR="00C62601" w:rsidRPr="008133C5" w:rsidRDefault="00C62601" w:rsidP="00283F2E">
            <w:pPr>
              <w:spacing w:before="40" w:after="120"/>
              <w:ind w:right="113"/>
            </w:pPr>
            <w:r>
              <w:t>Un Rom s’est vu refuser l’accès à plusieurs magasins, à Krnov.</w:t>
            </w:r>
          </w:p>
        </w:tc>
        <w:tc>
          <w:tcPr>
            <w:tcW w:w="2552" w:type="dxa"/>
            <w:shd w:val="clear" w:color="auto" w:fill="auto"/>
          </w:tcPr>
          <w:p w:rsidR="00C62601" w:rsidRPr="008133C5" w:rsidRDefault="00C62601" w:rsidP="00283F2E">
            <w:pPr>
              <w:spacing w:before="40" w:after="120"/>
              <w:ind w:right="113"/>
            </w:pPr>
            <w:r>
              <w:t>Amende de 8 000 couronnes tchèques à l’issue d’un recours administratif</w:t>
            </w:r>
          </w:p>
        </w:tc>
      </w:tr>
      <w:tr w:rsidR="00C62601" w:rsidRPr="008133C5" w:rsidTr="00283F2E">
        <w:tc>
          <w:tcPr>
            <w:tcW w:w="1134" w:type="dxa"/>
            <w:shd w:val="clear" w:color="auto" w:fill="auto"/>
          </w:tcPr>
          <w:p w:rsidR="00C62601" w:rsidRPr="008133C5" w:rsidRDefault="00C62601" w:rsidP="00283F2E">
            <w:pPr>
              <w:spacing w:before="40" w:after="120"/>
              <w:ind w:right="113"/>
            </w:pPr>
            <w:r>
              <w:t>2007</w:t>
            </w:r>
          </w:p>
        </w:tc>
        <w:tc>
          <w:tcPr>
            <w:tcW w:w="1304" w:type="dxa"/>
            <w:shd w:val="clear" w:color="auto" w:fill="auto"/>
          </w:tcPr>
          <w:p w:rsidR="00C62601" w:rsidRPr="008133C5" w:rsidRDefault="00C62601" w:rsidP="00283F2E">
            <w:pPr>
              <w:spacing w:before="40" w:after="120"/>
              <w:ind w:right="113"/>
            </w:pPr>
            <w:r>
              <w:t>11</w:t>
            </w:r>
          </w:p>
        </w:tc>
        <w:tc>
          <w:tcPr>
            <w:tcW w:w="1304" w:type="dxa"/>
            <w:shd w:val="clear" w:color="auto" w:fill="auto"/>
          </w:tcPr>
          <w:p w:rsidR="00C62601" w:rsidRPr="008133C5" w:rsidRDefault="00C62601" w:rsidP="00283F2E">
            <w:pPr>
              <w:spacing w:before="40" w:after="120"/>
              <w:ind w:right="113"/>
            </w:pPr>
            <w:r>
              <w:t>2</w:t>
            </w:r>
          </w:p>
        </w:tc>
        <w:tc>
          <w:tcPr>
            <w:tcW w:w="2552" w:type="dxa"/>
            <w:shd w:val="clear" w:color="auto" w:fill="auto"/>
          </w:tcPr>
          <w:p w:rsidR="00C62601" w:rsidRPr="008133C5" w:rsidRDefault="00C62601" w:rsidP="00283F2E">
            <w:pPr>
              <w:spacing w:before="40" w:after="120"/>
              <w:ind w:right="113"/>
            </w:pPr>
            <w:r>
              <w:t>Un Rom s’est vu refuser l’entrée dans une discothèque appartenant à une seule et même entité commerciale.</w:t>
            </w:r>
          </w:p>
        </w:tc>
        <w:tc>
          <w:tcPr>
            <w:tcW w:w="2552" w:type="dxa"/>
            <w:shd w:val="clear" w:color="auto" w:fill="auto"/>
          </w:tcPr>
          <w:p w:rsidR="00C62601" w:rsidRPr="008133C5" w:rsidRDefault="00C62601" w:rsidP="00283F2E">
            <w:pPr>
              <w:spacing w:before="40" w:after="120"/>
              <w:ind w:right="113"/>
            </w:pPr>
            <w:r>
              <w:t>Amende de 20 000 couronnes tchèques à l’issue d’un recours administratif</w:t>
            </w:r>
          </w:p>
        </w:tc>
      </w:tr>
      <w:tr w:rsidR="00C62601" w:rsidRPr="008133C5" w:rsidTr="00283F2E">
        <w:tc>
          <w:tcPr>
            <w:tcW w:w="1134" w:type="dxa"/>
            <w:tcBorders>
              <w:bottom w:val="single" w:sz="12" w:space="0" w:color="auto"/>
            </w:tcBorders>
            <w:shd w:val="clear" w:color="auto" w:fill="auto"/>
          </w:tcPr>
          <w:p w:rsidR="00C62601" w:rsidRPr="008133C5" w:rsidRDefault="00C62601" w:rsidP="00283F2E">
            <w:pPr>
              <w:spacing w:before="40" w:after="120"/>
              <w:ind w:right="113"/>
            </w:pPr>
            <w:r>
              <w:t>2008</w:t>
            </w:r>
          </w:p>
        </w:tc>
        <w:tc>
          <w:tcPr>
            <w:tcW w:w="1304" w:type="dxa"/>
            <w:tcBorders>
              <w:bottom w:val="single" w:sz="12" w:space="0" w:color="auto"/>
            </w:tcBorders>
            <w:shd w:val="clear" w:color="auto" w:fill="auto"/>
          </w:tcPr>
          <w:p w:rsidR="00C62601" w:rsidRPr="008133C5" w:rsidRDefault="00C62601" w:rsidP="00283F2E">
            <w:pPr>
              <w:spacing w:before="40" w:after="120"/>
              <w:ind w:right="113"/>
            </w:pPr>
            <w:r>
              <w:t>6</w:t>
            </w:r>
          </w:p>
        </w:tc>
        <w:tc>
          <w:tcPr>
            <w:tcW w:w="1304" w:type="dxa"/>
            <w:tcBorders>
              <w:bottom w:val="single" w:sz="12" w:space="0" w:color="auto"/>
            </w:tcBorders>
            <w:shd w:val="clear" w:color="auto" w:fill="auto"/>
          </w:tcPr>
          <w:p w:rsidR="00C62601" w:rsidRPr="008133C5" w:rsidRDefault="00C62601" w:rsidP="00283F2E">
            <w:pPr>
              <w:spacing w:before="40" w:after="120"/>
              <w:ind w:right="113"/>
            </w:pPr>
            <w:r>
              <w:t>2</w:t>
            </w:r>
          </w:p>
        </w:tc>
        <w:tc>
          <w:tcPr>
            <w:tcW w:w="2552" w:type="dxa"/>
            <w:tcBorders>
              <w:bottom w:val="single" w:sz="12" w:space="0" w:color="auto"/>
            </w:tcBorders>
            <w:shd w:val="clear" w:color="auto" w:fill="auto"/>
          </w:tcPr>
          <w:p w:rsidR="00C62601" w:rsidRPr="008133C5" w:rsidRDefault="00C62601" w:rsidP="00283F2E">
            <w:pPr>
              <w:spacing w:before="40" w:after="120"/>
              <w:ind w:right="113"/>
            </w:pPr>
            <w:r>
              <w:t>Agence immobilière affichant «… pas de non-Tchèques», et refus de vendre un téléphone mobile à une femme rom sans attestation de revenus.</w:t>
            </w:r>
          </w:p>
        </w:tc>
        <w:tc>
          <w:tcPr>
            <w:tcW w:w="2552" w:type="dxa"/>
            <w:tcBorders>
              <w:bottom w:val="single" w:sz="12" w:space="0" w:color="auto"/>
            </w:tcBorders>
            <w:shd w:val="clear" w:color="auto" w:fill="auto"/>
          </w:tcPr>
          <w:p w:rsidR="00C62601" w:rsidRPr="008133C5" w:rsidRDefault="00C62601" w:rsidP="00283F2E">
            <w:pPr>
              <w:spacing w:before="40" w:after="120"/>
              <w:ind w:right="113"/>
            </w:pPr>
            <w:r>
              <w:t>Sanctions à l’issue d’un recours administratif</w:t>
            </w:r>
          </w:p>
        </w:tc>
      </w:tr>
    </w:tbl>
    <w:p w:rsidR="00C62601" w:rsidRDefault="00C62601" w:rsidP="00C62601">
      <w:pPr>
        <w:pStyle w:val="H1G"/>
      </w:pPr>
      <w:r>
        <w:tab/>
      </w:r>
      <w:r>
        <w:tab/>
        <w:t>Article 6</w:t>
      </w:r>
    </w:p>
    <w:p w:rsidR="00C62601" w:rsidRPr="000C526C" w:rsidRDefault="00C62601" w:rsidP="00C62601">
      <w:pPr>
        <w:pStyle w:val="H23G"/>
      </w:pPr>
      <w:r>
        <w:tab/>
      </w:r>
      <w:r>
        <w:tab/>
        <w:t>Protection contre tous actes de discrimination raciale</w:t>
      </w:r>
    </w:p>
    <w:p w:rsidR="00C62601" w:rsidRPr="008133C5" w:rsidRDefault="00C62601" w:rsidP="00C62601">
      <w:pPr>
        <w:pStyle w:val="SingleTxtG"/>
      </w:pPr>
      <w:r w:rsidRPr="008133C5">
        <w:t>111.</w:t>
      </w:r>
      <w:r w:rsidRPr="008133C5">
        <w:tab/>
      </w:r>
      <w:r>
        <w:t>La loi antidiscrimination</w:t>
      </w:r>
      <w:r>
        <w:rPr>
          <w:rStyle w:val="FootnoteReference"/>
        </w:rPr>
        <w:footnoteReference w:id="65"/>
      </w:r>
      <w:r>
        <w:t xml:space="preserve"> est la loi la plus importante offrant une protection contre la discrimination raciale (entre autres). Aux côtés de la Charte des libertés et droits fondamentaux et aux traités internationaux, elle énonce le droit à l’égalité de traitement et à la non-discrimination dans les domaines énumérés ci-dessus (art. 2), elle définit des termes tels que la discrimination directe et indirecte</w:t>
      </w:r>
      <w:r>
        <w:rPr>
          <w:rStyle w:val="FootnoteReference"/>
        </w:rPr>
        <w:footnoteReference w:id="66"/>
      </w:r>
      <w:r>
        <w:t>. La discrimination aux motifs de la grossesse, la maternité, la paternité ou de l’identification sexuelle est considérée comme une discrimination au motif du sexe. Le fait de traiter une personne de façon moins favorable en invoquant tel ou tel prétexte constitue également une discrimination.</w:t>
      </w:r>
    </w:p>
    <w:p w:rsidR="00C62601" w:rsidRPr="008133C5" w:rsidRDefault="00C62601" w:rsidP="00C62601">
      <w:pPr>
        <w:pStyle w:val="SingleTxtG"/>
      </w:pPr>
      <w:r w:rsidRPr="008133C5">
        <w:t>112.</w:t>
      </w:r>
      <w:r w:rsidRPr="008133C5">
        <w:tab/>
      </w:r>
      <w:r>
        <w:t xml:space="preserve">En ce qui concerne les droits en cas de violation du droit à l’égalité de traitement, si les droits et obligations résultant de l’égalité de traitement sont bafoués ou si une discrimination est commise, la personne pénalisée peut intenter une action en justice afin notamment d’obtenir que la discrimination cesse, que ses conséquences soient éliminées et d’obtenir satisfaction dans des proportions raisonnables. Si la réparation s’avère insuffisante notamment parce que, du fait de la discrimination, la réputation ou la dignité d’une personne, ou son statut dans la société ont subi de graves atteintes, cette personne peut également réclamer une réparation financière pour préjudices immatériels. </w:t>
      </w:r>
    </w:p>
    <w:p w:rsidR="003F172D" w:rsidRDefault="003F172D" w:rsidP="003F172D">
      <w:pPr>
        <w:pStyle w:val="SingleTxtG"/>
      </w:pPr>
      <w:r>
        <w:t>113.</w:t>
      </w:r>
      <w:r>
        <w:tab/>
        <w:t>Les compétences du Médiateur pour les questions relatives au droit à l’égalité de traitement et à la protection contre la discrimination sont également définies. Depuis le 1</w:t>
      </w:r>
      <w:r w:rsidRPr="0007397F">
        <w:rPr>
          <w:vertAlign w:val="superscript"/>
        </w:rPr>
        <w:t>er</w:t>
      </w:r>
      <w:r>
        <w:t> décembre 2009, une personne dont le droit à l’égalité de traitement est violé peut adresser au Médiateur une plainte écrite. Le Médiateur conseille les victimes de discrimination qui souhaitent engager une action en justice pour discrimination: il examine la plainte, propose une solution et aide les victimes de discrimination au cours des différentes étapes de la procédure. Si les victimes de discrimination décident, par exemple, de demander à un tribunal de faire cesser une discrimination, de leur accorder une satisfaction ou des réparations raisonnables pour les préjudices subis, le Médiateur peut également les aider à rassembler les preuves. Le Médiateur, dans son action contre la discrimination, a conclu des accords de coopération avec l’Inspection du commerce tchèque, les inspections du travail et l’Inspection scolaire. Il publie également des recommandations et des avis, mène des recherches indépendantes et fournit des informations au public. Le 1</w:t>
      </w:r>
      <w:r w:rsidRPr="0007397F">
        <w:rPr>
          <w:vertAlign w:val="superscript"/>
        </w:rPr>
        <w:t>er</w:t>
      </w:r>
      <w:r>
        <w:t xml:space="preserve"> janvier 2010, le Médiateur, en sa qualité d’organisme pour l’égalité, est devenu membre d’Equinet, le réseau européen des organismes antidiscrimination.</w:t>
      </w:r>
    </w:p>
    <w:p w:rsidR="003F172D" w:rsidRDefault="003F172D" w:rsidP="003F172D">
      <w:pPr>
        <w:pStyle w:val="SingleTxtG"/>
      </w:pPr>
      <w:r>
        <w:t>114.</w:t>
      </w:r>
      <w:r>
        <w:tab/>
        <w:t>La protection contre la discrimination raciale est garantie sur le plan procédural par le concept du partage de la charge de la preuve défini dans le Code de procédure civile</w:t>
      </w:r>
      <w:r>
        <w:rPr>
          <w:rStyle w:val="FootnoteReference"/>
        </w:rPr>
        <w:footnoteReference w:id="67"/>
      </w:r>
      <w:r>
        <w:t>. La charge de la preuve est partagée en matière de droit du travail dans les cas de discrimination fondée sur la race ou l’origine ethnique, le sexe, la religion, la foi, la croyance, le handicap, l’âge ou l’orientation sexuelle. Dans les cas de discrimination fondée uniquement sur l’origine raciale ou ethnique, la charge de la preuve est également inversée s’agissant de la fourniture de soins de santé et de l’aide sociale, de l’accès à l’éducation et à la formation, des marchés publics, de l’adhésion aux organisations syndicales ou patronales, de l’adhésion à des associations ou groupes d’intérêts professionnels, et dans la vente de marchandises dans un commerce ou la fourniture des services.</w:t>
      </w:r>
    </w:p>
    <w:p w:rsidR="003F172D" w:rsidRDefault="003F172D" w:rsidP="003F172D">
      <w:pPr>
        <w:pStyle w:val="SingleTxtG"/>
      </w:pPr>
      <w:r>
        <w:t>115.</w:t>
      </w:r>
      <w:r>
        <w:tab/>
        <w:t>En avril 2006, la Cour constitutionnelle s’est prononcée sur une proposition du tribunal provincial d’Ústí nad Labem visant à abroger l’article 133a du Code de procédure civile, qui pose le principe du partage de la charge de la preuve</w:t>
      </w:r>
      <w:r>
        <w:rPr>
          <w:rStyle w:val="FootnoteReference"/>
        </w:rPr>
        <w:footnoteReference w:id="68"/>
      </w:r>
      <w:r>
        <w:t>. La Cour constitutionnelle a rejeté cette proposition. Elle a fait valoir qu’à l’inverse, le principe du partage de la charge de la preuve n’est pas incompatible avec celui de l’égalité des parties, car l’inégalité des parties à un procès est objectivement et raisonnablement justifiée. La Cour constitutionnelle a également noté que la personne qui affirme faire l’objet d’un traitement défavorable doit prouver ses allégations. Elle doit également faire valoir que le traitement inégal était fondé sur la race, mais n’est pas tenue de le prouver. Le rôle de la défense consiste à prouver que la différence de traitement n’était pas motivée par des considérations de race</w:t>
      </w:r>
      <w:r>
        <w:rPr>
          <w:rStyle w:val="FootnoteReference"/>
        </w:rPr>
        <w:footnoteReference w:id="69"/>
      </w:r>
      <w:r>
        <w:t xml:space="preserve">. </w:t>
      </w:r>
    </w:p>
    <w:p w:rsidR="003F172D" w:rsidRDefault="003F172D" w:rsidP="003F172D">
      <w:pPr>
        <w:pStyle w:val="SingleTxtG"/>
      </w:pPr>
      <w:r>
        <w:t>116.</w:t>
      </w:r>
      <w:r>
        <w:tab/>
        <w:t>Dans ses conclusions, la Cour constitutionnelle a donné des éclaircissements sur l’interprétation de la disposition en question afin de mieux servir ses objectifs, en application des directives pertinentes de la CE</w:t>
      </w:r>
      <w:r w:rsidRPr="003328B8">
        <w:rPr>
          <w:rStyle w:val="FootnoteReference"/>
        </w:rPr>
        <w:footnoteReference w:id="70"/>
      </w:r>
      <w:r>
        <w:t>. Elle</w:t>
      </w:r>
      <w:r w:rsidRPr="000716B4">
        <w:t xml:space="preserve"> a également noté que, </w:t>
      </w:r>
      <w:r>
        <w:t xml:space="preserve">bien qu’elle n’ait </w:t>
      </w:r>
      <w:r w:rsidRPr="000716B4">
        <w:t xml:space="preserve">pas compétence pour évaluer </w:t>
      </w:r>
      <w:r>
        <w:t xml:space="preserve">dans quelle mesure </w:t>
      </w:r>
      <w:r w:rsidRPr="000716B4">
        <w:t xml:space="preserve">le législateur </w:t>
      </w:r>
      <w:r>
        <w:t>a réussi à traduire les obligations découlant des d</w:t>
      </w:r>
      <w:r w:rsidRPr="000716B4">
        <w:t>irective</w:t>
      </w:r>
      <w:r>
        <w:t>s dans des formulations claires énoncées</w:t>
      </w:r>
      <w:r w:rsidRPr="000716B4">
        <w:t xml:space="preserve"> dans la loi, il est évident à première vue que </w:t>
      </w:r>
      <w:r>
        <w:t xml:space="preserve">l’obligation incombant au </w:t>
      </w:r>
      <w:r w:rsidRPr="000716B4">
        <w:t xml:space="preserve">plaignant de présenter au tribunal </w:t>
      </w:r>
      <w:r>
        <w:t>d</w:t>
      </w:r>
      <w:r w:rsidRPr="000716B4">
        <w:t>es faits attestant qu</w:t>
      </w:r>
      <w:r>
        <w:t>’</w:t>
      </w:r>
      <w:r w:rsidRPr="000716B4">
        <w:t>il y a eu discrimination n</w:t>
      </w:r>
      <w:r>
        <w:t>’</w:t>
      </w:r>
      <w:r w:rsidRPr="000716B4">
        <w:t xml:space="preserve">est pas exprimée de manière suffisamment </w:t>
      </w:r>
      <w:r>
        <w:t xml:space="preserve">claire </w:t>
      </w:r>
      <w:r w:rsidRPr="000716B4">
        <w:t xml:space="preserve">dans la version actuelle de </w:t>
      </w:r>
      <w:r>
        <w:t xml:space="preserve">l’article </w:t>
      </w:r>
      <w:r w:rsidRPr="000716B4">
        <w:t>133</w:t>
      </w:r>
      <w:r>
        <w:t>a</w:t>
      </w:r>
      <w:r w:rsidRPr="000716B4">
        <w:t xml:space="preserve"> du </w:t>
      </w:r>
      <w:r>
        <w:t>Code</w:t>
      </w:r>
      <w:r w:rsidRPr="000716B4">
        <w:t xml:space="preserve"> de procédure civile. Le</w:t>
      </w:r>
      <w:r>
        <w:t xml:space="preserve">dit Code </w:t>
      </w:r>
      <w:r w:rsidRPr="000716B4">
        <w:t>a ensuite été modifié par la loi antidiscrimination, de sorte que le principe de partage de la charge de la preuve est désormais parfaitement compréhensible</w:t>
      </w:r>
      <w:r>
        <w:rPr>
          <w:rStyle w:val="FootnoteReference"/>
        </w:rPr>
        <w:footnoteReference w:id="71"/>
      </w:r>
      <w:r>
        <w:t>.</w:t>
      </w:r>
    </w:p>
    <w:p w:rsidR="003F172D" w:rsidRDefault="003F172D" w:rsidP="003F172D">
      <w:pPr>
        <w:pStyle w:val="SingleTxtG"/>
      </w:pPr>
      <w:r>
        <w:t>117.</w:t>
      </w:r>
      <w:r>
        <w:tab/>
        <w:t>En 2006, un nouveau Code du travail</w:t>
      </w:r>
      <w:r>
        <w:rPr>
          <w:rStyle w:val="FootnoteReference"/>
        </w:rPr>
        <w:footnoteReference w:id="72"/>
      </w:r>
      <w:r>
        <w:t xml:space="preserve"> a été adopté, qui dispose qu’un employeur doit garantir l’égalité de traitement entre ses employés et respecter l’interdiction de toute discrimination à leur encontre. Cette disposition est l’un des principes fondamentaux régissant les relations de travail</w:t>
      </w:r>
      <w:r>
        <w:rPr>
          <w:rStyle w:val="FootnoteReference"/>
        </w:rPr>
        <w:footnoteReference w:id="73"/>
      </w:r>
      <w:r>
        <w:t>. Les employeurs sont tenus de garantir l’égalité de traitement de tous les employés en ce qui concerne leurs conditions de travail, la rémunération du travail et autres formes de rémunération en nature ou en espèces, la formation et les possibilités de promotion ou autres formes d’avancement professionnel. Toute discrimination est interdite dans les relations de travail. Une différence de traitement n’est pas considérée comme une discrimination s’il ressort de la nature des activités professionnelles qu’elle est un critère essentiel à l’accomplissement du travail, étant entendu que l’objectif de par cette exception doit être légitime et le critère proportionné. Les moyens légaux de protection contre la discrimination dans les relations de travail sont régis par la loi antidiscrimination.</w:t>
      </w:r>
    </w:p>
    <w:p w:rsidR="003F172D" w:rsidRDefault="003F172D" w:rsidP="003F172D">
      <w:pPr>
        <w:pStyle w:val="SingleTxtG"/>
      </w:pPr>
      <w:r>
        <w:t>118.</w:t>
      </w:r>
      <w:r>
        <w:tab/>
        <w:t>La loi sur l’emploi</w:t>
      </w:r>
      <w:r>
        <w:rPr>
          <w:rStyle w:val="FootnoteReference"/>
        </w:rPr>
        <w:footnoteReference w:id="74"/>
      </w:r>
      <w:r>
        <w:t xml:space="preserve"> dispose que la violation de l’interdiction de la discrimination est une infraction entraînant une amende d’un montant pouvant atteindre 1 million de couronnes tchèques. La loi interdit la publication d’offres d’emploi discriminatoires ou contraires à la morale; les employés ne peuvent exiger des informations personnelles, sauf pour respecter des obligations imposées par une législation spéciale. </w:t>
      </w:r>
    </w:p>
    <w:p w:rsidR="003F172D" w:rsidRDefault="003F172D" w:rsidP="003F172D">
      <w:pPr>
        <w:pStyle w:val="SingleTxtG"/>
      </w:pPr>
      <w:r>
        <w:t>119.</w:t>
      </w:r>
      <w:r>
        <w:tab/>
        <w:t>La loi relative à la fonction publique</w:t>
      </w:r>
      <w:r>
        <w:rPr>
          <w:rStyle w:val="FootnoteReference"/>
        </w:rPr>
        <w:footnoteReference w:id="75"/>
      </w:r>
      <w:r>
        <w:t xml:space="preserve"> impose l’obligation d’accorder un égal traitement à tous les fonctionnaires et interdit de pratiquer la discrimination dans les relations de travail pour des motifs divers. La loi réglemente expressément en outre le droit des victimes d’un comportement discriminatoire de chercher à obtenir la cessation de la discrimination, la réparation de ses conséquences et le droit d’obtenir satisfaction dans la mesure du raisonnable.</w:t>
      </w:r>
    </w:p>
    <w:p w:rsidR="003F172D" w:rsidRDefault="003F172D" w:rsidP="003F172D">
      <w:pPr>
        <w:pStyle w:val="SingleTxtG"/>
      </w:pPr>
      <w:r>
        <w:t>120.</w:t>
      </w:r>
      <w:r>
        <w:tab/>
        <w:t>La loi sur les services des membres des forces de sécurité</w:t>
      </w:r>
      <w:r>
        <w:rPr>
          <w:rStyle w:val="FootnoteReference"/>
        </w:rPr>
        <w:footnoteReference w:id="76"/>
      </w:r>
      <w:r>
        <w:t xml:space="preserve"> interdit, la pratique, durant l’exercice de leurs fonctions, de toute discrimination, directe ou indirecte, aux motifs du sexe, de l’orientation sexuelle, de la langue, de la religion ou de la croyance, des opinions politiques ou autres, de l’adhésion à des syndicats et autres associations, de la famille, de la race, de la couleur, de l’origine nationale, ethnique ou sociale, etc. </w:t>
      </w:r>
    </w:p>
    <w:p w:rsidR="003F172D" w:rsidRDefault="003F172D" w:rsidP="003F172D">
      <w:pPr>
        <w:pStyle w:val="SingleTxtG"/>
      </w:pPr>
      <w:r>
        <w:t>121.</w:t>
      </w:r>
      <w:r>
        <w:tab/>
        <w:t>Une modification importante</w:t>
      </w:r>
      <w:r>
        <w:rPr>
          <w:rStyle w:val="FootnoteReference"/>
        </w:rPr>
        <w:footnoteReference w:id="77"/>
      </w:r>
      <w:r>
        <w:t xml:space="preserve"> à la loi sur l’école</w:t>
      </w:r>
      <w:r>
        <w:rPr>
          <w:rStyle w:val="FootnoteReference"/>
        </w:rPr>
        <w:footnoteReference w:id="78"/>
      </w:r>
      <w:r>
        <w:t xml:space="preserve"> garantit aux élèves ayant l’âge de la scolarisation obligatoire l’égalité d’accès aux écoles primaires et au premier cycle des collèges et des conservatoires, à l’enseignement de base, aux repas et aux services scolaires. Cette égalité d’accès est garantie à tous les enfants indépendamment de leur pays d’origine, même lorsque rien ne prouve qu’ils se trouvent légalement en République tchèque.</w:t>
      </w:r>
    </w:p>
    <w:p w:rsidR="003F172D" w:rsidRDefault="003F172D" w:rsidP="003F172D">
      <w:pPr>
        <w:pStyle w:val="SingleTxtG"/>
      </w:pPr>
      <w:r>
        <w:t>122.</w:t>
      </w:r>
      <w:r>
        <w:tab/>
        <w:t>Le nouveau Code de procédure administrative</w:t>
      </w:r>
      <w:r>
        <w:rPr>
          <w:rStyle w:val="FootnoteReference"/>
        </w:rPr>
        <w:footnoteReference w:id="79"/>
      </w:r>
      <w:r>
        <w:t xml:space="preserve"> pose le principe d’égalité dans l’administration publique</w:t>
      </w:r>
      <w:r>
        <w:rPr>
          <w:rStyle w:val="FootnoteReference"/>
        </w:rPr>
        <w:footnoteReference w:id="80"/>
      </w:r>
      <w:r>
        <w:t>. Le Code de procédure civile et le Code de procédure administrative</w:t>
      </w:r>
      <w:r>
        <w:rPr>
          <w:rStyle w:val="FootnoteReference"/>
        </w:rPr>
        <w:footnoteReference w:id="81"/>
      </w:r>
      <w:r>
        <w:t xml:space="preserve"> permettent aux parties qui affirment avoir subi une discrimination commise par un organe administratif de se faire représenter par une association civique pour obtenir une protection judiciaire.</w:t>
      </w:r>
    </w:p>
    <w:p w:rsidR="003F172D" w:rsidRDefault="003F172D" w:rsidP="003F172D">
      <w:pPr>
        <w:pStyle w:val="SingleTxtG"/>
      </w:pPr>
      <w:r>
        <w:t>123.</w:t>
      </w:r>
      <w:r>
        <w:tab/>
        <w:t>La discrimination raciale est également prévue par les dispositions de la loi sur les infractions contre la coexistence civile</w:t>
      </w:r>
      <w:r>
        <w:rPr>
          <w:rStyle w:val="FootnoteReference"/>
        </w:rPr>
        <w:footnoteReference w:id="82"/>
      </w:r>
      <w:r>
        <w:t>. Ces délits sont commis par ceux qui entravent ou empêchent tout membre d’une minorité nationale d’exercer les droits reconnus aux personnes appartenant aux minorités nationales; causent d’autres préjudices fondés sur l’appartenance à une minorité nationale ou sur l’origine ethnique; la race, la couleur, le sexe, l’orientation sexuelle, la langue, la croyance ou la religion, les opinions politiques ou autres; l’adhésion ou la participation à l’action d’un parti ou mouvement politique, de syndicats ou autres associations; sur l’origine sociale, le patrimoine, la naissance, l’état de santé ou le statut matrimonial ou familial. On a constaté une baisse du nombre des infractions de cette nature examinées par les organes de droit interne entre 2005 et 2008: 146 infractions de ce type ont été signalées en 2005, 127 en 2006, 55 en 2007 et 50 en 2008.</w:t>
      </w:r>
    </w:p>
    <w:p w:rsidR="003F172D" w:rsidRDefault="003F172D" w:rsidP="003F172D">
      <w:pPr>
        <w:pStyle w:val="H1G"/>
      </w:pPr>
      <w:r>
        <w:tab/>
      </w:r>
      <w:r>
        <w:tab/>
        <w:t>Article 7</w:t>
      </w:r>
    </w:p>
    <w:p w:rsidR="003F172D" w:rsidRPr="00352E0F" w:rsidRDefault="003F172D" w:rsidP="003F172D">
      <w:pPr>
        <w:pStyle w:val="H23G"/>
      </w:pPr>
      <w:r>
        <w:tab/>
      </w:r>
      <w:r>
        <w:tab/>
        <w:t>Rôle de l’État dans l’éducation contre la discrimination raciale</w:t>
      </w:r>
    </w:p>
    <w:p w:rsidR="003F172D" w:rsidRDefault="003F172D" w:rsidP="003F172D">
      <w:pPr>
        <w:pStyle w:val="SingleTxtG"/>
      </w:pPr>
      <w:r>
        <w:t>124.</w:t>
      </w:r>
      <w:r>
        <w:tab/>
        <w:t>La formation continue du personnel enseignant joue un rôle important dans l’éducation contre la discrimination raciale et l’intolérance. La communication en temps utile d’informations issues des travaux universitaires et des séminaires sur l’apprentissage des bons comportements ainsi que des ateliers expérimentaux est importante. Le Ministère de l’éducation, de la jeunesse et des sports dirige un programme visant à promouvoir l’enseignement dans les langues minoritaires et l’enseignement multiculturel</w:t>
      </w:r>
      <w:r>
        <w:rPr>
          <w:rStyle w:val="FootnoteReference"/>
        </w:rPr>
        <w:footnoteReference w:id="83"/>
      </w:r>
      <w:r>
        <w:t>, axés sur l’élaboration de programmes éducatifs et de documents pédagogiques pour l’éducation des minorités, permettant d’étudier l’histoire et la culture d’autres nations, d’enseigner la citoyenneté démocratique, d’encourager la tolérance mutuelle et de lutter contre l’intolérance raciale et ethnique, la xénophobie et l’antisémitisme</w:t>
      </w:r>
      <w:r>
        <w:rPr>
          <w:rStyle w:val="FootnoteReference"/>
        </w:rPr>
        <w:footnoteReference w:id="84"/>
      </w:r>
      <w:r>
        <w:t>.</w:t>
      </w:r>
    </w:p>
    <w:p w:rsidR="003F172D" w:rsidRDefault="003F172D" w:rsidP="003F172D">
      <w:pPr>
        <w:pStyle w:val="SingleTxtG"/>
      </w:pPr>
      <w:r>
        <w:t>125.</w:t>
      </w:r>
      <w:r>
        <w:tab/>
        <w:t>Le Ministère de l’éducation, de la jeunesse et des sports accorde et retire son agrément à des manuels scolaires et des documents pédagogiques utilisés dans l’enseignement primaire et secondaire en évaluant leur conformité aux objectifs éducatifs fixés par la loi, les programmes-cadres d’enseignement et la législation. La publication «Étude et analyse de l’identité culturelle et de la diversité dans les manuels d’histoire» (</w:t>
      </w:r>
      <w:r w:rsidRPr="008930E4">
        <w:rPr>
          <w:i/>
          <w:iCs/>
          <w:lang w:val="cs-CZ"/>
        </w:rPr>
        <w:t>Sondy a analýzy ke kulturní identitě a rozdílnosti, učebnice dějepisu</w:t>
      </w:r>
      <w:r>
        <w:t>) a été produite en 2008. Elle contribue à améliorer la qualité des manuels scolaires. Son but est de fournir aux enseignants les informations dont ils ont besoin pour choisir les meilleurs manuels et les plus adaptés, et d’apporter aux éditeurs, critiques et auteurs de manuels les renseignements dont ils ont besoin pour élaborer et examiner les manuels. Une partie de la publication est consacrée au traitement des questions roms et juives dans les livres d’histoire. En plus des objectifs susmentionnés, la publication a pour but d’améliorer l’enseignement scolaire conformément aux programmes-cadres d’enseignement.</w:t>
      </w:r>
    </w:p>
    <w:p w:rsidR="003F172D" w:rsidRDefault="003F172D" w:rsidP="003F172D">
      <w:pPr>
        <w:pStyle w:val="SingleTxtG"/>
      </w:pPr>
      <w:r>
        <w:t>126.</w:t>
      </w:r>
      <w:r>
        <w:tab/>
        <w:t>Le système de formation des policiers tchèques est géré par le Département de l’éducation et de l’administration de la formation de la police au Ministère de l’intérieur. La formation de la police est assurée par cinq écoles ayant le statut d’«écoles de police postsecondaires» à Prague, Brno, Jihlava, Pardubice et Holešov, et par un établissement d’enseignement spécialisé, à Prague-Ruzyně, le nombre total de diplômés pour l’ensemble des formations proposées étant d’environ 10 000 par an (416 enseignants). L’Académie de police de la République tchèque est un établissement d’enseignement supérieur qui offre un programme d’études menant à la licence en «Études de sécurité et de droit appliqué» et en «Gestion de la sécurité», et propose des formations menant à la maîtrise et au doctorat. La Police tchèque dispose également de huit centres d’études et de quatre centres de formation. La République tchèque compte 542 instructeurs. Les écoles offrent une formation professionnelle de base, un programme de spécialisation des policiers ainsi qu’une formation professionnelle secondaire et postsecondaire complète. Dans une certaine mesure, elles assurent la formation des employés de la Police tchèque et du Ministère de l’intérieur. Elles offrent des cours de langues aux policiers ainsi que d’autres types de formation.</w:t>
      </w:r>
    </w:p>
    <w:p w:rsidR="003F172D" w:rsidRDefault="003F172D" w:rsidP="003F172D">
      <w:pPr>
        <w:pStyle w:val="SingleTxtG"/>
      </w:pPr>
      <w:r>
        <w:t>127.</w:t>
      </w:r>
      <w:r>
        <w:tab/>
        <w:t>Les principes de base du système de formation de la police sont l’égalité d’accès de tous les policiers aux formations et la conformité du contenu, de la forme et des méthodes de formation aux critères obligatoires et objectifs applicables aux activités propres à leur fonction. Parmi les compétences que peuvent acquérir les policiers suivant la formation professionnelle de base figurent les suivantes: assurer la conformité aux lois et règles de conduite, respecter les droits et la spécificité des autres, agir conformément à la morale, contribuer aux valeurs de la démocratie, rester conscient − dans un cadre pluraliste − de sa propre identité culturelle, nationale et personnelle tout en manifestant une tolérance active à l’égard de l’identité d’autrui, etc. Les programmes de formation sont élaborés en s’inspirant du profil du diplômé définissant précisément les compétences (connaissances, compétences, attitudes, habitudes) exigées des fonctionnaires de police.</w:t>
      </w:r>
    </w:p>
    <w:p w:rsidR="003F172D" w:rsidRDefault="003F172D" w:rsidP="003F172D">
      <w:pPr>
        <w:pStyle w:val="SingleTxtG"/>
      </w:pPr>
      <w:r>
        <w:t>128.</w:t>
      </w:r>
      <w:r>
        <w:tab/>
        <w:t>Le Ministère de la défense a élaboré un «Concept pour la formation du personnel du Ministère de la défense, élaboration et développement de l’enseignement militaire 2006-2011» et des «Directives concernant l’organisation des écoles militaires» sont approuvées pour chaque année scolaire/universitaire. Ce document obligatoire comprend les «Directives pour les écoles et les établissements d’enseignement du Ministère de la défense sur la protection des droits de l’homme, la prévention des phénomènes sociaux indésirables et l’égalité des chances».</w:t>
      </w:r>
    </w:p>
    <w:p w:rsidR="003F172D" w:rsidRDefault="003F172D" w:rsidP="003F172D">
      <w:pPr>
        <w:pStyle w:val="SingleTxtG"/>
      </w:pPr>
      <w:r>
        <w:t>129.</w:t>
      </w:r>
      <w:r>
        <w:tab/>
        <w:t>L’Université de la défense de Brno a intégré de manière systématique des thèmes liés à la discrimination raciale dans l’enseignement des militaires de carrière dans la documentation didactique agréée utilisée en psychologie appliquée et dans la formation des adultes. Les étudiants ont étudié la question des minorités ethniques, du racisme et de la xénophobie dans des cours théoriques relatifs à la sociologie et au droit, dans le cadre de 90 à 120 leçons réparties entre les différents domaines d’étude. Cette question a également été intégrée au cours de communication, de gestion des ressources humaines et de gestion militaire. À l’École militaire secondaire et à l’École professionnelle postsecondaire du Ministère de la défense de Moravská Třebová, la question des minorités ethniques (leur situation sociale, leurs traditions et leur culture) est intégrée à l’enseignement des sciences humaines, en troisième année. Le module «Rudiments de psychologie sociale et de sociologie» a permis de traiter les sujets suivants: «statut social, rôles et normes», «classification des groupes sociaux», «problèmes de société, inégalités et pouvoir» et «culture sociale».</w:t>
      </w:r>
    </w:p>
    <w:p w:rsidR="003F172D" w:rsidRDefault="003F172D" w:rsidP="003F172D">
      <w:pPr>
        <w:pStyle w:val="SingleTxtG"/>
      </w:pPr>
      <w:r>
        <w:t>130.</w:t>
      </w:r>
      <w:r>
        <w:tab/>
        <w:t xml:space="preserve">Dans le cadre des mesures de prévention primaires, l’accent a été mis sur l’éducation des présidents et responsables des méthodes des comités pour la prévention des phénomènes sociaux indésirables. Dans leur formation figurait une série de cours sur le racisme et ses manifestations dans la société. En tout, plus de 400 présidents et responsables des méthodes de ces comités ont reçu une formation à la prévention primaire dans des établissements et unités militaires. </w:t>
      </w:r>
    </w:p>
    <w:p w:rsidR="003F172D" w:rsidRDefault="003F172D" w:rsidP="003F172D">
      <w:pPr>
        <w:pStyle w:val="SingleTxtG"/>
      </w:pPr>
      <w:r>
        <w:t>131.</w:t>
      </w:r>
      <w:r>
        <w:tab/>
        <w:t>La question de la protection des droits de l’homme, s’agissant des minorités nationales, est abordée dans le cadre de la formation des militaires tchèques (deux leçons) déployés dans des opérations militaires à l’étranger. Une formation similaire a également été fournie à des militaires et au personnel civil dans le cadre de la formation militaire dispensée dans différents services du Ministère de la défense, et de la formation au commandement et aux activités opérationnelles.</w:t>
      </w:r>
    </w:p>
    <w:p w:rsidR="003F172D" w:rsidRDefault="003F172D" w:rsidP="003F172D">
      <w:pPr>
        <w:pStyle w:val="SingleTxtG"/>
      </w:pPr>
      <w:r>
        <w:t>132.</w:t>
      </w:r>
      <w:r>
        <w:tab/>
        <w:t xml:space="preserve">Deux séminaires ont été organisés à l’Université de la défense à Brno en 2007 sur la question complexe de la protection des droits de l’homme et de l’éducation. Ils étaient consacrés aux questions suivantes: «protection des droits de l’homme des minorités nationales au Ministère de la défense», «prévention des phénomènes sociaux indésirables et égalité des chances», «formation et éducation aux droits de l’homme de groupes cibles de personnels civils et militaires» et «mise en œuvre de mesures dans le domaine de l’enseignement des droits de l’homme (projet à long terme)». Ces séminaires avaient pour but de familiariser les participants (des représentants de l’Inspection du Ministère de la défense, de la police militaire, de l’armée tchèque et de l’enseignement militaire) à la mise en œuvre actuelle de questions globales liées à la protection des droits de l’homme dans le secteur de la défense, d’harmoniser les points de vue sur la manière de procéder dans ce domaine et de préciser les directives et principes généraux concernant l’application de cette question au système d’enseignement et de formation des employés du Ministère de la défense. </w:t>
      </w:r>
    </w:p>
    <w:p w:rsidR="003F172D" w:rsidRDefault="003F172D" w:rsidP="003F172D">
      <w:pPr>
        <w:pStyle w:val="SingleTxtG"/>
      </w:pPr>
      <w:r>
        <w:t>133.</w:t>
      </w:r>
      <w:r>
        <w:tab/>
        <w:t>La formation et le perfectionnement des juges et des juges stagiaires est assurée en République tchèque par l’Académie Kroměříž de magistrature pour la justice, qui dépend du Ministère de la justice. La formation s’effectue sous forme de séminaires, qui traitent de tous les domaines du droit. Le droit pénal fait l’objet d’un séminaire sur les mineurs non accompagnés demandeurs d’asile et les étrangers; les crimes racistes, l’extrémisme et la violence domestique; les crimes racistes, le racisme, la discrimination raciale et la xénophobie, et d’une table ronde sur la «Formation des magistrats aux droits de l’homme fondamentaux et les méthodes pour l’analyse des arrêts de la Cour européenne des droits de l’homme».</w:t>
      </w:r>
    </w:p>
    <w:p w:rsidR="003F172D" w:rsidRPr="00D15A00" w:rsidRDefault="003F172D" w:rsidP="003F172D">
      <w:pPr>
        <w:pStyle w:val="SingleTxtG"/>
        <w:spacing w:before="240" w:after="0"/>
        <w:jc w:val="center"/>
        <w:rPr>
          <w:u w:val="single"/>
        </w:rPr>
      </w:pPr>
      <w:r>
        <w:rPr>
          <w:u w:val="single"/>
        </w:rPr>
        <w:tab/>
      </w:r>
      <w:r>
        <w:rPr>
          <w:u w:val="single"/>
        </w:rPr>
        <w:tab/>
      </w:r>
      <w:r>
        <w:rPr>
          <w:u w:val="single"/>
        </w:rPr>
        <w:tab/>
      </w:r>
    </w:p>
    <w:p w:rsidR="00C62601" w:rsidRPr="000A1873" w:rsidRDefault="00C62601" w:rsidP="00B54728">
      <w:pPr>
        <w:pStyle w:val="SingleTxtG"/>
      </w:pPr>
    </w:p>
    <w:sectPr w:rsidR="00C62601" w:rsidRPr="000A1873" w:rsidSect="000A187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53F" w:rsidRDefault="0068053F"/>
  </w:endnote>
  <w:endnote w:type="continuationSeparator" w:id="0">
    <w:p w:rsidR="0068053F" w:rsidRDefault="0068053F"/>
  </w:endnote>
  <w:endnote w:type="continuationNotice" w:id="1">
    <w:p w:rsidR="0068053F" w:rsidRDefault="00680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B8D" w:rsidRPr="000A1873" w:rsidRDefault="00963B8D" w:rsidP="000A1873">
    <w:pPr>
      <w:pStyle w:val="Footer"/>
      <w:tabs>
        <w:tab w:val="right" w:pos="9638"/>
      </w:tabs>
    </w:pPr>
    <w:r w:rsidRPr="000A1873">
      <w:rPr>
        <w:b/>
        <w:sz w:val="18"/>
      </w:rPr>
      <w:fldChar w:fldCharType="begin"/>
    </w:r>
    <w:r w:rsidRPr="000A1873">
      <w:rPr>
        <w:b/>
        <w:sz w:val="18"/>
      </w:rPr>
      <w:instrText xml:space="preserve"> PAGE  \* MERGEFORMAT </w:instrText>
    </w:r>
    <w:r w:rsidRPr="000A1873">
      <w:rPr>
        <w:b/>
        <w:sz w:val="18"/>
      </w:rPr>
      <w:fldChar w:fldCharType="separate"/>
    </w:r>
    <w:r w:rsidR="0030463A">
      <w:rPr>
        <w:b/>
        <w:noProof/>
        <w:sz w:val="18"/>
      </w:rPr>
      <w:t>2</w:t>
    </w:r>
    <w:r w:rsidRPr="000A1873">
      <w:rPr>
        <w:b/>
        <w:sz w:val="18"/>
      </w:rPr>
      <w:fldChar w:fldCharType="end"/>
    </w:r>
    <w:r>
      <w:rPr>
        <w:b/>
        <w:sz w:val="18"/>
      </w:rPr>
      <w:tab/>
    </w:r>
    <w:r>
      <w:t>GE.10-44168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B8D" w:rsidRPr="000A1873" w:rsidRDefault="00963B8D" w:rsidP="000A1873">
    <w:pPr>
      <w:pStyle w:val="Footer"/>
      <w:tabs>
        <w:tab w:val="right" w:pos="9638"/>
      </w:tabs>
      <w:rPr>
        <w:b/>
        <w:sz w:val="18"/>
      </w:rPr>
    </w:pPr>
    <w:r>
      <w:t>GE.10-44168</w:t>
    </w:r>
    <w:r>
      <w:tab/>
    </w:r>
    <w:r w:rsidRPr="000A1873">
      <w:rPr>
        <w:b/>
        <w:sz w:val="18"/>
      </w:rPr>
      <w:fldChar w:fldCharType="begin"/>
    </w:r>
    <w:r w:rsidRPr="000A1873">
      <w:rPr>
        <w:b/>
        <w:sz w:val="18"/>
      </w:rPr>
      <w:instrText xml:space="preserve"> PAGE  \* MERGEFORMAT </w:instrText>
    </w:r>
    <w:r w:rsidRPr="000A1873">
      <w:rPr>
        <w:b/>
        <w:sz w:val="18"/>
      </w:rPr>
      <w:fldChar w:fldCharType="separate"/>
    </w:r>
    <w:r w:rsidR="0030463A">
      <w:rPr>
        <w:b/>
        <w:noProof/>
        <w:sz w:val="18"/>
      </w:rPr>
      <w:t>33</w:t>
    </w:r>
    <w:r w:rsidRPr="000A18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B8D" w:rsidRDefault="00963B8D">
    <w:pPr>
      <w:pStyle w:val="Footer"/>
    </w:pPr>
    <w:r>
      <w:rPr>
        <w:sz w:val="20"/>
      </w:rPr>
      <w:t>GE.10-44168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180311</w:t>
    </w:r>
    <w:r w:rsidR="0096627F">
      <w:rPr>
        <w:sz w:val="20"/>
      </w:rPr>
      <w:t xml:space="preserve">    240311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53F" w:rsidRPr="00D27D5E" w:rsidRDefault="0068053F" w:rsidP="00D27D5E">
      <w:pPr>
        <w:tabs>
          <w:tab w:val="right" w:pos="2155"/>
        </w:tabs>
        <w:spacing w:after="80"/>
        <w:ind w:left="680"/>
        <w:rPr>
          <w:u w:val="single"/>
        </w:rPr>
      </w:pPr>
      <w:r>
        <w:rPr>
          <w:u w:val="single"/>
        </w:rPr>
        <w:tab/>
      </w:r>
    </w:p>
  </w:footnote>
  <w:footnote w:type="continuationSeparator" w:id="0">
    <w:p w:rsidR="0068053F" w:rsidRPr="00AA7FE7" w:rsidRDefault="0068053F" w:rsidP="00AA7FE7">
      <w:pPr>
        <w:tabs>
          <w:tab w:val="right" w:pos="2155"/>
        </w:tabs>
        <w:spacing w:after="80"/>
        <w:ind w:left="680"/>
        <w:rPr>
          <w:u w:val="single"/>
        </w:rPr>
      </w:pPr>
      <w:r w:rsidRPr="00AA7FE7">
        <w:rPr>
          <w:u w:val="single"/>
        </w:rPr>
        <w:tab/>
      </w:r>
    </w:p>
  </w:footnote>
  <w:footnote w:type="continuationNotice" w:id="1">
    <w:p w:rsidR="0068053F" w:rsidRDefault="0068053F"/>
  </w:footnote>
  <w:footnote w:id="2">
    <w:p w:rsidR="00963B8D" w:rsidRPr="007E2BC5" w:rsidRDefault="00963B8D">
      <w:pPr>
        <w:pStyle w:val="FootnoteText"/>
      </w:pPr>
      <w:r>
        <w:tab/>
      </w:r>
      <w:r w:rsidRPr="007E2BC5">
        <w:rPr>
          <w:rStyle w:val="FootnoteReference"/>
          <w:sz w:val="20"/>
          <w:vertAlign w:val="baseline"/>
        </w:rPr>
        <w:t>*</w:t>
      </w:r>
      <w:r>
        <w:rPr>
          <w:sz w:val="20"/>
        </w:rPr>
        <w:tab/>
      </w:r>
      <w:r>
        <w:t>Le présent document contient les huitième et neuvième rapports périodiques de la République tchèque, qui étaient attendus le 1</w:t>
      </w:r>
      <w:r w:rsidRPr="00044E17">
        <w:rPr>
          <w:vertAlign w:val="superscript"/>
        </w:rPr>
        <w:t>er</w:t>
      </w:r>
      <w:r>
        <w:t xml:space="preserve"> janvier 2010. Pour les sixième et septième rapports périodiques et les comptes rendus analytiques des séances auxquelles le Comité a examiné ces rapports, voir les documents CERD/C/CZE/7 et CERD/C/SR.1804</w:t>
      </w:r>
      <w:r>
        <w:rPr>
          <w:vertAlign w:val="superscript"/>
        </w:rPr>
        <w:t xml:space="preserve"> </w:t>
      </w:r>
      <w:r>
        <w:t>et 1805.</w:t>
      </w:r>
    </w:p>
  </w:footnote>
  <w:footnote w:id="3">
    <w:p w:rsidR="00963B8D" w:rsidRPr="007E2BC5" w:rsidRDefault="00963B8D">
      <w:pPr>
        <w:pStyle w:val="FootnoteText"/>
      </w:pPr>
      <w:r>
        <w:tab/>
      </w:r>
      <w:r w:rsidRPr="007E2BC5">
        <w:rPr>
          <w:rStyle w:val="FootnoteReference"/>
          <w:sz w:val="20"/>
          <w:vertAlign w:val="baseline"/>
        </w:rPr>
        <w:t>**</w:t>
      </w:r>
      <w:r>
        <w:rPr>
          <w:sz w:val="20"/>
        </w:rPr>
        <w:tab/>
      </w:r>
      <w:r w:rsidRPr="004E1072">
        <w:rPr>
          <w:szCs w:val="18"/>
        </w:rPr>
        <w:t>Les annexes peuvent être consultées dans les dossiers du secrétariat.</w:t>
      </w:r>
    </w:p>
  </w:footnote>
  <w:footnote w:id="4">
    <w:p w:rsidR="00963B8D" w:rsidRPr="007E2BC5" w:rsidRDefault="00963B8D">
      <w:pPr>
        <w:pStyle w:val="FootnoteText"/>
      </w:pPr>
      <w:r>
        <w:tab/>
      </w:r>
      <w:r w:rsidRPr="007E2BC5">
        <w:rPr>
          <w:rStyle w:val="FootnoteReference"/>
          <w:sz w:val="20"/>
          <w:vertAlign w:val="baseline"/>
        </w:rPr>
        <w:t>***</w:t>
      </w:r>
      <w:r>
        <w:rPr>
          <w:sz w:val="20"/>
        </w:rPr>
        <w:tab/>
      </w:r>
      <w:r w:rsidRPr="004E1072">
        <w:rPr>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5">
    <w:p w:rsidR="00963B8D" w:rsidRDefault="00963B8D">
      <w:pPr>
        <w:pStyle w:val="FootnoteText"/>
      </w:pPr>
      <w:r>
        <w:tab/>
      </w:r>
      <w:r>
        <w:rPr>
          <w:rStyle w:val="FootnoteReference"/>
        </w:rPr>
        <w:footnoteRef/>
      </w:r>
      <w:r>
        <w:tab/>
        <w:t>République tchèque, Bulgarie, Croatie, Hongrie, Macédoine, Roumanie, Slovaquie, Serbie, Monténégro, Albanie, Bosnie-Herzégovine et Espagne.</w:t>
      </w:r>
    </w:p>
  </w:footnote>
  <w:footnote w:id="6">
    <w:p w:rsidR="00963B8D" w:rsidRDefault="00963B8D">
      <w:pPr>
        <w:pStyle w:val="FootnoteText"/>
      </w:pPr>
      <w:r>
        <w:tab/>
      </w:r>
      <w:r>
        <w:rPr>
          <w:rStyle w:val="FootnoteReference"/>
        </w:rPr>
        <w:footnoteRef/>
      </w:r>
      <w:r>
        <w:tab/>
        <w:t>Au titre des Conclusions du Conseil emploi, politique sociale, santé et consommateurs (EPSCO).</w:t>
      </w:r>
    </w:p>
  </w:footnote>
  <w:footnote w:id="7">
    <w:p w:rsidR="00963B8D" w:rsidRDefault="00963B8D">
      <w:pPr>
        <w:pStyle w:val="FootnoteText"/>
      </w:pPr>
      <w:r>
        <w:tab/>
      </w:r>
      <w:r>
        <w:rPr>
          <w:rStyle w:val="FootnoteReference"/>
        </w:rPr>
        <w:footnoteRef/>
      </w:r>
      <w:r>
        <w:tab/>
        <w:t>Convention internationale sur l’élimination de toutes les formes de discrimination raciale, Convention sur l’élimination de toutes les formes de discrimination à l’égard des femmes, Pacte international relatif aux droits civils et politiques, Pacte international relatif aux droits économiques, sociaux et culturels et Convention relative aux droits de l’enfant.</w:t>
      </w:r>
    </w:p>
  </w:footnote>
  <w:footnote w:id="8">
    <w:p w:rsidR="00963B8D" w:rsidRDefault="00963B8D">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198/2009 sur l’égalité de traitement et sur les moyens juridiques de prot</w:t>
      </w:r>
      <w:r w:rsidR="00B800BC">
        <w:t>ection contre la discrimination</w:t>
      </w:r>
      <w:r>
        <w:t xml:space="preserve"> </w:t>
      </w:r>
      <w:r w:rsidR="00B800BC">
        <w:t xml:space="preserve">portant modification de </w:t>
      </w:r>
      <w:r>
        <w:t xml:space="preserve">certaines lois. </w:t>
      </w:r>
    </w:p>
  </w:footnote>
  <w:footnote w:id="9">
    <w:p w:rsidR="00963B8D" w:rsidRDefault="00963B8D">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40/2009 portant modification du Code pénal. </w:t>
      </w:r>
    </w:p>
  </w:footnote>
  <w:footnote w:id="10">
    <w:p w:rsidR="00F67F17" w:rsidRDefault="00F67F17">
      <w:pPr>
        <w:pStyle w:val="FootnoteText"/>
      </w:pPr>
      <w:r>
        <w:tab/>
      </w:r>
      <w:r>
        <w:rPr>
          <w:rStyle w:val="FootnoteReference"/>
        </w:rPr>
        <w:footnoteRef/>
      </w:r>
      <w:r>
        <w:tab/>
        <w:t>L</w:t>
      </w:r>
      <w:r w:rsidR="00D45C04">
        <w:t>a fonction</w:t>
      </w:r>
      <w:r>
        <w:t xml:space="preserve"> de ministre des droits de l’homme a été </w:t>
      </w:r>
      <w:r w:rsidR="00A33219">
        <w:t>créée</w:t>
      </w:r>
      <w:r>
        <w:t xml:space="preserve"> par le G</w:t>
      </w:r>
      <w:r w:rsidR="00B443F9">
        <w:t>ouvernement tchèque en 2007. Il </w:t>
      </w:r>
      <w:r>
        <w:t>s’agit d’un ministre sans portefeuille.</w:t>
      </w:r>
    </w:p>
  </w:footnote>
  <w:footnote w:id="11">
    <w:p w:rsidR="00D87654" w:rsidRDefault="00D87654">
      <w:pPr>
        <w:pStyle w:val="FootnoteText"/>
      </w:pPr>
      <w:r>
        <w:tab/>
      </w:r>
      <w:r>
        <w:rPr>
          <w:rStyle w:val="FootnoteReference"/>
        </w:rPr>
        <w:footnoteRef/>
      </w:r>
      <w:r>
        <w:tab/>
        <w:t xml:space="preserve">Résolution du Gouvernement </w:t>
      </w:r>
      <w:r>
        <w:rPr>
          <w:rFonts w:eastAsia="MS Mincho"/>
        </w:rPr>
        <w:t>n</w:t>
      </w:r>
      <w:r>
        <w:rPr>
          <w:rFonts w:eastAsia="MS Mincho"/>
          <w:vertAlign w:val="superscript"/>
        </w:rPr>
        <w:t>o</w:t>
      </w:r>
      <w:r>
        <w:t xml:space="preserve"> 589</w:t>
      </w:r>
      <w:r w:rsidR="00AA0A88">
        <w:t>,</w:t>
      </w:r>
      <w:r>
        <w:t xml:space="preserve"> du 4 mai 2009. </w:t>
      </w:r>
    </w:p>
  </w:footnote>
  <w:footnote w:id="12">
    <w:p w:rsidR="004D42CE" w:rsidRDefault="004D42CE" w:rsidP="004D42CE">
      <w:pPr>
        <w:pStyle w:val="FootnoteText"/>
      </w:pPr>
      <w:r>
        <w:tab/>
      </w:r>
      <w:r>
        <w:rPr>
          <w:rStyle w:val="FootnoteReference"/>
        </w:rPr>
        <w:footnoteRef/>
      </w:r>
      <w:r>
        <w:tab/>
      </w:r>
      <w:r w:rsidRPr="002D0AB2">
        <w:t>Brno, Broumov, Břecla</w:t>
      </w:r>
      <w:r>
        <w:t>v, Holešov, Cheb, la microrégion de Jesenicko</w:t>
      </w:r>
      <w:r w:rsidRPr="002D0AB2">
        <w:t xml:space="preserve">, Most, Přerov, Roudnice nad Labem, Slezská Ostrava, </w:t>
      </w:r>
      <w:r>
        <w:t>la microrégion de Šluknovsko</w:t>
      </w:r>
      <w:r w:rsidRPr="002D0AB2">
        <w:t>, Ústí nad Labem</w:t>
      </w:r>
      <w:r>
        <w:t>.</w:t>
      </w:r>
    </w:p>
  </w:footnote>
  <w:footnote w:id="13">
    <w:p w:rsidR="004D42CE" w:rsidRDefault="004D42CE" w:rsidP="004D42CE">
      <w:pPr>
        <w:pStyle w:val="FootnoteText"/>
      </w:pPr>
      <w:r>
        <w:tab/>
      </w:r>
      <w:r>
        <w:rPr>
          <w:rStyle w:val="FootnoteReference"/>
        </w:rPr>
        <w:footnoteRef/>
      </w:r>
      <w:r>
        <w:tab/>
        <w:t xml:space="preserve">Loi </w:t>
      </w:r>
      <w:r w:rsidRPr="00C14D2A">
        <w:t>n</w:t>
      </w:r>
      <w:r w:rsidRPr="00C14D2A">
        <w:rPr>
          <w:vertAlign w:val="superscript"/>
        </w:rPr>
        <w:t>o</w:t>
      </w:r>
      <w:r>
        <w:t xml:space="preserve"> 198/2009 sur l’égalité de traitement et sur les mesures juridiques de protection contre la discrimination.</w:t>
      </w:r>
    </w:p>
  </w:footnote>
  <w:footnote w:id="14">
    <w:p w:rsidR="004D42CE" w:rsidRDefault="004D42CE" w:rsidP="004D42CE">
      <w:pPr>
        <w:pStyle w:val="FootnoteText"/>
      </w:pPr>
      <w:r>
        <w:tab/>
      </w:r>
      <w:r>
        <w:rPr>
          <w:rStyle w:val="FootnoteReference"/>
        </w:rPr>
        <w:footnoteRef/>
      </w:r>
      <w:r>
        <w:tab/>
        <w:t>Analyse des localités socialement exclues et des localités roms et capacités d’absorption des organisations actives dans ce domaine, Ministère du travail et des affaires sociales, 2006.</w:t>
      </w:r>
    </w:p>
  </w:footnote>
  <w:footnote w:id="15">
    <w:p w:rsidR="004D42CE" w:rsidRDefault="004D42CE" w:rsidP="004D42CE">
      <w:pPr>
        <w:pStyle w:val="FootnoteText"/>
      </w:pPr>
      <w:r>
        <w:tab/>
      </w:r>
      <w:r>
        <w:rPr>
          <w:rStyle w:val="FootnoteReference"/>
        </w:rPr>
        <w:footnoteRef/>
      </w:r>
      <w:r>
        <w:tab/>
        <w:t xml:space="preserve">Loi </w:t>
      </w:r>
      <w:r w:rsidRPr="00C14D2A">
        <w:t>n</w:t>
      </w:r>
      <w:r w:rsidRPr="00C14D2A">
        <w:rPr>
          <w:vertAlign w:val="superscript"/>
        </w:rPr>
        <w:t>o</w:t>
      </w:r>
      <w:r>
        <w:t xml:space="preserve"> 40/2009, telle que modifiée.</w:t>
      </w:r>
    </w:p>
  </w:footnote>
  <w:footnote w:id="16">
    <w:p w:rsidR="004D42CE" w:rsidRDefault="004D42CE" w:rsidP="004D42CE">
      <w:pPr>
        <w:pStyle w:val="FootnoteText"/>
      </w:pPr>
      <w:r>
        <w:tab/>
      </w:r>
      <w:r>
        <w:rPr>
          <w:rStyle w:val="FootnoteReference"/>
        </w:rPr>
        <w:footnoteRef/>
      </w:r>
      <w:r>
        <w:tab/>
        <w:t xml:space="preserve">Art. 196 de la loi </w:t>
      </w:r>
      <w:r w:rsidRPr="00C14D2A">
        <w:t>n</w:t>
      </w:r>
      <w:r w:rsidRPr="00C14D2A">
        <w:rPr>
          <w:vertAlign w:val="superscript"/>
        </w:rPr>
        <w:t>o</w:t>
      </w:r>
      <w:r>
        <w:t xml:space="preserve"> 140/1961, telle que modifiée (la loi pénale), art. 352 de la loi </w:t>
      </w:r>
      <w:r w:rsidRPr="00C14D2A">
        <w:t>n</w:t>
      </w:r>
      <w:r w:rsidRPr="00C14D2A">
        <w:rPr>
          <w:vertAlign w:val="superscript"/>
        </w:rPr>
        <w:t>o</w:t>
      </w:r>
      <w:r>
        <w:t xml:space="preserve"> 40/2009 (la nouvelle loi pénale).</w:t>
      </w:r>
    </w:p>
  </w:footnote>
  <w:footnote w:id="17">
    <w:p w:rsidR="004D42CE" w:rsidRDefault="004D42CE" w:rsidP="004D42CE">
      <w:pPr>
        <w:pStyle w:val="FootnoteText"/>
      </w:pPr>
      <w:r>
        <w:tab/>
      </w:r>
      <w:r>
        <w:rPr>
          <w:rStyle w:val="FootnoteReference"/>
        </w:rPr>
        <w:footnoteRef/>
      </w:r>
      <w:r>
        <w:tab/>
        <w:t>Art. 198 de la loi pénale.</w:t>
      </w:r>
    </w:p>
  </w:footnote>
  <w:footnote w:id="18">
    <w:p w:rsidR="004D42CE" w:rsidRDefault="004D42CE" w:rsidP="004D42CE">
      <w:pPr>
        <w:pStyle w:val="FootnoteText"/>
      </w:pPr>
      <w:r>
        <w:tab/>
      </w:r>
      <w:r>
        <w:rPr>
          <w:rStyle w:val="FootnoteReference"/>
        </w:rPr>
        <w:footnoteRef/>
      </w:r>
      <w:r>
        <w:tab/>
        <w:t>Art. 355 de la nouvelle loi pénale.</w:t>
      </w:r>
    </w:p>
  </w:footnote>
  <w:footnote w:id="19">
    <w:p w:rsidR="004D42CE" w:rsidRDefault="004D42CE" w:rsidP="004D42CE">
      <w:pPr>
        <w:pStyle w:val="FootnoteText"/>
      </w:pPr>
      <w:r>
        <w:tab/>
      </w:r>
      <w:r>
        <w:rPr>
          <w:rStyle w:val="FootnoteReference"/>
        </w:rPr>
        <w:footnoteRef/>
      </w:r>
      <w:r>
        <w:tab/>
        <w:t>Art. 259 de la loi pénale et art. 400 de la nouvelle loi pénale.</w:t>
      </w:r>
    </w:p>
  </w:footnote>
  <w:footnote w:id="20">
    <w:p w:rsidR="004D42CE" w:rsidRDefault="004D42CE" w:rsidP="004D42CE">
      <w:pPr>
        <w:pStyle w:val="FootnoteText"/>
      </w:pPr>
      <w:r>
        <w:tab/>
      </w:r>
      <w:r>
        <w:rPr>
          <w:rStyle w:val="FootnoteReference"/>
        </w:rPr>
        <w:footnoteRef/>
      </w:r>
      <w:r>
        <w:tab/>
        <w:t>Art. 260 de la loi pénale et art. 403 et 404 de la nouvelle loi pénale.</w:t>
      </w:r>
    </w:p>
  </w:footnote>
  <w:footnote w:id="21">
    <w:p w:rsidR="004D42CE" w:rsidRDefault="004D42CE" w:rsidP="004D42CE">
      <w:pPr>
        <w:pStyle w:val="FootnoteText"/>
      </w:pPr>
      <w:r>
        <w:tab/>
      </w:r>
      <w:r>
        <w:rPr>
          <w:rStyle w:val="FootnoteReference"/>
        </w:rPr>
        <w:footnoteRef/>
      </w:r>
      <w:r>
        <w:tab/>
        <w:t>Art. 380, 382 et 383 de la loi pénale.</w:t>
      </w:r>
    </w:p>
  </w:footnote>
  <w:footnote w:id="22">
    <w:p w:rsidR="004D42CE" w:rsidRDefault="004D42CE" w:rsidP="004D42CE">
      <w:pPr>
        <w:pStyle w:val="FootnoteText"/>
      </w:pPr>
      <w:r>
        <w:tab/>
      </w:r>
      <w:r>
        <w:rPr>
          <w:rStyle w:val="FootnoteReference"/>
        </w:rPr>
        <w:footnoteRef/>
      </w:r>
      <w:r>
        <w:tab/>
        <w:t>Par exemple les crimes de meurtre, blessures corporelles, détention, privation de liberté, torture, déportation, extorsion, détérioration intentionnelle de biens, etc.</w:t>
      </w:r>
    </w:p>
  </w:footnote>
  <w:footnote w:id="23">
    <w:p w:rsidR="004D42CE" w:rsidRDefault="004D42CE" w:rsidP="004D42CE">
      <w:pPr>
        <w:pStyle w:val="FootnoteText"/>
      </w:pPr>
      <w:r>
        <w:tab/>
      </w:r>
      <w:r>
        <w:rPr>
          <w:rStyle w:val="FootnoteReference"/>
        </w:rPr>
        <w:footnoteRef/>
      </w:r>
      <w:r>
        <w:tab/>
        <w:t xml:space="preserve">Les définitions tentent de répondre aux exigences de l’article 6, par. 2 c), du Statut du Tribunal </w:t>
      </w:r>
      <w:r w:rsidRPr="004D42CE">
        <w:rPr>
          <w:spacing w:val="-2"/>
        </w:rPr>
        <w:t xml:space="preserve">militaire </w:t>
      </w:r>
      <w:r w:rsidRPr="004D42CE">
        <w:rPr>
          <w:rFonts w:eastAsia="MS Mincho"/>
          <w:spacing w:val="-2"/>
        </w:rPr>
        <w:t>international</w:t>
      </w:r>
      <w:r w:rsidRPr="004D42CE">
        <w:rPr>
          <w:spacing w:val="-2"/>
        </w:rPr>
        <w:t xml:space="preserve"> (n</w:t>
      </w:r>
      <w:r w:rsidRPr="004D42CE">
        <w:rPr>
          <w:spacing w:val="-2"/>
          <w:vertAlign w:val="superscript"/>
        </w:rPr>
        <w:t>o</w:t>
      </w:r>
      <w:r w:rsidRPr="004D42CE">
        <w:rPr>
          <w:spacing w:val="-2"/>
        </w:rPr>
        <w:t xml:space="preserve"> 164/1947), de l’article 7, par. 1, du Statut de la Cour pénale </w:t>
      </w:r>
      <w:r w:rsidRPr="004D42CE">
        <w:rPr>
          <w:rFonts w:eastAsia="MS Mincho"/>
          <w:spacing w:val="-2"/>
        </w:rPr>
        <w:t>international</w:t>
      </w:r>
      <w:r w:rsidRPr="004D42CE">
        <w:rPr>
          <w:spacing w:val="-2"/>
        </w:rPr>
        <w:t xml:space="preserve">e, de l’article 5 du Statut du Tribunal pénal </w:t>
      </w:r>
      <w:r w:rsidRPr="004D42CE">
        <w:rPr>
          <w:rFonts w:eastAsia="MS Mincho"/>
          <w:spacing w:val="-2"/>
        </w:rPr>
        <w:t>international</w:t>
      </w:r>
      <w:r w:rsidRPr="004D42CE">
        <w:rPr>
          <w:spacing w:val="-2"/>
        </w:rPr>
        <w:t xml:space="preserve"> pour l’ex-Yougoslavie et de l’article 3 du Statut du Tribunal pénal </w:t>
      </w:r>
      <w:r w:rsidRPr="004D42CE">
        <w:rPr>
          <w:rFonts w:eastAsia="MS Mincho"/>
          <w:spacing w:val="-2"/>
        </w:rPr>
        <w:t>international</w:t>
      </w:r>
      <w:r w:rsidRPr="004D42CE">
        <w:rPr>
          <w:spacing w:val="-2"/>
        </w:rPr>
        <w:t xml:space="preserve"> pour le Rwanda, car les règles existantes sur le comportement criminel qui doit être considéré comme un crime contre l’humanité par le droit </w:t>
      </w:r>
      <w:r w:rsidRPr="004D42CE">
        <w:rPr>
          <w:rFonts w:eastAsia="MS Mincho"/>
          <w:spacing w:val="-2"/>
        </w:rPr>
        <w:t>international</w:t>
      </w:r>
      <w:r w:rsidRPr="004D42CE">
        <w:rPr>
          <w:spacing w:val="-2"/>
        </w:rPr>
        <w:t xml:space="preserve"> ont des lacunes.</w:t>
      </w:r>
    </w:p>
  </w:footnote>
  <w:footnote w:id="24">
    <w:p w:rsidR="004D42CE" w:rsidRDefault="004D42CE" w:rsidP="004D42CE">
      <w:pPr>
        <w:pStyle w:val="FootnoteText"/>
      </w:pPr>
      <w:r>
        <w:tab/>
      </w:r>
      <w:r>
        <w:rPr>
          <w:rStyle w:val="FootnoteReference"/>
        </w:rPr>
        <w:footnoteRef/>
      </w:r>
      <w:r>
        <w:tab/>
        <w:t xml:space="preserve">Loi </w:t>
      </w:r>
      <w:r w:rsidRPr="00C14D2A">
        <w:t>n</w:t>
      </w:r>
      <w:r w:rsidRPr="00C14D2A">
        <w:rPr>
          <w:vertAlign w:val="superscript"/>
        </w:rPr>
        <w:t>o</w:t>
      </w:r>
      <w:r>
        <w:t> 273/2008 sur la Police de la République tchèque.</w:t>
      </w:r>
    </w:p>
  </w:footnote>
  <w:footnote w:id="25">
    <w:p w:rsidR="004D42CE" w:rsidRDefault="004D42CE" w:rsidP="004D42CE">
      <w:pPr>
        <w:pStyle w:val="FootnoteText"/>
      </w:pPr>
      <w:r>
        <w:tab/>
      </w:r>
      <w:r>
        <w:rPr>
          <w:rStyle w:val="FootnoteReference"/>
        </w:rPr>
        <w:footnoteRef/>
      </w:r>
      <w:r>
        <w:tab/>
        <w:t>Conformément à</w:t>
      </w:r>
      <w:r w:rsidRPr="003261E6">
        <w:t xml:space="preserve"> la loi n</w:t>
      </w:r>
      <w:r w:rsidRPr="003261E6">
        <w:rPr>
          <w:vertAlign w:val="superscript"/>
        </w:rPr>
        <w:t>o</w:t>
      </w:r>
      <w:r w:rsidRPr="003261E6">
        <w:t xml:space="preserve"> 561/2004 sur l’enseignement préscolaire, primaire, secondaire, supérieur, professionnel et autres </w:t>
      </w:r>
      <w:r>
        <w:t>types d’</w:t>
      </w:r>
      <w:r w:rsidRPr="003261E6">
        <w:t>enseignement et à la nouvelle terminologie</w:t>
      </w:r>
      <w:r>
        <w:t xml:space="preserve">, les titulaires d’un </w:t>
      </w:r>
      <w:r w:rsidRPr="003261E6">
        <w:t xml:space="preserve">certificat professionnel </w:t>
      </w:r>
      <w:r>
        <w:t xml:space="preserve">de niveau primaire </w:t>
      </w:r>
      <w:r w:rsidRPr="003261E6">
        <w:t xml:space="preserve">sont des personnes qui ont </w:t>
      </w:r>
      <w:r>
        <w:t>acquis</w:t>
      </w:r>
      <w:r w:rsidRPr="003261E6">
        <w:t xml:space="preserve"> un certificat professionnel</w:t>
      </w:r>
      <w:r>
        <w:t xml:space="preserve"> à l’issue de l</w:t>
      </w:r>
      <w:r w:rsidRPr="003261E6">
        <w:t>eurs études secondaires</w:t>
      </w:r>
      <w:r>
        <w:t>,</w:t>
      </w:r>
      <w:r w:rsidRPr="003261E6">
        <w:t xml:space="preserve"> et </w:t>
      </w:r>
      <w:r>
        <w:t xml:space="preserve">on entend par </w:t>
      </w:r>
      <w:r w:rsidRPr="003261E6">
        <w:t xml:space="preserve">délinquants </w:t>
      </w:r>
      <w:r>
        <w:t xml:space="preserve">ayant fait des études </w:t>
      </w:r>
      <w:r w:rsidRPr="003261E6">
        <w:t>secondaire</w:t>
      </w:r>
      <w:r>
        <w:t>s</w:t>
      </w:r>
      <w:r w:rsidRPr="003261E6">
        <w:t xml:space="preserve"> des </w:t>
      </w:r>
      <w:r>
        <w:t xml:space="preserve">personnes qui ont subi un </w:t>
      </w:r>
      <w:r w:rsidRPr="003261E6">
        <w:t xml:space="preserve">examen de fin d’études </w:t>
      </w:r>
      <w:r>
        <w:t>à l’issue de leur scolarité secondaire −</w:t>
      </w:r>
      <w:r w:rsidRPr="003261E6">
        <w:t xml:space="preserve"> voir </w:t>
      </w:r>
      <w:r>
        <w:t>art</w:t>
      </w:r>
      <w:r w:rsidRPr="003261E6">
        <w:t>. 58 de la loi.</w:t>
      </w:r>
    </w:p>
  </w:footnote>
  <w:footnote w:id="26">
    <w:p w:rsidR="00AD3B8E" w:rsidRDefault="00AD3B8E" w:rsidP="00AD3B8E">
      <w:pPr>
        <w:pStyle w:val="FootnoteText"/>
      </w:pPr>
      <w:r>
        <w:tab/>
      </w:r>
      <w:r w:rsidRPr="00B43F53">
        <w:rPr>
          <w:rStyle w:val="FootnoteReference"/>
        </w:rPr>
        <w:footnoteRef/>
      </w:r>
      <w:r>
        <w:tab/>
        <w:t>Le 1</w:t>
      </w:r>
      <w:r w:rsidRPr="00335600">
        <w:rPr>
          <w:vertAlign w:val="superscript"/>
        </w:rPr>
        <w:t>er</w:t>
      </w:r>
      <w:r>
        <w:t xml:space="preserve"> novembre 2006.</w:t>
      </w:r>
    </w:p>
  </w:footnote>
  <w:footnote w:id="27">
    <w:p w:rsidR="00AD3B8E" w:rsidRDefault="00AD3B8E" w:rsidP="00AD3B8E">
      <w:pPr>
        <w:pStyle w:val="FootnoteText"/>
      </w:pPr>
      <w:r>
        <w:tab/>
      </w:r>
      <w:r w:rsidRPr="00B43F53">
        <w:rPr>
          <w:rStyle w:val="FootnoteReference"/>
        </w:rPr>
        <w:footnoteRef/>
      </w:r>
      <w:r>
        <w:tab/>
        <w:t>Une audition était prévue en janvier 2010.</w:t>
      </w:r>
    </w:p>
  </w:footnote>
  <w:footnote w:id="28">
    <w:p w:rsidR="00AD3B8E" w:rsidRPr="00FC7413" w:rsidRDefault="00AD3B8E" w:rsidP="00AD3B8E">
      <w:pPr>
        <w:pStyle w:val="FootnoteText"/>
        <w:rPr>
          <w:szCs w:val="18"/>
        </w:rPr>
      </w:pPr>
      <w:r w:rsidRPr="001B318B">
        <w:rPr>
          <w:sz w:val="24"/>
          <w:szCs w:val="24"/>
        </w:rPr>
        <w:tab/>
      </w:r>
      <w:r w:rsidRPr="00FC7413">
        <w:rPr>
          <w:rStyle w:val="FootnoteReference"/>
          <w:szCs w:val="18"/>
        </w:rPr>
        <w:footnoteRef/>
      </w:r>
      <w:r w:rsidRPr="00FC7413">
        <w:rPr>
          <w:szCs w:val="18"/>
        </w:rPr>
        <w:tab/>
        <w:t xml:space="preserve">Loi </w:t>
      </w:r>
      <w:r w:rsidRPr="00FC7413">
        <w:rPr>
          <w:rFonts w:eastAsia="MS Mincho"/>
          <w:szCs w:val="18"/>
        </w:rPr>
        <w:t>n</w:t>
      </w:r>
      <w:r w:rsidRPr="00FC7413">
        <w:rPr>
          <w:rFonts w:eastAsia="MS Mincho"/>
          <w:szCs w:val="18"/>
          <w:vertAlign w:val="superscript"/>
        </w:rPr>
        <w:t>o</w:t>
      </w:r>
      <w:r w:rsidRPr="00FC7413">
        <w:rPr>
          <w:szCs w:val="18"/>
        </w:rPr>
        <w:t> 273/2001 sur les droits des minorités nationales, telle que modifiée.</w:t>
      </w:r>
    </w:p>
  </w:footnote>
  <w:footnote w:id="29">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r>
      <w:r w:rsidRPr="00A07C4A">
        <w:rPr>
          <w:i/>
          <w:szCs w:val="18"/>
        </w:rPr>
        <w:t>Sources</w:t>
      </w:r>
      <w:r w:rsidRPr="00FC7413">
        <w:rPr>
          <w:szCs w:val="18"/>
        </w:rPr>
        <w:t>: Informations sur les demandes d</w:t>
      </w:r>
      <w:r>
        <w:rPr>
          <w:szCs w:val="18"/>
        </w:rPr>
        <w:t>’</w:t>
      </w:r>
      <w:r w:rsidRPr="00FC7413">
        <w:rPr>
          <w:szCs w:val="18"/>
        </w:rPr>
        <w:t xml:space="preserve">asile de citoyens tchèques au Canada, </w:t>
      </w:r>
      <w:r>
        <w:rPr>
          <w:szCs w:val="18"/>
        </w:rPr>
        <w:t xml:space="preserve">document </w:t>
      </w:r>
      <w:r w:rsidRPr="00FC7413">
        <w:rPr>
          <w:szCs w:val="18"/>
        </w:rPr>
        <w:t xml:space="preserve">de référence </w:t>
      </w:r>
      <w:r>
        <w:rPr>
          <w:szCs w:val="18"/>
        </w:rPr>
        <w:t xml:space="preserve">utilisé </w:t>
      </w:r>
      <w:r w:rsidRPr="00FC7413">
        <w:rPr>
          <w:szCs w:val="18"/>
        </w:rPr>
        <w:t>à la réunion du Conseil gouvernemental pour les affaires de la communauté rom, qui s</w:t>
      </w:r>
      <w:r>
        <w:rPr>
          <w:szCs w:val="18"/>
        </w:rPr>
        <w:t>’</w:t>
      </w:r>
      <w:r w:rsidRPr="00FC7413">
        <w:rPr>
          <w:szCs w:val="18"/>
        </w:rPr>
        <w:t>est déroulée le mardi 14 mars 2009</w:t>
      </w:r>
      <w:r>
        <w:rPr>
          <w:szCs w:val="18"/>
        </w:rPr>
        <w:t>,</w:t>
      </w:r>
      <w:r w:rsidRPr="00FC7413">
        <w:rPr>
          <w:szCs w:val="18"/>
        </w:rPr>
        <w:t xml:space="preserve"> et chiffres fournis au Conseil gouvernemental pour les affaires de la communauté rom par l</w:t>
      </w:r>
      <w:r>
        <w:rPr>
          <w:szCs w:val="18"/>
        </w:rPr>
        <w:t>’</w:t>
      </w:r>
      <w:r w:rsidRPr="00FC7413">
        <w:rPr>
          <w:szCs w:val="18"/>
        </w:rPr>
        <w:t xml:space="preserve">ambassade </w:t>
      </w:r>
      <w:r>
        <w:rPr>
          <w:szCs w:val="18"/>
        </w:rPr>
        <w:t xml:space="preserve">de la République </w:t>
      </w:r>
      <w:r w:rsidRPr="00FC7413">
        <w:rPr>
          <w:szCs w:val="18"/>
        </w:rPr>
        <w:t xml:space="preserve">tchèque à Ottawa. </w:t>
      </w:r>
    </w:p>
  </w:footnote>
  <w:footnote w:id="30">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Eu égard au nombre croissant de demandeurs d</w:t>
      </w:r>
      <w:r>
        <w:rPr>
          <w:szCs w:val="18"/>
        </w:rPr>
        <w:t>’</w:t>
      </w:r>
      <w:r w:rsidRPr="00FC7413">
        <w:rPr>
          <w:szCs w:val="18"/>
        </w:rPr>
        <w:t xml:space="preserve">asile, le Conseil canadien </w:t>
      </w:r>
      <w:r>
        <w:rPr>
          <w:szCs w:val="18"/>
        </w:rPr>
        <w:t>de</w:t>
      </w:r>
      <w:r w:rsidRPr="00FC7413">
        <w:rPr>
          <w:szCs w:val="18"/>
        </w:rPr>
        <w:t xml:space="preserve"> l</w:t>
      </w:r>
      <w:r>
        <w:rPr>
          <w:szCs w:val="18"/>
        </w:rPr>
        <w:t>’</w:t>
      </w:r>
      <w:r w:rsidRPr="00FC7413">
        <w:rPr>
          <w:szCs w:val="18"/>
        </w:rPr>
        <w:t xml:space="preserve">immigration et </w:t>
      </w:r>
      <w:r>
        <w:rPr>
          <w:szCs w:val="18"/>
        </w:rPr>
        <w:t>d</w:t>
      </w:r>
      <w:r w:rsidRPr="00FC7413">
        <w:rPr>
          <w:szCs w:val="18"/>
        </w:rPr>
        <w:t>es réfugiés a envoyé une mission d</w:t>
      </w:r>
      <w:r>
        <w:rPr>
          <w:szCs w:val="18"/>
        </w:rPr>
        <w:t>’étude</w:t>
      </w:r>
      <w:r w:rsidRPr="00FC7413">
        <w:rPr>
          <w:szCs w:val="18"/>
        </w:rPr>
        <w:t xml:space="preserve"> en République tchèque en mars 2009, </w:t>
      </w:r>
      <w:r>
        <w:rPr>
          <w:szCs w:val="18"/>
        </w:rPr>
        <w:t xml:space="preserve">en vue de </w:t>
      </w:r>
      <w:r w:rsidRPr="00FC7413">
        <w:rPr>
          <w:szCs w:val="18"/>
        </w:rPr>
        <w:t xml:space="preserve">recueillir des informations </w:t>
      </w:r>
      <w:r>
        <w:rPr>
          <w:szCs w:val="18"/>
        </w:rPr>
        <w:t xml:space="preserve">utiles pour les </w:t>
      </w:r>
      <w:r w:rsidRPr="00FC7413">
        <w:rPr>
          <w:szCs w:val="18"/>
        </w:rPr>
        <w:t xml:space="preserve">décisions concernant la situation des Roms et le traitement à leur </w:t>
      </w:r>
      <w:r>
        <w:rPr>
          <w:szCs w:val="18"/>
        </w:rPr>
        <w:t>appliquer</w:t>
      </w:r>
      <w:r w:rsidRPr="00FC7413">
        <w:rPr>
          <w:szCs w:val="18"/>
        </w:rPr>
        <w:t xml:space="preserve">. Au cours de la mission, qui a duré presque deux semaines, les chercheurs ont rencontré plusieurs </w:t>
      </w:r>
      <w:r>
        <w:rPr>
          <w:szCs w:val="18"/>
        </w:rPr>
        <w:t>représentants d’</w:t>
      </w:r>
      <w:r w:rsidRPr="00FC7413">
        <w:rPr>
          <w:szCs w:val="18"/>
        </w:rPr>
        <w:t>ONG et d</w:t>
      </w:r>
      <w:r>
        <w:rPr>
          <w:szCs w:val="18"/>
        </w:rPr>
        <w:t>’</w:t>
      </w:r>
      <w:r w:rsidRPr="00FC7413">
        <w:rPr>
          <w:szCs w:val="18"/>
        </w:rPr>
        <w:t>institutions publiques (Ministère de l</w:t>
      </w:r>
      <w:r>
        <w:rPr>
          <w:szCs w:val="18"/>
        </w:rPr>
        <w:t>’</w:t>
      </w:r>
      <w:r w:rsidRPr="00FC7413">
        <w:rPr>
          <w:szCs w:val="18"/>
        </w:rPr>
        <w:t xml:space="preserve">intérieur, Ministère du travail et des affaires sociales et </w:t>
      </w:r>
      <w:r>
        <w:rPr>
          <w:szCs w:val="18"/>
        </w:rPr>
        <w:t>B</w:t>
      </w:r>
      <w:r w:rsidRPr="00FC7413">
        <w:rPr>
          <w:szCs w:val="18"/>
        </w:rPr>
        <w:t>ureau du Ministre pour les droits de l</w:t>
      </w:r>
      <w:r>
        <w:rPr>
          <w:szCs w:val="18"/>
        </w:rPr>
        <w:t>’</w:t>
      </w:r>
      <w:r w:rsidRPr="00FC7413">
        <w:rPr>
          <w:szCs w:val="18"/>
        </w:rPr>
        <w:t>homme et les minorités).</w:t>
      </w:r>
    </w:p>
  </w:footnote>
  <w:footnote w:id="31">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 xml:space="preserve">Ces </w:t>
      </w:r>
      <w:r>
        <w:rPr>
          <w:szCs w:val="18"/>
        </w:rPr>
        <w:t xml:space="preserve">raisons ont été déterminées sur la base de conversations avec des </w:t>
      </w:r>
      <w:r w:rsidRPr="00FC7413">
        <w:rPr>
          <w:szCs w:val="18"/>
        </w:rPr>
        <w:t>Roms en Boh</w:t>
      </w:r>
      <w:r>
        <w:rPr>
          <w:szCs w:val="18"/>
        </w:rPr>
        <w:t>ê</w:t>
      </w:r>
      <w:r w:rsidRPr="00FC7413">
        <w:rPr>
          <w:szCs w:val="18"/>
        </w:rPr>
        <w:t>me et au Canada. D</w:t>
      </w:r>
      <w:r>
        <w:rPr>
          <w:szCs w:val="18"/>
        </w:rPr>
        <w:t>’</w:t>
      </w:r>
      <w:r w:rsidRPr="00FC7413">
        <w:rPr>
          <w:szCs w:val="18"/>
        </w:rPr>
        <w:t xml:space="preserve">après les informations </w:t>
      </w:r>
      <w:r>
        <w:rPr>
          <w:szCs w:val="18"/>
        </w:rPr>
        <w:t xml:space="preserve">fournies par </w:t>
      </w:r>
      <w:r w:rsidRPr="00FC7413">
        <w:rPr>
          <w:szCs w:val="18"/>
        </w:rPr>
        <w:t>l</w:t>
      </w:r>
      <w:r>
        <w:rPr>
          <w:szCs w:val="18"/>
        </w:rPr>
        <w:t>’</w:t>
      </w:r>
      <w:r w:rsidRPr="00FC7413">
        <w:rPr>
          <w:szCs w:val="18"/>
        </w:rPr>
        <w:t xml:space="preserve">Ambassadeur </w:t>
      </w:r>
      <w:r>
        <w:rPr>
          <w:szCs w:val="18"/>
        </w:rPr>
        <w:t>du Canada</w:t>
      </w:r>
      <w:r w:rsidRPr="00FC7413">
        <w:rPr>
          <w:szCs w:val="18"/>
        </w:rPr>
        <w:t xml:space="preserve"> en République tchèque, l</w:t>
      </w:r>
      <w:r>
        <w:rPr>
          <w:szCs w:val="18"/>
        </w:rPr>
        <w:t xml:space="preserve">a raison d’émigrer citée </w:t>
      </w:r>
      <w:r w:rsidRPr="00FC7413">
        <w:rPr>
          <w:szCs w:val="18"/>
        </w:rPr>
        <w:t>le plus fréquemment par les Roms est la discrimination ainsi que les préjugés de la société tchèque.</w:t>
      </w:r>
    </w:p>
  </w:footnote>
  <w:footnote w:id="32">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r>
      <w:r>
        <w:rPr>
          <w:szCs w:val="18"/>
        </w:rPr>
        <w:t>Agence des droits fondamentaux de l’Union européenne −</w:t>
      </w:r>
      <w:r w:rsidRPr="00FC7413">
        <w:rPr>
          <w:szCs w:val="18"/>
        </w:rPr>
        <w:t xml:space="preserve"> </w:t>
      </w:r>
      <w:hyperlink r:id="rId1" w:history="1">
        <w:r w:rsidRPr="00A4165C">
          <w:rPr>
            <w:rStyle w:val="Hyperlink"/>
            <w:szCs w:val="18"/>
          </w:rPr>
          <w:t>http://fra.europa.eu/fraWebsite/home/</w:t>
        </w:r>
        <w:r w:rsidRPr="00A4165C">
          <w:rPr>
            <w:rStyle w:val="Hyperlink"/>
            <w:szCs w:val="18"/>
          </w:rPr>
          <w:br/>
          <w:t>home_en.htm</w:t>
        </w:r>
      </w:hyperlink>
      <w:r w:rsidRPr="00FC7413">
        <w:rPr>
          <w:szCs w:val="18"/>
        </w:rPr>
        <w:t xml:space="preserve">. </w:t>
      </w:r>
    </w:p>
  </w:footnote>
  <w:footnote w:id="33">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94/1963, telle que modifiée.</w:t>
      </w:r>
    </w:p>
  </w:footnote>
  <w:footnote w:id="34">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301/2000, telle que modifiée.</w:t>
      </w:r>
    </w:p>
  </w:footnote>
  <w:footnote w:id="35">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xml:space="preserve"> 115/2006 sur </w:t>
      </w:r>
      <w:r>
        <w:rPr>
          <w:szCs w:val="18"/>
        </w:rPr>
        <w:t xml:space="preserve">l’enregistrement des </w:t>
      </w:r>
      <w:r w:rsidRPr="00FC7413">
        <w:rPr>
          <w:szCs w:val="18"/>
        </w:rPr>
        <w:t>partenariat</w:t>
      </w:r>
      <w:r>
        <w:rPr>
          <w:szCs w:val="18"/>
        </w:rPr>
        <w:t>s</w:t>
      </w:r>
      <w:r w:rsidRPr="00FC7413">
        <w:rPr>
          <w:szCs w:val="18"/>
        </w:rPr>
        <w:t>, telle qu</w:t>
      </w:r>
      <w:r>
        <w:rPr>
          <w:szCs w:val="18"/>
        </w:rPr>
        <w:t>’</w:t>
      </w:r>
      <w:r w:rsidRPr="00FC7413">
        <w:rPr>
          <w:szCs w:val="18"/>
        </w:rPr>
        <w:t>amendée.</w:t>
      </w:r>
    </w:p>
  </w:footnote>
  <w:footnote w:id="36">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Les proches parents ou les frères et sœurs ne peuvent</w:t>
      </w:r>
      <w:r>
        <w:rPr>
          <w:szCs w:val="18"/>
        </w:rPr>
        <w:t xml:space="preserve"> pas</w:t>
      </w:r>
      <w:r w:rsidRPr="00FC7413">
        <w:rPr>
          <w:szCs w:val="18"/>
        </w:rPr>
        <w:t xml:space="preserve"> conclure un partenariat. En outre, les personnes qui n</w:t>
      </w:r>
      <w:r>
        <w:rPr>
          <w:szCs w:val="18"/>
        </w:rPr>
        <w:t>’</w:t>
      </w:r>
      <w:r w:rsidRPr="00FC7413">
        <w:rPr>
          <w:szCs w:val="18"/>
        </w:rPr>
        <w:t>ont pas atteint l</w:t>
      </w:r>
      <w:r>
        <w:rPr>
          <w:szCs w:val="18"/>
        </w:rPr>
        <w:t>’</w:t>
      </w:r>
      <w:r w:rsidRPr="00FC7413">
        <w:rPr>
          <w:szCs w:val="18"/>
        </w:rPr>
        <w:t>âge de 18 ans, n</w:t>
      </w:r>
      <w:r>
        <w:rPr>
          <w:szCs w:val="18"/>
        </w:rPr>
        <w:t>’</w:t>
      </w:r>
      <w:r w:rsidRPr="00FC7413">
        <w:rPr>
          <w:szCs w:val="18"/>
        </w:rPr>
        <w:t xml:space="preserve">ont pas la capacité </w:t>
      </w:r>
      <w:r>
        <w:rPr>
          <w:szCs w:val="18"/>
        </w:rPr>
        <w:t xml:space="preserve">légale </w:t>
      </w:r>
      <w:r w:rsidRPr="00FC7413">
        <w:rPr>
          <w:szCs w:val="18"/>
        </w:rPr>
        <w:t xml:space="preserve">requise ou </w:t>
      </w:r>
      <w:r>
        <w:rPr>
          <w:szCs w:val="18"/>
        </w:rPr>
        <w:t>n’</w:t>
      </w:r>
      <w:r w:rsidRPr="00FC7413">
        <w:rPr>
          <w:szCs w:val="18"/>
        </w:rPr>
        <w:t xml:space="preserve">ont </w:t>
      </w:r>
      <w:r>
        <w:rPr>
          <w:szCs w:val="18"/>
        </w:rPr>
        <w:t xml:space="preserve">pas </w:t>
      </w:r>
      <w:r w:rsidRPr="00FC7413">
        <w:rPr>
          <w:szCs w:val="18"/>
        </w:rPr>
        <w:t>auparavant conclu un mariage, un partenariat ou autre union homosexuelle de même nature à l</w:t>
      </w:r>
      <w:r>
        <w:rPr>
          <w:szCs w:val="18"/>
        </w:rPr>
        <w:t>’</w:t>
      </w:r>
      <w:r w:rsidRPr="00FC7413">
        <w:rPr>
          <w:szCs w:val="18"/>
        </w:rPr>
        <w:t>étranger encore valide ne peu</w:t>
      </w:r>
      <w:r>
        <w:rPr>
          <w:szCs w:val="18"/>
        </w:rPr>
        <w:t>ven</w:t>
      </w:r>
      <w:r w:rsidRPr="00FC7413">
        <w:rPr>
          <w:szCs w:val="18"/>
        </w:rPr>
        <w:t>t conclure un partenariat.</w:t>
      </w:r>
    </w:p>
  </w:footnote>
  <w:footnote w:id="37">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83/1990, telle q</w:t>
      </w:r>
      <w:r>
        <w:rPr>
          <w:szCs w:val="18"/>
        </w:rPr>
        <w:t>ue modifié</w:t>
      </w:r>
      <w:r w:rsidRPr="00FC7413">
        <w:rPr>
          <w:szCs w:val="18"/>
        </w:rPr>
        <w:t>e.</w:t>
      </w:r>
    </w:p>
  </w:footnote>
  <w:footnote w:id="38">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w:t>
      </w:r>
      <w:r>
        <w:rPr>
          <w:szCs w:val="18"/>
        </w:rPr>
        <w:t>’</w:t>
      </w:r>
      <w:r w:rsidRPr="00FC7413">
        <w:rPr>
          <w:szCs w:val="18"/>
        </w:rPr>
        <w:t>augmentation importante du nombre d</w:t>
      </w:r>
      <w:r>
        <w:rPr>
          <w:szCs w:val="18"/>
        </w:rPr>
        <w:t>’</w:t>
      </w:r>
      <w:r w:rsidRPr="00FC7413">
        <w:rPr>
          <w:szCs w:val="18"/>
        </w:rPr>
        <w:t>enregistrements rejetés en 2008 et 2009 a été provoquée par un jugement de la Cour suprême administrative de 2007, qui a eu une incidence sur l</w:t>
      </w:r>
      <w:r>
        <w:rPr>
          <w:szCs w:val="18"/>
        </w:rPr>
        <w:t>’</w:t>
      </w:r>
      <w:r w:rsidRPr="00FC7413">
        <w:rPr>
          <w:szCs w:val="18"/>
        </w:rPr>
        <w:t>application de la loi sur les associations civiques pour ce qui est de l</w:t>
      </w:r>
      <w:r>
        <w:rPr>
          <w:szCs w:val="18"/>
        </w:rPr>
        <w:t>’</w:t>
      </w:r>
      <w:r w:rsidRPr="00FC7413">
        <w:rPr>
          <w:szCs w:val="18"/>
        </w:rPr>
        <w:t>évaluation des propositions d</w:t>
      </w:r>
      <w:r>
        <w:rPr>
          <w:szCs w:val="18"/>
        </w:rPr>
        <w:t>’</w:t>
      </w:r>
      <w:r w:rsidRPr="00FC7413">
        <w:rPr>
          <w:szCs w:val="18"/>
        </w:rPr>
        <w:t>enregistrement présentée</w:t>
      </w:r>
      <w:r>
        <w:rPr>
          <w:szCs w:val="18"/>
        </w:rPr>
        <w:t>s</w:t>
      </w:r>
      <w:r w:rsidRPr="00FC7413">
        <w:rPr>
          <w:szCs w:val="18"/>
        </w:rPr>
        <w:t>.</w:t>
      </w:r>
    </w:p>
  </w:footnote>
  <w:footnote w:id="39">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43</w:t>
      </w:r>
      <w:r>
        <w:rPr>
          <w:szCs w:val="18"/>
        </w:rPr>
        <w:t>5</w:t>
      </w:r>
      <w:r w:rsidRPr="00FC7413">
        <w:rPr>
          <w:szCs w:val="18"/>
        </w:rPr>
        <w:t>/2004 sur l</w:t>
      </w:r>
      <w:r>
        <w:rPr>
          <w:szCs w:val="18"/>
        </w:rPr>
        <w:t>’</w:t>
      </w:r>
      <w:r w:rsidRPr="00FC7413">
        <w:rPr>
          <w:szCs w:val="18"/>
        </w:rPr>
        <w:t>emploi</w:t>
      </w:r>
      <w:r>
        <w:rPr>
          <w:szCs w:val="18"/>
        </w:rPr>
        <w:t>,</w:t>
      </w:r>
      <w:r w:rsidRPr="00FC7413">
        <w:rPr>
          <w:szCs w:val="18"/>
        </w:rPr>
        <w:t xml:space="preserve"> telle que modifiée.</w:t>
      </w:r>
    </w:p>
  </w:footnote>
  <w:footnote w:id="40">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221/1999, telle que modifiée.</w:t>
      </w:r>
    </w:p>
  </w:footnote>
  <w:footnote w:id="41">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218/2002, telle que modifiée.</w:t>
      </w:r>
    </w:p>
  </w:footnote>
  <w:footnote w:id="42">
    <w:p w:rsidR="00AD3B8E" w:rsidRPr="00FC7413"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xml:space="preserve"> 361/2003, telle </w:t>
      </w:r>
      <w:r>
        <w:rPr>
          <w:szCs w:val="18"/>
        </w:rPr>
        <w:t>que modifiée</w:t>
      </w:r>
      <w:r w:rsidRPr="00FC7413">
        <w:rPr>
          <w:szCs w:val="18"/>
        </w:rPr>
        <w:t>.</w:t>
      </w:r>
    </w:p>
  </w:footnote>
  <w:footnote w:id="43">
    <w:p w:rsidR="00AD3B8E" w:rsidRPr="000F47AD" w:rsidRDefault="00AD3B8E" w:rsidP="00AD3B8E">
      <w:pPr>
        <w:pStyle w:val="FootnoteText"/>
        <w:rPr>
          <w:szCs w:val="18"/>
        </w:rPr>
      </w:pPr>
      <w:r w:rsidRPr="00FC7413">
        <w:rPr>
          <w:szCs w:val="18"/>
        </w:rPr>
        <w:tab/>
      </w:r>
      <w:r w:rsidRPr="00FC7413">
        <w:rPr>
          <w:rStyle w:val="FootnoteReference"/>
          <w:szCs w:val="18"/>
        </w:rPr>
        <w:footnoteRef/>
      </w:r>
      <w:r w:rsidRPr="00FC7413">
        <w:rPr>
          <w:szCs w:val="18"/>
        </w:rPr>
        <w:tab/>
        <w:t>Loi n</w:t>
      </w:r>
      <w:r w:rsidRPr="00FC7413">
        <w:rPr>
          <w:szCs w:val="18"/>
          <w:vertAlign w:val="superscript"/>
        </w:rPr>
        <w:t>o</w:t>
      </w:r>
      <w:r w:rsidRPr="00FC7413">
        <w:rPr>
          <w:szCs w:val="18"/>
        </w:rPr>
        <w:t> 262/2006, le Code du travail, tel</w:t>
      </w:r>
      <w:r>
        <w:rPr>
          <w:szCs w:val="18"/>
        </w:rPr>
        <w:t>le</w:t>
      </w:r>
      <w:r w:rsidRPr="00FC7413">
        <w:rPr>
          <w:szCs w:val="18"/>
        </w:rPr>
        <w:t xml:space="preserve"> que modifié</w:t>
      </w:r>
      <w:r>
        <w:rPr>
          <w:szCs w:val="18"/>
        </w:rPr>
        <w:t>e</w:t>
      </w:r>
      <w:r w:rsidRPr="00FC7413">
        <w:rPr>
          <w:szCs w:val="18"/>
        </w:rPr>
        <w:t>.</w:t>
      </w:r>
    </w:p>
  </w:footnote>
  <w:footnote w:id="44">
    <w:p w:rsidR="00281669" w:rsidRDefault="00281669" w:rsidP="00281669">
      <w:pPr>
        <w:pStyle w:val="FootnoteText"/>
      </w:pPr>
      <w:r>
        <w:tab/>
      </w:r>
      <w:r>
        <w:rPr>
          <w:rStyle w:val="FootnoteReference"/>
        </w:rPr>
        <w:footnoteRef/>
      </w:r>
      <w:r>
        <w:tab/>
      </w:r>
      <w:r w:rsidRPr="003D4C83">
        <w:t>Il s’agit de l’un des program</w:t>
      </w:r>
      <w:r>
        <w:t>mes annoncés dans le cadre des F</w:t>
      </w:r>
      <w:r w:rsidRPr="003D4C83">
        <w:t xml:space="preserve">onds structurels de l’Union européenne pour </w:t>
      </w:r>
      <w:r>
        <w:t xml:space="preserve">la période </w:t>
      </w:r>
      <w:r w:rsidRPr="003D4C83">
        <w:t>2007-2013.</w:t>
      </w:r>
    </w:p>
  </w:footnote>
  <w:footnote w:id="45">
    <w:p w:rsidR="00281669" w:rsidRDefault="00281669" w:rsidP="00281669">
      <w:pPr>
        <w:pStyle w:val="FootnoteText"/>
      </w:pPr>
      <w:r>
        <w:tab/>
      </w:r>
      <w:r>
        <w:rPr>
          <w:rStyle w:val="FootnoteReference"/>
        </w:rPr>
        <w:footnoteRef/>
      </w:r>
      <w:r>
        <w:tab/>
      </w:r>
      <w:r w:rsidRPr="006138DC">
        <w:t>Les activités assist</w:t>
      </w:r>
      <w:r>
        <w:t>ées</w:t>
      </w:r>
      <w:r w:rsidRPr="006138DC">
        <w:t xml:space="preserve"> sont de nouvelles activités commerciales visant à l’emploi de personnes issues de groupes cibles</w:t>
      </w:r>
      <w:r>
        <w:t xml:space="preserve"> défavorisés</w:t>
      </w:r>
      <w:r w:rsidRPr="006138DC">
        <w:t>, pour autant qu’au moins 30 % des personnes employées dans le cadre du proj</w:t>
      </w:r>
      <w:r>
        <w:t>et soient issues de ces groupes</w:t>
      </w:r>
      <w:r w:rsidRPr="006138DC">
        <w:t xml:space="preserve">. Un appui est également accordé aux nouvelles activités commerciales </w:t>
      </w:r>
      <w:r>
        <w:t>des travailleurs indépendant</w:t>
      </w:r>
      <w:r w:rsidRPr="006138DC">
        <w:t xml:space="preserve">s (sans employés) membres de groupes </w:t>
      </w:r>
      <w:r>
        <w:t>socialement défavorisés. Sont</w:t>
      </w:r>
      <w:r w:rsidRPr="006138DC">
        <w:t xml:space="preserve"> également </w:t>
      </w:r>
      <w:r>
        <w:t>comprises de</w:t>
      </w:r>
      <w:r w:rsidRPr="006138DC">
        <w:t xml:space="preserve"> nouvelles activités commerciales</w:t>
      </w:r>
      <w:r>
        <w:t>, axées sur la fourniture et/ou</w:t>
      </w:r>
      <w:r w:rsidRPr="006138DC">
        <w:t xml:space="preserve"> la promotion de services publics dans la région, lorsqu’au moins 75 % des usagers </w:t>
      </w:r>
      <w:r>
        <w:t xml:space="preserve">de ces services font partie du </w:t>
      </w:r>
      <w:r w:rsidRPr="006138DC">
        <w:t>groupe cible de personnes dé</w:t>
      </w:r>
      <w:r>
        <w:t>favorisées</w:t>
      </w:r>
      <w:r w:rsidRPr="006138DC">
        <w:t>.</w:t>
      </w:r>
    </w:p>
  </w:footnote>
  <w:footnote w:id="46">
    <w:p w:rsidR="00281669" w:rsidRDefault="00281669" w:rsidP="00281669">
      <w:pPr>
        <w:pStyle w:val="FootnoteText"/>
      </w:pPr>
      <w:r>
        <w:tab/>
      </w:r>
      <w:r>
        <w:rPr>
          <w:rStyle w:val="FootnoteReference"/>
        </w:rPr>
        <w:footnoteRef/>
      </w:r>
      <w:r>
        <w:tab/>
      </w:r>
      <w:r w:rsidRPr="00A722AD">
        <w:t>Règlement n</w:t>
      </w:r>
      <w:r w:rsidRPr="00A722AD">
        <w:rPr>
          <w:vertAlign w:val="superscript"/>
        </w:rPr>
        <w:t>o</w:t>
      </w:r>
      <w:r w:rsidRPr="00A722AD">
        <w:t xml:space="preserve"> 146/2003 du Gouvernement sur l’utilisation des ressources du Fonds national de développement du logement pour prendre en charge une partie des coûts liés à la construction de logements pour les personnes à bas revenu. </w:t>
      </w:r>
    </w:p>
  </w:footnote>
  <w:footnote w:id="47">
    <w:p w:rsidR="00281669" w:rsidRDefault="00281669" w:rsidP="00281669">
      <w:pPr>
        <w:pStyle w:val="FootnoteText"/>
      </w:pPr>
      <w:r>
        <w:tab/>
      </w:r>
      <w:r>
        <w:rPr>
          <w:rStyle w:val="FootnoteReference"/>
        </w:rPr>
        <w:footnoteRef/>
      </w:r>
      <w:r>
        <w:tab/>
      </w:r>
      <w:r w:rsidRPr="00BC1A58">
        <w:t>Règlement n</w:t>
      </w:r>
      <w:r w:rsidRPr="00BC1A58">
        <w:rPr>
          <w:vertAlign w:val="superscript"/>
        </w:rPr>
        <w:t>o</w:t>
      </w:r>
      <w:r w:rsidRPr="00BC1A58">
        <w:t xml:space="preserve"> 333/2009 du </w:t>
      </w:r>
      <w:r>
        <w:t xml:space="preserve">Gouvernement </w:t>
      </w:r>
      <w:r w:rsidRPr="00BC1A58">
        <w:t xml:space="preserve">sur les conditions de l’utilisation de ressources </w:t>
      </w:r>
      <w:r>
        <w:t xml:space="preserve">provenant </w:t>
      </w:r>
      <w:r w:rsidRPr="00BC1A58">
        <w:t>du Fonds national de développement du logement pour prendre en charge une partie des coûts liés à la construction de logement</w:t>
      </w:r>
      <w:r>
        <w:t>s</w:t>
      </w:r>
      <w:r w:rsidRPr="00BC1A58">
        <w:t xml:space="preserve"> socia</w:t>
      </w:r>
      <w:r>
        <w:t>ux</w:t>
      </w:r>
      <w:r w:rsidRPr="00BC1A58">
        <w:t xml:space="preserve"> sous forme de subventions à des entités juridiques et </w:t>
      </w:r>
      <w:r>
        <w:t xml:space="preserve">à </w:t>
      </w:r>
      <w:r w:rsidRPr="00BC1A58">
        <w:t>des personnes physiques, valide à partir du 29 septembre 2009.</w:t>
      </w:r>
    </w:p>
  </w:footnote>
  <w:footnote w:id="48">
    <w:p w:rsidR="00281669" w:rsidRDefault="00281669" w:rsidP="00281669">
      <w:pPr>
        <w:pStyle w:val="FootnoteText"/>
      </w:pPr>
      <w:r>
        <w:tab/>
      </w:r>
      <w:r>
        <w:rPr>
          <w:rStyle w:val="FootnoteReference"/>
        </w:rPr>
        <w:footnoteRef/>
      </w:r>
      <w:r>
        <w:tab/>
      </w:r>
      <w:r w:rsidRPr="009168DA">
        <w:t>Il s’agit de l’un des program</w:t>
      </w:r>
      <w:r>
        <w:t>mes annoncés dans le cadre des F</w:t>
      </w:r>
      <w:r w:rsidRPr="009168DA">
        <w:t>onds structurels de l’Union européenne pour 2007-2013.</w:t>
      </w:r>
    </w:p>
  </w:footnote>
  <w:footnote w:id="49">
    <w:p w:rsidR="00281669" w:rsidRDefault="00281669" w:rsidP="00281669">
      <w:pPr>
        <w:pStyle w:val="FootnoteText"/>
      </w:pPr>
      <w:r>
        <w:tab/>
      </w:r>
      <w:r>
        <w:rPr>
          <w:rStyle w:val="FootnoteReference"/>
        </w:rPr>
        <w:footnoteRef/>
      </w:r>
      <w:r>
        <w:tab/>
        <w:t>Voir art.</w:t>
      </w:r>
      <w:r w:rsidRPr="009168DA">
        <w:t xml:space="preserve"> 3.</w:t>
      </w:r>
    </w:p>
  </w:footnote>
  <w:footnote w:id="50">
    <w:p w:rsidR="00281669" w:rsidRDefault="00281669" w:rsidP="00281669">
      <w:pPr>
        <w:pStyle w:val="FootnoteText"/>
      </w:pPr>
      <w:r>
        <w:tab/>
      </w:r>
      <w:r>
        <w:rPr>
          <w:rStyle w:val="FootnoteReference"/>
        </w:rPr>
        <w:footnoteRef/>
      </w:r>
      <w:r>
        <w:tab/>
      </w:r>
      <w:r w:rsidRPr="000B7301">
        <w:t xml:space="preserve">Il s’agit du domaine d’intervention 3.1, pour lequel 19,8 millions d’euros ont été </w:t>
      </w:r>
      <w:r>
        <w:t>prévus</w:t>
      </w:r>
      <w:r w:rsidRPr="000B7301">
        <w:t>.</w:t>
      </w:r>
    </w:p>
  </w:footnote>
  <w:footnote w:id="51">
    <w:p w:rsidR="00281669" w:rsidRDefault="00281669" w:rsidP="00281669">
      <w:pPr>
        <w:pStyle w:val="FootnoteText"/>
      </w:pPr>
      <w:r>
        <w:tab/>
      </w:r>
      <w:r>
        <w:rPr>
          <w:rStyle w:val="FootnoteReference"/>
        </w:rPr>
        <w:footnoteRef/>
      </w:r>
      <w:r>
        <w:tab/>
      </w:r>
      <w:r w:rsidRPr="000B7301">
        <w:t xml:space="preserve">Il s’agit du domaine d’intervention 5.2. L’autorité de tutelle du programme opérationnel intégré a créé un groupe de travail composé des représentants de l’autorité de tutelle du programme opérationnel </w:t>
      </w:r>
      <w:r>
        <w:t>«R</w:t>
      </w:r>
      <w:r w:rsidRPr="000B7301">
        <w:t>essources humaines et emploi</w:t>
      </w:r>
      <w:r>
        <w:t>»</w:t>
      </w:r>
      <w:r w:rsidRPr="000B7301">
        <w:t xml:space="preserve"> (Ministère du travail et des affaires sociales), de l’autorité de tutelle du programme opérationnel </w:t>
      </w:r>
      <w:r>
        <w:t xml:space="preserve">«Éducation pour </w:t>
      </w:r>
      <w:r w:rsidRPr="000B7301">
        <w:t>la compétitivité</w:t>
      </w:r>
      <w:r>
        <w:t>»</w:t>
      </w:r>
      <w:r w:rsidRPr="000B7301">
        <w:t xml:space="preserve"> (Ministère de l’éducation, de la jeunesse et des sports), du Conseil gouvernemental pour les affaires de la communauté rom, de l’Agence pour l’inclusion sociale ainsi que de représentants de </w:t>
      </w:r>
      <w:r>
        <w:t xml:space="preserve">villes et </w:t>
      </w:r>
      <w:r w:rsidRPr="000B7301">
        <w:t>cités mettant en œuvre des projets pilotes</w:t>
      </w:r>
      <w:r>
        <w:t>,</w:t>
      </w:r>
      <w:r w:rsidRPr="000B7301">
        <w:t xml:space="preserve"> pour assurer la coordination et la coopération de tous les participants aux projets relat</w:t>
      </w:r>
      <w:r>
        <w:t>ifs aux Roms dans le cadre des F</w:t>
      </w:r>
      <w:r w:rsidRPr="000B7301">
        <w:t>onds structurels.</w:t>
      </w:r>
    </w:p>
  </w:footnote>
  <w:footnote w:id="52">
    <w:p w:rsidR="00281669" w:rsidRDefault="00281669" w:rsidP="00281669">
      <w:pPr>
        <w:pStyle w:val="FootnoteText"/>
      </w:pPr>
      <w:r>
        <w:tab/>
      </w:r>
      <w:r>
        <w:rPr>
          <w:rStyle w:val="FootnoteReference"/>
        </w:rPr>
        <w:footnoteRef/>
      </w:r>
      <w:r>
        <w:tab/>
        <w:t>Directive du Ministère de la santé de Tchécoslovaquie LP-252.3-19.11.71 du 17 décembre 1971 sur l’application de la stérilisation.</w:t>
      </w:r>
    </w:p>
  </w:footnote>
  <w:footnote w:id="53">
    <w:p w:rsidR="00281669" w:rsidRDefault="00281669" w:rsidP="00281669">
      <w:pPr>
        <w:pStyle w:val="FootnoteText"/>
      </w:pPr>
      <w:r>
        <w:tab/>
      </w:r>
      <w:r>
        <w:rPr>
          <w:rStyle w:val="FootnoteReference"/>
        </w:rPr>
        <w:footnoteRef/>
      </w:r>
      <w:r>
        <w:tab/>
      </w:r>
      <w:r w:rsidRPr="00C27EF7">
        <w:t>Résolution du Gouvernement n</w:t>
      </w:r>
      <w:r w:rsidRPr="00C27EF7">
        <w:rPr>
          <w:vertAlign w:val="superscript"/>
        </w:rPr>
        <w:t>o</w:t>
      </w:r>
      <w:r w:rsidRPr="00C27EF7">
        <w:t xml:space="preserve"> 1424 du 23 novembre 2009.</w:t>
      </w:r>
    </w:p>
  </w:footnote>
  <w:footnote w:id="54">
    <w:p w:rsidR="00281669" w:rsidRDefault="00281669" w:rsidP="00281669">
      <w:pPr>
        <w:pStyle w:val="FootnoteText"/>
      </w:pPr>
      <w:r>
        <w:tab/>
      </w:r>
      <w:r>
        <w:rPr>
          <w:rStyle w:val="FootnoteReference"/>
        </w:rPr>
        <w:footnoteRef/>
      </w:r>
      <w:r>
        <w:tab/>
        <w:t>Pour en savoir plus sur les</w:t>
      </w:r>
      <w:r w:rsidRPr="00C27EF7">
        <w:t xml:space="preserve"> réaction</w:t>
      </w:r>
      <w:r>
        <w:t>s</w:t>
      </w:r>
      <w:r w:rsidRPr="00C27EF7">
        <w:t xml:space="preserve">, consulter également </w:t>
      </w:r>
      <w:hyperlink r:id="rId2" w:history="1">
        <w:r w:rsidRPr="00406633">
          <w:rPr>
            <w:rStyle w:val="Hyperlink"/>
          </w:rPr>
          <w:t>http://www.ipsnews.net/news.asp?</w:t>
        </w:r>
        <w:r w:rsidRPr="00406633">
          <w:rPr>
            <w:rStyle w:val="Hyperlink"/>
          </w:rPr>
          <w:br/>
          <w:t>idnews=49444</w:t>
        </w:r>
      </w:hyperlink>
      <w:r w:rsidRPr="00C27EF7">
        <w:t>.</w:t>
      </w:r>
    </w:p>
  </w:footnote>
  <w:footnote w:id="55">
    <w:p w:rsidR="00281669" w:rsidRDefault="00281669" w:rsidP="00281669">
      <w:pPr>
        <w:pStyle w:val="FootnoteText"/>
      </w:pPr>
      <w:r>
        <w:tab/>
      </w:r>
      <w:r>
        <w:rPr>
          <w:rStyle w:val="FootnoteReference"/>
        </w:rPr>
        <w:footnoteRef/>
      </w:r>
      <w:r>
        <w:tab/>
      </w:r>
      <w:r w:rsidRPr="00D70235">
        <w:t>Aux termes de la section 27 de la loi n</w:t>
      </w:r>
      <w:r w:rsidRPr="00D70235">
        <w:rPr>
          <w:vertAlign w:val="superscript"/>
        </w:rPr>
        <w:t>o</w:t>
      </w:r>
      <w:r w:rsidRPr="00D70235">
        <w:t> 20/196</w:t>
      </w:r>
      <w:r>
        <w:t>6</w:t>
      </w:r>
      <w:r w:rsidRPr="00D70235">
        <w:t xml:space="preserve"> sur les soins de santé publi</w:t>
      </w:r>
      <w:r>
        <w:t>que</w:t>
      </w:r>
      <w:r w:rsidRPr="00D70235">
        <w:t xml:space="preserve">: «La stérilisation ne peut être pratiquée qu’avec le consentement ou à la demande de la personne </w:t>
      </w:r>
      <w:r>
        <w:t>qui en fait l’objet</w:t>
      </w:r>
      <w:r w:rsidRPr="00D70235">
        <w:t>, dans les conditions fixées par le Ministère de la santé.».</w:t>
      </w:r>
    </w:p>
  </w:footnote>
  <w:footnote w:id="56">
    <w:p w:rsidR="00281669" w:rsidRDefault="00281669" w:rsidP="00281669">
      <w:pPr>
        <w:pStyle w:val="FootnoteText"/>
      </w:pPr>
      <w:r>
        <w:tab/>
      </w:r>
      <w:r>
        <w:rPr>
          <w:rStyle w:val="FootnoteReference"/>
        </w:rPr>
        <w:footnoteRef/>
      </w:r>
      <w:r>
        <w:tab/>
      </w:r>
      <w:r w:rsidRPr="00823AC6">
        <w:t xml:space="preserve">Les programmes-cadres </w:t>
      </w:r>
      <w:r>
        <w:t>d’enseignement</w:t>
      </w:r>
      <w:r w:rsidRPr="00A25913">
        <w:t xml:space="preserve"> </w:t>
      </w:r>
      <w:r w:rsidRPr="00823AC6">
        <w:t xml:space="preserve">sont élaborés </w:t>
      </w:r>
      <w:r>
        <w:t>pour l’e</w:t>
      </w:r>
      <w:r w:rsidRPr="00823AC6">
        <w:t xml:space="preserve">nseignement préscolaire et d’autres </w:t>
      </w:r>
      <w:r>
        <w:t>secteurs de l’enseignement</w:t>
      </w:r>
      <w:r w:rsidRPr="00823AC6">
        <w:t xml:space="preserve">. </w:t>
      </w:r>
      <w:r>
        <w:t>Ils</w:t>
      </w:r>
      <w:r w:rsidRPr="00823AC6">
        <w:t xml:space="preserve"> définissent le contenu, le champ </w:t>
      </w:r>
      <w:r>
        <w:t xml:space="preserve">d’application </w:t>
      </w:r>
      <w:r w:rsidRPr="00823AC6">
        <w:t xml:space="preserve">et les conditions </w:t>
      </w:r>
      <w:r>
        <w:t xml:space="preserve">obligatoires </w:t>
      </w:r>
      <w:r w:rsidRPr="00823AC6">
        <w:t>de l’enseignement. Les programmes scolaires doivent s’y conformer</w:t>
      </w:r>
      <w:r>
        <w:t>, ainsi que l’élaboration et</w:t>
      </w:r>
      <w:r w:rsidRPr="00823AC6">
        <w:t xml:space="preserve"> l’évaluation de</w:t>
      </w:r>
      <w:r>
        <w:t>s</w:t>
      </w:r>
      <w:r w:rsidRPr="00823AC6">
        <w:t xml:space="preserve"> </w:t>
      </w:r>
      <w:r>
        <w:t xml:space="preserve">manuels et textes pédagogiques, et s’appliquent impérativement pour fixer le </w:t>
      </w:r>
      <w:r w:rsidRPr="00823AC6">
        <w:t xml:space="preserve">montant des </w:t>
      </w:r>
      <w:r>
        <w:t>allocations de fonds</w:t>
      </w:r>
      <w:r w:rsidRPr="00823AC6">
        <w:t xml:space="preserve">. </w:t>
      </w:r>
    </w:p>
  </w:footnote>
  <w:footnote w:id="57">
    <w:p w:rsidR="00281669" w:rsidRDefault="00281669" w:rsidP="00281669">
      <w:pPr>
        <w:pStyle w:val="FootnoteText"/>
      </w:pPr>
      <w:r>
        <w:tab/>
      </w:r>
      <w:r>
        <w:rPr>
          <w:rStyle w:val="FootnoteReference"/>
        </w:rPr>
        <w:footnoteRef/>
      </w:r>
      <w:r>
        <w:tab/>
      </w:r>
      <w:r w:rsidRPr="000671C0">
        <w:t xml:space="preserve">Le projet est cofinancé par le Fonds social européen et le budget national tchèque. L’objectif du programme est d’encourager l’élaboration et la mise en œuvre de programmes scolaires, d’aider les enseignants et de répondre à des besoins concrets. </w:t>
      </w:r>
    </w:p>
  </w:footnote>
  <w:footnote w:id="58">
    <w:p w:rsidR="00281669" w:rsidRDefault="00281669" w:rsidP="00281669">
      <w:pPr>
        <w:pStyle w:val="FootnoteText"/>
      </w:pPr>
      <w:r>
        <w:tab/>
      </w:r>
      <w:r>
        <w:rPr>
          <w:rStyle w:val="FootnoteReference"/>
        </w:rPr>
        <w:footnoteRef/>
      </w:r>
      <w:r>
        <w:tab/>
      </w:r>
      <w:r w:rsidRPr="008C09A3">
        <w:t>Loi n</w:t>
      </w:r>
      <w:r w:rsidRPr="008C09A3">
        <w:rPr>
          <w:vertAlign w:val="superscript"/>
        </w:rPr>
        <w:t>o</w:t>
      </w:r>
      <w:r w:rsidRPr="008C09A3">
        <w:t xml:space="preserve"> 343/2007 modifiant la loi n</w:t>
      </w:r>
      <w:r w:rsidRPr="008C09A3">
        <w:rPr>
          <w:vertAlign w:val="superscript"/>
        </w:rPr>
        <w:t>o</w:t>
      </w:r>
      <w:r w:rsidRPr="008C09A3">
        <w:t xml:space="preserve"> 561/2004 sur l’enseignement préscolaire, primaire, secondaire, </w:t>
      </w:r>
      <w:r>
        <w:t>postsecondaire</w:t>
      </w:r>
      <w:r w:rsidRPr="008C09A3">
        <w:t xml:space="preserve">, professionnel et autres </w:t>
      </w:r>
      <w:r>
        <w:t xml:space="preserve">formes d’enseignement </w:t>
      </w:r>
      <w:r w:rsidRPr="008C09A3">
        <w:t>(loi sur les écoles), telle que modifiée, ainsi que d’autres lois.</w:t>
      </w:r>
    </w:p>
  </w:footnote>
  <w:footnote w:id="59">
    <w:p w:rsidR="00C62601" w:rsidRDefault="00C62601" w:rsidP="00C62601">
      <w:pPr>
        <w:pStyle w:val="FootnoteText"/>
      </w:pPr>
      <w:r>
        <w:tab/>
      </w:r>
      <w:r>
        <w:rPr>
          <w:rStyle w:val="FootnoteReference"/>
        </w:rPr>
        <w:footnoteRef/>
      </w:r>
      <w:r>
        <w:tab/>
        <w:t xml:space="preserve">Sur la base du règlement gouvernemental </w:t>
      </w:r>
      <w:r w:rsidRPr="00C14D2A">
        <w:t>n</w:t>
      </w:r>
      <w:r w:rsidRPr="00C14D2A">
        <w:rPr>
          <w:vertAlign w:val="superscript"/>
        </w:rPr>
        <w:t>o</w:t>
      </w:r>
      <w:r>
        <w:t> 98/2002 qui fixe les conditions et décrit les méthodes pour l’octroi de subventions provenant du budget national aux activités de membres de minorités nationales et pour l’aide à l’intégration de la communauté rom, tel que modifié.</w:t>
      </w:r>
    </w:p>
  </w:footnote>
  <w:footnote w:id="60">
    <w:p w:rsidR="00C62601" w:rsidRDefault="00C62601" w:rsidP="00C62601">
      <w:pPr>
        <w:pStyle w:val="FootnoteText"/>
      </w:pPr>
      <w:r>
        <w:tab/>
      </w:r>
      <w:r>
        <w:rPr>
          <w:rStyle w:val="FootnoteReference"/>
        </w:rPr>
        <w:footnoteRef/>
      </w:r>
      <w:r>
        <w:tab/>
        <w:t xml:space="preserve">Loi </w:t>
      </w:r>
      <w:r w:rsidRPr="00C14D2A">
        <w:t>n</w:t>
      </w:r>
      <w:r w:rsidRPr="00C14D2A">
        <w:rPr>
          <w:vertAlign w:val="superscript"/>
        </w:rPr>
        <w:t>o</w:t>
      </w:r>
      <w:r>
        <w:t xml:space="preserve"> 122/2000 sur la protection des collections des musées, qui modifie d’autres lois, telle que modifiée.</w:t>
      </w:r>
    </w:p>
  </w:footnote>
  <w:footnote w:id="61">
    <w:p w:rsidR="00C62601" w:rsidRDefault="00C62601" w:rsidP="00C62601">
      <w:pPr>
        <w:pStyle w:val="FootnoteText"/>
      </w:pPr>
      <w:r>
        <w:tab/>
      </w:r>
      <w:r>
        <w:rPr>
          <w:rStyle w:val="FootnoteReference"/>
        </w:rPr>
        <w:footnoteRef/>
      </w:r>
      <w:r>
        <w:tab/>
        <w:t xml:space="preserve">Résolution </w:t>
      </w:r>
      <w:r w:rsidRPr="00C14D2A">
        <w:t>n</w:t>
      </w:r>
      <w:r w:rsidRPr="00C14D2A">
        <w:rPr>
          <w:vertAlign w:val="superscript"/>
        </w:rPr>
        <w:t>o</w:t>
      </w:r>
      <w:r>
        <w:t xml:space="preserve"> 589 du 4 mai 2009.</w:t>
      </w:r>
    </w:p>
  </w:footnote>
  <w:footnote w:id="62">
    <w:p w:rsidR="00C62601" w:rsidRPr="0028307E" w:rsidRDefault="00C62601" w:rsidP="00C62601">
      <w:pPr>
        <w:pStyle w:val="FootnoteText"/>
        <w:rPr>
          <w:szCs w:val="18"/>
        </w:rPr>
      </w:pPr>
      <w:r w:rsidRPr="00AC35DA">
        <w:rPr>
          <w:sz w:val="24"/>
          <w:szCs w:val="24"/>
        </w:rPr>
        <w:tab/>
      </w:r>
      <w:r w:rsidRPr="0028307E">
        <w:rPr>
          <w:rStyle w:val="FootnoteReference"/>
          <w:szCs w:val="18"/>
        </w:rPr>
        <w:footnoteRef/>
      </w:r>
      <w:r w:rsidRPr="0028307E">
        <w:rPr>
          <w:szCs w:val="18"/>
        </w:rPr>
        <w:tab/>
        <w:t xml:space="preserve">Résolution gouvernementale </w:t>
      </w:r>
      <w:r w:rsidRPr="0028307E">
        <w:rPr>
          <w:rFonts w:eastAsia="MS Mincho"/>
          <w:szCs w:val="18"/>
        </w:rPr>
        <w:t>n</w:t>
      </w:r>
      <w:r w:rsidRPr="0028307E">
        <w:rPr>
          <w:rFonts w:eastAsia="MS Mincho"/>
          <w:szCs w:val="18"/>
          <w:vertAlign w:val="superscript"/>
        </w:rPr>
        <w:t>o</w:t>
      </w:r>
      <w:r w:rsidRPr="0028307E">
        <w:rPr>
          <w:szCs w:val="18"/>
        </w:rPr>
        <w:t> 303 du 16 mars 2009.</w:t>
      </w:r>
    </w:p>
  </w:footnote>
  <w:footnote w:id="63">
    <w:p w:rsidR="00C62601" w:rsidRPr="002B20E2" w:rsidRDefault="00C62601" w:rsidP="00C62601">
      <w:pPr>
        <w:pStyle w:val="FootnoteText"/>
        <w:rPr>
          <w:szCs w:val="18"/>
        </w:rPr>
      </w:pPr>
      <w:r w:rsidRPr="00736C3A">
        <w:rPr>
          <w:sz w:val="24"/>
          <w:szCs w:val="24"/>
        </w:rPr>
        <w:tab/>
      </w:r>
      <w:r w:rsidRPr="002B20E2">
        <w:rPr>
          <w:rStyle w:val="FootnoteReference"/>
          <w:szCs w:val="18"/>
        </w:rPr>
        <w:footnoteRef/>
      </w:r>
      <w:r w:rsidRPr="002B20E2">
        <w:rPr>
          <w:szCs w:val="18"/>
        </w:rPr>
        <w:tab/>
        <w:t xml:space="preserve">Chaque année, </w:t>
      </w:r>
      <w:r>
        <w:rPr>
          <w:szCs w:val="18"/>
        </w:rPr>
        <w:t>un montant d’</w:t>
      </w:r>
      <w:r w:rsidRPr="002B20E2">
        <w:rPr>
          <w:szCs w:val="18"/>
        </w:rPr>
        <w:t xml:space="preserve">environ 15 millions de couronnes tchèques </w:t>
      </w:r>
      <w:r>
        <w:rPr>
          <w:szCs w:val="18"/>
        </w:rPr>
        <w:t>est consacré</w:t>
      </w:r>
      <w:r w:rsidRPr="002B20E2">
        <w:rPr>
          <w:szCs w:val="18"/>
        </w:rPr>
        <w:t xml:space="preserve"> aux activités susmentionnées.</w:t>
      </w:r>
    </w:p>
  </w:footnote>
  <w:footnote w:id="64">
    <w:p w:rsidR="00C62601" w:rsidRPr="008133C5" w:rsidRDefault="00C62601" w:rsidP="00C62601">
      <w:pPr>
        <w:pStyle w:val="FootnoteText"/>
        <w:rPr>
          <w:sz w:val="24"/>
          <w:szCs w:val="24"/>
        </w:rPr>
      </w:pPr>
      <w:r w:rsidRPr="002B20E2">
        <w:rPr>
          <w:szCs w:val="18"/>
        </w:rPr>
        <w:tab/>
      </w:r>
      <w:r w:rsidRPr="002B20E2">
        <w:rPr>
          <w:szCs w:val="18"/>
          <w:vertAlign w:val="superscript"/>
        </w:rPr>
        <w:footnoteRef/>
      </w:r>
      <w:r>
        <w:rPr>
          <w:szCs w:val="18"/>
        </w:rPr>
        <w:tab/>
        <w:t>Les</w:t>
      </w:r>
      <w:r w:rsidRPr="002B20E2">
        <w:rPr>
          <w:szCs w:val="18"/>
        </w:rPr>
        <w:t xml:space="preserve"> compétence</w:t>
      </w:r>
      <w:r>
        <w:rPr>
          <w:szCs w:val="18"/>
        </w:rPr>
        <w:t>s</w:t>
      </w:r>
      <w:r w:rsidRPr="002B20E2">
        <w:rPr>
          <w:szCs w:val="18"/>
        </w:rPr>
        <w:t xml:space="preserve"> de l’Inspection du commerce tchèque </w:t>
      </w:r>
      <w:r>
        <w:rPr>
          <w:szCs w:val="18"/>
        </w:rPr>
        <w:t>sont régies</w:t>
      </w:r>
      <w:r w:rsidRPr="002B20E2">
        <w:rPr>
          <w:szCs w:val="18"/>
        </w:rPr>
        <w:t xml:space="preserve"> par la loi </w:t>
      </w:r>
      <w:r w:rsidRPr="002B20E2">
        <w:rPr>
          <w:rFonts w:eastAsia="MS Mincho"/>
          <w:szCs w:val="18"/>
        </w:rPr>
        <w:t>n</w:t>
      </w:r>
      <w:r w:rsidRPr="002B20E2">
        <w:rPr>
          <w:rFonts w:eastAsia="MS Mincho"/>
          <w:szCs w:val="18"/>
          <w:vertAlign w:val="superscript"/>
        </w:rPr>
        <w:t>o</w:t>
      </w:r>
      <w:r>
        <w:rPr>
          <w:szCs w:val="18"/>
        </w:rPr>
        <w:t xml:space="preserve"> </w:t>
      </w:r>
      <w:r w:rsidRPr="002B20E2">
        <w:rPr>
          <w:szCs w:val="18"/>
        </w:rPr>
        <w:t xml:space="preserve">64/1986 </w:t>
      </w:r>
      <w:r>
        <w:rPr>
          <w:szCs w:val="18"/>
        </w:rPr>
        <w:t>sur</w:t>
      </w:r>
      <w:r w:rsidRPr="002B20E2">
        <w:rPr>
          <w:szCs w:val="18"/>
        </w:rPr>
        <w:t xml:space="preserve"> l’Inspection du commerce tchèque. Il s’agit d’une </w:t>
      </w:r>
      <w:r>
        <w:rPr>
          <w:szCs w:val="18"/>
        </w:rPr>
        <w:t>administration</w:t>
      </w:r>
      <w:r w:rsidRPr="002B20E2">
        <w:rPr>
          <w:szCs w:val="18"/>
        </w:rPr>
        <w:t xml:space="preserve"> publique </w:t>
      </w:r>
      <w:r>
        <w:rPr>
          <w:szCs w:val="18"/>
        </w:rPr>
        <w:t>relevant</w:t>
      </w:r>
      <w:r w:rsidRPr="002B20E2">
        <w:rPr>
          <w:szCs w:val="18"/>
        </w:rPr>
        <w:t xml:space="preserve"> du Ministère de l’industrie et du commerce.</w:t>
      </w:r>
    </w:p>
  </w:footnote>
  <w:footnote w:id="65">
    <w:p w:rsidR="00C62601" w:rsidRPr="00A714DC" w:rsidRDefault="00C62601" w:rsidP="00C62601">
      <w:pPr>
        <w:pStyle w:val="FootnoteText"/>
        <w:rPr>
          <w:sz w:val="24"/>
          <w:szCs w:val="24"/>
        </w:rPr>
      </w:pPr>
      <w:r>
        <w:tab/>
      </w:r>
      <w:r>
        <w:rPr>
          <w:rStyle w:val="FootnoteReference"/>
        </w:rPr>
        <w:footnoteRef/>
      </w:r>
      <w:r>
        <w:tab/>
      </w:r>
      <w:r w:rsidRPr="002B20E2">
        <w:rPr>
          <w:szCs w:val="18"/>
        </w:rPr>
        <w:t xml:space="preserve">Loi </w:t>
      </w:r>
      <w:r w:rsidRPr="002B20E2">
        <w:rPr>
          <w:rFonts w:eastAsia="MS Mincho"/>
          <w:szCs w:val="18"/>
        </w:rPr>
        <w:t>n</w:t>
      </w:r>
      <w:r w:rsidRPr="002B20E2">
        <w:rPr>
          <w:rFonts w:eastAsia="MS Mincho"/>
          <w:szCs w:val="18"/>
          <w:vertAlign w:val="superscript"/>
        </w:rPr>
        <w:t>o</w:t>
      </w:r>
      <w:r>
        <w:rPr>
          <w:szCs w:val="18"/>
        </w:rPr>
        <w:t xml:space="preserve"> </w:t>
      </w:r>
      <w:r w:rsidRPr="002B20E2">
        <w:rPr>
          <w:szCs w:val="18"/>
        </w:rPr>
        <w:t xml:space="preserve">198/2009 sur l’égalité de traitement et sur les moyens </w:t>
      </w:r>
      <w:r>
        <w:rPr>
          <w:szCs w:val="18"/>
        </w:rPr>
        <w:t>l</w:t>
      </w:r>
      <w:r w:rsidRPr="002B20E2">
        <w:rPr>
          <w:szCs w:val="18"/>
        </w:rPr>
        <w:t>égaux de protection contre la discrimination (loi antidiscrimination).</w:t>
      </w:r>
    </w:p>
  </w:footnote>
  <w:footnote w:id="66">
    <w:p w:rsidR="00C62601" w:rsidRPr="002B20E2" w:rsidRDefault="00C62601" w:rsidP="00C62601">
      <w:pPr>
        <w:pStyle w:val="FootnoteText"/>
        <w:rPr>
          <w:szCs w:val="18"/>
        </w:rPr>
      </w:pPr>
      <w:r w:rsidRPr="00A714DC">
        <w:rPr>
          <w:sz w:val="24"/>
          <w:szCs w:val="24"/>
        </w:rPr>
        <w:tab/>
      </w:r>
      <w:r w:rsidRPr="002B20E2">
        <w:rPr>
          <w:rStyle w:val="FootnoteReference"/>
          <w:szCs w:val="18"/>
        </w:rPr>
        <w:footnoteRef/>
      </w:r>
      <w:r w:rsidRPr="002B20E2">
        <w:rPr>
          <w:szCs w:val="18"/>
        </w:rPr>
        <w:tab/>
        <w:t xml:space="preserve">La discrimination directe désigne une </w:t>
      </w:r>
      <w:r>
        <w:rPr>
          <w:szCs w:val="18"/>
        </w:rPr>
        <w:t>action</w:t>
      </w:r>
      <w:r w:rsidRPr="002B20E2">
        <w:rPr>
          <w:szCs w:val="18"/>
        </w:rPr>
        <w:t xml:space="preserve"> ou une omission par laquelle une personne se voit</w:t>
      </w:r>
      <w:r>
        <w:rPr>
          <w:szCs w:val="18"/>
        </w:rPr>
        <w:t xml:space="preserve">, s’est vue ou se verrait </w:t>
      </w:r>
      <w:r w:rsidRPr="002B20E2">
        <w:rPr>
          <w:szCs w:val="18"/>
        </w:rPr>
        <w:t>réserver un traitement moins favorable qu</w:t>
      </w:r>
      <w:r>
        <w:rPr>
          <w:szCs w:val="18"/>
        </w:rPr>
        <w:t xml:space="preserve">’une </w:t>
      </w:r>
      <w:r w:rsidRPr="002B20E2">
        <w:rPr>
          <w:szCs w:val="18"/>
        </w:rPr>
        <w:t xml:space="preserve">autre personne </w:t>
      </w:r>
      <w:r>
        <w:rPr>
          <w:szCs w:val="18"/>
        </w:rPr>
        <w:t xml:space="preserve">se trouvant </w:t>
      </w:r>
      <w:r w:rsidRPr="002B20E2">
        <w:rPr>
          <w:szCs w:val="18"/>
        </w:rPr>
        <w:t xml:space="preserve">dans une situation équivalente du fait de sa race, origine ethnique, nationalité, sexe, orientation sexuelle, âge, handicap, religion ou croyance. La discrimination indirecte désigne une </w:t>
      </w:r>
      <w:r>
        <w:rPr>
          <w:szCs w:val="18"/>
        </w:rPr>
        <w:t>action</w:t>
      </w:r>
      <w:r w:rsidRPr="002B20E2">
        <w:rPr>
          <w:szCs w:val="18"/>
        </w:rPr>
        <w:t xml:space="preserve"> ou une omission </w:t>
      </w:r>
      <w:r>
        <w:rPr>
          <w:szCs w:val="18"/>
        </w:rPr>
        <w:t xml:space="preserve">par </w:t>
      </w:r>
      <w:r w:rsidRPr="002B20E2">
        <w:rPr>
          <w:szCs w:val="18"/>
        </w:rPr>
        <w:t>laquelle une disposition, un critère ou une pratiq</w:t>
      </w:r>
      <w:r>
        <w:rPr>
          <w:szCs w:val="18"/>
        </w:rPr>
        <w:t>ue apparemment neutre placerai</w:t>
      </w:r>
      <w:r w:rsidRPr="002B20E2">
        <w:rPr>
          <w:szCs w:val="18"/>
        </w:rPr>
        <w:t>t une personne dans une situation particulièrement désavantageuse par rapport à d’autres pour l’une des raisons évoquées ci-dessus. Lorsque ces disposition</w:t>
      </w:r>
      <w:r>
        <w:rPr>
          <w:szCs w:val="18"/>
        </w:rPr>
        <w:t>s</w:t>
      </w:r>
      <w:r w:rsidRPr="002B20E2">
        <w:rPr>
          <w:szCs w:val="18"/>
        </w:rPr>
        <w:t>, critère</w:t>
      </w:r>
      <w:r>
        <w:rPr>
          <w:szCs w:val="18"/>
        </w:rPr>
        <w:t>s</w:t>
      </w:r>
      <w:r w:rsidRPr="002B20E2">
        <w:rPr>
          <w:szCs w:val="18"/>
        </w:rPr>
        <w:t xml:space="preserve"> ou pratique</w:t>
      </w:r>
      <w:r>
        <w:rPr>
          <w:szCs w:val="18"/>
        </w:rPr>
        <w:t>s</w:t>
      </w:r>
      <w:r w:rsidRPr="002B20E2">
        <w:rPr>
          <w:szCs w:val="18"/>
        </w:rPr>
        <w:t xml:space="preserve"> sont justifiés objectivement par un but légitime et que les moyens d</w:t>
      </w:r>
      <w:r>
        <w:rPr>
          <w:szCs w:val="18"/>
        </w:rPr>
        <w:t>e l’atteindre</w:t>
      </w:r>
      <w:r w:rsidRPr="002B20E2">
        <w:rPr>
          <w:szCs w:val="18"/>
        </w:rPr>
        <w:t xml:space="preserve"> sont appropriés et nécessaires, </w:t>
      </w:r>
      <w:r>
        <w:rPr>
          <w:szCs w:val="18"/>
        </w:rPr>
        <w:t>cela ne saurai</w:t>
      </w:r>
      <w:r w:rsidRPr="002B20E2">
        <w:rPr>
          <w:szCs w:val="18"/>
        </w:rPr>
        <w:t>t constituer une discrimination indirecte.</w:t>
      </w:r>
    </w:p>
  </w:footnote>
  <w:footnote w:id="67">
    <w:p w:rsidR="003F172D" w:rsidRPr="002205ED" w:rsidRDefault="003F172D" w:rsidP="003F172D">
      <w:pPr>
        <w:pStyle w:val="FootnoteText"/>
      </w:pPr>
      <w:r w:rsidRPr="002205ED">
        <w:tab/>
      </w:r>
      <w:r w:rsidRPr="002205ED">
        <w:rPr>
          <w:rStyle w:val="FootnoteReference"/>
        </w:rPr>
        <w:footnoteRef/>
      </w:r>
      <w:r w:rsidRPr="002205ED">
        <w:tab/>
        <w:t xml:space="preserve">Loi </w:t>
      </w:r>
      <w:r w:rsidRPr="00C14D2A">
        <w:t>n</w:t>
      </w:r>
      <w:r w:rsidRPr="00C14D2A">
        <w:rPr>
          <w:vertAlign w:val="superscript"/>
        </w:rPr>
        <w:t>o</w:t>
      </w:r>
      <w:r>
        <w:t xml:space="preserve"> </w:t>
      </w:r>
      <w:r w:rsidRPr="002205ED">
        <w:t xml:space="preserve">99/1963, </w:t>
      </w:r>
      <w:r>
        <w:t xml:space="preserve">Code </w:t>
      </w:r>
      <w:r w:rsidRPr="002205ED">
        <w:t xml:space="preserve">de </w:t>
      </w:r>
      <w:r w:rsidRPr="009E096D">
        <w:t>procédure</w:t>
      </w:r>
      <w:r w:rsidRPr="002205ED">
        <w:t xml:space="preserve"> civile</w:t>
      </w:r>
      <w:r>
        <w:t>,</w:t>
      </w:r>
      <w:r w:rsidRPr="002205ED">
        <w:t xml:space="preserve"> tel</w:t>
      </w:r>
      <w:r>
        <w:t>le</w:t>
      </w:r>
      <w:r w:rsidRPr="002205ED">
        <w:t xml:space="preserve"> que modifié</w:t>
      </w:r>
      <w:r>
        <w:t>e</w:t>
      </w:r>
      <w:r w:rsidRPr="002205ED">
        <w:t>.</w:t>
      </w:r>
    </w:p>
  </w:footnote>
  <w:footnote w:id="68">
    <w:p w:rsidR="003F172D" w:rsidRPr="002205ED" w:rsidRDefault="003F172D" w:rsidP="003F172D">
      <w:pPr>
        <w:pStyle w:val="FootnoteText"/>
      </w:pPr>
      <w:r w:rsidRPr="002205ED">
        <w:tab/>
      </w:r>
      <w:r w:rsidRPr="002205ED">
        <w:rPr>
          <w:rStyle w:val="FootnoteReference"/>
        </w:rPr>
        <w:footnoteRef/>
      </w:r>
      <w:r w:rsidRPr="002205ED">
        <w:tab/>
        <w:t xml:space="preserve">Conclusion de la Cour constitutionnelle publiée sous la cote </w:t>
      </w:r>
      <w:r w:rsidRPr="00C14D2A">
        <w:t>n</w:t>
      </w:r>
      <w:r w:rsidRPr="00C14D2A">
        <w:rPr>
          <w:vertAlign w:val="superscript"/>
        </w:rPr>
        <w:t>o</w:t>
      </w:r>
      <w:r>
        <w:t xml:space="preserve"> </w:t>
      </w:r>
      <w:r w:rsidRPr="002205ED">
        <w:t>419/2006.</w:t>
      </w:r>
    </w:p>
  </w:footnote>
  <w:footnote w:id="69">
    <w:p w:rsidR="003F172D" w:rsidRDefault="003F172D" w:rsidP="003F172D">
      <w:pPr>
        <w:pStyle w:val="FootnoteText"/>
      </w:pPr>
      <w:r w:rsidRPr="002205ED">
        <w:tab/>
      </w:r>
      <w:r w:rsidRPr="002205ED">
        <w:rPr>
          <w:rStyle w:val="FootnoteReference"/>
        </w:rPr>
        <w:footnoteRef/>
      </w:r>
      <w:r w:rsidRPr="002205ED">
        <w:tab/>
        <w:t>L</w:t>
      </w:r>
      <w:r>
        <w:t>e libellé de l’article</w:t>
      </w:r>
      <w:r w:rsidRPr="002205ED">
        <w:t xml:space="preserve"> 133a, sur </w:t>
      </w:r>
      <w:r>
        <w:t xml:space="preserve">lequel </w:t>
      </w:r>
      <w:r w:rsidRPr="002205ED">
        <w:t xml:space="preserve">porte </w:t>
      </w:r>
      <w:r>
        <w:t xml:space="preserve">l’arrêt </w:t>
      </w:r>
      <w:r w:rsidRPr="002205ED">
        <w:t>de la Cour, est le suivant:</w:t>
      </w:r>
    </w:p>
    <w:p w:rsidR="003F172D" w:rsidRDefault="003F172D" w:rsidP="003F172D">
      <w:pPr>
        <w:pStyle w:val="FootnoteText"/>
        <w:ind w:left="1701" w:firstLine="0"/>
      </w:pPr>
      <w:r w:rsidRPr="002205ED">
        <w:t>«</w:t>
      </w:r>
      <w:r>
        <w:t xml:space="preserve">Article </w:t>
      </w:r>
      <w:r w:rsidRPr="002205ED">
        <w:t>133a</w:t>
      </w:r>
      <w:r w:rsidRPr="002205ED">
        <w:br/>
        <w:t>1)</w:t>
      </w:r>
      <w:r w:rsidRPr="002205ED">
        <w:tab/>
      </w:r>
      <w:r>
        <w:t xml:space="preserve">Les allégations selon lesquelles </w:t>
      </w:r>
      <w:r w:rsidRPr="002205ED">
        <w:t>une partie a fait l</w:t>
      </w:r>
      <w:r>
        <w:t>’</w:t>
      </w:r>
      <w:r w:rsidRPr="002205ED">
        <w:t>objet d</w:t>
      </w:r>
      <w:r>
        <w:t>’</w:t>
      </w:r>
      <w:r w:rsidRPr="002205ED">
        <w:t>une discrimination directe ou indirecte fondée sur le sexe, l</w:t>
      </w:r>
      <w:r>
        <w:t>’</w:t>
      </w:r>
      <w:r w:rsidRPr="002205ED">
        <w:t>origine raciale ou ethnique, la religion, la foi, la croyance, le handicap, l</w:t>
      </w:r>
      <w:r>
        <w:t>’</w:t>
      </w:r>
      <w:r w:rsidRPr="002205ED">
        <w:t>âge ou l</w:t>
      </w:r>
      <w:r>
        <w:t>’</w:t>
      </w:r>
      <w:r w:rsidRPr="002205ED">
        <w:t>orientation sexuelle sont considéré</w:t>
      </w:r>
      <w:r>
        <w:t>e</w:t>
      </w:r>
      <w:r w:rsidRPr="002205ED">
        <w:t>s par la Cour comme étant prouvé</w:t>
      </w:r>
      <w:r>
        <w:t>e</w:t>
      </w:r>
      <w:r w:rsidRPr="002205ED">
        <w:t xml:space="preserve">s </w:t>
      </w:r>
      <w:r>
        <w:t xml:space="preserve">en matière de droit du </w:t>
      </w:r>
      <w:r w:rsidRPr="002205ED">
        <w:t xml:space="preserve">travail sauf </w:t>
      </w:r>
      <w:r>
        <w:t xml:space="preserve">si le </w:t>
      </w:r>
      <w:r w:rsidRPr="002205ED">
        <w:t>procès</w:t>
      </w:r>
      <w:r>
        <w:t xml:space="preserve"> a permis d’en juger différemment</w:t>
      </w:r>
      <w:r w:rsidRPr="002205ED">
        <w:t>.</w:t>
      </w:r>
    </w:p>
    <w:p w:rsidR="003F172D" w:rsidRPr="002205ED" w:rsidRDefault="003F172D" w:rsidP="003F172D">
      <w:pPr>
        <w:pStyle w:val="FootnoteText"/>
        <w:ind w:left="1701" w:firstLine="0"/>
      </w:pPr>
      <w:r w:rsidRPr="002205ED">
        <w:t>2)</w:t>
      </w:r>
      <w:r w:rsidRPr="002205ED">
        <w:tab/>
        <w:t xml:space="preserve">Les allégations </w:t>
      </w:r>
      <w:r>
        <w:t xml:space="preserve">selon </w:t>
      </w:r>
      <w:r w:rsidRPr="002205ED">
        <w:t xml:space="preserve">lesquelles une partie a été victime </w:t>
      </w:r>
      <w:r>
        <w:t xml:space="preserve">d’une discrimination </w:t>
      </w:r>
      <w:r w:rsidRPr="002205ED">
        <w:t>directe ou indirecte fondée sur l</w:t>
      </w:r>
      <w:r>
        <w:t>’</w:t>
      </w:r>
      <w:r w:rsidRPr="002205ED">
        <w:t xml:space="preserve">origine raciale ou ethnique sont considérées comme étant prouvées par la Cour </w:t>
      </w:r>
      <w:r>
        <w:t xml:space="preserve">si elles concernent les </w:t>
      </w:r>
      <w:r w:rsidRPr="002205ED">
        <w:t xml:space="preserve">soins de santé et </w:t>
      </w:r>
      <w:r>
        <w:t>l’</w:t>
      </w:r>
      <w:r w:rsidRPr="002205ED">
        <w:t xml:space="preserve">aide sociale, </w:t>
      </w:r>
      <w:r>
        <w:t>l’</w:t>
      </w:r>
      <w:r w:rsidRPr="002205ED">
        <w:t>assistance matérielle</w:t>
      </w:r>
      <w:r>
        <w:t xml:space="preserve"> en cas de besoin</w:t>
      </w:r>
      <w:r w:rsidRPr="002205ED">
        <w:t xml:space="preserve">, </w:t>
      </w:r>
      <w:r>
        <w:t>l’</w:t>
      </w:r>
      <w:r w:rsidRPr="002205ED">
        <w:t>accès à l</w:t>
      </w:r>
      <w:r>
        <w:t>’</w:t>
      </w:r>
      <w:r w:rsidRPr="002205ED">
        <w:t xml:space="preserve">éducation et à la formation, </w:t>
      </w:r>
      <w:r>
        <w:t>l’</w:t>
      </w:r>
      <w:r w:rsidRPr="002205ED">
        <w:t xml:space="preserve">accès aux marchés publics, </w:t>
      </w:r>
      <w:r>
        <w:t>l’</w:t>
      </w:r>
      <w:r w:rsidRPr="002205ED">
        <w:t xml:space="preserve">adhésion à des organisations </w:t>
      </w:r>
      <w:r>
        <w:t xml:space="preserve">syndicales ou patronales </w:t>
      </w:r>
      <w:r w:rsidRPr="002205ED">
        <w:t xml:space="preserve">et </w:t>
      </w:r>
      <w:r>
        <w:t>l’</w:t>
      </w:r>
      <w:r w:rsidRPr="002205ED">
        <w:t>adhésion à des associations et groupes d</w:t>
      </w:r>
      <w:r>
        <w:t>’</w:t>
      </w:r>
      <w:r w:rsidRPr="002205ED">
        <w:t>intérêt</w:t>
      </w:r>
      <w:r>
        <w:t>s professionnels</w:t>
      </w:r>
      <w:r w:rsidRPr="002205ED">
        <w:t>, et dans la vente de biens dans un commerce ou la fourniture d</w:t>
      </w:r>
      <w:r>
        <w:t>’</w:t>
      </w:r>
      <w:r w:rsidRPr="002205ED">
        <w:t xml:space="preserve">un service, sauf si le procès a </w:t>
      </w:r>
      <w:r>
        <w:t>permis d’en juger différemment</w:t>
      </w:r>
      <w:r w:rsidRPr="002205ED">
        <w:t>.».</w:t>
      </w:r>
    </w:p>
  </w:footnote>
  <w:footnote w:id="70">
    <w:p w:rsidR="003F172D" w:rsidRPr="002205ED" w:rsidRDefault="003F172D" w:rsidP="003F172D">
      <w:pPr>
        <w:pStyle w:val="FootnoteText"/>
      </w:pPr>
      <w:r w:rsidRPr="002205ED">
        <w:tab/>
      </w:r>
      <w:r w:rsidRPr="002205ED">
        <w:rPr>
          <w:rStyle w:val="FootnoteReference"/>
        </w:rPr>
        <w:footnoteRef/>
      </w:r>
      <w:r w:rsidRPr="002205ED">
        <w:tab/>
        <w:t xml:space="preserve">Par exemple, </w:t>
      </w:r>
      <w:r>
        <w:t xml:space="preserve">la </w:t>
      </w:r>
      <w:r w:rsidRPr="002205ED">
        <w:t>Directive 2000/43/CE du Conseil</w:t>
      </w:r>
      <w:r>
        <w:t>, du 26 septembre 2000,</w:t>
      </w:r>
      <w:r w:rsidRPr="002205ED">
        <w:t xml:space="preserve"> relative à la mise en œuvre du principe de l</w:t>
      </w:r>
      <w:r>
        <w:t>’</w:t>
      </w:r>
      <w:r w:rsidRPr="002205ED">
        <w:t xml:space="preserve">égalité de traitement entre les personnes </w:t>
      </w:r>
      <w:r>
        <w:t>indépendamment de l’origine raciale ou ethnique</w:t>
      </w:r>
      <w:r w:rsidRPr="002205ED">
        <w:t xml:space="preserve">. </w:t>
      </w:r>
    </w:p>
  </w:footnote>
  <w:footnote w:id="71">
    <w:p w:rsidR="003F172D" w:rsidRDefault="003F172D" w:rsidP="003F172D">
      <w:pPr>
        <w:pStyle w:val="FootnoteText"/>
      </w:pPr>
      <w:r w:rsidRPr="002205ED">
        <w:tab/>
      </w:r>
      <w:r w:rsidRPr="002205ED">
        <w:rPr>
          <w:rStyle w:val="FootnoteReference"/>
        </w:rPr>
        <w:footnoteRef/>
      </w:r>
      <w:r w:rsidRPr="002205ED">
        <w:tab/>
        <w:t xml:space="preserve">Le texte actuel de </w:t>
      </w:r>
      <w:r>
        <w:t>l’article 133a se lit comme suit:</w:t>
      </w:r>
    </w:p>
    <w:p w:rsidR="003F172D" w:rsidRDefault="003F172D" w:rsidP="003F172D">
      <w:pPr>
        <w:pStyle w:val="FootnoteText"/>
        <w:ind w:left="1701" w:firstLine="567"/>
      </w:pPr>
      <w:r w:rsidRPr="002205ED">
        <w:t>«Si le demandeur démontre devant un tribunal l</w:t>
      </w:r>
      <w:r>
        <w:t>’</w:t>
      </w:r>
      <w:r w:rsidRPr="002205ED">
        <w:t>existence de faits qui peuvent porter à croire qu</w:t>
      </w:r>
      <w:r>
        <w:t>’</w:t>
      </w:r>
      <w:r w:rsidRPr="002205ED">
        <w:t xml:space="preserve">il y a eu, </w:t>
      </w:r>
      <w:r>
        <w:t xml:space="preserve">du fait </w:t>
      </w:r>
      <w:r w:rsidRPr="002205ED">
        <w:t xml:space="preserve">du défendeur, </w:t>
      </w:r>
      <w:r>
        <w:t xml:space="preserve">une </w:t>
      </w:r>
      <w:r w:rsidRPr="002205ED">
        <w:t>discrimination directe ou indirecte</w:t>
      </w:r>
    </w:p>
    <w:p w:rsidR="003F172D" w:rsidRDefault="003F172D" w:rsidP="003F172D">
      <w:pPr>
        <w:pStyle w:val="FootnoteText"/>
        <w:ind w:left="1701" w:firstLine="567"/>
      </w:pPr>
      <w:r w:rsidRPr="002205ED">
        <w:t>a)</w:t>
      </w:r>
      <w:r>
        <w:tab/>
        <w:t>f</w:t>
      </w:r>
      <w:r w:rsidRPr="002205ED">
        <w:t>ondée sur le sexe, l</w:t>
      </w:r>
      <w:r>
        <w:t>’</w:t>
      </w:r>
      <w:r w:rsidRPr="002205ED">
        <w:t>origine raciale ou ethnique, la religion ou la croyance, le handicap, l</w:t>
      </w:r>
      <w:r>
        <w:t>’</w:t>
      </w:r>
      <w:r w:rsidRPr="002205ED">
        <w:t>âge ou l</w:t>
      </w:r>
      <w:r>
        <w:t>’</w:t>
      </w:r>
      <w:r w:rsidRPr="002205ED">
        <w:t>orientation sexuelle dans le domaine de l</w:t>
      </w:r>
      <w:r>
        <w:t>’</w:t>
      </w:r>
      <w:r w:rsidRPr="002205ED">
        <w:t xml:space="preserve">emploi ou </w:t>
      </w:r>
      <w:r>
        <w:t xml:space="preserve">en rapport avec </w:t>
      </w:r>
      <w:r w:rsidRPr="002205ED">
        <w:t xml:space="preserve">une activité professionnelle salariée, </w:t>
      </w:r>
      <w:r>
        <w:t xml:space="preserve">y compris </w:t>
      </w:r>
      <w:r w:rsidRPr="002205ED">
        <w:t>en ce qui concerne l</w:t>
      </w:r>
      <w:r>
        <w:t>’</w:t>
      </w:r>
      <w:r w:rsidRPr="002205ED">
        <w:t xml:space="preserve">accès à </w:t>
      </w:r>
      <w:r>
        <w:t>l’</w:t>
      </w:r>
      <w:r w:rsidRPr="002205ED">
        <w:t xml:space="preserve">emploi ou </w:t>
      </w:r>
      <w:r>
        <w:t>à l’</w:t>
      </w:r>
      <w:r w:rsidRPr="002205ED">
        <w:t>activité</w:t>
      </w:r>
      <w:r>
        <w:t xml:space="preserve"> en question ou en rapport avec une profession</w:t>
      </w:r>
      <w:r w:rsidRPr="002205ED">
        <w:t>, la création d</w:t>
      </w:r>
      <w:r>
        <w:t>’</w:t>
      </w:r>
      <w:r w:rsidRPr="002205ED">
        <w:t>entreprise</w:t>
      </w:r>
      <w:r>
        <w:t>s</w:t>
      </w:r>
      <w:r w:rsidRPr="002205ED">
        <w:t xml:space="preserve"> ou autre </w:t>
      </w:r>
      <w:r>
        <w:t xml:space="preserve">forme d’emploi </w:t>
      </w:r>
      <w:r w:rsidRPr="002205ED">
        <w:t>indépendante, y</w:t>
      </w:r>
      <w:r>
        <w:t xml:space="preserve"> </w:t>
      </w:r>
      <w:r w:rsidRPr="002205ED">
        <w:t xml:space="preserve">compris </w:t>
      </w:r>
      <w:r>
        <w:t xml:space="preserve">en ce qui concerne </w:t>
      </w:r>
      <w:r w:rsidRPr="002205ED">
        <w:t>l</w:t>
      </w:r>
      <w:r>
        <w:t>’</w:t>
      </w:r>
      <w:r w:rsidRPr="002205ED">
        <w:t xml:space="preserve">accès à </w:t>
      </w:r>
      <w:r>
        <w:t>l’</w:t>
      </w:r>
      <w:r w:rsidRPr="002205ED">
        <w:t xml:space="preserve">activité ou </w:t>
      </w:r>
      <w:r>
        <w:t xml:space="preserve">l’emploi en question, ou en rapport avec </w:t>
      </w:r>
      <w:r w:rsidRPr="002205ED">
        <w:t>l</w:t>
      </w:r>
      <w:r>
        <w:t xml:space="preserve">’adhésion à une organisation syndicale ou patronale ou avec </w:t>
      </w:r>
      <w:r w:rsidRPr="002205ED">
        <w:t>l</w:t>
      </w:r>
      <w:r>
        <w:t>’</w:t>
      </w:r>
      <w:r w:rsidRPr="002205ED">
        <w:t xml:space="preserve">adhésion ou la participation </w:t>
      </w:r>
      <w:r>
        <w:t>à des organismes professionnels,</w:t>
      </w:r>
    </w:p>
    <w:p w:rsidR="003F172D" w:rsidRDefault="003F172D" w:rsidP="003F172D">
      <w:pPr>
        <w:pStyle w:val="FootnoteText"/>
        <w:ind w:left="1701" w:firstLine="567"/>
      </w:pPr>
      <w:r>
        <w:tab/>
      </w:r>
      <w:r w:rsidRPr="002205ED">
        <w:t>b)</w:t>
      </w:r>
      <w:r>
        <w:tab/>
        <w:t>f</w:t>
      </w:r>
      <w:r w:rsidRPr="002205ED">
        <w:t>ondée sur l</w:t>
      </w:r>
      <w:r>
        <w:t>’</w:t>
      </w:r>
      <w:r w:rsidRPr="002205ED">
        <w:t xml:space="preserve">origine raciale ou ethnique dans la </w:t>
      </w:r>
      <w:r>
        <w:t>prestation de services médicaux ou sociaux</w:t>
      </w:r>
      <w:r w:rsidRPr="002205ED">
        <w:t>, dans l</w:t>
      </w:r>
      <w:r>
        <w:t>’</w:t>
      </w:r>
      <w:r w:rsidRPr="002205ED">
        <w:t>accès à l</w:t>
      </w:r>
      <w:r>
        <w:t>’</w:t>
      </w:r>
      <w:r w:rsidRPr="002205ED">
        <w:t>enseignement et à la formation professionnelle, dans l</w:t>
      </w:r>
      <w:r>
        <w:t>’</w:t>
      </w:r>
      <w:r w:rsidRPr="002205ED">
        <w:t xml:space="preserve">accès aux </w:t>
      </w:r>
      <w:r>
        <w:t xml:space="preserve">marchés </w:t>
      </w:r>
      <w:r w:rsidRPr="002205ED">
        <w:t xml:space="preserve">publics, au logement, ou </w:t>
      </w:r>
      <w:r>
        <w:t xml:space="preserve">s’agissant de </w:t>
      </w:r>
      <w:r w:rsidRPr="002205ED">
        <w:t>l</w:t>
      </w:r>
      <w:r>
        <w:t>’</w:t>
      </w:r>
      <w:r w:rsidRPr="002205ED">
        <w:t>adhésion à des groupes d</w:t>
      </w:r>
      <w:r>
        <w:t>’</w:t>
      </w:r>
      <w:r w:rsidRPr="002205ED">
        <w:t>intérêt</w:t>
      </w:r>
      <w:r>
        <w:t>s</w:t>
      </w:r>
      <w:r w:rsidRPr="002205ED">
        <w:t xml:space="preserve">, </w:t>
      </w:r>
      <w:r>
        <w:t xml:space="preserve">de </w:t>
      </w:r>
      <w:r w:rsidRPr="002205ED">
        <w:t xml:space="preserve">la vente de marchandises au détail ou </w:t>
      </w:r>
      <w:r>
        <w:t>de la fourniture de services, et</w:t>
      </w:r>
    </w:p>
    <w:p w:rsidR="003F172D" w:rsidRPr="002205ED" w:rsidRDefault="003F172D" w:rsidP="003F172D">
      <w:pPr>
        <w:pStyle w:val="FootnoteText"/>
        <w:ind w:left="1701" w:firstLine="567"/>
      </w:pPr>
      <w:r>
        <w:tab/>
      </w:r>
      <w:r w:rsidRPr="002205ED">
        <w:t>c)</w:t>
      </w:r>
      <w:r>
        <w:tab/>
        <w:t>f</w:t>
      </w:r>
      <w:r w:rsidRPr="002205ED">
        <w:t>ondée sur le sexe dans l</w:t>
      </w:r>
      <w:r>
        <w:t>’</w:t>
      </w:r>
      <w:r w:rsidRPr="002205ED">
        <w:t>accès des biens et services, le défen</w:t>
      </w:r>
      <w:r>
        <w:t>d</w:t>
      </w:r>
      <w:r w:rsidRPr="002205ED">
        <w:t xml:space="preserve">eur </w:t>
      </w:r>
      <w:r>
        <w:t xml:space="preserve">doit </w:t>
      </w:r>
      <w:r w:rsidRPr="002205ED">
        <w:t>prouve</w:t>
      </w:r>
      <w:r>
        <w:t>r</w:t>
      </w:r>
      <w:r w:rsidRPr="002205ED">
        <w:t xml:space="preserve"> qu</w:t>
      </w:r>
      <w:r>
        <w:t>’</w:t>
      </w:r>
      <w:r w:rsidRPr="002205ED">
        <w:t>il n</w:t>
      </w:r>
      <w:r>
        <w:t>’</w:t>
      </w:r>
      <w:r w:rsidRPr="002205ED">
        <w:t>y a pas eu violation du principe d</w:t>
      </w:r>
      <w:r>
        <w:t>’</w:t>
      </w:r>
      <w:r w:rsidRPr="002205ED">
        <w:t>égalité de traitement.».</w:t>
      </w:r>
    </w:p>
  </w:footnote>
  <w:footnote w:id="72">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t xml:space="preserve">Loi </w:t>
      </w:r>
      <w:r w:rsidRPr="00400457">
        <w:rPr>
          <w:rFonts w:eastAsia="MS Mincho"/>
          <w:szCs w:val="24"/>
        </w:rPr>
        <w:t>n</w:t>
      </w:r>
      <w:r w:rsidRPr="00400457">
        <w:rPr>
          <w:rFonts w:eastAsia="MS Mincho"/>
          <w:szCs w:val="24"/>
          <w:vertAlign w:val="superscript"/>
        </w:rPr>
        <w:t>o</w:t>
      </w:r>
      <w:r>
        <w:rPr>
          <w:rFonts w:eastAsia="MS Mincho"/>
          <w:szCs w:val="24"/>
        </w:rPr>
        <w:t xml:space="preserve"> </w:t>
      </w:r>
      <w:r w:rsidRPr="002205ED">
        <w:rPr>
          <w:szCs w:val="24"/>
        </w:rPr>
        <w:t>262/2006, Code du travail, tel</w:t>
      </w:r>
      <w:r>
        <w:rPr>
          <w:szCs w:val="24"/>
        </w:rPr>
        <w:t>le</w:t>
      </w:r>
      <w:r w:rsidRPr="002205ED">
        <w:rPr>
          <w:szCs w:val="24"/>
        </w:rPr>
        <w:t xml:space="preserve"> que modifié</w:t>
      </w:r>
      <w:r>
        <w:rPr>
          <w:szCs w:val="24"/>
        </w:rPr>
        <w:t>e</w:t>
      </w:r>
      <w:r w:rsidRPr="002205ED">
        <w:rPr>
          <w:szCs w:val="24"/>
        </w:rPr>
        <w:t>.</w:t>
      </w:r>
    </w:p>
  </w:footnote>
  <w:footnote w:id="73">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r>
      <w:r>
        <w:rPr>
          <w:szCs w:val="24"/>
        </w:rPr>
        <w:t>A</w:t>
      </w:r>
      <w:r w:rsidR="0096627F">
        <w:rPr>
          <w:szCs w:val="24"/>
        </w:rPr>
        <w:t>r</w:t>
      </w:r>
      <w:r>
        <w:rPr>
          <w:szCs w:val="24"/>
        </w:rPr>
        <w:t>t.</w:t>
      </w:r>
      <w:r w:rsidRPr="002205ED">
        <w:rPr>
          <w:szCs w:val="24"/>
        </w:rPr>
        <w:t xml:space="preserve"> 13 2) b).</w:t>
      </w:r>
    </w:p>
  </w:footnote>
  <w:footnote w:id="74">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t xml:space="preserve">Loi </w:t>
      </w:r>
      <w:r w:rsidRPr="00400457">
        <w:rPr>
          <w:rFonts w:eastAsia="MS Mincho"/>
          <w:szCs w:val="24"/>
        </w:rPr>
        <w:t>n</w:t>
      </w:r>
      <w:r w:rsidRPr="00400457">
        <w:rPr>
          <w:rFonts w:eastAsia="MS Mincho"/>
          <w:szCs w:val="24"/>
          <w:vertAlign w:val="superscript"/>
        </w:rPr>
        <w:t>o</w:t>
      </w:r>
      <w:r>
        <w:rPr>
          <w:rFonts w:eastAsia="MS Mincho"/>
          <w:szCs w:val="24"/>
        </w:rPr>
        <w:t xml:space="preserve"> </w:t>
      </w:r>
      <w:r w:rsidRPr="002205ED">
        <w:rPr>
          <w:szCs w:val="24"/>
        </w:rPr>
        <w:t>435/2004 sur l</w:t>
      </w:r>
      <w:r>
        <w:rPr>
          <w:szCs w:val="24"/>
        </w:rPr>
        <w:t>’</w:t>
      </w:r>
      <w:r w:rsidRPr="002205ED">
        <w:rPr>
          <w:szCs w:val="24"/>
        </w:rPr>
        <w:t>emploi, telle que modifiée.</w:t>
      </w:r>
    </w:p>
  </w:footnote>
  <w:footnote w:id="75">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t xml:space="preserve">Loi </w:t>
      </w:r>
      <w:r w:rsidRPr="0036787A">
        <w:rPr>
          <w:rFonts w:eastAsia="MS Mincho"/>
          <w:szCs w:val="24"/>
        </w:rPr>
        <w:t>n</w:t>
      </w:r>
      <w:r w:rsidRPr="0036787A">
        <w:rPr>
          <w:rFonts w:eastAsia="MS Mincho"/>
          <w:szCs w:val="24"/>
          <w:vertAlign w:val="superscript"/>
        </w:rPr>
        <w:t>o</w:t>
      </w:r>
      <w:r>
        <w:rPr>
          <w:rFonts w:eastAsia="MS Mincho"/>
          <w:szCs w:val="24"/>
        </w:rPr>
        <w:t xml:space="preserve"> </w:t>
      </w:r>
      <w:r w:rsidRPr="002205ED">
        <w:rPr>
          <w:szCs w:val="24"/>
        </w:rPr>
        <w:t xml:space="preserve">218/2002 </w:t>
      </w:r>
      <w:r>
        <w:rPr>
          <w:szCs w:val="24"/>
        </w:rPr>
        <w:t>qui réglemente l’emploi des fonctionnaires dans l’administration et la rémunération de ces fonctionnaires et d’autres employés de l’administration, telle que modifiée</w:t>
      </w:r>
      <w:r w:rsidRPr="002205ED">
        <w:rPr>
          <w:szCs w:val="24"/>
        </w:rPr>
        <w:t>.</w:t>
      </w:r>
    </w:p>
  </w:footnote>
  <w:footnote w:id="76">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t xml:space="preserve">Loi </w:t>
      </w:r>
      <w:r w:rsidRPr="0036787A">
        <w:rPr>
          <w:rFonts w:eastAsia="MS Mincho"/>
          <w:szCs w:val="24"/>
        </w:rPr>
        <w:t>n</w:t>
      </w:r>
      <w:r w:rsidRPr="0036787A">
        <w:rPr>
          <w:rFonts w:eastAsia="MS Mincho"/>
          <w:szCs w:val="24"/>
          <w:vertAlign w:val="superscript"/>
        </w:rPr>
        <w:t>o</w:t>
      </w:r>
      <w:r>
        <w:rPr>
          <w:rFonts w:eastAsia="MS Mincho"/>
          <w:szCs w:val="24"/>
        </w:rPr>
        <w:t xml:space="preserve"> </w:t>
      </w:r>
      <w:r w:rsidRPr="002205ED">
        <w:rPr>
          <w:szCs w:val="24"/>
        </w:rPr>
        <w:t>361/2003 entrée en vigueur le 1</w:t>
      </w:r>
      <w:r w:rsidRPr="0022060F">
        <w:rPr>
          <w:szCs w:val="24"/>
          <w:vertAlign w:val="superscript"/>
        </w:rPr>
        <w:t>er</w:t>
      </w:r>
      <w:r>
        <w:rPr>
          <w:szCs w:val="24"/>
        </w:rPr>
        <w:t xml:space="preserve"> </w:t>
      </w:r>
      <w:r w:rsidRPr="002205ED">
        <w:rPr>
          <w:szCs w:val="24"/>
        </w:rPr>
        <w:t>janvier 2007.</w:t>
      </w:r>
    </w:p>
  </w:footnote>
  <w:footnote w:id="77">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t xml:space="preserve">Loi </w:t>
      </w:r>
      <w:r w:rsidRPr="0036787A">
        <w:rPr>
          <w:rFonts w:eastAsia="MS Mincho"/>
          <w:szCs w:val="24"/>
        </w:rPr>
        <w:t>n</w:t>
      </w:r>
      <w:r w:rsidRPr="0036787A">
        <w:rPr>
          <w:rFonts w:eastAsia="MS Mincho"/>
          <w:szCs w:val="24"/>
          <w:vertAlign w:val="superscript"/>
        </w:rPr>
        <w:t>o</w:t>
      </w:r>
      <w:r>
        <w:rPr>
          <w:rFonts w:eastAsia="MS Mincho"/>
          <w:szCs w:val="24"/>
        </w:rPr>
        <w:t xml:space="preserve"> </w:t>
      </w:r>
      <w:r w:rsidRPr="002205ED">
        <w:rPr>
          <w:szCs w:val="24"/>
        </w:rPr>
        <w:t>343/2007.</w:t>
      </w:r>
    </w:p>
  </w:footnote>
  <w:footnote w:id="78">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t xml:space="preserve">Loi </w:t>
      </w:r>
      <w:r w:rsidRPr="0036787A">
        <w:rPr>
          <w:rFonts w:eastAsia="MS Mincho"/>
          <w:szCs w:val="24"/>
        </w:rPr>
        <w:t>n</w:t>
      </w:r>
      <w:r w:rsidRPr="0036787A">
        <w:rPr>
          <w:rFonts w:eastAsia="MS Mincho"/>
          <w:szCs w:val="24"/>
          <w:vertAlign w:val="superscript"/>
        </w:rPr>
        <w:t>o</w:t>
      </w:r>
      <w:r>
        <w:rPr>
          <w:rFonts w:eastAsia="MS Mincho"/>
          <w:szCs w:val="24"/>
        </w:rPr>
        <w:t xml:space="preserve"> </w:t>
      </w:r>
      <w:r w:rsidRPr="002205ED">
        <w:rPr>
          <w:szCs w:val="24"/>
        </w:rPr>
        <w:t>561/2004 sur l</w:t>
      </w:r>
      <w:r>
        <w:rPr>
          <w:szCs w:val="24"/>
        </w:rPr>
        <w:t>’</w:t>
      </w:r>
      <w:r w:rsidRPr="002205ED">
        <w:rPr>
          <w:szCs w:val="24"/>
        </w:rPr>
        <w:t>enseignement préscolaire, primaire, secondaire, professionnel et autre</w:t>
      </w:r>
      <w:r>
        <w:rPr>
          <w:szCs w:val="24"/>
        </w:rPr>
        <w:t>s formes d’enseignement</w:t>
      </w:r>
      <w:r w:rsidRPr="002205ED">
        <w:rPr>
          <w:szCs w:val="24"/>
        </w:rPr>
        <w:t>.</w:t>
      </w:r>
    </w:p>
  </w:footnote>
  <w:footnote w:id="79">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t xml:space="preserve">Loi </w:t>
      </w:r>
      <w:r w:rsidRPr="0036787A">
        <w:rPr>
          <w:rFonts w:eastAsia="MS Mincho"/>
          <w:szCs w:val="24"/>
        </w:rPr>
        <w:t>n</w:t>
      </w:r>
      <w:r w:rsidRPr="0036787A">
        <w:rPr>
          <w:rFonts w:eastAsia="MS Mincho"/>
          <w:szCs w:val="24"/>
          <w:vertAlign w:val="superscript"/>
        </w:rPr>
        <w:t>o</w:t>
      </w:r>
      <w:r>
        <w:rPr>
          <w:rFonts w:eastAsia="MS Mincho"/>
          <w:szCs w:val="24"/>
        </w:rPr>
        <w:t xml:space="preserve"> </w:t>
      </w:r>
      <w:r w:rsidRPr="002205ED">
        <w:rPr>
          <w:szCs w:val="24"/>
        </w:rPr>
        <w:t>500/2004 entrée en vigueur le 1</w:t>
      </w:r>
      <w:r w:rsidRPr="0022060F">
        <w:rPr>
          <w:szCs w:val="24"/>
          <w:vertAlign w:val="superscript"/>
        </w:rPr>
        <w:t>er</w:t>
      </w:r>
      <w:r>
        <w:rPr>
          <w:szCs w:val="24"/>
        </w:rPr>
        <w:t xml:space="preserve"> </w:t>
      </w:r>
      <w:r w:rsidRPr="002205ED">
        <w:rPr>
          <w:szCs w:val="24"/>
        </w:rPr>
        <w:t>janvier 2006.</w:t>
      </w:r>
    </w:p>
  </w:footnote>
  <w:footnote w:id="80">
    <w:p w:rsidR="003F172D" w:rsidRPr="002205ED" w:rsidRDefault="003F172D" w:rsidP="003F172D">
      <w:pPr>
        <w:pStyle w:val="FootnoteText"/>
      </w:pPr>
      <w:r w:rsidRPr="002205ED">
        <w:rPr>
          <w:szCs w:val="24"/>
        </w:rPr>
        <w:tab/>
      </w:r>
      <w:r w:rsidRPr="002205ED">
        <w:rPr>
          <w:rStyle w:val="FootnoteReference"/>
        </w:rPr>
        <w:footnoteRef/>
      </w:r>
      <w:r w:rsidRPr="002205ED">
        <w:rPr>
          <w:szCs w:val="24"/>
        </w:rPr>
        <w:tab/>
        <w:t>Il s</w:t>
      </w:r>
      <w:r>
        <w:rPr>
          <w:szCs w:val="24"/>
        </w:rPr>
        <w:t>’</w:t>
      </w:r>
      <w:r w:rsidRPr="002205ED">
        <w:rPr>
          <w:szCs w:val="24"/>
        </w:rPr>
        <w:t>agit de l</w:t>
      </w:r>
      <w:r>
        <w:rPr>
          <w:szCs w:val="24"/>
        </w:rPr>
        <w:t>’</w:t>
      </w:r>
      <w:r w:rsidRPr="002205ED">
        <w:rPr>
          <w:szCs w:val="24"/>
        </w:rPr>
        <w:t xml:space="preserve">égalité des </w:t>
      </w:r>
      <w:r>
        <w:rPr>
          <w:szCs w:val="24"/>
        </w:rPr>
        <w:t>p</w:t>
      </w:r>
      <w:r w:rsidRPr="002205ED">
        <w:rPr>
          <w:szCs w:val="24"/>
        </w:rPr>
        <w:t>arties</w:t>
      </w:r>
      <w:r>
        <w:rPr>
          <w:szCs w:val="24"/>
        </w:rPr>
        <w:t xml:space="preserve"> à une procédure</w:t>
      </w:r>
      <w:r w:rsidRPr="002205ED">
        <w:rPr>
          <w:szCs w:val="24"/>
        </w:rPr>
        <w:t>.</w:t>
      </w:r>
    </w:p>
  </w:footnote>
  <w:footnote w:id="81">
    <w:p w:rsidR="003F172D" w:rsidRPr="002205ED" w:rsidRDefault="003F172D" w:rsidP="003F172D">
      <w:pPr>
        <w:pStyle w:val="FootnoteText"/>
      </w:pPr>
      <w:r w:rsidRPr="002205ED">
        <w:tab/>
      </w:r>
      <w:r w:rsidRPr="002205ED">
        <w:rPr>
          <w:rStyle w:val="FootnoteReference"/>
        </w:rPr>
        <w:footnoteRef/>
      </w:r>
      <w:r w:rsidRPr="002205ED">
        <w:tab/>
      </w:r>
      <w:r w:rsidRPr="002205ED">
        <w:rPr>
          <w:szCs w:val="24"/>
        </w:rPr>
        <w:t xml:space="preserve">Loi </w:t>
      </w:r>
      <w:r w:rsidRPr="0036787A">
        <w:rPr>
          <w:rFonts w:eastAsia="MS Mincho"/>
          <w:szCs w:val="24"/>
        </w:rPr>
        <w:t>n</w:t>
      </w:r>
      <w:r w:rsidRPr="0036787A">
        <w:rPr>
          <w:rFonts w:eastAsia="MS Mincho"/>
          <w:szCs w:val="24"/>
          <w:vertAlign w:val="superscript"/>
        </w:rPr>
        <w:t>o</w:t>
      </w:r>
      <w:r>
        <w:rPr>
          <w:rFonts w:eastAsia="MS Mincho"/>
          <w:szCs w:val="24"/>
        </w:rPr>
        <w:t xml:space="preserve"> </w:t>
      </w:r>
      <w:r w:rsidRPr="002205ED">
        <w:rPr>
          <w:szCs w:val="24"/>
        </w:rPr>
        <w:t xml:space="preserve">150/2002, </w:t>
      </w:r>
      <w:r>
        <w:rPr>
          <w:szCs w:val="24"/>
        </w:rPr>
        <w:t xml:space="preserve">Code </w:t>
      </w:r>
      <w:r w:rsidRPr="002205ED">
        <w:rPr>
          <w:szCs w:val="24"/>
        </w:rPr>
        <w:t>de procédure administrative, telle que modifiée.</w:t>
      </w:r>
    </w:p>
  </w:footnote>
  <w:footnote w:id="82">
    <w:p w:rsidR="003F172D" w:rsidRPr="002205ED" w:rsidRDefault="003F172D" w:rsidP="003F172D">
      <w:pPr>
        <w:pStyle w:val="FootnoteText"/>
        <w:rPr>
          <w:szCs w:val="24"/>
        </w:rPr>
      </w:pPr>
      <w:r w:rsidRPr="002205ED">
        <w:rPr>
          <w:szCs w:val="24"/>
        </w:rPr>
        <w:tab/>
      </w:r>
      <w:r w:rsidRPr="002205ED">
        <w:rPr>
          <w:rStyle w:val="FootnoteReference"/>
        </w:rPr>
        <w:footnoteRef/>
      </w:r>
      <w:r w:rsidRPr="002205ED">
        <w:rPr>
          <w:szCs w:val="24"/>
        </w:rPr>
        <w:tab/>
      </w:r>
      <w:r>
        <w:rPr>
          <w:szCs w:val="24"/>
        </w:rPr>
        <w:t xml:space="preserve">Art. </w:t>
      </w:r>
      <w:r w:rsidRPr="002205ED">
        <w:rPr>
          <w:szCs w:val="24"/>
        </w:rPr>
        <w:t xml:space="preserve">49 1) </w:t>
      </w:r>
      <w:r>
        <w:rPr>
          <w:szCs w:val="24"/>
        </w:rPr>
        <w:t>d</w:t>
      </w:r>
      <w:r w:rsidRPr="002205ED">
        <w:rPr>
          <w:szCs w:val="24"/>
        </w:rPr>
        <w:t xml:space="preserve">) et e) de la loi </w:t>
      </w:r>
      <w:r w:rsidRPr="0036787A">
        <w:rPr>
          <w:rFonts w:eastAsia="MS Mincho"/>
          <w:szCs w:val="24"/>
        </w:rPr>
        <w:t>n</w:t>
      </w:r>
      <w:r w:rsidRPr="0036787A">
        <w:rPr>
          <w:rFonts w:eastAsia="MS Mincho"/>
          <w:szCs w:val="24"/>
          <w:vertAlign w:val="superscript"/>
        </w:rPr>
        <w:t>o</w:t>
      </w:r>
      <w:r>
        <w:rPr>
          <w:rFonts w:eastAsia="MS Mincho"/>
          <w:szCs w:val="24"/>
        </w:rPr>
        <w:t xml:space="preserve"> </w:t>
      </w:r>
      <w:r w:rsidRPr="002205ED">
        <w:rPr>
          <w:szCs w:val="24"/>
        </w:rPr>
        <w:t xml:space="preserve">200/1990 sur les </w:t>
      </w:r>
      <w:r>
        <w:rPr>
          <w:szCs w:val="24"/>
        </w:rPr>
        <w:t>infractions</w:t>
      </w:r>
      <w:r w:rsidRPr="002205ED">
        <w:rPr>
          <w:szCs w:val="24"/>
        </w:rPr>
        <w:t>.</w:t>
      </w:r>
    </w:p>
  </w:footnote>
  <w:footnote w:id="83">
    <w:p w:rsidR="003F172D" w:rsidRPr="002205ED" w:rsidRDefault="003F172D" w:rsidP="003F172D">
      <w:pPr>
        <w:pStyle w:val="FootnoteText"/>
        <w:rPr>
          <w:szCs w:val="24"/>
        </w:rPr>
      </w:pPr>
      <w:r w:rsidRPr="002205ED">
        <w:tab/>
      </w:r>
      <w:r w:rsidRPr="002205ED">
        <w:rPr>
          <w:rStyle w:val="FootnoteReference"/>
        </w:rPr>
        <w:footnoteRef/>
      </w:r>
      <w:r w:rsidRPr="002205ED">
        <w:rPr>
          <w:szCs w:val="24"/>
        </w:rPr>
        <w:tab/>
        <w:t xml:space="preserve">Conformément au </w:t>
      </w:r>
      <w:r>
        <w:rPr>
          <w:szCs w:val="24"/>
        </w:rPr>
        <w:t>décret</w:t>
      </w:r>
      <w:r w:rsidRPr="002205ED">
        <w:rPr>
          <w:szCs w:val="24"/>
        </w:rPr>
        <w:t xml:space="preserve"> gouvernemental </w:t>
      </w:r>
      <w:r w:rsidRPr="0036787A">
        <w:rPr>
          <w:szCs w:val="24"/>
        </w:rPr>
        <w:t>n</w:t>
      </w:r>
      <w:r w:rsidRPr="0036787A">
        <w:rPr>
          <w:szCs w:val="24"/>
          <w:vertAlign w:val="superscript"/>
        </w:rPr>
        <w:t>o</w:t>
      </w:r>
      <w:r>
        <w:rPr>
          <w:szCs w:val="24"/>
        </w:rPr>
        <w:t xml:space="preserve"> </w:t>
      </w:r>
      <w:r w:rsidRPr="002205ED">
        <w:rPr>
          <w:szCs w:val="24"/>
        </w:rPr>
        <w:t>98/2002</w:t>
      </w:r>
      <w:r>
        <w:rPr>
          <w:szCs w:val="24"/>
        </w:rPr>
        <w:t>,</w:t>
      </w:r>
      <w:r w:rsidRPr="002205ED">
        <w:rPr>
          <w:szCs w:val="24"/>
        </w:rPr>
        <w:t xml:space="preserve"> qui </w:t>
      </w:r>
      <w:r>
        <w:rPr>
          <w:szCs w:val="24"/>
        </w:rPr>
        <w:t xml:space="preserve">fixe </w:t>
      </w:r>
      <w:r w:rsidRPr="002205ED">
        <w:rPr>
          <w:szCs w:val="24"/>
        </w:rPr>
        <w:t xml:space="preserve">les conditions et méthodes </w:t>
      </w:r>
      <w:r>
        <w:rPr>
          <w:szCs w:val="24"/>
        </w:rPr>
        <w:t xml:space="preserve">applicables pour allouer des </w:t>
      </w:r>
      <w:r w:rsidRPr="002205ED">
        <w:rPr>
          <w:szCs w:val="24"/>
        </w:rPr>
        <w:t xml:space="preserve">subventions </w:t>
      </w:r>
      <w:r>
        <w:rPr>
          <w:szCs w:val="24"/>
        </w:rPr>
        <w:t xml:space="preserve">prélevées sur le </w:t>
      </w:r>
      <w:r w:rsidRPr="002205ED">
        <w:rPr>
          <w:szCs w:val="24"/>
        </w:rPr>
        <w:t>budget national pour les activités de</w:t>
      </w:r>
      <w:r>
        <w:rPr>
          <w:szCs w:val="24"/>
        </w:rPr>
        <w:t>s</w:t>
      </w:r>
      <w:r w:rsidRPr="002205ED">
        <w:rPr>
          <w:szCs w:val="24"/>
        </w:rPr>
        <w:t xml:space="preserve"> membres des minorités nationales.</w:t>
      </w:r>
    </w:p>
  </w:footnote>
  <w:footnote w:id="84">
    <w:p w:rsidR="003F172D" w:rsidRPr="002205ED" w:rsidRDefault="003F172D" w:rsidP="003F172D">
      <w:pPr>
        <w:pStyle w:val="FootnoteText"/>
        <w:rPr>
          <w:szCs w:val="24"/>
        </w:rPr>
      </w:pPr>
      <w:r w:rsidRPr="002205ED">
        <w:tab/>
      </w:r>
      <w:r w:rsidRPr="002205ED">
        <w:rPr>
          <w:rStyle w:val="FootnoteReference"/>
        </w:rPr>
        <w:footnoteRef/>
      </w:r>
      <w:r w:rsidRPr="002205ED">
        <w:rPr>
          <w:szCs w:val="24"/>
        </w:rPr>
        <w:tab/>
        <w:t xml:space="preserve">Chaque année, </w:t>
      </w:r>
      <w:r>
        <w:rPr>
          <w:szCs w:val="24"/>
        </w:rPr>
        <w:t>un crédit d’</w:t>
      </w:r>
      <w:r w:rsidRPr="002205ED">
        <w:rPr>
          <w:szCs w:val="24"/>
        </w:rPr>
        <w:t>environ 19 millions de couronne</w:t>
      </w:r>
      <w:r>
        <w:rPr>
          <w:szCs w:val="24"/>
        </w:rPr>
        <w:t>s</w:t>
      </w:r>
      <w:r w:rsidRPr="002205ED">
        <w:rPr>
          <w:szCs w:val="24"/>
        </w:rPr>
        <w:t xml:space="preserve"> tchèques </w:t>
      </w:r>
      <w:r>
        <w:rPr>
          <w:szCs w:val="24"/>
        </w:rPr>
        <w:t xml:space="preserve">est réservé </w:t>
      </w:r>
      <w:r w:rsidRPr="002205ED">
        <w:rPr>
          <w:szCs w:val="24"/>
        </w:rPr>
        <w:t>à ce programme.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B8D" w:rsidRPr="000A1873" w:rsidRDefault="00963B8D">
    <w:pPr>
      <w:pStyle w:val="Header"/>
    </w:pPr>
    <w:r>
      <w:t>CERD/C/CZE/8-9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B8D" w:rsidRPr="000A1873" w:rsidRDefault="00963B8D" w:rsidP="000A1873">
    <w:pPr>
      <w:pStyle w:val="Header"/>
      <w:jc w:val="right"/>
    </w:pPr>
    <w:r>
      <w:t>CERD/C/CZE/8-9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42EE56C"/>
    <w:lvl w:ilvl="0">
      <w:start w:val="1"/>
      <w:numFmt w:val="decimal"/>
      <w:lvlText w:val="%1."/>
      <w:lvlJc w:val="left"/>
      <w:pPr>
        <w:tabs>
          <w:tab w:val="num" w:pos="1492"/>
        </w:tabs>
        <w:ind w:left="1492" w:hanging="360"/>
      </w:pPr>
    </w:lvl>
  </w:abstractNum>
  <w:abstractNum w:abstractNumId="1">
    <w:nsid w:val="FFFFFF7D"/>
    <w:multiLevelType w:val="singleLevel"/>
    <w:tmpl w:val="5A1A00CE"/>
    <w:lvl w:ilvl="0">
      <w:start w:val="1"/>
      <w:numFmt w:val="decimal"/>
      <w:lvlText w:val="%1."/>
      <w:lvlJc w:val="left"/>
      <w:pPr>
        <w:tabs>
          <w:tab w:val="num" w:pos="1209"/>
        </w:tabs>
        <w:ind w:left="1209" w:hanging="360"/>
      </w:pPr>
    </w:lvl>
  </w:abstractNum>
  <w:abstractNum w:abstractNumId="2">
    <w:nsid w:val="FFFFFF7E"/>
    <w:multiLevelType w:val="singleLevel"/>
    <w:tmpl w:val="3A74E0A2"/>
    <w:lvl w:ilvl="0">
      <w:start w:val="1"/>
      <w:numFmt w:val="decimal"/>
      <w:lvlText w:val="%1."/>
      <w:lvlJc w:val="left"/>
      <w:pPr>
        <w:tabs>
          <w:tab w:val="num" w:pos="926"/>
        </w:tabs>
        <w:ind w:left="926" w:hanging="360"/>
      </w:pPr>
    </w:lvl>
  </w:abstractNum>
  <w:abstractNum w:abstractNumId="3">
    <w:nsid w:val="FFFFFF7F"/>
    <w:multiLevelType w:val="singleLevel"/>
    <w:tmpl w:val="471ED574"/>
    <w:lvl w:ilvl="0">
      <w:start w:val="1"/>
      <w:numFmt w:val="decimal"/>
      <w:lvlText w:val="%1."/>
      <w:lvlJc w:val="left"/>
      <w:pPr>
        <w:tabs>
          <w:tab w:val="num" w:pos="643"/>
        </w:tabs>
        <w:ind w:left="643" w:hanging="360"/>
      </w:pPr>
    </w:lvl>
  </w:abstractNum>
  <w:abstractNum w:abstractNumId="4">
    <w:nsid w:val="FFFFFF80"/>
    <w:multiLevelType w:val="singleLevel"/>
    <w:tmpl w:val="E3DE69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51609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A340D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9A78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334EFD4"/>
    <w:lvl w:ilvl="0">
      <w:start w:val="1"/>
      <w:numFmt w:val="decimal"/>
      <w:lvlText w:val="%1."/>
      <w:lvlJc w:val="left"/>
      <w:pPr>
        <w:tabs>
          <w:tab w:val="num" w:pos="360"/>
        </w:tabs>
        <w:ind w:left="360" w:hanging="360"/>
      </w:pPr>
    </w:lvl>
  </w:abstractNum>
  <w:abstractNum w:abstractNumId="9">
    <w:nsid w:val="FFFFFF89"/>
    <w:multiLevelType w:val="singleLevel"/>
    <w:tmpl w:val="13CE275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56C"/>
    <w:rsid w:val="00016AC5"/>
    <w:rsid w:val="00031C8E"/>
    <w:rsid w:val="0003363D"/>
    <w:rsid w:val="00054609"/>
    <w:rsid w:val="00086ECC"/>
    <w:rsid w:val="000A1873"/>
    <w:rsid w:val="000A6F55"/>
    <w:rsid w:val="000C3963"/>
    <w:rsid w:val="000E7579"/>
    <w:rsid w:val="000E7750"/>
    <w:rsid w:val="000F41F2"/>
    <w:rsid w:val="001231AD"/>
    <w:rsid w:val="001450E6"/>
    <w:rsid w:val="00150465"/>
    <w:rsid w:val="00160540"/>
    <w:rsid w:val="00192EEB"/>
    <w:rsid w:val="00197832"/>
    <w:rsid w:val="001A20FB"/>
    <w:rsid w:val="001B3867"/>
    <w:rsid w:val="001D72C5"/>
    <w:rsid w:val="001D7F8A"/>
    <w:rsid w:val="001E3FEB"/>
    <w:rsid w:val="001E4A02"/>
    <w:rsid w:val="00201DA2"/>
    <w:rsid w:val="00225A8C"/>
    <w:rsid w:val="002419A2"/>
    <w:rsid w:val="002626D4"/>
    <w:rsid w:val="002659F1"/>
    <w:rsid w:val="00265CD7"/>
    <w:rsid w:val="00281669"/>
    <w:rsid w:val="0028226F"/>
    <w:rsid w:val="00283F2E"/>
    <w:rsid w:val="00287E79"/>
    <w:rsid w:val="002928F9"/>
    <w:rsid w:val="002A5D07"/>
    <w:rsid w:val="002C4BA4"/>
    <w:rsid w:val="002D3F03"/>
    <w:rsid w:val="002E0D40"/>
    <w:rsid w:val="002E5B0C"/>
    <w:rsid w:val="002F7F20"/>
    <w:rsid w:val="00300D06"/>
    <w:rsid w:val="003016B7"/>
    <w:rsid w:val="0030463A"/>
    <w:rsid w:val="0031681D"/>
    <w:rsid w:val="00335B29"/>
    <w:rsid w:val="00346E31"/>
    <w:rsid w:val="003515AA"/>
    <w:rsid w:val="003674E0"/>
    <w:rsid w:val="00374106"/>
    <w:rsid w:val="003976D5"/>
    <w:rsid w:val="003A3982"/>
    <w:rsid w:val="003D6C68"/>
    <w:rsid w:val="003F172D"/>
    <w:rsid w:val="0040471A"/>
    <w:rsid w:val="004159D0"/>
    <w:rsid w:val="0043656C"/>
    <w:rsid w:val="004434AE"/>
    <w:rsid w:val="0045450C"/>
    <w:rsid w:val="00472145"/>
    <w:rsid w:val="004D42CE"/>
    <w:rsid w:val="00540389"/>
    <w:rsid w:val="00543D5E"/>
    <w:rsid w:val="00571F41"/>
    <w:rsid w:val="00593658"/>
    <w:rsid w:val="005E5D1F"/>
    <w:rsid w:val="005F5073"/>
    <w:rsid w:val="006034FC"/>
    <w:rsid w:val="00611017"/>
    <w:rsid w:val="00611D43"/>
    <w:rsid w:val="00612D48"/>
    <w:rsid w:val="00616B45"/>
    <w:rsid w:val="006207B8"/>
    <w:rsid w:val="00630D9B"/>
    <w:rsid w:val="00631953"/>
    <w:rsid w:val="006439EC"/>
    <w:rsid w:val="00657120"/>
    <w:rsid w:val="00673AFD"/>
    <w:rsid w:val="0068053F"/>
    <w:rsid w:val="00693E16"/>
    <w:rsid w:val="006B286E"/>
    <w:rsid w:val="006B39F7"/>
    <w:rsid w:val="006B4590"/>
    <w:rsid w:val="006C340C"/>
    <w:rsid w:val="006D7B0B"/>
    <w:rsid w:val="006E6AE5"/>
    <w:rsid w:val="006F07F7"/>
    <w:rsid w:val="006F39E4"/>
    <w:rsid w:val="0070347C"/>
    <w:rsid w:val="00710514"/>
    <w:rsid w:val="007176C1"/>
    <w:rsid w:val="007231EF"/>
    <w:rsid w:val="0074066E"/>
    <w:rsid w:val="00752CFA"/>
    <w:rsid w:val="0078670C"/>
    <w:rsid w:val="007E2BC5"/>
    <w:rsid w:val="007F55CB"/>
    <w:rsid w:val="00807B47"/>
    <w:rsid w:val="008147E5"/>
    <w:rsid w:val="00844750"/>
    <w:rsid w:val="008B44C4"/>
    <w:rsid w:val="008D2259"/>
    <w:rsid w:val="008E7FAE"/>
    <w:rsid w:val="008F30DD"/>
    <w:rsid w:val="00911BF7"/>
    <w:rsid w:val="00963B8D"/>
    <w:rsid w:val="0096627F"/>
    <w:rsid w:val="009674DE"/>
    <w:rsid w:val="00974B59"/>
    <w:rsid w:val="00977EC8"/>
    <w:rsid w:val="009C17F5"/>
    <w:rsid w:val="009D1603"/>
    <w:rsid w:val="009D3A8C"/>
    <w:rsid w:val="009E7956"/>
    <w:rsid w:val="00A16148"/>
    <w:rsid w:val="00A23436"/>
    <w:rsid w:val="00A2492E"/>
    <w:rsid w:val="00A33219"/>
    <w:rsid w:val="00A43816"/>
    <w:rsid w:val="00A638F3"/>
    <w:rsid w:val="00A708B3"/>
    <w:rsid w:val="00A82B6C"/>
    <w:rsid w:val="00AA0A88"/>
    <w:rsid w:val="00AA7FE7"/>
    <w:rsid w:val="00AB3173"/>
    <w:rsid w:val="00AC01AA"/>
    <w:rsid w:val="00AC67A1"/>
    <w:rsid w:val="00AC7977"/>
    <w:rsid w:val="00AC7E4E"/>
    <w:rsid w:val="00AD3B8E"/>
    <w:rsid w:val="00AD65B6"/>
    <w:rsid w:val="00AE352C"/>
    <w:rsid w:val="00B2017B"/>
    <w:rsid w:val="00B32257"/>
    <w:rsid w:val="00B32E2D"/>
    <w:rsid w:val="00B33A91"/>
    <w:rsid w:val="00B443F9"/>
    <w:rsid w:val="00B54728"/>
    <w:rsid w:val="00B61990"/>
    <w:rsid w:val="00B800BC"/>
    <w:rsid w:val="00B8636C"/>
    <w:rsid w:val="00B868A7"/>
    <w:rsid w:val="00BB080F"/>
    <w:rsid w:val="00BC338A"/>
    <w:rsid w:val="00BF0556"/>
    <w:rsid w:val="00C03431"/>
    <w:rsid w:val="00C14B9F"/>
    <w:rsid w:val="00C261F8"/>
    <w:rsid w:val="00C33100"/>
    <w:rsid w:val="00C62601"/>
    <w:rsid w:val="00C6655A"/>
    <w:rsid w:val="00C84C69"/>
    <w:rsid w:val="00CD1A71"/>
    <w:rsid w:val="00CD1FBB"/>
    <w:rsid w:val="00D016B5"/>
    <w:rsid w:val="00D034F1"/>
    <w:rsid w:val="00D1451E"/>
    <w:rsid w:val="00D27D5E"/>
    <w:rsid w:val="00D340D5"/>
    <w:rsid w:val="00D37345"/>
    <w:rsid w:val="00D45B6B"/>
    <w:rsid w:val="00D45C04"/>
    <w:rsid w:val="00D602C0"/>
    <w:rsid w:val="00D87654"/>
    <w:rsid w:val="00DC156C"/>
    <w:rsid w:val="00DE6D90"/>
    <w:rsid w:val="00DF002F"/>
    <w:rsid w:val="00E0244D"/>
    <w:rsid w:val="00E03C6F"/>
    <w:rsid w:val="00E115A8"/>
    <w:rsid w:val="00E42D5E"/>
    <w:rsid w:val="00E50394"/>
    <w:rsid w:val="00E55CA5"/>
    <w:rsid w:val="00E72B78"/>
    <w:rsid w:val="00E81E94"/>
    <w:rsid w:val="00E82607"/>
    <w:rsid w:val="00EC38D9"/>
    <w:rsid w:val="00EC5A42"/>
    <w:rsid w:val="00F21B26"/>
    <w:rsid w:val="00F63BC6"/>
    <w:rsid w:val="00F67F17"/>
    <w:rsid w:val="00FA5972"/>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SingleTxtGCar">
    <w:name w:val="_ Single Txt_G Car"/>
    <w:link w:val="SingleTxtG"/>
    <w:rsid w:val="009674DE"/>
    <w:rPr>
      <w:lang w:val="fr-CH" w:eastAsia="en-US" w:bidi="ar-SA"/>
    </w:rPr>
  </w:style>
  <w:style w:type="table" w:styleId="TableGrid">
    <w:name w:val="Table Grid"/>
    <w:basedOn w:val="TableNormal"/>
    <w:semiHidden/>
    <w:rsid w:val="004D42C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vp.c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psnews.net/news.asp?idnews=49444" TargetMode="External"/><Relationship Id="rId1" Type="http://schemas.openxmlformats.org/officeDocument/2006/relationships/hyperlink" Target="http://fra.europa.eu/fraWebsite/home/home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35</Pages>
  <Words>16663</Words>
  <Characters>92667</Characters>
  <Application>Microsoft Office Word</Application>
  <DocSecurity>4</DocSecurity>
  <Lines>1481</Lines>
  <Paragraphs>329</Paragraphs>
  <ScaleCrop>false</ScaleCrop>
  <HeadingPairs>
    <vt:vector size="2" baseType="variant">
      <vt:variant>
        <vt:lpstr>Titre</vt:lpstr>
      </vt:variant>
      <vt:variant>
        <vt:i4>1</vt:i4>
      </vt:variant>
    </vt:vector>
  </HeadingPairs>
  <TitlesOfParts>
    <vt:vector size="1" baseType="lpstr">
      <vt:lpstr>CERD/C/CZE/8-9</vt:lpstr>
    </vt:vector>
  </TitlesOfParts>
  <Company>CSD</Company>
  <LinksUpToDate>false</LinksUpToDate>
  <CharactersWithSpaces>109061</CharactersWithSpaces>
  <SharedDoc>false</SharedDoc>
  <HLinks>
    <vt:vector size="18" baseType="variant">
      <vt:variant>
        <vt:i4>6619250</vt:i4>
      </vt:variant>
      <vt:variant>
        <vt:i4>0</vt:i4>
      </vt:variant>
      <vt:variant>
        <vt:i4>0</vt:i4>
      </vt:variant>
      <vt:variant>
        <vt:i4>5</vt:i4>
      </vt:variant>
      <vt:variant>
        <vt:lpwstr>http://www.rvp.cz/</vt:lpwstr>
      </vt:variant>
      <vt:variant>
        <vt:lpwstr/>
      </vt:variant>
      <vt:variant>
        <vt:i4>393251</vt:i4>
      </vt:variant>
      <vt:variant>
        <vt:i4>3</vt:i4>
      </vt:variant>
      <vt:variant>
        <vt:i4>0</vt:i4>
      </vt:variant>
      <vt:variant>
        <vt:i4>5</vt:i4>
      </vt:variant>
      <vt:variant>
        <vt:lpwstr>http://www.ipsnews.net/news.asp?_x000b_idnews=49444</vt:lpwstr>
      </vt:variant>
      <vt:variant>
        <vt:lpwstr/>
      </vt:variant>
      <vt:variant>
        <vt:i4>7209081</vt:i4>
      </vt:variant>
      <vt:variant>
        <vt:i4>0</vt:i4>
      </vt:variant>
      <vt:variant>
        <vt:i4>0</vt:i4>
      </vt:variant>
      <vt:variant>
        <vt:i4>5</vt:i4>
      </vt:variant>
      <vt:variant>
        <vt:lpwstr>http://fra.europa.eu/fraWebsite/home/_x000b_home_en.htm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CERD/C/CZE/8-9</dc:title>
  <dc:subject>Final</dc:subject>
  <dc:creator>Diane</dc:creator>
  <cp:keywords/>
  <dc:description/>
  <cp:lastModifiedBy>Clère</cp:lastModifiedBy>
  <cp:revision>2</cp:revision>
  <cp:lastPrinted>2011-03-24T10:34:00Z</cp:lastPrinted>
  <dcterms:created xsi:type="dcterms:W3CDTF">2011-03-24T10:38:00Z</dcterms:created>
  <dcterms:modified xsi:type="dcterms:W3CDTF">2011-03-24T10:38:00Z</dcterms:modified>
</cp:coreProperties>
</file>