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E/C.12/4/Add.13</w:t>
                  </w:r>
                  <w:r>
                    <w:rPr>
                      <w:szCs w:val="22"/>
                      <w:lang w:eastAsia="en-US"/>
                    </w:rPr>
                    <w:br/>
                    <w:t>21 May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2003</w:t>
      </w:r>
    </w:p>
    <w:p w:rsidR="00000000" w:rsidRDefault="00000000">
      <w:pPr>
        <w:spacing w:before="120" w:after="0"/>
        <w:jc w:val="left"/>
        <w:rPr>
          <w:rFonts w:hint="cs"/>
          <w:sz w:val="30"/>
          <w:rtl/>
          <w:lang w:eastAsia="en-US"/>
        </w:rPr>
      </w:pPr>
    </w:p>
    <w:p w:rsidR="00000000" w:rsidRDefault="00000000">
      <w:pPr>
        <w:spacing w:before="120" w:after="0"/>
        <w:jc w:val="left"/>
        <w:rPr>
          <w:rFonts w:hint="cs"/>
          <w:sz w:val="30"/>
          <w:rtl/>
          <w:lang w:eastAsia="en-US"/>
        </w:rPr>
      </w:pPr>
    </w:p>
    <w:p w:rsidR="00000000" w:rsidRDefault="00000000">
      <w:pPr>
        <w:jc w:val="center"/>
        <w:rPr>
          <w:rFonts w:hint="cs"/>
          <w:b/>
          <w:bCs/>
          <w:sz w:val="36"/>
          <w:szCs w:val="36"/>
          <w:rtl/>
          <w:lang w:eastAsia="en-US"/>
        </w:rPr>
      </w:pPr>
      <w:r>
        <w:rPr>
          <w:rFonts w:hint="cs"/>
          <w:b/>
          <w:bCs/>
          <w:sz w:val="36"/>
          <w:szCs w:val="36"/>
          <w:rtl/>
          <w:lang w:eastAsia="en-US"/>
        </w:rPr>
        <w:t>تنفيذ العهد الدولي الخاص بالحقوق الاقتصادية والاجتماعية والثقافية</w:t>
      </w:r>
    </w:p>
    <w:p w:rsidR="00000000" w:rsidRDefault="00000000">
      <w:pPr>
        <w:spacing w:before="0" w:after="0"/>
        <w:jc w:val="center"/>
        <w:rPr>
          <w:rFonts w:hint="cs"/>
          <w:b/>
          <w:bCs/>
          <w:sz w:val="30"/>
          <w:rtl/>
          <w:lang w:eastAsia="en-US"/>
        </w:rPr>
      </w:pPr>
      <w:r>
        <w:rPr>
          <w:rFonts w:hint="cs"/>
          <w:b/>
          <w:bCs/>
          <w:sz w:val="30"/>
          <w:rtl/>
          <w:lang w:eastAsia="en-US"/>
        </w:rPr>
        <w:t>التقارير الدورية الرابعة المقدمة من الدول الأطراف</w:t>
      </w:r>
    </w:p>
    <w:p w:rsidR="00000000" w:rsidRDefault="00000000">
      <w:pPr>
        <w:spacing w:before="0" w:after="0"/>
        <w:jc w:val="center"/>
        <w:rPr>
          <w:rFonts w:hint="cs"/>
          <w:b/>
          <w:bCs/>
          <w:sz w:val="30"/>
          <w:rtl/>
          <w:lang w:eastAsia="en-US"/>
        </w:rPr>
      </w:pPr>
      <w:r>
        <w:rPr>
          <w:rFonts w:hint="cs"/>
          <w:b/>
          <w:bCs/>
          <w:sz w:val="30"/>
          <w:rtl/>
          <w:lang w:eastAsia="en-US"/>
        </w:rPr>
        <w:t>بموجب المادتين 16 و17 من العهد</w:t>
      </w:r>
    </w:p>
    <w:p w:rsidR="00000000" w:rsidRDefault="00000000">
      <w:pPr>
        <w:spacing w:before="120"/>
        <w:jc w:val="center"/>
        <w:rPr>
          <w:rFonts w:hint="cs"/>
          <w:b/>
          <w:bCs/>
          <w:sz w:val="30"/>
          <w:rtl/>
          <w:lang w:eastAsia="en-US"/>
        </w:rPr>
      </w:pPr>
      <w:r>
        <w:rPr>
          <w:rFonts w:hint="cs"/>
          <w:b/>
          <w:bCs/>
          <w:sz w:val="30"/>
          <w:rtl/>
          <w:lang w:eastAsia="en-US"/>
        </w:rPr>
        <w:t>إضافة</w:t>
      </w:r>
    </w:p>
    <w:p w:rsidR="00000000" w:rsidRDefault="00000000">
      <w:pPr>
        <w:spacing w:before="120"/>
        <w:jc w:val="center"/>
        <w:rPr>
          <w:rFonts w:hint="cs"/>
          <w:b/>
          <w:bCs/>
          <w:sz w:val="36"/>
          <w:szCs w:val="36"/>
          <w:rtl/>
          <w:lang w:eastAsia="en-US"/>
        </w:rPr>
      </w:pPr>
      <w:r>
        <w:rPr>
          <w:rFonts w:hint="cs"/>
          <w:b/>
          <w:bCs/>
          <w:sz w:val="36"/>
          <w:szCs w:val="36"/>
          <w:rtl/>
          <w:lang w:eastAsia="en-US"/>
        </w:rPr>
        <w:t>إيطاليا*</w:t>
      </w:r>
    </w:p>
    <w:p w:rsidR="00000000" w:rsidRDefault="00000000">
      <w:pPr>
        <w:tabs>
          <w:tab w:val="left" w:pos="7100"/>
        </w:tabs>
        <w:spacing w:before="120"/>
        <w:jc w:val="left"/>
        <w:rPr>
          <w:rFonts w:hint="cs"/>
          <w:sz w:val="30"/>
          <w:rtl/>
          <w:lang w:eastAsia="en-US"/>
        </w:rPr>
      </w:pPr>
      <w:r>
        <w:rPr>
          <w:rFonts w:hint="cs"/>
          <w:sz w:val="30"/>
          <w:rtl/>
          <w:lang w:eastAsia="en-US"/>
        </w:rPr>
        <w:tab/>
        <w:t>[23 نيسان/أبريل 2003]</w:t>
      </w:r>
    </w:p>
    <w:p w:rsidR="00000000" w:rsidRDefault="00000000">
      <w:pPr>
        <w:tabs>
          <w:tab w:val="left" w:pos="7100"/>
        </w:tabs>
        <w:jc w:val="left"/>
        <w:rPr>
          <w:rFonts w:hint="cs"/>
          <w:sz w:val="30"/>
          <w:rtl/>
          <w:lang w:eastAsia="en-US"/>
        </w:rPr>
      </w:pPr>
    </w:p>
    <w:p w:rsidR="00000000" w:rsidRDefault="00000000">
      <w:pPr>
        <w:tabs>
          <w:tab w:val="left" w:pos="7100"/>
        </w:tabs>
        <w:jc w:val="left"/>
        <w:rPr>
          <w:rFonts w:hint="cs"/>
          <w:sz w:val="30"/>
          <w:rtl/>
          <w:lang w:eastAsia="en-US"/>
        </w:rPr>
      </w:pPr>
    </w:p>
    <w:p w:rsidR="00000000" w:rsidRDefault="00000000">
      <w:pPr>
        <w:tabs>
          <w:tab w:val="left" w:pos="7100"/>
        </w:tabs>
        <w:jc w:val="left"/>
        <w:rPr>
          <w:rFonts w:hint="cs"/>
          <w:sz w:val="30"/>
          <w:rtl/>
          <w:lang w:eastAsia="en-US"/>
        </w:rPr>
      </w:pPr>
    </w:p>
    <w:p w:rsidR="00000000" w:rsidRDefault="00000000">
      <w:pPr>
        <w:tabs>
          <w:tab w:val="left" w:pos="7100"/>
        </w:tabs>
        <w:jc w:val="left"/>
        <w:rPr>
          <w:rFonts w:hint="cs"/>
          <w:sz w:val="30"/>
          <w:rtl/>
          <w:lang w:eastAsia="en-US"/>
        </w:rPr>
      </w:pPr>
      <w:r>
        <w:rPr>
          <w:rFonts w:hint="cs"/>
          <w:sz w:val="30"/>
          <w:rtl/>
          <w:lang w:eastAsia="en-US"/>
        </w:rPr>
        <w:t>ــــــــــ</w:t>
      </w:r>
    </w:p>
    <w:p w:rsidR="00000000" w:rsidRDefault="00000000">
      <w:pPr>
        <w:jc w:val="both"/>
        <w:rPr>
          <w:rtl/>
          <w:lang w:eastAsia="en-US"/>
        </w:rPr>
      </w:pPr>
      <w:r>
        <w:rPr>
          <w:rFonts w:hint="cs"/>
          <w:rtl/>
          <w:lang w:eastAsia="en-US"/>
        </w:rPr>
        <w:tab/>
        <w:t>*</w:t>
      </w:r>
      <w:r>
        <w:rPr>
          <w:rFonts w:hint="cs"/>
          <w:rtl/>
          <w:lang w:eastAsia="en-US"/>
        </w:rPr>
        <w:tab/>
        <w:t xml:space="preserve">نظرت لجنة الحقوق الاقتصادية والاجتماعية والثقافية في التقرير الدوري الثالث عن الحقوق المشمولة بالمواد 1 إلى 15 من العهد </w:t>
      </w:r>
      <w:r>
        <w:rPr>
          <w:lang w:eastAsia="en-US"/>
        </w:rPr>
        <w:t>(E/1994/104/Add.19)</w:t>
      </w:r>
      <w:r>
        <w:rPr>
          <w:rFonts w:hint="cs"/>
          <w:rtl/>
          <w:lang w:eastAsia="en-US"/>
        </w:rPr>
        <w:t xml:space="preserve"> في دورتها الثانية والعشرين المعقودة في أيار/مايو 2000 (انظر </w:t>
      </w:r>
      <w:r>
        <w:rPr>
          <w:lang w:eastAsia="en-US"/>
        </w:rPr>
        <w:t>E/C.12/2000/SR.6 to 8</w:t>
      </w:r>
      <w:r>
        <w:rPr>
          <w:rFonts w:hint="cs"/>
          <w:rtl/>
          <w:lang w:eastAsia="en-US"/>
        </w:rPr>
        <w:t>).</w:t>
      </w:r>
    </w:p>
    <w:p w:rsidR="00000000" w:rsidRDefault="00000000">
      <w:pPr>
        <w:spacing w:before="60" w:after="60" w:line="360" w:lineRule="exact"/>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60" w:after="60" w:line="360" w:lineRule="exact"/>
        <w:jc w:val="both"/>
        <w:rPr>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rtl/>
          <w:lang w:eastAsia="en-US"/>
        </w:rPr>
        <w:tab/>
      </w:r>
      <w:r>
        <w:rPr>
          <w:i/>
          <w:iCs/>
          <w:rtl/>
          <w:lang w:eastAsia="en-US"/>
        </w:rPr>
        <w:t>الصفحة</w:t>
      </w:r>
    </w:p>
    <w:p w:rsidR="00000000" w:rsidRDefault="00000000">
      <w:pPr>
        <w:tabs>
          <w:tab w:val="left" w:leader="dot" w:pos="7014"/>
          <w:tab w:val="left" w:pos="7371"/>
          <w:tab w:val="center" w:pos="9043"/>
        </w:tabs>
        <w:spacing w:before="60" w:after="60" w:line="36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  -27</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ألف-</w:t>
      </w:r>
      <w:r>
        <w:rPr>
          <w:rFonts w:hint="cs"/>
          <w:rtl/>
          <w:lang w:eastAsia="en-US"/>
        </w:rPr>
        <w:tab/>
        <w:t>إعداد التقرير</w:t>
      </w:r>
      <w:r>
        <w:rPr>
          <w:rFonts w:hint="cs"/>
          <w:rtl/>
          <w:lang w:eastAsia="en-US"/>
        </w:rPr>
        <w:tab/>
      </w:r>
      <w:r>
        <w:rPr>
          <w:rFonts w:hint="cs"/>
          <w:rtl/>
          <w:lang w:eastAsia="en-US"/>
        </w:rPr>
        <w:tab/>
        <w:t>1  -3</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باء-</w:t>
      </w:r>
      <w:r>
        <w:rPr>
          <w:rFonts w:hint="cs"/>
          <w:rtl/>
          <w:lang w:eastAsia="en-US"/>
        </w:rPr>
        <w:tab/>
        <w:t>الإطار السياسي</w:t>
      </w:r>
      <w:r>
        <w:rPr>
          <w:rFonts w:hint="cs"/>
          <w:rtl/>
          <w:lang w:eastAsia="en-US"/>
        </w:rPr>
        <w:tab/>
      </w:r>
      <w:r>
        <w:rPr>
          <w:rFonts w:hint="cs"/>
          <w:rtl/>
          <w:lang w:eastAsia="en-US"/>
        </w:rPr>
        <w:tab/>
        <w:t>4  -13</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جيم-</w:t>
      </w:r>
      <w:r>
        <w:rPr>
          <w:rFonts w:hint="cs"/>
          <w:rtl/>
          <w:lang w:eastAsia="en-US"/>
        </w:rPr>
        <w:tab/>
        <w:t>أهم عناصر النهج السياسي العام</w:t>
      </w:r>
      <w:r>
        <w:rPr>
          <w:rFonts w:hint="cs"/>
          <w:rtl/>
          <w:lang w:eastAsia="en-US"/>
        </w:rPr>
        <w:tab/>
      </w:r>
      <w:r>
        <w:rPr>
          <w:rFonts w:hint="cs"/>
          <w:rtl/>
          <w:lang w:eastAsia="en-US"/>
        </w:rPr>
        <w:tab/>
        <w:t>14 -24</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دال-</w:t>
      </w:r>
      <w:r>
        <w:rPr>
          <w:rFonts w:hint="cs"/>
          <w:rtl/>
          <w:lang w:eastAsia="en-US"/>
        </w:rPr>
        <w:tab/>
        <w:t>التطور الديموغرافي للسكان</w:t>
      </w:r>
      <w:r>
        <w:rPr>
          <w:rFonts w:hint="cs"/>
          <w:rtl/>
          <w:lang w:eastAsia="en-US"/>
        </w:rPr>
        <w:tab/>
      </w:r>
      <w:r>
        <w:rPr>
          <w:rFonts w:hint="cs"/>
          <w:rtl/>
          <w:lang w:eastAsia="en-US"/>
        </w:rPr>
        <w:tab/>
        <w:t xml:space="preserve">   25</w:t>
      </w:r>
      <w:r>
        <w:rPr>
          <w:rFonts w:hint="cs"/>
          <w:rtl/>
          <w:lang w:eastAsia="en-US"/>
        </w:rPr>
        <w:tab/>
        <w:t>9</w:t>
      </w:r>
    </w:p>
    <w:p w:rsidR="00000000" w:rsidRDefault="00000000">
      <w:pPr>
        <w:tabs>
          <w:tab w:val="left" w:pos="822"/>
          <w:tab w:val="left" w:pos="1389"/>
          <w:tab w:val="left" w:leader="dot" w:pos="7014"/>
          <w:tab w:val="left" w:pos="7371"/>
          <w:tab w:val="center" w:pos="9043"/>
        </w:tabs>
        <w:spacing w:before="60" w:after="60" w:line="360" w:lineRule="exact"/>
        <w:jc w:val="both"/>
        <w:rPr>
          <w:rFonts w:hint="cs"/>
          <w:rtl/>
          <w:lang w:eastAsia="en-US"/>
        </w:rPr>
      </w:pPr>
      <w:r>
        <w:rPr>
          <w:rFonts w:hint="cs"/>
          <w:rtl/>
          <w:lang w:eastAsia="en-US"/>
        </w:rPr>
        <w:tab/>
        <w:t>هاء-</w:t>
      </w:r>
      <w:r>
        <w:rPr>
          <w:rFonts w:hint="cs"/>
          <w:rtl/>
          <w:lang w:eastAsia="en-US"/>
        </w:rPr>
        <w:tab/>
        <w:t>العمالة</w:t>
      </w:r>
      <w:r>
        <w:rPr>
          <w:rFonts w:hint="cs"/>
          <w:rtl/>
          <w:lang w:eastAsia="en-US"/>
        </w:rPr>
        <w:tab/>
      </w:r>
      <w:r>
        <w:rPr>
          <w:rFonts w:hint="cs"/>
          <w:rtl/>
          <w:lang w:eastAsia="en-US"/>
        </w:rPr>
        <w:tab/>
        <w:t xml:space="preserve">   26</w:t>
      </w:r>
      <w:r>
        <w:rPr>
          <w:rFonts w:hint="cs"/>
          <w:rtl/>
          <w:lang w:eastAsia="en-US"/>
        </w:rPr>
        <w:tab/>
        <w:t>9</w:t>
      </w:r>
    </w:p>
    <w:p w:rsidR="00000000" w:rsidRDefault="00000000">
      <w:pPr>
        <w:tabs>
          <w:tab w:val="left" w:pos="822"/>
          <w:tab w:val="left" w:pos="1389"/>
          <w:tab w:val="left" w:leader="dot" w:pos="7014"/>
          <w:tab w:val="left" w:pos="7371"/>
          <w:tab w:val="center" w:pos="9043"/>
        </w:tabs>
        <w:spacing w:before="60" w:after="60" w:line="360" w:lineRule="exact"/>
        <w:jc w:val="both"/>
        <w:rPr>
          <w:rFonts w:hint="cs"/>
          <w:rtl/>
          <w:lang w:eastAsia="en-US"/>
        </w:rPr>
      </w:pPr>
      <w:r>
        <w:rPr>
          <w:rFonts w:hint="cs"/>
          <w:rtl/>
          <w:lang w:eastAsia="en-US"/>
        </w:rPr>
        <w:tab/>
        <w:t>واو-</w:t>
      </w:r>
      <w:r>
        <w:rPr>
          <w:rFonts w:hint="cs"/>
          <w:rtl/>
          <w:lang w:eastAsia="en-US"/>
        </w:rPr>
        <w:tab/>
        <w:t>التعليم</w:t>
      </w:r>
      <w:r>
        <w:rPr>
          <w:rFonts w:hint="cs"/>
          <w:rtl/>
          <w:lang w:eastAsia="en-US"/>
        </w:rPr>
        <w:tab/>
      </w:r>
      <w:r>
        <w:rPr>
          <w:rFonts w:hint="cs"/>
          <w:rtl/>
          <w:lang w:eastAsia="en-US"/>
        </w:rPr>
        <w:tab/>
        <w:t xml:space="preserve">   27</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أولاً-</w:t>
      </w:r>
      <w:r>
        <w:rPr>
          <w:rFonts w:hint="cs"/>
          <w:rtl/>
          <w:lang w:eastAsia="en-US"/>
        </w:rPr>
        <w:tab/>
        <w:t>ملاحظات اللجنة بشأن التقرير الدوري الثالث لإيطاليا</w:t>
      </w:r>
      <w:r>
        <w:rPr>
          <w:rFonts w:hint="cs"/>
          <w:rtl/>
          <w:lang w:eastAsia="en-US"/>
        </w:rPr>
        <w:tab/>
      </w:r>
      <w:r>
        <w:rPr>
          <w:rFonts w:hint="cs"/>
          <w:rtl/>
          <w:lang w:eastAsia="en-US"/>
        </w:rPr>
        <w:tab/>
        <w:t>28 -72</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ألف-</w:t>
      </w:r>
      <w:r>
        <w:rPr>
          <w:rFonts w:hint="cs"/>
          <w:rtl/>
          <w:lang w:eastAsia="en-US"/>
        </w:rPr>
        <w:tab/>
        <w:t>قرارات المحاكم والعهد</w:t>
      </w:r>
      <w:r>
        <w:rPr>
          <w:rFonts w:hint="cs"/>
          <w:rtl/>
          <w:lang w:eastAsia="en-US"/>
        </w:rPr>
        <w:tab/>
      </w:r>
      <w:r>
        <w:rPr>
          <w:rFonts w:hint="cs"/>
          <w:rtl/>
          <w:lang w:eastAsia="en-US"/>
        </w:rPr>
        <w:tab/>
        <w:t xml:space="preserve">   28</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باء-</w:t>
      </w:r>
      <w:r>
        <w:rPr>
          <w:rFonts w:hint="cs"/>
          <w:rtl/>
          <w:lang w:eastAsia="en-US"/>
        </w:rPr>
        <w:tab/>
        <w:t>المشاكل المتعلقة بالسكان الغجر</w:t>
      </w:r>
      <w:r>
        <w:rPr>
          <w:rFonts w:hint="cs"/>
          <w:rtl/>
          <w:lang w:eastAsia="en-US"/>
        </w:rPr>
        <w:tab/>
      </w:r>
      <w:r>
        <w:rPr>
          <w:rFonts w:hint="cs"/>
          <w:rtl/>
          <w:lang w:eastAsia="en-US"/>
        </w:rPr>
        <w:tab/>
        <w:t>29 -35</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جيم-</w:t>
      </w:r>
      <w:r>
        <w:rPr>
          <w:rFonts w:hint="cs"/>
          <w:rtl/>
          <w:lang w:eastAsia="en-US"/>
        </w:rPr>
        <w:tab/>
        <w:t>الحوادث في مكان العمل</w:t>
      </w:r>
      <w:r>
        <w:rPr>
          <w:rFonts w:hint="cs"/>
          <w:rtl/>
          <w:lang w:eastAsia="en-US"/>
        </w:rPr>
        <w:tab/>
      </w:r>
      <w:r>
        <w:rPr>
          <w:rFonts w:hint="cs"/>
          <w:rtl/>
          <w:lang w:eastAsia="en-US"/>
        </w:rPr>
        <w:tab/>
        <w:t>36 -48</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دال-</w:t>
      </w:r>
      <w:r>
        <w:rPr>
          <w:rFonts w:hint="cs"/>
          <w:rtl/>
          <w:lang w:eastAsia="en-US"/>
        </w:rPr>
        <w:tab/>
        <w:t>الضمان الاجتماعي</w:t>
      </w:r>
      <w:r>
        <w:rPr>
          <w:rFonts w:hint="cs"/>
          <w:rtl/>
          <w:lang w:eastAsia="en-US"/>
        </w:rPr>
        <w:tab/>
      </w:r>
      <w:r>
        <w:rPr>
          <w:rFonts w:hint="cs"/>
          <w:rtl/>
          <w:lang w:eastAsia="en-US"/>
        </w:rPr>
        <w:tab/>
        <w:t xml:space="preserve">   49</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هاء-</w:t>
      </w:r>
      <w:r>
        <w:rPr>
          <w:rFonts w:hint="cs"/>
          <w:rtl/>
          <w:lang w:eastAsia="en-US"/>
        </w:rPr>
        <w:tab/>
        <w:t>عدم تكافؤ الفرص بين المناطق الشمالية والجنوبية في إيطاليا</w:t>
      </w:r>
      <w:r>
        <w:rPr>
          <w:rFonts w:hint="cs"/>
          <w:rtl/>
          <w:lang w:eastAsia="en-US"/>
        </w:rPr>
        <w:tab/>
      </w:r>
      <w:r>
        <w:rPr>
          <w:rFonts w:hint="cs"/>
          <w:rtl/>
          <w:lang w:eastAsia="en-US"/>
        </w:rPr>
        <w:tab/>
        <w:t xml:space="preserve">   50</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واو-</w:t>
      </w:r>
      <w:r>
        <w:rPr>
          <w:rFonts w:hint="cs"/>
          <w:rtl/>
          <w:lang w:eastAsia="en-US"/>
        </w:rPr>
        <w:tab/>
        <w:t>الانقطاع عن الدراسة في المرحلة الثانوية والأمية الوظيفية</w:t>
      </w:r>
      <w:r>
        <w:rPr>
          <w:rFonts w:hint="cs"/>
          <w:rtl/>
          <w:lang w:eastAsia="en-US"/>
        </w:rPr>
        <w:tab/>
      </w:r>
      <w:r>
        <w:rPr>
          <w:rFonts w:hint="cs"/>
          <w:rtl/>
          <w:lang w:eastAsia="en-US"/>
        </w:rPr>
        <w:tab/>
        <w:t xml:space="preserve">   51</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زاي-</w:t>
      </w:r>
      <w:r>
        <w:rPr>
          <w:rFonts w:hint="cs"/>
          <w:rtl/>
          <w:lang w:eastAsia="en-US"/>
        </w:rPr>
        <w:tab/>
        <w:t>اللامركزية ونظام التفتيش في مجال العمل</w:t>
      </w:r>
      <w:r>
        <w:rPr>
          <w:rFonts w:hint="cs"/>
          <w:rtl/>
          <w:lang w:eastAsia="en-US"/>
        </w:rPr>
        <w:tab/>
      </w:r>
      <w:r>
        <w:rPr>
          <w:rFonts w:hint="cs"/>
          <w:rtl/>
          <w:lang w:eastAsia="en-US"/>
        </w:rPr>
        <w:tab/>
        <w:t>52 -70</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حاء-</w:t>
      </w:r>
      <w:r>
        <w:rPr>
          <w:rFonts w:hint="cs"/>
          <w:rtl/>
          <w:lang w:eastAsia="en-US"/>
        </w:rPr>
        <w:tab/>
        <w:t>المعوقون</w:t>
      </w:r>
      <w:r>
        <w:rPr>
          <w:rFonts w:hint="cs"/>
          <w:rtl/>
          <w:lang w:eastAsia="en-US"/>
        </w:rPr>
        <w:tab/>
      </w:r>
      <w:r>
        <w:rPr>
          <w:rFonts w:hint="cs"/>
          <w:rtl/>
          <w:lang w:eastAsia="en-US"/>
        </w:rPr>
        <w:tab/>
        <w:t xml:space="preserve">   71</w:t>
      </w:r>
      <w:r>
        <w:rPr>
          <w:rFonts w:hint="cs"/>
          <w:rtl/>
          <w:lang w:eastAsia="en-US"/>
        </w:rPr>
        <w:tab/>
        <w:t>22</w:t>
      </w:r>
    </w:p>
    <w:p w:rsidR="00000000" w:rsidRDefault="00000000">
      <w:pPr>
        <w:tabs>
          <w:tab w:val="left" w:pos="822"/>
          <w:tab w:val="left" w:pos="1389"/>
          <w:tab w:val="left" w:leader="dot" w:pos="7014"/>
          <w:tab w:val="left" w:pos="7371"/>
          <w:tab w:val="center" w:pos="9043"/>
        </w:tabs>
        <w:spacing w:before="60" w:after="60" w:line="360" w:lineRule="exact"/>
        <w:jc w:val="both"/>
        <w:rPr>
          <w:rFonts w:hint="cs"/>
          <w:rtl/>
          <w:lang w:eastAsia="en-US"/>
        </w:rPr>
      </w:pPr>
      <w:r>
        <w:rPr>
          <w:rFonts w:hint="cs"/>
          <w:rtl/>
          <w:lang w:eastAsia="en-US"/>
        </w:rPr>
        <w:tab/>
        <w:t>طاء-</w:t>
      </w:r>
      <w:r>
        <w:rPr>
          <w:rFonts w:hint="cs"/>
          <w:rtl/>
          <w:lang w:eastAsia="en-US"/>
        </w:rPr>
        <w:tab/>
        <w:t>الفقر</w:t>
      </w:r>
      <w:r>
        <w:rPr>
          <w:rFonts w:hint="cs"/>
          <w:rtl/>
          <w:lang w:eastAsia="en-US"/>
        </w:rPr>
        <w:tab/>
      </w:r>
      <w:r>
        <w:rPr>
          <w:rFonts w:hint="cs"/>
          <w:rtl/>
          <w:lang w:eastAsia="en-US"/>
        </w:rPr>
        <w:tab/>
        <w:t xml:space="preserve">   72</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ثانياً-</w:t>
      </w:r>
      <w:r>
        <w:rPr>
          <w:rFonts w:hint="cs"/>
          <w:rtl/>
          <w:lang w:eastAsia="en-US"/>
        </w:rPr>
        <w:tab/>
        <w:t>تنفيذ مواد معينة من العهد</w:t>
      </w:r>
      <w:r>
        <w:rPr>
          <w:rFonts w:hint="cs"/>
          <w:rtl/>
          <w:lang w:eastAsia="en-US"/>
        </w:rPr>
        <w:tab/>
      </w:r>
      <w:r>
        <w:rPr>
          <w:rFonts w:hint="cs"/>
          <w:rtl/>
          <w:lang w:eastAsia="en-US"/>
        </w:rPr>
        <w:tab/>
        <w:t>73 -285</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ألف-</w:t>
      </w:r>
      <w:r>
        <w:rPr>
          <w:rFonts w:hint="cs"/>
          <w:rtl/>
          <w:lang w:eastAsia="en-US"/>
        </w:rPr>
        <w:tab/>
        <w:t>المادتان 2 و3 (التمييز)</w:t>
      </w:r>
      <w:r>
        <w:rPr>
          <w:rFonts w:hint="cs"/>
          <w:rtl/>
          <w:lang w:eastAsia="en-US"/>
        </w:rPr>
        <w:tab/>
      </w:r>
      <w:r>
        <w:rPr>
          <w:rFonts w:hint="cs"/>
          <w:rtl/>
          <w:lang w:eastAsia="en-US"/>
        </w:rPr>
        <w:tab/>
        <w:t>73 -79</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باء-</w:t>
      </w:r>
      <w:r>
        <w:rPr>
          <w:rFonts w:hint="cs"/>
          <w:rtl/>
          <w:lang w:eastAsia="en-US"/>
        </w:rPr>
        <w:tab/>
        <w:t>المادة 6 (الحق في العمل)</w:t>
      </w:r>
      <w:r>
        <w:rPr>
          <w:rFonts w:hint="cs"/>
          <w:rtl/>
          <w:lang w:eastAsia="en-US"/>
        </w:rPr>
        <w:tab/>
      </w:r>
      <w:r>
        <w:rPr>
          <w:rFonts w:hint="cs"/>
          <w:rtl/>
          <w:lang w:eastAsia="en-US"/>
        </w:rPr>
        <w:tab/>
        <w:t>80 -113</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جيم-</w:t>
      </w:r>
      <w:r>
        <w:rPr>
          <w:rFonts w:hint="cs"/>
          <w:rtl/>
          <w:lang w:eastAsia="en-US"/>
        </w:rPr>
        <w:tab/>
        <w:t>المادة 7 (الحق في ظروف عمل عادلة ومواتية)</w:t>
      </w:r>
      <w:r>
        <w:rPr>
          <w:rFonts w:hint="cs"/>
          <w:rtl/>
          <w:lang w:eastAsia="en-US"/>
        </w:rPr>
        <w:tab/>
      </w:r>
      <w:r>
        <w:rPr>
          <w:rFonts w:hint="cs"/>
          <w:rtl/>
          <w:lang w:eastAsia="en-US"/>
        </w:rPr>
        <w:tab/>
        <w:t>114-121</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دال-</w:t>
      </w:r>
      <w:r>
        <w:rPr>
          <w:rFonts w:hint="cs"/>
          <w:rtl/>
          <w:lang w:eastAsia="en-US"/>
        </w:rPr>
        <w:tab/>
        <w:t>المادة 8 (النقابات)</w:t>
      </w:r>
      <w:r>
        <w:rPr>
          <w:rFonts w:hint="cs"/>
          <w:rtl/>
          <w:lang w:eastAsia="en-US"/>
        </w:rPr>
        <w:tab/>
      </w:r>
      <w:r>
        <w:rPr>
          <w:rFonts w:hint="cs"/>
          <w:rtl/>
          <w:lang w:eastAsia="en-US"/>
        </w:rPr>
        <w:tab/>
        <w:t>122-125</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هاء-</w:t>
      </w:r>
      <w:r>
        <w:rPr>
          <w:rFonts w:hint="cs"/>
          <w:rtl/>
          <w:lang w:eastAsia="en-US"/>
        </w:rPr>
        <w:tab/>
        <w:t>المادة 9 (الضمان الاجتماعي)</w:t>
      </w:r>
      <w:r>
        <w:rPr>
          <w:rFonts w:hint="cs"/>
          <w:rtl/>
          <w:lang w:eastAsia="en-US"/>
        </w:rPr>
        <w:tab/>
      </w:r>
      <w:r>
        <w:rPr>
          <w:rFonts w:hint="cs"/>
          <w:rtl/>
          <w:lang w:eastAsia="en-US"/>
        </w:rPr>
        <w:tab/>
        <w:t>126-150</w:t>
      </w:r>
      <w:r>
        <w:rPr>
          <w:rFonts w:hint="cs"/>
          <w:rtl/>
          <w:lang w:eastAsia="en-US"/>
        </w:rPr>
        <w:tab/>
        <w:t>38</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واو-</w:t>
      </w:r>
      <w:r>
        <w:rPr>
          <w:rFonts w:hint="cs"/>
          <w:rtl/>
          <w:lang w:eastAsia="en-US"/>
        </w:rPr>
        <w:tab/>
        <w:t>المادة 10 (حماية الأسرة ومساعدتها)</w:t>
      </w:r>
      <w:r>
        <w:rPr>
          <w:rFonts w:hint="cs"/>
          <w:rtl/>
          <w:lang w:eastAsia="en-US"/>
        </w:rPr>
        <w:tab/>
      </w:r>
      <w:r>
        <w:rPr>
          <w:rFonts w:hint="cs"/>
          <w:rtl/>
          <w:lang w:eastAsia="en-US"/>
        </w:rPr>
        <w:tab/>
        <w:t>151-165</w:t>
      </w:r>
      <w:r>
        <w:rPr>
          <w:rFonts w:hint="cs"/>
          <w:rtl/>
          <w:lang w:eastAsia="en-US"/>
        </w:rPr>
        <w:tab/>
        <w:t>48</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زاي-</w:t>
      </w:r>
      <w:r>
        <w:rPr>
          <w:rFonts w:hint="cs"/>
          <w:rtl/>
          <w:lang w:eastAsia="en-US"/>
        </w:rPr>
        <w:tab/>
        <w:t>المادة 11 (التمتع بمستوى معيشي لائق)</w:t>
      </w:r>
      <w:r>
        <w:rPr>
          <w:rFonts w:hint="cs"/>
          <w:rtl/>
          <w:lang w:eastAsia="en-US"/>
        </w:rPr>
        <w:tab/>
      </w:r>
      <w:r>
        <w:rPr>
          <w:rFonts w:hint="cs"/>
          <w:rtl/>
          <w:lang w:eastAsia="en-US"/>
        </w:rPr>
        <w:tab/>
        <w:t>166-250</w:t>
      </w:r>
      <w:r>
        <w:rPr>
          <w:rFonts w:hint="cs"/>
          <w:rtl/>
          <w:lang w:eastAsia="en-US"/>
        </w:rPr>
        <w:tab/>
        <w:t>51</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حاء-</w:t>
      </w:r>
      <w:r>
        <w:rPr>
          <w:rFonts w:hint="cs"/>
          <w:rtl/>
          <w:lang w:eastAsia="en-US"/>
        </w:rPr>
        <w:tab/>
        <w:t>المادة 12 (الصحة البدنية والعقلية)</w:t>
      </w:r>
      <w:r>
        <w:rPr>
          <w:rFonts w:hint="cs"/>
          <w:rtl/>
          <w:lang w:eastAsia="en-US"/>
        </w:rPr>
        <w:tab/>
      </w:r>
      <w:r>
        <w:rPr>
          <w:rFonts w:hint="cs"/>
          <w:rtl/>
          <w:lang w:eastAsia="en-US"/>
        </w:rPr>
        <w:tab/>
        <w:t xml:space="preserve">   251</w:t>
      </w:r>
      <w:r>
        <w:rPr>
          <w:rFonts w:hint="cs"/>
          <w:rtl/>
          <w:lang w:eastAsia="en-US"/>
        </w:rPr>
        <w:tab/>
        <w:t>74</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طاء-</w:t>
      </w:r>
      <w:r>
        <w:rPr>
          <w:rFonts w:hint="cs"/>
          <w:rtl/>
          <w:lang w:eastAsia="en-US"/>
        </w:rPr>
        <w:tab/>
        <w:t>المادة 13 (التعليم)</w:t>
      </w:r>
      <w:r>
        <w:rPr>
          <w:rFonts w:hint="cs"/>
          <w:rtl/>
          <w:lang w:eastAsia="en-US"/>
        </w:rPr>
        <w:tab/>
      </w:r>
      <w:r>
        <w:rPr>
          <w:rFonts w:hint="cs"/>
          <w:rtl/>
          <w:lang w:eastAsia="en-US"/>
        </w:rPr>
        <w:tab/>
        <w:t>252-278</w:t>
      </w:r>
      <w:r>
        <w:rPr>
          <w:rFonts w:hint="cs"/>
          <w:rtl/>
          <w:lang w:eastAsia="en-US"/>
        </w:rPr>
        <w:tab/>
        <w:t>74</w:t>
      </w:r>
    </w:p>
    <w:p w:rsidR="00000000" w:rsidRDefault="00000000">
      <w:pPr>
        <w:tabs>
          <w:tab w:val="left" w:pos="822"/>
          <w:tab w:val="left" w:pos="1389"/>
          <w:tab w:val="left" w:pos="1956"/>
          <w:tab w:val="left" w:leader="dot" w:pos="7014"/>
          <w:tab w:val="left" w:pos="7371"/>
          <w:tab w:val="center" w:pos="9043"/>
        </w:tabs>
        <w:spacing w:before="60" w:after="60" w:line="360" w:lineRule="exact"/>
        <w:jc w:val="both"/>
        <w:rPr>
          <w:rFonts w:hint="cs"/>
          <w:rtl/>
          <w:lang w:eastAsia="en-US"/>
        </w:rPr>
      </w:pPr>
      <w:r>
        <w:rPr>
          <w:rFonts w:hint="cs"/>
          <w:rtl/>
          <w:lang w:eastAsia="en-US"/>
        </w:rPr>
        <w:tab/>
        <w:t>ياء-</w:t>
      </w:r>
      <w:r>
        <w:rPr>
          <w:rFonts w:hint="cs"/>
          <w:rtl/>
          <w:lang w:eastAsia="en-US"/>
        </w:rPr>
        <w:tab/>
        <w:t>المادة 15 (الحياة الثقافية)</w:t>
      </w:r>
      <w:r>
        <w:rPr>
          <w:rFonts w:hint="cs"/>
          <w:rtl/>
          <w:lang w:eastAsia="en-US"/>
        </w:rPr>
        <w:tab/>
      </w:r>
      <w:r>
        <w:rPr>
          <w:rFonts w:hint="cs"/>
          <w:rtl/>
          <w:lang w:eastAsia="en-US"/>
        </w:rPr>
        <w:tab/>
        <w:t>279-285</w:t>
      </w:r>
      <w:r>
        <w:rPr>
          <w:rFonts w:hint="cs"/>
          <w:rtl/>
          <w:lang w:eastAsia="en-US"/>
        </w:rPr>
        <w:tab/>
        <w:t>83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spacing w:line="400" w:lineRule="exact"/>
        <w:jc w:val="center"/>
        <w:rPr>
          <w:rFonts w:hint="cs"/>
          <w:b/>
          <w:bCs/>
          <w:rtl/>
        </w:rPr>
      </w:pPr>
      <w:r>
        <w:rPr>
          <w:rFonts w:hint="cs"/>
          <w:b/>
          <w:bCs/>
          <w:rtl/>
        </w:rPr>
        <w:t>مقدمة</w:t>
      </w:r>
    </w:p>
    <w:p w:rsidR="00000000" w:rsidRDefault="00000000">
      <w:pPr>
        <w:spacing w:line="400" w:lineRule="exact"/>
        <w:jc w:val="center"/>
        <w:rPr>
          <w:rFonts w:hint="cs"/>
          <w:b/>
          <w:bCs/>
          <w:rtl/>
        </w:rPr>
      </w:pPr>
      <w:r>
        <w:rPr>
          <w:rFonts w:hint="cs"/>
          <w:b/>
          <w:bCs/>
          <w:rtl/>
        </w:rPr>
        <w:t>ألف - إعداد التقرير</w:t>
      </w:r>
    </w:p>
    <w:p w:rsidR="00000000" w:rsidRDefault="00000000">
      <w:pPr>
        <w:spacing w:line="400" w:lineRule="exact"/>
        <w:jc w:val="both"/>
        <w:rPr>
          <w:rFonts w:hint="cs"/>
          <w:rtl/>
        </w:rPr>
      </w:pPr>
      <w:r>
        <w:rPr>
          <w:rFonts w:hint="cs"/>
          <w:rtl/>
        </w:rPr>
        <w:t>1-</w:t>
      </w:r>
      <w:r>
        <w:rPr>
          <w:rFonts w:hint="cs"/>
          <w:rtl/>
        </w:rPr>
        <w:tab/>
        <w:t>أعد هذا التقرير على غرار التقارير السابقة في إطار الأنشطة المؤسسية للجنة حقوق الإنسان المشتركة بين الوزارات التي أنشأها وزير الخارجية في عام 1978. وتضم اللجنة ممثلي الإدارات الحكومية المعنيين بمختلف قطاعات العمل والأجهزة والجمعيات وأعضاء الجامعات الذين يتمتعون بخبرة خاصة في مجال حقوق الإنسان. وقد أنشأت اللجنة فريقاً عاملاً خاصاً ثم أعدت الأمانة مشروع التقرر الذي اعتمدته اللجنة في جلسة عامة. ووزع التقرير على عدة منظمات غير حكومية لإبداء تعليقاتها وملاحظاتها عليه.</w:t>
      </w:r>
    </w:p>
    <w:p w:rsidR="00000000" w:rsidRDefault="00000000">
      <w:pPr>
        <w:spacing w:line="400" w:lineRule="exact"/>
        <w:jc w:val="both"/>
        <w:rPr>
          <w:rFonts w:hint="cs"/>
          <w:rtl/>
        </w:rPr>
      </w:pPr>
      <w:r>
        <w:rPr>
          <w:rFonts w:hint="cs"/>
          <w:rtl/>
        </w:rPr>
        <w:t>2-</w:t>
      </w:r>
      <w:r>
        <w:rPr>
          <w:rFonts w:hint="cs"/>
          <w:rtl/>
        </w:rPr>
        <w:tab/>
        <w:t>وقد وضع في الاعتبار لدى إعداد هذا التقرير الملاحظات التي أبدتها لجنة الحقوق الاقتصادية والاجتماعية والثقافية والتوصيات التي قدمتها عند مناقشة التقرير السابق.</w:t>
      </w:r>
    </w:p>
    <w:p w:rsidR="00000000" w:rsidRDefault="00000000">
      <w:pPr>
        <w:spacing w:line="400" w:lineRule="exact"/>
        <w:jc w:val="both"/>
        <w:rPr>
          <w:rFonts w:hint="cs"/>
          <w:rtl/>
        </w:rPr>
      </w:pPr>
      <w:r>
        <w:rPr>
          <w:rFonts w:hint="cs"/>
          <w:rtl/>
        </w:rPr>
        <w:t>3-</w:t>
      </w:r>
      <w:r>
        <w:rPr>
          <w:rFonts w:hint="cs"/>
          <w:rtl/>
        </w:rPr>
        <w:tab/>
        <w:t xml:space="preserve">ورئي أن من الضروري تقسيم التقرير إلى جزأين على أن يكرس الجزء الأول لمتابعة بعض التوصيات السابقة. كما رئي أنه من المفيد إحالة القراء في بعض الحالات إلى المناقشة بشأن المسائل الفردية الواردة في الجزء </w:t>
      </w:r>
      <w:r>
        <w:rPr>
          <w:rFonts w:hint="cs"/>
          <w:spacing w:val="2"/>
          <w:rtl/>
        </w:rPr>
        <w:t xml:space="preserve">الثاني من التقرير الذي يقدم إطاراً يوضح تنفيذ أحكام العهد في إيطاليا خلال الفترة ما بين عامي 1998 و2001. </w:t>
      </w:r>
      <w:r>
        <w:rPr>
          <w:rFonts w:hint="cs"/>
          <w:rtl/>
        </w:rPr>
        <w:t>وفيما يتعلق بالجزء الثاني المذكور، انصب التركيز بوجه خاص على مناقشة النهج السياسي الذي تتبعه الحكومة في كل قطاع مشمول بأحكام العهد بما في ذلك محتويات مختلف الخطط الوطنية المعتمدة في عام 2001. وأخذت أيضاً في الحسبان التشريعات الجديدة في هذا المجال والممارسات والإجراءات الإدارية.</w:t>
      </w:r>
    </w:p>
    <w:p w:rsidR="00000000" w:rsidRDefault="00000000">
      <w:pPr>
        <w:spacing w:line="400" w:lineRule="exact"/>
        <w:jc w:val="center"/>
        <w:rPr>
          <w:rFonts w:hint="cs"/>
          <w:b/>
          <w:bCs/>
          <w:rtl/>
        </w:rPr>
      </w:pPr>
      <w:r>
        <w:rPr>
          <w:rFonts w:hint="cs"/>
          <w:b/>
          <w:bCs/>
          <w:rtl/>
        </w:rPr>
        <w:t>باء - الإطار السياسي</w:t>
      </w:r>
    </w:p>
    <w:p w:rsidR="00000000" w:rsidRDefault="00000000">
      <w:pPr>
        <w:spacing w:line="400" w:lineRule="exact"/>
        <w:jc w:val="both"/>
        <w:rPr>
          <w:rFonts w:hint="cs"/>
          <w:rtl/>
        </w:rPr>
      </w:pPr>
      <w:r>
        <w:rPr>
          <w:rFonts w:hint="cs"/>
          <w:rtl/>
        </w:rPr>
        <w:t>4-</w:t>
      </w:r>
      <w:r>
        <w:rPr>
          <w:rFonts w:hint="cs"/>
          <w:rtl/>
        </w:rPr>
        <w:tab/>
        <w:t>شهدت الانتخابات التي أجريت في 13 أيار/مايو 2001 انقلاباً في توازن القوى السابق بين ائتلاف يسار الوسط (المعروف باسم "شجرة الزيتون" أو ائتلاف شجرة الزيتون) الذي فاز في الانتخابات وأسفر عن تشكيل حكومة برلوسكوني الثانية. وقدمت الحكومة بعد توليها السلطة برنامج عمل جاء في شكل برنامج شامل يعرف باسم برنامج "الأيام المئة" الذي يتضمن طائفة معقدة ومتنوعة من التدابير.</w:t>
      </w:r>
    </w:p>
    <w:p w:rsidR="00000000" w:rsidRDefault="00000000">
      <w:pPr>
        <w:spacing w:line="400" w:lineRule="exact"/>
        <w:jc w:val="both"/>
        <w:rPr>
          <w:rFonts w:hint="cs"/>
          <w:rtl/>
        </w:rPr>
      </w:pPr>
      <w:r>
        <w:rPr>
          <w:rFonts w:hint="cs"/>
          <w:rtl/>
        </w:rPr>
        <w:t>5-</w:t>
      </w:r>
      <w:r>
        <w:rPr>
          <w:rFonts w:hint="cs"/>
          <w:rtl/>
        </w:rPr>
        <w:tab/>
        <w:t>وفي القطاع الاقتصادي، كان الغرض من القانون رقم 383 الصادر في 18 تشرين الأول/أكتوبر 2001 بشأن التدابير الأولية اللازمة لإنعاش الاقتصاد (المعروف باسم قانون "تريمونتي الثاني") إعادة إنعاش الاقتصاد من خلال اتخاذ تدابير تشمل منح حوافز مالية للاستثمار. وتضم حوافز الاستثمار والتنمية أيضاً خصماً ضريبياً يعادل قيمة الضرائب التي تدفعها الشركات على الأرباح الموزعة على المساهمين بغية التشجيع على تكوين رأس مال الشركات.</w:t>
      </w:r>
    </w:p>
    <w:p w:rsidR="00000000" w:rsidRDefault="00000000">
      <w:pPr>
        <w:spacing w:line="400" w:lineRule="exact"/>
        <w:jc w:val="both"/>
        <w:rPr>
          <w:rFonts w:hint="cs"/>
          <w:rtl/>
        </w:rPr>
      </w:pPr>
      <w:r>
        <w:rPr>
          <w:rFonts w:hint="cs"/>
          <w:rtl/>
        </w:rPr>
        <w:t>6-</w:t>
      </w:r>
      <w:r>
        <w:rPr>
          <w:rFonts w:hint="cs"/>
          <w:rtl/>
        </w:rPr>
        <w:tab/>
        <w:t>أما في ميدان الإدارة العامة التي تعتبر قطاعاً استراتيجياً من حيث أنه يزيد من قدرة إيطاليا الاقتصادية على التنافس دوليا فتعتزم الحكومة اتباع مجموعة من المبادئ الرئيسية مثل الكفاءة والفعالية والتبسيط وتيسير سبل الوصول والشفافية وجودة الخدمات. وستركز عملية الإصلاح برمتها على الابتكار التكنولوجي وإعادة تنظيم العمليات الإدارية والهياكل المتصلة بها وتدريب الموظفين.</w:t>
      </w:r>
    </w:p>
    <w:p w:rsidR="00000000" w:rsidRDefault="00000000">
      <w:pPr>
        <w:spacing w:line="400" w:lineRule="exact"/>
        <w:jc w:val="both"/>
        <w:rPr>
          <w:rFonts w:hint="cs"/>
          <w:rtl/>
        </w:rPr>
      </w:pPr>
      <w:r>
        <w:rPr>
          <w:rFonts w:hint="cs"/>
          <w:rtl/>
        </w:rPr>
        <w:t>7-</w:t>
      </w:r>
      <w:r>
        <w:rPr>
          <w:rFonts w:hint="cs"/>
          <w:rtl/>
        </w:rPr>
        <w:tab/>
        <w:t>وفي مجال العمالة، يجري في إطار مشروع القانون الخاص "بتفويض السلطات إلى الحكومة فيما يتعلق بمسائل العمالة وسوق العمل" العمل بمساهمة الشركاء الاجتماعيين على زيادة معدل العمالة لبلوغ المستويات المتفق عليها في سياق الاتحاد الأوروبي من خلال تحديث الهيئات العامة المعنية بالعمل، والغاية الرئيسية المنشودة هي تحقيق التقارب مع المعايير الأوروبية فيما يخص الضمانات والمرونة والمشاركة.</w:t>
      </w:r>
    </w:p>
    <w:p w:rsidR="00000000" w:rsidRDefault="00000000">
      <w:pPr>
        <w:spacing w:line="400" w:lineRule="exact"/>
        <w:jc w:val="both"/>
        <w:rPr>
          <w:rFonts w:hint="cs"/>
          <w:rtl/>
        </w:rPr>
      </w:pPr>
      <w:r>
        <w:rPr>
          <w:rFonts w:hint="cs"/>
          <w:rtl/>
        </w:rPr>
        <w:t>8-</w:t>
      </w:r>
      <w:r>
        <w:rPr>
          <w:rFonts w:hint="cs"/>
          <w:rtl/>
        </w:rPr>
        <w:tab/>
        <w:t xml:space="preserve">وكانت من أولويات الخطة الحكومية الرامية إلى تيسير دخول الشباب إلى عالم العمل تنفيذ التوجيه رقم </w:t>
      </w:r>
      <w:r>
        <w:t>99/70/EC</w:t>
      </w:r>
      <w:r>
        <w:rPr>
          <w:rFonts w:hint="cs"/>
          <w:rtl/>
        </w:rPr>
        <w:t xml:space="preserve"> (الساري منذ 24/10/2001) المتعلق بالاتفاق الإطاري بشأن العمل لمدة محددة. وصدر بموجب المرسوم الحكم التنفيذي التشريعي 368/2001 الذي وضع في الاعتبار أيضاً الاتفاق الذي وقع عليه الشركاء الاجتماعيون في 4 أيار/مايو 2001.</w:t>
      </w:r>
    </w:p>
    <w:p w:rsidR="00000000" w:rsidRDefault="00000000">
      <w:pPr>
        <w:spacing w:line="400" w:lineRule="exact"/>
        <w:jc w:val="both"/>
        <w:rPr>
          <w:rFonts w:hint="cs"/>
          <w:rtl/>
        </w:rPr>
      </w:pPr>
      <w:r>
        <w:rPr>
          <w:rFonts w:hint="cs"/>
          <w:rtl/>
        </w:rPr>
        <w:t>9-</w:t>
      </w:r>
      <w:r>
        <w:rPr>
          <w:rFonts w:hint="cs"/>
          <w:rtl/>
        </w:rPr>
        <w:tab/>
        <w:t xml:space="preserve">وسمحت الصلاحيات التي خولت للحكومة في ما يخص قضايا سوق العمل باستكمال عملية مواءمة الأوضاع في إيطاليا بحيث تتوافق مع أوضاع شركائها الأوروبيين بتنفيذ التوجيه رقم </w:t>
      </w:r>
      <w:r>
        <w:t>93/104/EEC</w:t>
      </w:r>
      <w:r>
        <w:rPr>
          <w:rFonts w:hint="cs"/>
          <w:rtl/>
        </w:rPr>
        <w:t xml:space="preserve"> بشأن مواعيد العمل والتوجيه رقم </w:t>
      </w:r>
      <w:r>
        <w:t>94/45/EC</w:t>
      </w:r>
      <w:r>
        <w:rPr>
          <w:rFonts w:hint="cs"/>
          <w:rtl/>
        </w:rPr>
        <w:t xml:space="preserve"> بشأن مجالس العمل الأوروبية والتوجيه رقم </w:t>
      </w:r>
      <w:r>
        <w:t>1998/24/EC</w:t>
      </w:r>
      <w:r>
        <w:rPr>
          <w:rFonts w:hint="cs"/>
          <w:rtl/>
        </w:rPr>
        <w:t xml:space="preserve"> بشأن الحماية من المخاطر ذات الصلة بالمواد الكيميائية. وفي هذا السياق تستهدف جميع الإجراءات المتخذة حل المسألة الحساسة المتعلقة بسوق العمل غير الرسمية أو "الخفية".</w:t>
      </w:r>
    </w:p>
    <w:p w:rsidR="00000000" w:rsidRDefault="00000000">
      <w:pPr>
        <w:spacing w:line="400" w:lineRule="exact"/>
        <w:jc w:val="both"/>
        <w:rPr>
          <w:rFonts w:hint="cs"/>
          <w:rtl/>
        </w:rPr>
      </w:pPr>
      <w:r>
        <w:rPr>
          <w:rFonts w:hint="cs"/>
          <w:rtl/>
        </w:rPr>
        <w:t>10-</w:t>
      </w:r>
      <w:r>
        <w:rPr>
          <w:rFonts w:hint="cs"/>
          <w:rtl/>
        </w:rPr>
        <w:tab/>
        <w:t>وللتصدي الفعلي لمشكلة الاقتصاد الخفي الضار وغير المقبول من الناحية الأخلاقية ولا سيما في جنوب إيطاليا، وينص القانون رقم 383 (العنوان طاء) الصادر في 18 تشرين الأول/أكتوبر 2001 على منح حوافز مالية ومساعدات من شأنها أن تزيد نسبة "ظهور" الأعمال الخفية إلى النور. والحوافز المستهدف منها تنظيم الأنشطة الاقتصادية غير الرسمية قد تسفر عن مجموعة من المزايا مثل منع أشكال المنافسة غير المشروعة التي تلحق الضرر بالشركات التي تعمل بصورة قانونية؛ وتوسيع نطاق هيكل الوعاء الضريبي؛ وحصول العدد الكبير من العمال الذين يستبعدون حالياً من نظام الضمان الاجتماعي على كافة الإعانات التي يكفلها النظام.</w:t>
      </w:r>
    </w:p>
    <w:p w:rsidR="00000000" w:rsidRDefault="00000000">
      <w:pPr>
        <w:spacing w:line="400" w:lineRule="exact"/>
        <w:jc w:val="both"/>
        <w:rPr>
          <w:rFonts w:hint="cs"/>
          <w:rtl/>
        </w:rPr>
      </w:pPr>
      <w:r>
        <w:rPr>
          <w:rFonts w:hint="cs"/>
          <w:rtl/>
        </w:rPr>
        <w:t>11-</w:t>
      </w:r>
      <w:r>
        <w:rPr>
          <w:rFonts w:hint="cs"/>
          <w:rtl/>
        </w:rPr>
        <w:tab/>
        <w:t>وكان قطاع البيئة والموارد الطبيعية من القطاعات الرئيسية التي حظيت باهتمام الحكومة. ويتضح ذلك من مشروع القانون الخاص "بالصلاحيات المخولة للحكومة لاستعراض التشريعات السارية على قضايا البيئة" الذي يعين القطاعات التي يلزم اتخاذ الإجراءات بشأنها.</w:t>
      </w:r>
    </w:p>
    <w:p w:rsidR="00000000" w:rsidRDefault="00000000">
      <w:pPr>
        <w:spacing w:line="400" w:lineRule="exact"/>
        <w:jc w:val="both"/>
        <w:rPr>
          <w:rFonts w:hint="cs"/>
          <w:rtl/>
        </w:rPr>
      </w:pPr>
      <w:r>
        <w:rPr>
          <w:rFonts w:hint="cs"/>
          <w:rtl/>
        </w:rPr>
        <w:t>12-</w:t>
      </w:r>
      <w:r>
        <w:rPr>
          <w:rFonts w:hint="cs"/>
          <w:rtl/>
        </w:rPr>
        <w:tab/>
        <w:t>أما في مجال البحث فإن الهدف الاستراتيجي الذي تنشد الحكومة تحقيقه فهو مساوقة المعايير الإيطالية مع المعايير المتبعة في البلدان الأوروبية الرئيسية.</w:t>
      </w:r>
    </w:p>
    <w:p w:rsidR="00000000" w:rsidRDefault="00000000">
      <w:pPr>
        <w:spacing w:line="400" w:lineRule="exact"/>
        <w:jc w:val="both"/>
        <w:rPr>
          <w:rFonts w:hint="cs"/>
          <w:rtl/>
        </w:rPr>
      </w:pPr>
      <w:r>
        <w:rPr>
          <w:rFonts w:hint="cs"/>
          <w:rtl/>
        </w:rPr>
        <w:t>13-</w:t>
      </w:r>
      <w:r>
        <w:rPr>
          <w:rFonts w:hint="cs"/>
          <w:rtl/>
        </w:rPr>
        <w:tab/>
        <w:t>وفي ما يخص القطاع الصحي اتخذت الحكومة التدابير اللازمة لمواجهة جوانب القصور في خدمات الرعاية الصحية في معظم المناطق المحرومة في البلد.</w:t>
      </w:r>
    </w:p>
    <w:p w:rsidR="00000000" w:rsidRDefault="00000000">
      <w:pPr>
        <w:spacing w:line="400" w:lineRule="exact"/>
        <w:jc w:val="center"/>
        <w:rPr>
          <w:rFonts w:hint="cs"/>
          <w:b/>
          <w:bCs/>
          <w:rtl/>
        </w:rPr>
      </w:pPr>
      <w:r>
        <w:rPr>
          <w:rFonts w:hint="cs"/>
          <w:b/>
          <w:bCs/>
          <w:rtl/>
        </w:rPr>
        <w:t>جيم - أهم عناصر النهج السياسي العام</w:t>
      </w:r>
    </w:p>
    <w:p w:rsidR="00000000" w:rsidRDefault="00000000">
      <w:pPr>
        <w:spacing w:line="400" w:lineRule="exact"/>
        <w:jc w:val="center"/>
        <w:rPr>
          <w:rFonts w:hint="cs"/>
          <w:b/>
          <w:bCs/>
          <w:rtl/>
        </w:rPr>
      </w:pPr>
      <w:r>
        <w:rPr>
          <w:rFonts w:hint="cs"/>
          <w:b/>
          <w:bCs/>
          <w:rtl/>
        </w:rPr>
        <w:t>1- مكافحة الفقر والاستبعاد الاجتماعي</w:t>
      </w:r>
    </w:p>
    <w:p w:rsidR="00000000" w:rsidRDefault="00000000">
      <w:pPr>
        <w:spacing w:line="400" w:lineRule="exact"/>
        <w:jc w:val="both"/>
        <w:rPr>
          <w:rFonts w:hint="cs"/>
          <w:rtl/>
        </w:rPr>
      </w:pPr>
      <w:r>
        <w:rPr>
          <w:rFonts w:hint="cs"/>
          <w:rtl/>
        </w:rPr>
        <w:t>14-</w:t>
      </w:r>
      <w:r>
        <w:rPr>
          <w:rFonts w:hint="cs"/>
          <w:rtl/>
        </w:rPr>
        <w:tab/>
        <w:t>تعتبر مكافحة الفقر والاستبعاد الاجتماعي في إيطاليا من العناصر الرئيسية لإحراز التقدم الاقتصادي وتوليد فرص العمل. وتنطلق سياسات الإدماج من الافتراض أن ظروف الاستبعاد الاجتماعي تنطوي على أشكال من الحرمان المادي والضعف الاجتماعي التي تتخطى الفقر الاقتصادي المادي أو أقصى أشكال الإجحاف لتشمل أوجه الاختلال في الروابط الأسرية والاجتماعية ونظم الإسكان وشبكات خدمات الدعم والإدماج الاجتماعي والتدريب والعمل والتهميش الاجتماعي. ويؤدي ذلك إلى إدراك أنه كي يتسنى التصدي بفعالية للظواهر المرتبطة بالفقر والاستبعاد الاجتماعي لا بد من اتخاذ تدابير في ما يتعلق بطائفة عريضة من السياسات، أي سياسات "المساعدة الاجتماعية التقليدية"؛ وسياسات الحد من الفقر؛ وسياسات حديثة للحماية الاجتماعية والإدماج الاجتماعي والثقافي؛ ومبادرات لتوجيه أشد الفئات السكانية ضعفاً وتدريبها وتوظيفها؛ وانتهاج سياسات لتنمية الاقتصاد الاجتماعي؛ ومواءمة أوقات الحياة الأسرية ومتطلباتها؛ وسياسات في مجال الإسكان والصحة والرياضة والترفيه؛ وسياسات فيما يخص تطوير المعارف وتكنولوجيات المعلومات والاتصالات الجديدة.</w:t>
      </w:r>
    </w:p>
    <w:p w:rsidR="00000000" w:rsidRDefault="00000000">
      <w:pPr>
        <w:spacing w:line="400" w:lineRule="exact"/>
        <w:jc w:val="center"/>
        <w:rPr>
          <w:rFonts w:hint="cs"/>
          <w:b/>
          <w:bCs/>
          <w:rtl/>
        </w:rPr>
      </w:pPr>
      <w:r>
        <w:rPr>
          <w:rFonts w:hint="cs"/>
          <w:b/>
          <w:bCs/>
          <w:rtl/>
        </w:rPr>
        <w:t>2- الخطط الوطنية</w:t>
      </w:r>
    </w:p>
    <w:p w:rsidR="00000000" w:rsidRDefault="00000000">
      <w:pPr>
        <w:spacing w:line="400" w:lineRule="exact"/>
        <w:jc w:val="both"/>
        <w:rPr>
          <w:rFonts w:hint="cs"/>
          <w:rtl/>
        </w:rPr>
      </w:pPr>
      <w:r>
        <w:rPr>
          <w:rFonts w:hint="cs"/>
          <w:rtl/>
        </w:rPr>
        <w:t>15-</w:t>
      </w:r>
      <w:r>
        <w:rPr>
          <w:rFonts w:hint="cs"/>
          <w:rtl/>
        </w:rPr>
        <w:tab/>
        <w:t>نظراً إلى ما ورد أعلاه، قامت إيطاليا على مدى السنوات القليلة الماضية باستهلال سلسلة من الخطط القطاعية تتناول فئات محددة تتعرض للاستبعاد الاجتماعي (برنامج العمل للسياسات المتعلقة بالإعاقة وخطة العمل للأطفال والمراهقين؛ والصندوق الوطني لمعالجة مشكلة المخدرات؛ وبرنامج تقديم الخدمات للمسنين والصندوق الخاص بمدارس التمريض). وأضيفت إلى هذه الخطط "الرأسية" سلسلة من الخطط الوطنية التي تنفذ بالترادف معها، أي خطة الصحة الوطنية وخطة العمل الوطنية وخطة التعليم الوطنية والخطة الوطنية للأنشطة والخدمات الاجتماعية على وجه الخصوص. وتتميز الخطة الأخيرة التي اعتمدت في نيسان/أبريل 2001 عملاً بالقانون الإطاري بشأن الرعاية الاجتماعية (القانون رقم 328/2000) بهيكلها الشبكي اللامركزي مما يسمح بتطور النظام على المستوى المحلي عبر الخطط على مستوى الأقاليم والمناطق والمشاركة المباشرة من جانب الجهات المحلية الفاعلة في تخطيط السياسات والإجراءات وبرمجتها وتنفيذها. ويتيح هذا الهيكل إمكانية تسليط الضوء على الاختلافات فيما بين المناطق فيما يخص نوع العقبات المواجهة وبالتالي أولويات التدخل مع مراعاة هذه الاحتياجات المختلفة بالعمل في إطار الأخذ بالأفضل على الصعيد الأقاليمي.</w:t>
      </w:r>
    </w:p>
    <w:p w:rsidR="00000000" w:rsidRDefault="00000000">
      <w:pPr>
        <w:spacing w:line="400" w:lineRule="exact"/>
        <w:jc w:val="center"/>
        <w:rPr>
          <w:rFonts w:hint="cs"/>
          <w:b/>
          <w:bCs/>
          <w:rtl/>
        </w:rPr>
      </w:pPr>
      <w:r>
        <w:rPr>
          <w:rFonts w:hint="cs"/>
          <w:b/>
          <w:bCs/>
          <w:rtl/>
        </w:rPr>
        <w:t>3- الخطة الوطنية للأنشطة والخدمات الاجتماعية</w:t>
      </w:r>
    </w:p>
    <w:p w:rsidR="00000000" w:rsidRDefault="00000000">
      <w:pPr>
        <w:spacing w:line="400" w:lineRule="exact"/>
        <w:jc w:val="both"/>
        <w:rPr>
          <w:rFonts w:hint="cs"/>
          <w:rtl/>
        </w:rPr>
      </w:pPr>
      <w:r>
        <w:rPr>
          <w:rFonts w:hint="cs"/>
          <w:rtl/>
        </w:rPr>
        <w:t>16-</w:t>
      </w:r>
      <w:r>
        <w:rPr>
          <w:rFonts w:hint="cs"/>
          <w:rtl/>
        </w:rPr>
        <w:tab/>
        <w:t>لقد وضعت الخطة الاجتماعية المعتمدة في نيسان/أبريل 2001 عملاً بالقانون 328/2000 بغرض تحقيق الأهداف الرئيسية التالية:</w:t>
      </w:r>
    </w:p>
    <w:p w:rsidR="00000000" w:rsidRDefault="00000000">
      <w:pPr>
        <w:spacing w:line="400" w:lineRule="exact"/>
        <w:jc w:val="both"/>
        <w:rPr>
          <w:rFonts w:hint="cs"/>
          <w:rtl/>
        </w:rPr>
      </w:pPr>
      <w:r>
        <w:rPr>
          <w:rFonts w:hint="cs"/>
          <w:rtl/>
        </w:rPr>
        <w:tab/>
        <w:t>-</w:t>
      </w:r>
      <w:r>
        <w:rPr>
          <w:rFonts w:hint="cs"/>
          <w:rtl/>
        </w:rPr>
        <w:tab/>
        <w:t>توفير نظام متكامل للأنشطة والخدمات الاجتماعية للأفراد والأسر؛</w:t>
      </w:r>
    </w:p>
    <w:p w:rsidR="00000000" w:rsidRDefault="00000000">
      <w:pPr>
        <w:spacing w:line="400" w:lineRule="exact"/>
        <w:jc w:val="both"/>
        <w:rPr>
          <w:rFonts w:hint="cs"/>
          <w:rtl/>
        </w:rPr>
      </w:pPr>
      <w:r>
        <w:rPr>
          <w:rFonts w:hint="cs"/>
          <w:rtl/>
        </w:rPr>
        <w:tab/>
        <w:t>-</w:t>
      </w:r>
      <w:r>
        <w:rPr>
          <w:rFonts w:hint="cs"/>
          <w:rtl/>
        </w:rPr>
        <w:tab/>
        <w:t>ضمان تحسين مستوى المعيشة؛</w:t>
      </w:r>
    </w:p>
    <w:p w:rsidR="00000000" w:rsidRDefault="00000000">
      <w:pPr>
        <w:spacing w:line="400" w:lineRule="exact"/>
        <w:jc w:val="both"/>
        <w:rPr>
          <w:rFonts w:hint="cs"/>
          <w:rtl/>
        </w:rPr>
      </w:pPr>
      <w:r>
        <w:rPr>
          <w:rFonts w:hint="cs"/>
          <w:rtl/>
        </w:rPr>
        <w:tab/>
        <w:t>-</w:t>
      </w:r>
      <w:r>
        <w:rPr>
          <w:rFonts w:hint="cs"/>
          <w:rtl/>
        </w:rPr>
        <w:tab/>
        <w:t>الوقاية من الظروف التي تؤدي إلى العجز والحد منها والقضاء عليها؛</w:t>
      </w:r>
    </w:p>
    <w:p w:rsidR="00000000" w:rsidRDefault="00000000">
      <w:pPr>
        <w:spacing w:line="400" w:lineRule="exact"/>
        <w:ind w:left="1440" w:hanging="720"/>
        <w:jc w:val="both"/>
        <w:rPr>
          <w:rFonts w:hint="cs"/>
          <w:rtl/>
        </w:rPr>
      </w:pPr>
      <w:r>
        <w:rPr>
          <w:rFonts w:hint="cs"/>
          <w:rtl/>
        </w:rPr>
        <w:t>-</w:t>
      </w:r>
      <w:r>
        <w:rPr>
          <w:rFonts w:hint="cs"/>
          <w:rtl/>
        </w:rPr>
        <w:tab/>
        <w:t>التشجيع على مشاركة المواطنين ومساهمة نقابات العمال والمؤسسات الاجتماعية ومنظمات حماية المستهلكين؛</w:t>
      </w:r>
    </w:p>
    <w:p w:rsidR="00000000" w:rsidRDefault="00000000">
      <w:pPr>
        <w:spacing w:line="400" w:lineRule="exact"/>
        <w:jc w:val="both"/>
        <w:rPr>
          <w:rFonts w:hint="cs"/>
          <w:rtl/>
        </w:rPr>
      </w:pPr>
      <w:r>
        <w:rPr>
          <w:rFonts w:hint="cs"/>
          <w:rtl/>
        </w:rPr>
        <w:tab/>
        <w:t>-</w:t>
      </w:r>
      <w:r>
        <w:rPr>
          <w:rFonts w:hint="cs"/>
          <w:rtl/>
        </w:rPr>
        <w:tab/>
        <w:t>النهوض بمسؤوليات الأسر ودعمها؛</w:t>
      </w:r>
    </w:p>
    <w:p w:rsidR="00000000" w:rsidRDefault="00000000">
      <w:pPr>
        <w:spacing w:line="400" w:lineRule="exact"/>
        <w:jc w:val="both"/>
        <w:rPr>
          <w:rFonts w:hint="cs"/>
          <w:rtl/>
        </w:rPr>
      </w:pPr>
      <w:r>
        <w:rPr>
          <w:rFonts w:hint="cs"/>
          <w:rtl/>
        </w:rPr>
        <w:tab/>
        <w:t>-</w:t>
      </w:r>
      <w:r>
        <w:rPr>
          <w:rFonts w:hint="cs"/>
          <w:rtl/>
        </w:rPr>
        <w:tab/>
        <w:t>تدعيم عمليات التدخل لمكافحة الفقر؛</w:t>
      </w:r>
    </w:p>
    <w:p w:rsidR="00000000" w:rsidRDefault="00000000">
      <w:pPr>
        <w:spacing w:line="400" w:lineRule="exact"/>
        <w:ind w:left="1440" w:hanging="720"/>
        <w:jc w:val="both"/>
        <w:rPr>
          <w:rFonts w:hint="cs"/>
          <w:rtl/>
        </w:rPr>
      </w:pPr>
      <w:r>
        <w:rPr>
          <w:rFonts w:hint="cs"/>
          <w:rtl/>
        </w:rPr>
        <w:t>-</w:t>
      </w:r>
      <w:r>
        <w:rPr>
          <w:rFonts w:hint="cs"/>
          <w:rtl/>
        </w:rPr>
        <w:tab/>
        <w:t>اتخاذ التدابير الرامية إلى تعزيز إدماج المهاجرين والحيلولة دون الاعتماد على الإعانات وتكثيف الجهود لمساعدة المراهقين.</w:t>
      </w:r>
    </w:p>
    <w:p w:rsidR="00000000" w:rsidRDefault="00000000">
      <w:pPr>
        <w:spacing w:line="400" w:lineRule="exact"/>
        <w:jc w:val="both"/>
        <w:rPr>
          <w:rFonts w:hint="cs"/>
          <w:rtl/>
        </w:rPr>
      </w:pPr>
      <w:r>
        <w:rPr>
          <w:rFonts w:hint="cs"/>
          <w:rtl/>
        </w:rPr>
        <w:t>17-</w:t>
      </w:r>
      <w:r>
        <w:rPr>
          <w:rFonts w:hint="cs"/>
          <w:rtl/>
        </w:rPr>
        <w:tab/>
        <w:t>وتركز الغايات والتدابير المتوخاة على ما يلي:</w:t>
      </w:r>
    </w:p>
    <w:p w:rsidR="00000000" w:rsidRDefault="00000000">
      <w:pPr>
        <w:spacing w:line="400" w:lineRule="exact"/>
        <w:jc w:val="both"/>
        <w:rPr>
          <w:rFonts w:hint="cs"/>
          <w:rtl/>
        </w:rPr>
      </w:pPr>
      <w:r>
        <w:rPr>
          <w:rFonts w:hint="cs"/>
          <w:rtl/>
        </w:rPr>
        <w:tab/>
        <w:t>-</w:t>
      </w:r>
      <w:r>
        <w:rPr>
          <w:rFonts w:hint="cs"/>
          <w:rtl/>
        </w:rPr>
        <w:tab/>
        <w:t>السياسات والخدمات في مختلف مناحي الحياة الاجتماعية؛</w:t>
      </w:r>
    </w:p>
    <w:p w:rsidR="00000000" w:rsidRDefault="00000000">
      <w:pPr>
        <w:spacing w:line="400" w:lineRule="exact"/>
        <w:jc w:val="both"/>
        <w:rPr>
          <w:rFonts w:hint="cs"/>
          <w:rtl/>
        </w:rPr>
      </w:pPr>
      <w:r>
        <w:rPr>
          <w:rFonts w:hint="cs"/>
          <w:rtl/>
        </w:rPr>
        <w:tab/>
        <w:t>-</w:t>
      </w:r>
      <w:r>
        <w:rPr>
          <w:rFonts w:hint="cs"/>
          <w:rtl/>
        </w:rPr>
        <w:tab/>
        <w:t>الخدمات المتاحة للأفراد والأسر تستكملها التدابير الاقتصادية؛</w:t>
      </w:r>
    </w:p>
    <w:p w:rsidR="00000000" w:rsidRDefault="00000000">
      <w:pPr>
        <w:spacing w:line="400" w:lineRule="exact"/>
        <w:jc w:val="both"/>
        <w:rPr>
          <w:rFonts w:hint="cs"/>
          <w:rtl/>
        </w:rPr>
      </w:pPr>
      <w:r>
        <w:rPr>
          <w:rFonts w:hint="cs"/>
          <w:rtl/>
        </w:rPr>
        <w:tab/>
        <w:t>-</w:t>
      </w:r>
      <w:r>
        <w:rPr>
          <w:rFonts w:hint="cs"/>
          <w:rtl/>
        </w:rPr>
        <w:tab/>
        <w:t>السبل الفعالة لاستخدام الموارد على الوجه الأمثل.</w:t>
      </w:r>
    </w:p>
    <w:p w:rsidR="00000000" w:rsidRDefault="00000000">
      <w:pPr>
        <w:spacing w:line="400" w:lineRule="exact"/>
        <w:jc w:val="both"/>
        <w:rPr>
          <w:rFonts w:hint="cs"/>
          <w:rtl/>
        </w:rPr>
      </w:pPr>
      <w:r>
        <w:rPr>
          <w:rFonts w:hint="cs"/>
          <w:rtl/>
        </w:rPr>
        <w:t>18-</w:t>
      </w:r>
      <w:r>
        <w:rPr>
          <w:rFonts w:hint="cs"/>
          <w:rtl/>
        </w:rPr>
        <w:tab/>
        <w:t>ومن المزمع اتخاذ الإجراءات ذات الأولوية التالية:</w:t>
      </w:r>
    </w:p>
    <w:p w:rsidR="00000000" w:rsidRDefault="00000000">
      <w:pPr>
        <w:spacing w:line="400" w:lineRule="exact"/>
        <w:ind w:left="1440" w:hanging="720"/>
        <w:jc w:val="both"/>
        <w:rPr>
          <w:rFonts w:hint="cs"/>
          <w:rtl/>
        </w:rPr>
      </w:pPr>
      <w:r>
        <w:rPr>
          <w:rFonts w:hint="cs"/>
          <w:rtl/>
        </w:rPr>
        <w:t>-</w:t>
      </w:r>
      <w:r>
        <w:rPr>
          <w:rFonts w:hint="cs"/>
          <w:rtl/>
        </w:rPr>
        <w:tab/>
        <w:t>تدابير اقتصادية للتشجيع على تهيئة ظروف معيشية مستقلة ورعاية للأشخاص الذين يعتمدون اعتماداً تاماً على الإعانات وتلقي الرعاية في منازلهم؛</w:t>
      </w:r>
    </w:p>
    <w:p w:rsidR="00000000" w:rsidRDefault="00000000">
      <w:pPr>
        <w:spacing w:line="400" w:lineRule="exact"/>
        <w:jc w:val="both"/>
        <w:rPr>
          <w:rFonts w:hint="cs"/>
          <w:rtl/>
        </w:rPr>
      </w:pPr>
      <w:r>
        <w:rPr>
          <w:rFonts w:hint="cs"/>
          <w:rtl/>
        </w:rPr>
        <w:tab/>
        <w:t>-</w:t>
      </w:r>
      <w:r>
        <w:rPr>
          <w:rFonts w:hint="cs"/>
          <w:rtl/>
        </w:rPr>
        <w:tab/>
        <w:t>إجراءات لدعم القصر؛</w:t>
      </w:r>
    </w:p>
    <w:p w:rsidR="00000000" w:rsidRDefault="00000000">
      <w:pPr>
        <w:spacing w:line="400" w:lineRule="exact"/>
        <w:jc w:val="both"/>
        <w:rPr>
          <w:rFonts w:hint="cs"/>
          <w:rtl/>
        </w:rPr>
      </w:pPr>
      <w:r>
        <w:rPr>
          <w:rFonts w:hint="cs"/>
          <w:rtl/>
        </w:rPr>
        <w:tab/>
        <w:t>-</w:t>
      </w:r>
      <w:r>
        <w:rPr>
          <w:rFonts w:hint="cs"/>
          <w:rtl/>
        </w:rPr>
        <w:tab/>
        <w:t>تدابير لدعم النساء اللائي يعانين من ظروف صعبة؛</w:t>
      </w:r>
    </w:p>
    <w:p w:rsidR="00000000" w:rsidRDefault="00000000">
      <w:pPr>
        <w:spacing w:line="400" w:lineRule="exact"/>
        <w:jc w:val="both"/>
        <w:rPr>
          <w:rFonts w:hint="cs"/>
          <w:rtl/>
        </w:rPr>
      </w:pPr>
      <w:r>
        <w:rPr>
          <w:rFonts w:hint="cs"/>
          <w:rtl/>
        </w:rPr>
        <w:tab/>
        <w:t>-</w:t>
      </w:r>
      <w:r>
        <w:rPr>
          <w:rFonts w:hint="cs"/>
          <w:rtl/>
        </w:rPr>
        <w:tab/>
        <w:t>إجراءات لتعزيز إدماج المعوقين إدماجاً تاماً في المجتمع؛</w:t>
      </w:r>
    </w:p>
    <w:p w:rsidR="00000000" w:rsidRDefault="00000000">
      <w:pPr>
        <w:spacing w:line="400" w:lineRule="exact"/>
        <w:ind w:left="1440" w:hanging="720"/>
        <w:jc w:val="both"/>
        <w:rPr>
          <w:rFonts w:hint="cs"/>
          <w:rtl/>
        </w:rPr>
      </w:pPr>
      <w:r>
        <w:rPr>
          <w:rFonts w:hint="cs"/>
          <w:rtl/>
        </w:rPr>
        <w:t>-</w:t>
      </w:r>
      <w:r>
        <w:rPr>
          <w:rFonts w:hint="cs"/>
          <w:rtl/>
        </w:rPr>
        <w:tab/>
        <w:t>إجراءات تمكن المسنين والمعوقين من الاستمرار في العيش في منازلهم مع أفراد أسرهم أو في دور للإقامة الكاملة أو شبه الكاملة؛</w:t>
      </w:r>
    </w:p>
    <w:p w:rsidR="00000000" w:rsidRDefault="00000000">
      <w:pPr>
        <w:spacing w:line="400" w:lineRule="exact"/>
        <w:ind w:left="1440" w:hanging="720"/>
        <w:jc w:val="both"/>
        <w:rPr>
          <w:rFonts w:hint="cs"/>
          <w:rtl/>
        </w:rPr>
      </w:pPr>
      <w:r>
        <w:rPr>
          <w:rFonts w:hint="cs"/>
          <w:rtl/>
        </w:rPr>
        <w:t>-</w:t>
      </w:r>
      <w:r>
        <w:rPr>
          <w:rFonts w:hint="cs"/>
          <w:rtl/>
        </w:rPr>
        <w:tab/>
        <w:t>خدمات اجتماعية تربوية متكاملة لمكافحة إدمان المخدرات والكحول والمستحضرات الصيدلية مصحوبة بإجراءات وقائية ترمي إلى استرداد الصحة وإعادة الإدماج؛</w:t>
      </w:r>
    </w:p>
    <w:p w:rsidR="00000000" w:rsidRDefault="00000000">
      <w:pPr>
        <w:spacing w:line="400" w:lineRule="exact"/>
        <w:ind w:left="1440" w:hanging="720"/>
        <w:jc w:val="both"/>
        <w:rPr>
          <w:rFonts w:hint="cs"/>
          <w:rtl/>
        </w:rPr>
      </w:pPr>
      <w:r>
        <w:rPr>
          <w:rFonts w:hint="cs"/>
          <w:rtl/>
        </w:rPr>
        <w:t>-</w:t>
      </w:r>
      <w:r>
        <w:rPr>
          <w:rFonts w:hint="cs"/>
          <w:rtl/>
        </w:rPr>
        <w:tab/>
        <w:t>توفير خدمات إعلامية واستشارية للأفراد والأسر لتمكين كل شخص من الانتفاع بالخدمات ومن مبادرات المساعدة الذاتية؛</w:t>
      </w:r>
    </w:p>
    <w:p w:rsidR="00000000" w:rsidRDefault="00000000">
      <w:pPr>
        <w:spacing w:line="400" w:lineRule="exact"/>
        <w:jc w:val="both"/>
        <w:rPr>
          <w:rFonts w:hint="cs"/>
          <w:rtl/>
        </w:rPr>
      </w:pPr>
      <w:r>
        <w:rPr>
          <w:rFonts w:hint="cs"/>
          <w:rtl/>
        </w:rPr>
        <w:tab/>
        <w:t>-</w:t>
      </w:r>
      <w:r>
        <w:rPr>
          <w:rFonts w:hint="cs"/>
          <w:rtl/>
        </w:rPr>
        <w:tab/>
        <w:t>اتخاذ تدابير لتزويد الأفراد والأسر بنظام متكامل للخدمات والأنشطة الاجتماعية؛</w:t>
      </w:r>
    </w:p>
    <w:p w:rsidR="00000000" w:rsidRDefault="00000000">
      <w:pPr>
        <w:spacing w:line="400" w:lineRule="exact"/>
        <w:jc w:val="both"/>
        <w:rPr>
          <w:rFonts w:hint="cs"/>
          <w:rtl/>
        </w:rPr>
      </w:pPr>
      <w:r>
        <w:rPr>
          <w:rFonts w:hint="cs"/>
          <w:rtl/>
        </w:rPr>
        <w:tab/>
        <w:t>-</w:t>
      </w:r>
      <w:r>
        <w:rPr>
          <w:rFonts w:hint="cs"/>
          <w:rtl/>
        </w:rPr>
        <w:tab/>
        <w:t>اتخاذ تدابير أكثر وضوحاً لمكافحة الفقر؛</w:t>
      </w:r>
    </w:p>
    <w:p w:rsidR="00000000" w:rsidRDefault="00000000">
      <w:pPr>
        <w:spacing w:line="400" w:lineRule="exact"/>
        <w:jc w:val="both"/>
        <w:rPr>
          <w:rFonts w:hint="cs"/>
          <w:rtl/>
        </w:rPr>
      </w:pPr>
      <w:r>
        <w:rPr>
          <w:rFonts w:hint="cs"/>
          <w:rtl/>
        </w:rPr>
        <w:tab/>
        <w:t>-</w:t>
      </w:r>
      <w:r>
        <w:rPr>
          <w:rFonts w:hint="cs"/>
          <w:rtl/>
        </w:rPr>
        <w:tab/>
        <w:t>اتخاذ إجراءات لتحسين مستوى المعيشة؛</w:t>
      </w:r>
    </w:p>
    <w:p w:rsidR="00000000" w:rsidRDefault="00000000">
      <w:pPr>
        <w:spacing w:line="400" w:lineRule="exact"/>
        <w:jc w:val="both"/>
        <w:rPr>
          <w:rFonts w:hint="cs"/>
          <w:rtl/>
        </w:rPr>
      </w:pPr>
      <w:r>
        <w:rPr>
          <w:rFonts w:hint="cs"/>
          <w:rtl/>
        </w:rPr>
        <w:tab/>
        <w:t>-</w:t>
      </w:r>
      <w:r>
        <w:rPr>
          <w:rFonts w:hint="cs"/>
          <w:rtl/>
        </w:rPr>
        <w:tab/>
        <w:t>اتخاذ تدابير للوقاية من الظروف المؤدية إلى الإعاقة والفاقة والشدة والحد منها والقضاء عليها؛</w:t>
      </w:r>
    </w:p>
    <w:p w:rsidR="00000000" w:rsidRDefault="00000000">
      <w:pPr>
        <w:spacing w:line="400" w:lineRule="exact"/>
        <w:ind w:left="1440" w:hanging="720"/>
        <w:jc w:val="both"/>
        <w:rPr>
          <w:rFonts w:hint="cs"/>
          <w:rtl/>
        </w:rPr>
      </w:pPr>
      <w:r>
        <w:rPr>
          <w:rFonts w:hint="cs"/>
          <w:rtl/>
        </w:rPr>
        <w:t>-</w:t>
      </w:r>
      <w:r>
        <w:rPr>
          <w:rFonts w:hint="cs"/>
          <w:rtl/>
        </w:rPr>
        <w:tab/>
        <w:t>اتخاذ إجراءات لتشجيع المشاركة الفعالة من جانب المواطنين ومساهمة نقابات العمال والمؤسسات الاجتماعية ومنظمات حماية المستهلكين؛</w:t>
      </w:r>
    </w:p>
    <w:p w:rsidR="00000000" w:rsidRDefault="00000000">
      <w:pPr>
        <w:spacing w:line="400" w:lineRule="exact"/>
        <w:jc w:val="both"/>
        <w:rPr>
          <w:rFonts w:hint="cs"/>
          <w:rtl/>
        </w:rPr>
      </w:pPr>
      <w:r>
        <w:rPr>
          <w:rFonts w:hint="cs"/>
          <w:rtl/>
        </w:rPr>
        <w:tab/>
        <w:t>-</w:t>
      </w:r>
      <w:r>
        <w:rPr>
          <w:rFonts w:hint="cs"/>
          <w:rtl/>
        </w:rPr>
        <w:tab/>
        <w:t>اتخاذ تدابير للنهوض بالمسؤوليات الأسرية ودعمها؛</w:t>
      </w:r>
    </w:p>
    <w:p w:rsidR="00000000" w:rsidRDefault="00000000">
      <w:pPr>
        <w:spacing w:line="400" w:lineRule="exact"/>
        <w:jc w:val="both"/>
        <w:rPr>
          <w:rFonts w:hint="cs"/>
          <w:rtl/>
        </w:rPr>
      </w:pPr>
      <w:r>
        <w:rPr>
          <w:rFonts w:hint="cs"/>
          <w:rtl/>
        </w:rPr>
        <w:tab/>
        <w:t>-</w:t>
      </w:r>
      <w:r>
        <w:rPr>
          <w:rFonts w:hint="cs"/>
          <w:rtl/>
        </w:rPr>
        <w:tab/>
        <w:t>اتخاذ إجراءات لتدعيم حقوق القصر؛</w:t>
      </w:r>
    </w:p>
    <w:p w:rsidR="00000000" w:rsidRDefault="00000000">
      <w:pPr>
        <w:spacing w:line="400" w:lineRule="exact"/>
        <w:jc w:val="both"/>
        <w:rPr>
          <w:rFonts w:hint="cs"/>
          <w:rtl/>
        </w:rPr>
      </w:pPr>
      <w:r>
        <w:rPr>
          <w:rFonts w:hint="cs"/>
          <w:rtl/>
        </w:rPr>
        <w:tab/>
        <w:t>-</w:t>
      </w:r>
      <w:r>
        <w:rPr>
          <w:rFonts w:hint="cs"/>
          <w:rtl/>
        </w:rPr>
        <w:tab/>
        <w:t>اتخاذ إجراءات مكثفة لمكافحة الفقر؛</w:t>
      </w:r>
    </w:p>
    <w:p w:rsidR="00000000" w:rsidRDefault="00000000">
      <w:pPr>
        <w:spacing w:line="400" w:lineRule="exact"/>
        <w:ind w:left="1440" w:hanging="720"/>
        <w:jc w:val="both"/>
        <w:rPr>
          <w:rFonts w:hint="cs"/>
          <w:rtl/>
        </w:rPr>
      </w:pPr>
      <w:r>
        <w:rPr>
          <w:rFonts w:hint="cs"/>
          <w:rtl/>
        </w:rPr>
        <w:t>-</w:t>
      </w:r>
      <w:r>
        <w:rPr>
          <w:rFonts w:hint="cs"/>
          <w:rtl/>
        </w:rPr>
        <w:tab/>
        <w:t>تقديم الدعم إلى الأشخاص غير المكتفين ذاتياً (ولا سيما المصابين بأوجه إعاقة شديدة) في شكل خدمات توفر في المنزل؛</w:t>
      </w:r>
    </w:p>
    <w:p w:rsidR="00000000" w:rsidRDefault="00000000">
      <w:pPr>
        <w:spacing w:line="400" w:lineRule="exact"/>
        <w:ind w:left="1440" w:hanging="720"/>
        <w:jc w:val="both"/>
        <w:rPr>
          <w:rFonts w:hint="cs"/>
          <w:rtl/>
        </w:rPr>
      </w:pPr>
      <w:r>
        <w:rPr>
          <w:rFonts w:hint="cs"/>
          <w:rtl/>
        </w:rPr>
        <w:t>-</w:t>
      </w:r>
      <w:r>
        <w:rPr>
          <w:rFonts w:hint="cs"/>
          <w:rtl/>
        </w:rPr>
        <w:tab/>
        <w:t>اتخاذ تدابير لتعزيز إدماج المهاجرين والحيلولة دون الاعتماد على الإعانات وتكثيف الجهود للتصدي للمشاكل التي يواجهها المراهقون.</w:t>
      </w:r>
    </w:p>
    <w:p w:rsidR="00000000" w:rsidRDefault="00000000">
      <w:pPr>
        <w:spacing w:line="400" w:lineRule="exact"/>
        <w:jc w:val="center"/>
        <w:rPr>
          <w:rFonts w:hint="cs"/>
          <w:b/>
          <w:bCs/>
          <w:rtl/>
        </w:rPr>
      </w:pPr>
      <w:r>
        <w:rPr>
          <w:rFonts w:hint="cs"/>
          <w:b/>
          <w:bCs/>
          <w:rtl/>
        </w:rPr>
        <w:t>4- خطة العمل الوطنية لمكافحة التهميش</w:t>
      </w:r>
    </w:p>
    <w:p w:rsidR="00000000" w:rsidRDefault="00000000">
      <w:pPr>
        <w:spacing w:line="400" w:lineRule="exact"/>
        <w:jc w:val="both"/>
        <w:rPr>
          <w:rFonts w:hint="cs"/>
          <w:rtl/>
        </w:rPr>
      </w:pPr>
      <w:r>
        <w:rPr>
          <w:rFonts w:hint="cs"/>
          <w:rtl/>
        </w:rPr>
        <w:t>19-</w:t>
      </w:r>
      <w:r>
        <w:rPr>
          <w:rFonts w:hint="cs"/>
          <w:rtl/>
        </w:rPr>
        <w:tab/>
        <w:t>بناء على الدعوة التي وجهها رؤساء الدول والحكومات خلال قمة الاتحاد الأوروبي المعقودة في نيس في كانون الأول/ديسمبر 2000 قدمت إيطاليا خطة العمل الوطنية الأولى لفترة السنتين لمكافحة التهميش في حزيران/يونيه 2001. وأشير إلى جميع الأولويات ومسارات العمل والتدابير والإجراءات الواردة في مختلف الخطط الوطنية والقطاعية والمحلية التي تغطي الفترة ما بين 2000 و2003 وتم تلخيصها في إطار هذه الخطة مع مراعاة الأهداف الرئيسية الأربعة التي حددت في قمة نيس والتي سلطت الضوء على الأولويات المحددة والإجراءات المتوقعة والتدابير الموضوعة فيما يتعلق بمجالات العمل التالية:</w:t>
      </w:r>
    </w:p>
    <w:p w:rsidR="00000000" w:rsidRDefault="00000000">
      <w:pPr>
        <w:spacing w:line="400" w:lineRule="exact"/>
        <w:ind w:left="1440" w:hanging="720"/>
        <w:jc w:val="both"/>
        <w:rPr>
          <w:rFonts w:hint="cs"/>
          <w:rtl/>
        </w:rPr>
      </w:pPr>
      <w:r>
        <w:rPr>
          <w:rFonts w:hint="cs"/>
          <w:rtl/>
        </w:rPr>
        <w:t>-</w:t>
      </w:r>
      <w:r>
        <w:rPr>
          <w:rFonts w:hint="cs"/>
          <w:rtl/>
        </w:rPr>
        <w:tab/>
        <w:t>النهوض بسياسات العمل المباشرة والعرضية من خلال الاعتراف بالابتكار والارتقاء بمستوى أنظمة التعليم والتدريب ليس بوصفها مجرد عوامل لتحقيق التنمية والنمو الاقتصادي وتوليد فرص العمل ، وإنما أيضاًَ بوصفها عناصر أساسية لمكافحة أشكال الاستبعاد الاجتماعي الجديدة. وتشمل الأولويات الرئيسية ضرورة تدعيم الآليات النافذة في نظام الإلحاق بالأعمال المهنية والتعليم المستمر واتخاذ التدابير الداعمة للدخل بهدف إعادة الإدماج الاجتماعي والمهني وتعزيز المسؤوليات الأسرية ودعمها بزيادة تنسيق الاحتياجات المهنية والأسرية؛</w:t>
      </w:r>
    </w:p>
    <w:p w:rsidR="00000000" w:rsidRDefault="00000000">
      <w:pPr>
        <w:spacing w:line="400" w:lineRule="exact"/>
        <w:ind w:left="1440" w:hanging="720"/>
        <w:jc w:val="both"/>
        <w:rPr>
          <w:rFonts w:hint="cs"/>
          <w:spacing w:val="2"/>
          <w:rtl/>
        </w:rPr>
      </w:pPr>
      <w:r>
        <w:rPr>
          <w:rFonts w:hint="cs"/>
          <w:rtl/>
        </w:rPr>
        <w:t>-</w:t>
      </w:r>
      <w:r>
        <w:rPr>
          <w:rFonts w:hint="cs"/>
          <w:rtl/>
        </w:rPr>
        <w:tab/>
        <w:t xml:space="preserve">تشجيع جميع الأفراد على المشاركة في الموارد والحقوق والسلع والخدمات، ومن الإجراءات ذات الأولوية التي تتوخاها الخطة ما يلي: تنفيذ القانون الإطاري الجديد (القانون 328/2000) الذي </w:t>
      </w:r>
      <w:r>
        <w:rPr>
          <w:rFonts w:hint="cs"/>
          <w:spacing w:val="2"/>
          <w:rtl/>
        </w:rPr>
        <w:t>يكفل تعزيز التدابير والوسائل المتاحة للاستفادة من الخدمات الاجتماعية وتنويعها بهدف تطبيق سياسات الرعاية الاجتماعية التي تسمح بتوفير الدعم والحماية للأفراد خلال حياتهم؛ وتعزيز استقلال آلية صنع القرارات فيما يتعلق بالمستفيدين في قطاعي الرعاية الصحية والاجتماعية والحد من أوجه الاختلال الإعلامي (بغرض الإدماج الاجتماعي والصحي)؛ وضمان الانتفاع بأهم الخدمات العامة والخاصة (وبخاصة لأكثر الأشخاص والفئات تعرضاً لخطر الاستبعاد )؛</w:t>
      </w:r>
    </w:p>
    <w:p w:rsidR="00000000" w:rsidRDefault="00000000">
      <w:pPr>
        <w:spacing w:line="400" w:lineRule="exact"/>
        <w:ind w:left="1440" w:hanging="720"/>
        <w:jc w:val="both"/>
        <w:rPr>
          <w:rFonts w:hint="cs"/>
          <w:rtl/>
        </w:rPr>
      </w:pPr>
      <w:r>
        <w:rPr>
          <w:rFonts w:hint="cs"/>
          <w:rtl/>
        </w:rPr>
        <w:t>-</w:t>
      </w:r>
      <w:r>
        <w:rPr>
          <w:rFonts w:hint="cs"/>
          <w:rtl/>
        </w:rPr>
        <w:tab/>
        <w:t>وضع سياسات للوقاية من مخاطر الاستبعاد الاجتماعي باتخاذ التدابير والإجراءات اللازمة لمكافحة الاستبعاد الاجتماعي وتعزيز الفرص التي تتيحها التكنولوجيا الجديدة وصون التضامن الأسري؛</w:t>
      </w:r>
    </w:p>
    <w:p w:rsidR="00000000" w:rsidRDefault="00000000">
      <w:pPr>
        <w:spacing w:line="400" w:lineRule="exact"/>
        <w:ind w:left="1440" w:hanging="720"/>
        <w:jc w:val="both"/>
        <w:rPr>
          <w:rFonts w:hint="cs"/>
          <w:rtl/>
        </w:rPr>
      </w:pPr>
      <w:r>
        <w:rPr>
          <w:rFonts w:hint="cs"/>
          <w:rtl/>
        </w:rPr>
        <w:t>-</w:t>
      </w:r>
      <w:r>
        <w:rPr>
          <w:rFonts w:hint="cs"/>
          <w:rtl/>
        </w:rPr>
        <w:tab/>
        <w:t>اتخاذ الإجراءات اللازمة لمكافحة الفقر ومساندة أشد الأشخاص ضعفاً، أي الأطفال والمراهقين والمسنين (ولا سيما المسنين غير المكتفين ذاتياً) والمعوقين، وكذلك اتخاذ إجراءات لإدماج المهاجرين؛</w:t>
      </w:r>
    </w:p>
    <w:p w:rsidR="00000000" w:rsidRDefault="00000000">
      <w:pPr>
        <w:spacing w:line="400" w:lineRule="exact"/>
        <w:ind w:left="1440" w:hanging="720"/>
        <w:jc w:val="both"/>
        <w:rPr>
          <w:rFonts w:hint="cs"/>
          <w:rtl/>
        </w:rPr>
      </w:pPr>
      <w:r>
        <w:rPr>
          <w:rFonts w:hint="cs"/>
          <w:rtl/>
        </w:rPr>
        <w:t>-</w:t>
      </w:r>
      <w:r>
        <w:rPr>
          <w:rFonts w:hint="cs"/>
          <w:rtl/>
        </w:rPr>
        <w:tab/>
        <w:t>تنفيذ سياسة عامة تراعي مبدأ اللامركزية والفيدرالية وتقوم على التضامن وتحقيق نظام للرعاية يستند إلى المسؤوليات المبنية على المشاركة القوية من المواطنين بوصفهم منتفعين وجهات فاعلة ومستهلكة مستنيرة وعلى تحويل المجتمعات المحلية والوحدات الأسرية والمواطنين إلى جهات فاعلة في السياسات الاجتماعية؛ وعلى تعاون مختلف الجهات (كالأسر وشبكات المتطوعين والشركاء الاجتماعيين والسلطات المحلية) في التخطيط لنظام الخدمات والأنشطة الاجتماعية المتكامل وتنفيذه ومساهمة المنظمات التي لا تستهدف الربح بصورة مباشرة في إدارة الخدمات.</w:t>
      </w:r>
    </w:p>
    <w:p w:rsidR="00000000" w:rsidRDefault="00000000">
      <w:pPr>
        <w:spacing w:line="400" w:lineRule="exact"/>
        <w:jc w:val="both"/>
        <w:rPr>
          <w:rFonts w:hint="cs"/>
          <w:rtl/>
        </w:rPr>
      </w:pPr>
      <w:r>
        <w:rPr>
          <w:rFonts w:hint="cs"/>
          <w:rtl/>
        </w:rPr>
        <w:t>20-</w:t>
      </w:r>
      <w:r>
        <w:rPr>
          <w:rFonts w:hint="cs"/>
          <w:rtl/>
        </w:rPr>
        <w:tab/>
        <w:t>ولضمان ترابط واتساق التدخلات في مجملها وفعالية التدابير ومرونة آليات التخطيط، حددت الحكومة الإيطالية هدف إنشاء نظام عام لرصد السياسات الاجتماعية وتقييمها. وسيتكون محور هذا النظام من مرصد السياسات الاجتماعية على النحو المتوخى في القانون الإطاري رقم 328/2000 والهيئات المنوطة برصد الأنشطة الاجتماعية الممولة من الصناديق الهيكلية. أما فيما يتعلق بأدوات القياس، ففي حين أن إيطاليا توافق على المؤشرات السبعة المحددة في ستكهولم والمشتركة بين جميع الدول الأعضاء فإنها تعتبرها في المقام الأول نقطة انطلاق أساسية لتحديد أشكال وحالات الإدماج أو الاستبعاد الاجتماعي والعمليات المتصلة بها وسياقاتها. ولذلك فإن الخطة تضمنت وصفاً مستفيضاً ومتنوعاً يأخذ جوانب إضافية في عين الاعتبار مثل مكان الإقامة الجغرافي أو ظروف السكن أو مدة المعاناة من الفقر، ريثما يحدد إطار مرجعي بشأن المفاهيم ويقدم إلى اللجنة والدول الأعضاء الأخرى. وعرضت أيضاً بعض المؤشرات "الذاتية" (من ذلك مثلاً المؤشرات المتعلقة بالشعور بالفقر).</w:t>
      </w:r>
    </w:p>
    <w:p w:rsidR="00000000" w:rsidRDefault="00000000">
      <w:pPr>
        <w:spacing w:line="400" w:lineRule="exact"/>
        <w:jc w:val="both"/>
        <w:rPr>
          <w:rFonts w:hint="cs"/>
          <w:rtl/>
        </w:rPr>
      </w:pPr>
      <w:r>
        <w:rPr>
          <w:rFonts w:hint="cs"/>
          <w:rtl/>
        </w:rPr>
        <w:t>21-</w:t>
      </w:r>
      <w:r>
        <w:rPr>
          <w:rFonts w:hint="cs"/>
          <w:rtl/>
        </w:rPr>
        <w:tab/>
        <w:t>والخطة الاجتماعية هي الأساس الذي سيقوم عليه تقديم المساعدة الاجتماعية في إيطاليا في المستقبل. وعلاوة على ذلك، فإنها تتفق مع أهداف مكافحة الاستبعاد الاجتماعي المعتمدة خلال القمة الأوروبية في نيس من حيث أغراضها ومجالات تدخلها وتكون الاستجابة في أحيان أخرى - ولا سيما فيما يخص هدف نيس الأول (تعزيز المشاركة في العمل) مباشرة وفي آن واحد (تعزيز فرص العمل من خلال تقديم الخدمات الشخصية الجديدة) وغير مباشرة (تهيئة ظروف أفضل للتوفيق بين الحياة الأسرية وحياة العمل).</w:t>
      </w:r>
    </w:p>
    <w:p w:rsidR="00000000" w:rsidRDefault="00000000">
      <w:pPr>
        <w:spacing w:line="400" w:lineRule="exact"/>
        <w:jc w:val="both"/>
        <w:rPr>
          <w:rFonts w:hint="cs"/>
          <w:rtl/>
        </w:rPr>
      </w:pPr>
      <w:r>
        <w:rPr>
          <w:rFonts w:hint="cs"/>
          <w:rtl/>
        </w:rPr>
        <w:t>22-</w:t>
      </w:r>
      <w:r>
        <w:rPr>
          <w:rFonts w:hint="cs"/>
          <w:rtl/>
        </w:rPr>
        <w:tab/>
        <w:t>ويعيش نحو 10 ملايين متقاعد في 40 في المائة من الأسر الإيطالية ويحصل زهاء 000 800 شخص ممن تتجاوز أعمارهم 65 سنة على معاشات التقاعد. وفي عام 1999، كانت 4.8 في المائة من الأسر الإيطالية، أي ما يمثل نحو 000 038 1 فرد، تعيش في فقر مدقع وترتفع هذه النسبة لتصل إلى 11 في المائة في جنوب إيطاليا.</w:t>
      </w:r>
    </w:p>
    <w:p w:rsidR="00000000" w:rsidRDefault="00000000">
      <w:pPr>
        <w:spacing w:line="400" w:lineRule="exact"/>
        <w:jc w:val="both"/>
        <w:rPr>
          <w:rFonts w:hint="cs"/>
          <w:rtl/>
        </w:rPr>
      </w:pPr>
      <w:r>
        <w:rPr>
          <w:rFonts w:hint="cs"/>
          <w:rtl/>
        </w:rPr>
        <w:t>23-</w:t>
      </w:r>
      <w:r>
        <w:rPr>
          <w:rFonts w:hint="cs"/>
          <w:rtl/>
        </w:rPr>
        <w:tab/>
        <w:t>ويقتصر أساساً دور نظام الحماية الاجتماعية - بخلاف معاشات التقاعد - على توزيع الدخل على الأشخاص المحتاجين. واستناداً إلى بيانات عام 1996 انخفضت عقب تدخل آليات الحماية الاجتماعية بخلاف معاشات التقاعد نسبة "الفقراء" من 22 إلى 19 في المائة. وتقوم معاشات الشيخوخة و"الأقدمية" (على أساس عدد سنوات العمل واشتراكات الضمان الاجتماعي) بدور شديد الأهمية في توزيع الدخل.</w:t>
      </w:r>
    </w:p>
    <w:p w:rsidR="00000000" w:rsidRDefault="00000000">
      <w:pPr>
        <w:spacing w:line="400" w:lineRule="exact"/>
        <w:jc w:val="both"/>
        <w:rPr>
          <w:rFonts w:hint="cs"/>
          <w:rtl/>
        </w:rPr>
      </w:pPr>
      <w:r>
        <w:rPr>
          <w:rFonts w:hint="cs"/>
          <w:rtl/>
        </w:rPr>
        <w:t>24-</w:t>
      </w:r>
      <w:r>
        <w:rPr>
          <w:rFonts w:hint="cs"/>
          <w:rtl/>
        </w:rPr>
        <w:tab/>
        <w:t>وتعاني نسبة أقل من الناس من الفقر المدقع أي الأشخاص الذين ليس بمقدورهم شراء "سلة" من المواد الأساسية نظراً إلى ما أدت إليه التدابير المذكورة من تخفيض لعتبة الفقر.</w:t>
      </w:r>
    </w:p>
    <w:p w:rsidR="00000000" w:rsidRDefault="00000000">
      <w:pPr>
        <w:spacing w:line="400" w:lineRule="exact"/>
        <w:jc w:val="center"/>
        <w:rPr>
          <w:rFonts w:hint="cs"/>
          <w:b/>
          <w:bCs/>
          <w:rtl/>
        </w:rPr>
      </w:pPr>
      <w:r>
        <w:rPr>
          <w:rFonts w:hint="cs"/>
          <w:b/>
          <w:bCs/>
          <w:rtl/>
        </w:rPr>
        <w:t>دال - التطور الديموغرافي للسكان</w:t>
      </w:r>
    </w:p>
    <w:p w:rsidR="00000000" w:rsidRDefault="00000000">
      <w:pPr>
        <w:spacing w:line="400" w:lineRule="exact"/>
        <w:jc w:val="both"/>
        <w:rPr>
          <w:rFonts w:hint="cs"/>
          <w:rtl/>
        </w:rPr>
      </w:pPr>
      <w:r>
        <w:rPr>
          <w:rFonts w:hint="cs"/>
          <w:rtl/>
        </w:rPr>
        <w:t>25-</w:t>
      </w:r>
      <w:r>
        <w:rPr>
          <w:rFonts w:hint="cs"/>
          <w:rtl/>
        </w:rPr>
        <w:tab/>
        <w:t>تعد إيطاليا أحد البلدان الأكثر تأثراً بظاهرة السكان المسنين. وفي الفترة ما بين 1980 و1999، ارتفع متوسط العمر المتوقع بما يناهز خمس سنوات لكلا الجنسين إذ بلغ 75.9 سنة لدى الرجال و82.3 سنة لدى النساء. وعلى مدى الفترة نفسها انخفض متوسط المواليد من 1.68 إلى 1.20 مولود لكل امرأة. وبلغت نسبة المسنين والأشخاص الذين تتجاوز أعمارهم 80 سنة 18 في المائة و3.9 في المائة على التوالي في عام 2000 نظراً إلى تحسن معدلات البقاء على قيد الحياة إلى جانب انخفاض معدلات الخصوبة عن معدل تبدل الأجيال.</w:t>
      </w:r>
    </w:p>
    <w:p w:rsidR="00000000" w:rsidRDefault="00000000">
      <w:pPr>
        <w:spacing w:line="400" w:lineRule="exact"/>
        <w:jc w:val="center"/>
        <w:rPr>
          <w:rFonts w:hint="cs"/>
          <w:b/>
          <w:bCs/>
          <w:rtl/>
        </w:rPr>
      </w:pPr>
      <w:r>
        <w:rPr>
          <w:rFonts w:hint="cs"/>
          <w:b/>
          <w:bCs/>
          <w:rtl/>
        </w:rPr>
        <w:t>هاء- العمالة</w:t>
      </w:r>
    </w:p>
    <w:p w:rsidR="00000000" w:rsidRDefault="00000000">
      <w:pPr>
        <w:spacing w:line="400" w:lineRule="exact"/>
        <w:jc w:val="both"/>
        <w:rPr>
          <w:rFonts w:hint="cs"/>
          <w:rtl/>
        </w:rPr>
      </w:pPr>
      <w:r>
        <w:rPr>
          <w:rFonts w:hint="cs"/>
          <w:spacing w:val="2"/>
          <w:rtl/>
        </w:rPr>
        <w:t>26-</w:t>
      </w:r>
      <w:r>
        <w:rPr>
          <w:rFonts w:hint="cs"/>
          <w:spacing w:val="2"/>
          <w:rtl/>
        </w:rPr>
        <w:tab/>
        <w:t xml:space="preserve">لقد ارتفعت مستويات العمالة: ففي كانون الثاني/يناير 2001 بلغ عدد السكان العاملين 000 272 21 </w:t>
      </w:r>
      <w:r>
        <w:rPr>
          <w:rFonts w:hint="cs"/>
          <w:rtl/>
        </w:rPr>
        <w:t>شخص أي بزيادة قدرها 000 656 شخص (+3.2 في المائة) بالمقارنة مع كانون الثاني/يناير 2000. وبلغ معدل العمالة في صفوف السكان الذين تتراوح أعمارهم ما بين 15 و64 سنة 54 في المائة أي بزيادة قدرها 1.7 نقطة مئوية مقارنة بالمعدل المسجل في كانون الثاني/يناير 2000. ويعود ذلك إلى زيادة معدل العمالة للرجال (من 66.4 في المائة إلى 67.7 في المائة) ولدى النساء بوجه خاص (من 38.3 في المائة إلى 40.3 في المائة). وانخفض أيضاً في كانون الثاني/يناير 2001 معدل البطالة نسبياً في صفوف الرجال والنساء حيث بلغ 10.1 في المائة وكان معدل الشباب الذين يبحثون عن عمل يبلغ 29.2 في المائة مقارنة بالمعدل المسجل في كانون الثاني/يناير 2000 أي 32.3 في المائة.</w:t>
      </w:r>
    </w:p>
    <w:p w:rsidR="00000000" w:rsidRDefault="00000000">
      <w:pPr>
        <w:spacing w:line="400" w:lineRule="exact"/>
        <w:jc w:val="center"/>
        <w:rPr>
          <w:rFonts w:hint="cs"/>
          <w:b/>
          <w:bCs/>
          <w:rtl/>
        </w:rPr>
      </w:pPr>
      <w:r>
        <w:rPr>
          <w:rFonts w:hint="cs"/>
          <w:b/>
          <w:bCs/>
          <w:rtl/>
        </w:rPr>
        <w:t>واو - التعليم</w:t>
      </w:r>
    </w:p>
    <w:p w:rsidR="00000000" w:rsidRDefault="00000000">
      <w:pPr>
        <w:spacing w:line="400" w:lineRule="exact"/>
        <w:jc w:val="both"/>
        <w:rPr>
          <w:rFonts w:hint="cs"/>
          <w:rtl/>
        </w:rPr>
      </w:pPr>
      <w:r>
        <w:rPr>
          <w:rFonts w:hint="cs"/>
          <w:rtl/>
        </w:rPr>
        <w:t>27-</w:t>
      </w:r>
      <w:r>
        <w:rPr>
          <w:rFonts w:hint="cs"/>
          <w:rtl/>
        </w:rPr>
        <w:tab/>
        <w:t>يؤثر مستوى التحصيل الدراسي تأثيراً شديداً على المعارف ونوعية هذه المعارف التي تعتبر عاملاً فعالاً للإدماج الاجتماعي. وقد ارتفعت معدلات التردد على المدارس الثانوية في السنوات الأخيرة من 68.3 في المائة في العام الدراسي 1990/1991 إلى 82.3 في المائة في العام الدراسي 1998/1999 وهذه الزيادة تتعلق بالبنات على وجه الخصوص. لكن نظام التعليم والتدريب الإيطالي ينطوي على أوجه تباين شاسعة ذلك أن نحو 5 في المائة من الشباب يعجزون عن استكمال مرحلة التعليم الإعدادي ولا يحمل 3.3 في المائة من الأشخاص الذين تتراوح أعمارهم ما بين 18 و24 سنة سوى شهادة التعليم الابتدائي، وتنقطع عن الدراسة نسبة 11.8 في المائة من التلاميذ المسجلين في المدارس الثانوية بعد السنة الأولى ولا يستطيع سوى 38 في المائة من الطلبة المسجلين في الجامعات استكمال تعليمهم والحصول على شهادة التخرج.</w:t>
      </w:r>
    </w:p>
    <w:p w:rsidR="00000000" w:rsidRDefault="00000000">
      <w:pPr>
        <w:spacing w:line="400" w:lineRule="exact"/>
        <w:jc w:val="center"/>
        <w:rPr>
          <w:rFonts w:hint="cs"/>
          <w:b/>
          <w:bCs/>
          <w:sz w:val="36"/>
          <w:szCs w:val="36"/>
          <w:rtl/>
        </w:rPr>
      </w:pPr>
      <w:r>
        <w:rPr>
          <w:rFonts w:hint="cs"/>
          <w:b/>
          <w:bCs/>
          <w:sz w:val="36"/>
          <w:szCs w:val="36"/>
          <w:rtl/>
        </w:rPr>
        <w:t>أولاً - ملاحظات اللجنة بشأن التقرير الدوري الثالث لإيطاليا</w:t>
      </w:r>
    </w:p>
    <w:p w:rsidR="00000000" w:rsidRDefault="00000000">
      <w:pPr>
        <w:spacing w:line="400" w:lineRule="exact"/>
        <w:jc w:val="center"/>
        <w:rPr>
          <w:rFonts w:hint="cs"/>
          <w:b/>
          <w:bCs/>
          <w:rtl/>
        </w:rPr>
      </w:pPr>
      <w:r>
        <w:rPr>
          <w:rFonts w:hint="cs"/>
          <w:b/>
          <w:bCs/>
          <w:rtl/>
        </w:rPr>
        <w:t>ألف - قرارات المحاكم والعهد</w:t>
      </w:r>
    </w:p>
    <w:p w:rsidR="00000000" w:rsidRDefault="00000000">
      <w:pPr>
        <w:spacing w:line="400" w:lineRule="exact"/>
        <w:ind w:left="720"/>
        <w:jc w:val="both"/>
        <w:rPr>
          <w:rFonts w:hint="cs"/>
          <w:b/>
          <w:bCs/>
          <w:rtl/>
        </w:rPr>
      </w:pPr>
      <w:r>
        <w:rPr>
          <w:rFonts w:hint="cs"/>
          <w:b/>
          <w:bCs/>
          <w:rtl/>
        </w:rPr>
        <w:t>تلاحظ اللجنة مع القلق تصريح الدولة الطرف في ردودها الكتابية على مجموعة القضايا المثارة بأن قرارات المحاكم لا تشير إلى العهد صراحة إلا في حالات قليلة جداً وهو قول أكده الوفد خلال حواره مع اللجنة.</w:t>
      </w:r>
    </w:p>
    <w:p w:rsidR="00000000" w:rsidRDefault="00000000">
      <w:pPr>
        <w:spacing w:line="400" w:lineRule="exact"/>
        <w:jc w:val="both"/>
        <w:rPr>
          <w:rFonts w:hint="cs"/>
          <w:rtl/>
        </w:rPr>
      </w:pPr>
      <w:r>
        <w:rPr>
          <w:rFonts w:hint="cs"/>
          <w:rtl/>
        </w:rPr>
        <w:t>28-</w:t>
      </w:r>
      <w:r>
        <w:rPr>
          <w:rFonts w:hint="cs"/>
          <w:rtl/>
        </w:rPr>
        <w:tab/>
        <w:t>على الرغم من أن العهد الدولي الخاص بالحقوق الاقتصادية والاجتماعية والثقافية معروف تماماً لجميع القطاعات المعنية بإدارة شؤون العدل، فلا يشير سوى عدد قليل من الأحكام الصادرة عن المحاكم الإيطالية صراحة إلى أحكام هذا العهد. ويعزى ذلك إلى سببين أساسايين. أولهما أن القانون الذي أصبح العهد بموجبه نافذاً مما سمح للمحاكم بتطبيقه مماثل للقانون الذي دخل بموجبه العهد الدولي الخاص بالحقوق المدنية والسياسية حيز النفاذ. ولذا، يصعب أن يستخلص من القرارات التي تصدرها المحاكم تلك الأحكام التي تشير صراحة إلى أحكام العهد قيد البحث في هذا المقام. أما السبب الثاني فهو أن قرارات المحاكم تشير أساساً إلى أحكام القانون المحلي الصادرة عن السلطة التشريعية الإيطالية والتي تعتبر تطبيقاً للمبادئ والأحكام الواردة في العهد أو امتداداً لها. وبالنظر إلى الفترة الطويلة التي انقضت منذ تصديق إيطاليا على هذا الصك الدولي يمكن القول إن هناك اليوم مئات القوانين المستلهمة من العهد. وعلى هذا الأساس وكذلك بناءً على الدراسات والبحوث المستفيضة التي أجريت في إيطاليا يمكن القول إن الالتزامات المحددة في العهد قد تجسدت في مجموعة وافية ومتعمقة من التشريعات. ولا يكتسب العهد أهمية دلالية أمام المحاكم الإيطالية - نظرياً - إلا في الحالات التي يحتكم فيها إلى أحد أحكام العهد للطعن في مشروعية حكم من أحكام القانون المحلي بدعوى أنه يتعارض مع أحكام العهد.</w:t>
      </w:r>
    </w:p>
    <w:p w:rsidR="00000000" w:rsidRDefault="00000000">
      <w:pPr>
        <w:spacing w:line="400" w:lineRule="exact"/>
        <w:jc w:val="center"/>
        <w:rPr>
          <w:rFonts w:hint="cs"/>
          <w:b/>
          <w:bCs/>
          <w:rtl/>
        </w:rPr>
      </w:pPr>
      <w:r>
        <w:rPr>
          <w:rFonts w:hint="cs"/>
          <w:b/>
          <w:bCs/>
          <w:rtl/>
        </w:rPr>
        <w:t>باء - المشاكل المتعلقة بالسكان الغجر</w:t>
      </w:r>
    </w:p>
    <w:p w:rsidR="00000000" w:rsidRDefault="00000000">
      <w:pPr>
        <w:spacing w:line="400" w:lineRule="exact"/>
        <w:jc w:val="both"/>
        <w:rPr>
          <w:rFonts w:hint="cs"/>
          <w:b/>
          <w:bCs/>
          <w:rtl/>
        </w:rPr>
      </w:pPr>
      <w:r>
        <w:rPr>
          <w:rFonts w:hint="cs"/>
          <w:b/>
          <w:bCs/>
          <w:rtl/>
        </w:rPr>
        <w:t>بيانات خاصة ببعض المدن الكبرى</w:t>
      </w:r>
    </w:p>
    <w:p w:rsidR="00000000" w:rsidRDefault="00000000">
      <w:pPr>
        <w:spacing w:line="400" w:lineRule="exact"/>
        <w:jc w:val="both"/>
        <w:rPr>
          <w:rFonts w:hint="cs"/>
          <w:rtl/>
        </w:rPr>
      </w:pPr>
      <w:r>
        <w:rPr>
          <w:rFonts w:hint="cs"/>
          <w:rtl/>
        </w:rPr>
        <w:t>29-</w:t>
      </w:r>
      <w:r>
        <w:rPr>
          <w:rFonts w:hint="cs"/>
          <w:rtl/>
        </w:rPr>
        <w:tab/>
        <w:t>يرقى تاريخ تعداد أولي وجيز للسكان الغجر من الروما والسنتي المقيمين في روما إلى عام 1993 عندما كان عددهم يبلغ نحو 000 6 نسمة. وفي تشرين الثاني/نوفمبر 1995، أجري التعداد السكاني العام الأول حيث سجل 467 5 شخصاً من هذه المجتمعات (من بينهم ما يزيد على 50 في المائة من القصر)؛ وكان هناك 50 مخيماً مؤقتاً ومخيم واحد مجهز (افتتح عام 1994). وبفضل التدابير المتخذة لإعادة تنظيم هذه الأماكن يوجد حالياً 26 مستوطنة من بينها خمس قرى جديدة مزودة بوحدات سكنية ومرافق أساسية ومرافق الخدمات المشتركة. وهناك ست مستوطنات أخرى مزودة بالمقطورات السكنية والمياه الجارية والمراحيض الكيميائية. ومنذ عام 1993 هدم ما مجموعه 25 مستوطنة غير مرخص بها. وأولي اهتمام كبير لتدابير الإدماج والحماية الاجتماعية، أي اعتماد برنامج للانتظام في الدراسة خاص بالقصر أدى إلى زيادة مستمرة في عدد الأطفال الذين يترددون على المدارس في السنوات الأخيرة؛ واتخاذ تدابير لتوفير الرعاية الصحية (إتاحة عربات لتقديم الرعاية الصحية وحملات التطعيم والوصول إلى الخدمات الصحية)؛ وتوفير خدمات الإدماج (دورات لتعليم اللغة الإيطالية للكبار ومبادرات لتقديم التدريب المهني).</w:t>
      </w:r>
    </w:p>
    <w:p w:rsidR="00000000" w:rsidRDefault="00000000">
      <w:pPr>
        <w:spacing w:line="400" w:lineRule="exact"/>
        <w:jc w:val="both"/>
        <w:rPr>
          <w:rFonts w:hint="cs"/>
          <w:b/>
          <w:bCs/>
          <w:rtl/>
        </w:rPr>
      </w:pPr>
      <w:r>
        <w:rPr>
          <w:rFonts w:hint="cs"/>
          <w:b/>
          <w:bCs/>
          <w:rtl/>
        </w:rPr>
        <w:t>ميلانو</w:t>
      </w:r>
    </w:p>
    <w:p w:rsidR="00000000" w:rsidRDefault="00000000">
      <w:pPr>
        <w:spacing w:line="400" w:lineRule="exact"/>
        <w:jc w:val="both"/>
        <w:rPr>
          <w:rFonts w:hint="cs"/>
          <w:rtl/>
        </w:rPr>
      </w:pPr>
      <w:r>
        <w:rPr>
          <w:rFonts w:hint="cs"/>
          <w:rtl/>
        </w:rPr>
        <w:t>30-</w:t>
      </w:r>
      <w:r>
        <w:rPr>
          <w:rFonts w:hint="cs"/>
          <w:rtl/>
        </w:rPr>
        <w:tab/>
        <w:t>تبلغ نسبة السكان الغجر في مدينة ميلانو واحد إلى كل ألف مقيم بينما تبلغ هذه النسبة 0.5 في ضواحي ميلانو أي ما مجموعه 600 1 شخص على أقصى تقدير. والسكان الغجر طوائف شديدة التنوع تكون "موزايك" من الجماعات المختلفة من حيث الأصل ونمط الحياة والدين إلا أنها تشارك شعوراً قوياً بالهوية الثقافية واللغوية (تشمل جماعات خانجارجا وخوراخانه وأريجا ورودارا وروموني). وتبلغ نسبة القصر دون الرابعة عشرة من العمر أكثر من 50 في المائة من هؤلاء السكان في حين أن نسبة الأشخاص الذين تبلغ أعمارهم 60 سنة أو أكثر تتراوح ما بين 2 و3 في المائة فقط.</w:t>
      </w:r>
    </w:p>
    <w:p w:rsidR="00000000" w:rsidRDefault="00000000">
      <w:pPr>
        <w:spacing w:line="400" w:lineRule="exact"/>
        <w:jc w:val="both"/>
        <w:rPr>
          <w:rFonts w:hint="cs"/>
          <w:rtl/>
        </w:rPr>
      </w:pPr>
      <w:r>
        <w:rPr>
          <w:rFonts w:hint="cs"/>
          <w:rtl/>
        </w:rPr>
        <w:t>31-</w:t>
      </w:r>
      <w:r>
        <w:rPr>
          <w:rFonts w:hint="cs"/>
          <w:rtl/>
        </w:rPr>
        <w:tab/>
        <w:t>ويعيش الغجر الإيطاليون منذ بداية الستينات في المدن في المناطق أو "القرى" التي تولت البلديات تجهيزها جزئياً أو في أراض مستأجرة أو مملوكة أو في مقطورات سكنية أو منازل متنقلة أو بيوت جاهزة في إطار سعيهم الدؤوب إلى إرساء علاقة أكثر أمناً واستقراراً مع البيئة الحضرية وسياقها الاجتماعي والثقافي.</w:t>
      </w:r>
    </w:p>
    <w:p w:rsidR="00000000" w:rsidRDefault="00000000">
      <w:pPr>
        <w:spacing w:line="400" w:lineRule="exact"/>
        <w:jc w:val="both"/>
        <w:rPr>
          <w:rFonts w:hint="cs"/>
          <w:b/>
          <w:bCs/>
          <w:rtl/>
        </w:rPr>
      </w:pPr>
      <w:r>
        <w:rPr>
          <w:rFonts w:hint="cs"/>
          <w:b/>
          <w:bCs/>
          <w:rtl/>
        </w:rPr>
        <w:t>تورينو وبييمونتي</w:t>
      </w:r>
    </w:p>
    <w:p w:rsidR="00000000" w:rsidRDefault="00000000">
      <w:pPr>
        <w:pStyle w:val="Heading2"/>
        <w:spacing w:line="400" w:lineRule="exact"/>
        <w:jc w:val="lowKashida"/>
        <w:rPr>
          <w:rFonts w:hint="cs"/>
          <w:sz w:val="30"/>
          <w:szCs w:val="30"/>
          <w:rtl/>
        </w:rPr>
      </w:pPr>
      <w:r>
        <w:rPr>
          <w:rFonts w:hint="cs"/>
          <w:sz w:val="30"/>
          <w:szCs w:val="30"/>
          <w:rtl/>
        </w:rPr>
        <w:t>32-</w:t>
      </w:r>
      <w:r>
        <w:rPr>
          <w:rFonts w:hint="cs"/>
          <w:sz w:val="30"/>
          <w:szCs w:val="30"/>
          <w:rtl/>
        </w:rPr>
        <w:tab/>
        <w:t xml:space="preserve">يمكن تقسيم السكان الغجر في منطقة بييمونتي ولا سيما في تورينو إلى أربع فئات هي: </w:t>
      </w:r>
      <w:r>
        <w:rPr>
          <w:rFonts w:hint="cs"/>
          <w:i/>
          <w:iCs/>
          <w:sz w:val="30"/>
          <w:szCs w:val="30"/>
          <w:rtl/>
        </w:rPr>
        <w:t>سكان بييمونتي من السنتي والغجر "فلاكس" وغجر "البلقان" والغجر "اللاجئين" والغجر الجبسي "الرومانيين"</w:t>
      </w:r>
      <w:r>
        <w:rPr>
          <w:rFonts w:hint="cs"/>
          <w:sz w:val="30"/>
          <w:szCs w:val="30"/>
          <w:rtl/>
        </w:rPr>
        <w:t>. وفي الوقت الذي رئي فيه أن موجات الهجرة المتدفقة في اتجاه إيطاليا قد توقفت إلى حد ما، تضافرت التغييرات والأحداث السياسية التي شهدتها بلدان أوروبا الوسطى والشرقية لإعادة انطلاق هذه العملية. فقد أسفرت الحرب في جمهورية يوغوسلافيا الاتحادية السابقة عن موجة جديدة وواسعة النطاق من هجرة الغجر من البلقان. وشهدت إيطاليا أكبر تدفق من المهاجرين الغجر الذين تألفوا من الجبسي الرومانيين (1998) بعد موجة اللاجئين من جمهورية يوغوسلافيا الاتحادية السابقة. وتزداد حالات الهروب من الشرق إذ يصل إلى إيطاليا باستمرار مواطنون من ألبانيا وكوسوفو يضمون في صفوفهم عدداً لا يستهان به من الأشخاص المنتمين إلى الفئات الإثنية الغجر.</w:t>
      </w:r>
    </w:p>
    <w:p w:rsidR="00000000" w:rsidRDefault="00000000">
      <w:pPr>
        <w:pStyle w:val="Heading3"/>
        <w:spacing w:line="400" w:lineRule="exact"/>
        <w:jc w:val="lowKashida"/>
        <w:rPr>
          <w:rFonts w:hint="cs"/>
          <w:rtl/>
        </w:rPr>
      </w:pPr>
      <w:r>
        <w:rPr>
          <w:rFonts w:hint="cs"/>
          <w:rtl/>
        </w:rPr>
        <w:t>المشاكل المتعلقة بتعليم الأطفال الغجر</w:t>
      </w:r>
    </w:p>
    <w:p w:rsidR="00000000" w:rsidRDefault="00000000">
      <w:pPr>
        <w:spacing w:line="400" w:lineRule="exact"/>
        <w:jc w:val="both"/>
        <w:rPr>
          <w:rFonts w:hint="cs"/>
          <w:rtl/>
        </w:rPr>
      </w:pPr>
      <w:r>
        <w:rPr>
          <w:rFonts w:hint="cs"/>
          <w:rtl/>
        </w:rPr>
        <w:t>33-</w:t>
      </w:r>
      <w:r>
        <w:rPr>
          <w:rFonts w:hint="cs"/>
          <w:rtl/>
        </w:rPr>
        <w:tab/>
        <w:t>كجزء من مبادرة اتخذتها وزارة التربية والتعليم أعدت وثيقة بعنوان "التغييرات التي طرأت على مجتمع متعدد الثقافات في مجال التعليم". وسلطت هذه المبادرة الضوء على الصعوبات المواجهة في إدماج التلاميذ الذين ينتمون لجماعات "الرحل" في المجتمع الإيطالي. وتمثل هذه الفئات مشكلة خاصة لا يمكن اعتبارها مساوية لمشكلة الأجانب بصفة عامة وتتطلب التعمق في دراستها. وفي ضوء ذلك، بذلت محاولة ابتداء من العام الأكاديمي 1999/2000 للحصول على بيانات عن عدد الأطفال الغجر الذين يترددون على المدارس العامة والخاصة في كل المستويات من خلال "الاستقصاءات الإضافية". وتولى قسم خدمات دعم القرارات السياسية التابع لوزارة التربية والتعليم معالجة المعلومات التي جرى الحصول عليها بصورة مستقلة. وترد هذه المعلومات بإيجاز شديد في هذه الوثيقة. وذلك في محاولة لتحديد نقطة انطلاق المزيد من الدراسات التي يمكن إجراؤها في المدارس التي يتردد عليها هؤلاء الأطفال والأحداث.</w:t>
      </w:r>
    </w:p>
    <w:p w:rsidR="00000000" w:rsidRDefault="00000000">
      <w:pPr>
        <w:pStyle w:val="Heading4"/>
        <w:spacing w:line="400" w:lineRule="exact"/>
        <w:jc w:val="lowKashida"/>
        <w:rPr>
          <w:rFonts w:cs="Traditional Arabic" w:hint="cs"/>
          <w:b/>
          <w:bCs/>
          <w:szCs w:val="30"/>
          <w:u w:val="none"/>
          <w:rtl/>
        </w:rPr>
      </w:pPr>
      <w:r>
        <w:rPr>
          <w:rFonts w:cs="Traditional Arabic" w:hint="cs"/>
          <w:b/>
          <w:bCs/>
          <w:szCs w:val="30"/>
          <w:u w:val="none"/>
          <w:rtl/>
        </w:rPr>
        <w:t>تحليل حضور التلاميذ الغجر حسب مستوى التعليم ونوعه</w:t>
      </w:r>
    </w:p>
    <w:p w:rsidR="00000000" w:rsidRDefault="00000000">
      <w:pPr>
        <w:spacing w:line="400" w:lineRule="exact"/>
        <w:jc w:val="both"/>
        <w:rPr>
          <w:rFonts w:hint="cs"/>
          <w:rtl/>
        </w:rPr>
      </w:pPr>
      <w:r>
        <w:rPr>
          <w:rFonts w:hint="cs"/>
          <w:rtl/>
        </w:rPr>
        <w:t>34-</w:t>
      </w:r>
      <w:r>
        <w:rPr>
          <w:rFonts w:hint="cs"/>
          <w:rtl/>
        </w:rPr>
        <w:tab/>
        <w:t>اقتصر تركيزنا على البيانات المتعلقة بالمدارس الحكومية المسجل فيها نحو 000 9 تلميذ من جماعات الغجر بعد أن لاحظنا أن عدد الأطفال الغجر الذين يترددون على المدارس الابتدائية والإعدادية والثانوية غير الحكومية لا يزيد على 78 شخصاً وأن المدارس الخاصة الوحيدة المسجل فيها عدد كبير من التلاميذ الغجر (523تلميذاً) هي دور الحضانة.</w:t>
      </w:r>
    </w:p>
    <w:p w:rsidR="00000000" w:rsidRDefault="00000000">
      <w:pPr>
        <w:spacing w:line="400" w:lineRule="exact"/>
        <w:jc w:val="both"/>
        <w:rPr>
          <w:rFonts w:hint="cs"/>
          <w:spacing w:val="0"/>
          <w:rtl/>
        </w:rPr>
      </w:pPr>
      <w:r>
        <w:rPr>
          <w:rFonts w:hint="cs"/>
          <w:rtl/>
        </w:rPr>
        <w:t>35-</w:t>
      </w:r>
      <w:r>
        <w:rPr>
          <w:rFonts w:hint="cs"/>
          <w:rtl/>
        </w:rPr>
        <w:tab/>
        <w:t xml:space="preserve">كما يمكن استخلاصه من الجدول التحق 982 8 تلميذاً غجرياً بمدارس التعليم العام خلال العام الدراسي1999/2000. ويقيد في المدارس غجري واحد في المتوسط لكل 805 تلاميذ بالنسبة إلى مجموع </w:t>
      </w:r>
      <w:r>
        <w:rPr>
          <w:rFonts w:hint="cs"/>
          <w:spacing w:val="0"/>
          <w:rtl/>
        </w:rPr>
        <w:t>عدد التلاميذ المقيدين في المدارس. ويسجل أكبر عدد من الأطفال الغجر في المدارس الابتدائية ويبلغ عددهم 100 5 تلميذ أي ما يساوي طفلاً غجرياً لكل 483 تلميذاً في المتوسط. وتبلغ نسبة الأطفال الغجر إلى التلاميذ 1 إلى 943 في</w:t>
      </w:r>
      <w:r>
        <w:rPr>
          <w:rFonts w:hint="cs"/>
          <w:rtl/>
        </w:rPr>
        <w:t xml:space="preserve"> المدارس الإعدادية على الرغم من أن الالتحاق بها إلزامي و1 إلى 567 5 في المدارس الثانوية. أما في دور الحضانة التي يلتحق بها </w:t>
      </w:r>
      <w:r>
        <w:rPr>
          <w:rFonts w:hint="cs"/>
          <w:spacing w:val="0"/>
          <w:rtl/>
        </w:rPr>
        <w:t>حالياً معظم الأطفال في إيطاليا، فتبلغ نسبة الأطفال الغجر إلى سائر الأطفال 1 إلى 506.</w:t>
      </w:r>
    </w:p>
    <w:p w:rsidR="00000000" w:rsidRDefault="00000000">
      <w:pPr>
        <w:pStyle w:val="Heading5"/>
        <w:spacing w:line="400" w:lineRule="exact"/>
        <w:jc w:val="center"/>
        <w:rPr>
          <w:rFonts w:hint="cs"/>
          <w:spacing w:val="0"/>
          <w:sz w:val="30"/>
          <w:szCs w:val="30"/>
          <w:rtl/>
        </w:rPr>
      </w:pPr>
    </w:p>
    <w:p w:rsidR="00000000" w:rsidRDefault="00000000">
      <w:pPr>
        <w:pStyle w:val="Heading5"/>
        <w:spacing w:line="400" w:lineRule="exact"/>
        <w:jc w:val="center"/>
        <w:rPr>
          <w:rFonts w:hint="cs"/>
          <w:spacing w:val="0"/>
          <w:sz w:val="30"/>
          <w:szCs w:val="30"/>
          <w:rtl/>
        </w:rPr>
      </w:pPr>
    </w:p>
    <w:p w:rsidR="00000000" w:rsidRDefault="00000000">
      <w:pPr>
        <w:pStyle w:val="Heading5"/>
        <w:spacing w:line="400" w:lineRule="exact"/>
        <w:jc w:val="center"/>
        <w:rPr>
          <w:rFonts w:hint="cs"/>
          <w:spacing w:val="0"/>
          <w:sz w:val="30"/>
          <w:szCs w:val="30"/>
          <w:rtl/>
        </w:rPr>
      </w:pPr>
    </w:p>
    <w:p w:rsidR="00000000" w:rsidRDefault="00000000">
      <w:pPr>
        <w:pStyle w:val="Heading5"/>
        <w:spacing w:line="400" w:lineRule="exact"/>
        <w:jc w:val="center"/>
        <w:rPr>
          <w:rFonts w:hint="cs"/>
          <w:spacing w:val="0"/>
          <w:sz w:val="30"/>
          <w:szCs w:val="30"/>
          <w:rtl/>
        </w:rPr>
      </w:pPr>
      <w:r>
        <w:rPr>
          <w:rFonts w:hint="cs"/>
          <w:spacing w:val="0"/>
          <w:sz w:val="30"/>
          <w:szCs w:val="30"/>
          <w:rtl/>
        </w:rPr>
        <w:t>جيم-</w:t>
      </w:r>
      <w:r>
        <w:rPr>
          <w:rFonts w:hint="cs"/>
          <w:spacing w:val="0"/>
          <w:sz w:val="30"/>
          <w:szCs w:val="30"/>
          <w:rtl/>
        </w:rPr>
        <w:tab/>
        <w:t>الحوادث في مكان العمل</w:t>
      </w:r>
    </w:p>
    <w:p w:rsidR="00000000" w:rsidRDefault="00000000">
      <w:pPr>
        <w:spacing w:line="400" w:lineRule="exact"/>
        <w:ind w:left="720"/>
        <w:jc w:val="both"/>
        <w:rPr>
          <w:rFonts w:hint="cs"/>
          <w:b/>
          <w:bCs/>
          <w:spacing w:val="0"/>
          <w:rtl/>
        </w:rPr>
      </w:pPr>
      <w:r>
        <w:rPr>
          <w:rFonts w:hint="cs"/>
          <w:b/>
          <w:bCs/>
          <w:spacing w:val="0"/>
          <w:rtl/>
        </w:rPr>
        <w:t>1-</w:t>
      </w:r>
      <w:r>
        <w:rPr>
          <w:rFonts w:hint="cs"/>
          <w:b/>
          <w:bCs/>
          <w:spacing w:val="0"/>
          <w:rtl/>
        </w:rPr>
        <w:tab/>
        <w:t>إن ما يثير انزعاج اللجنة ارتفاع معدل الحوادث في مكان العمل وتسترعي انتباه الدولة الطرف إلى مساور القلق التي أبدتها لجنة الخبراء التابعة لمنظمة العمل الدولية التي استرعت اهتمام الحكومة مراراً إلى ضرورة اعتماد سياسات ولوائح قانونية لمنع الحوادث في مكان العمل، ولا سيما في الموانئ.</w:t>
      </w:r>
    </w:p>
    <w:p w:rsidR="00000000" w:rsidRDefault="00000000">
      <w:pPr>
        <w:pStyle w:val="BodyTextIndent"/>
        <w:spacing w:line="400" w:lineRule="exact"/>
        <w:rPr>
          <w:rFonts w:hint="cs"/>
          <w:rtl/>
        </w:rPr>
      </w:pPr>
      <w:r>
        <w:rPr>
          <w:rFonts w:hint="cs"/>
          <w:rtl/>
        </w:rPr>
        <w:t>2-</w:t>
      </w:r>
      <w:r>
        <w:rPr>
          <w:rFonts w:hint="cs"/>
          <w:rtl/>
        </w:rPr>
        <w:tab/>
        <w:t>وتدعو اللجنة الدولة الطرف إلى اتخاذ تدابير فعالة لضمان تمتع العمال بظروف عمل تكفل السلامة. وعلى وجه التحديد، توصي بأن تعتمد الدولة الطرف تدابير، بما في ذلك التشريعات، لمنع الحوادث خاصة في الموانئ وأن تصدق على اتفاقية السلامة والصحة المهنيتين لمنظمة العمل الدولية لعام 1979 (رقم 152). وتوصي اللجنة أيضاً بأن تصدق الدولة الطرف على اتفاقية منع الحوادث الصناعية الكبيرة لعام 1993 (رقم 174)، واتفاقية العمل بدوام جزئي لسنة 1994 (رقم 175).</w:t>
      </w:r>
    </w:p>
    <w:p w:rsidR="00000000" w:rsidRDefault="00000000">
      <w:pPr>
        <w:spacing w:line="400" w:lineRule="exact"/>
        <w:ind w:left="-5"/>
        <w:jc w:val="both"/>
        <w:rPr>
          <w:rFonts w:hint="cs"/>
          <w:rtl/>
        </w:rPr>
      </w:pPr>
      <w:r>
        <w:rPr>
          <w:rFonts w:hint="cs"/>
          <w:rtl/>
        </w:rPr>
        <w:t>36-</w:t>
      </w:r>
      <w:r>
        <w:rPr>
          <w:rFonts w:hint="cs"/>
          <w:rtl/>
        </w:rPr>
        <w:tab/>
        <w:t xml:space="preserve">وفيما يتعلق بمنع الحوادث في مكان العمل، تشمل الوثائق التشريعية الرئيسية بموجب النظام القانوني الإيطالي المرسوم التشريعي رقم 626/1994 المعدل والملحق بالمرسوم التشريعي رقم 242/1996 تنفيذاً للتوجيهات الأوروبية </w:t>
      </w:r>
      <w:r>
        <w:rPr>
          <w:szCs w:val="22"/>
        </w:rPr>
        <w:t>89/391/EEC</w:t>
      </w:r>
      <w:r>
        <w:rPr>
          <w:rFonts w:hint="cs"/>
          <w:rtl/>
        </w:rPr>
        <w:t xml:space="preserve"> و</w:t>
      </w:r>
      <w:r>
        <w:rPr>
          <w:szCs w:val="22"/>
        </w:rPr>
        <w:t>90/654/EEC</w:t>
      </w:r>
      <w:r>
        <w:rPr>
          <w:rFonts w:hint="cs"/>
          <w:rtl/>
        </w:rPr>
        <w:t xml:space="preserve"> و</w:t>
      </w:r>
      <w:r>
        <w:rPr>
          <w:szCs w:val="22"/>
        </w:rPr>
        <w:t>89/656/EEC</w:t>
      </w:r>
      <w:r>
        <w:rPr>
          <w:rFonts w:hint="cs"/>
          <w:rtl/>
        </w:rPr>
        <w:t xml:space="preserve"> و</w:t>
      </w:r>
      <w:r>
        <w:rPr>
          <w:szCs w:val="22"/>
        </w:rPr>
        <w:t>90/270/EEC</w:t>
      </w:r>
      <w:r>
        <w:rPr>
          <w:rFonts w:hint="cs"/>
          <w:rtl/>
        </w:rPr>
        <w:t xml:space="preserve"> و</w:t>
      </w:r>
      <w:r>
        <w:rPr>
          <w:szCs w:val="22"/>
        </w:rPr>
        <w:t>90/394/EEC</w:t>
      </w:r>
      <w:r>
        <w:rPr>
          <w:rFonts w:hint="cs"/>
          <w:rtl/>
        </w:rPr>
        <w:t xml:space="preserve"> </w:t>
      </w:r>
      <w:r>
        <w:rPr>
          <w:rtl/>
        </w:rPr>
        <w:br/>
      </w:r>
      <w:r>
        <w:rPr>
          <w:rFonts w:hint="cs"/>
          <w:rtl/>
        </w:rPr>
        <w:t>و</w:t>
      </w:r>
      <w:r>
        <w:rPr>
          <w:szCs w:val="22"/>
        </w:rPr>
        <w:t>90/679/CEE</w:t>
      </w:r>
      <w:r>
        <w:rPr>
          <w:rFonts w:hint="cs"/>
          <w:rtl/>
        </w:rPr>
        <w:t xml:space="preserve"> و</w:t>
      </w:r>
      <w:r>
        <w:rPr>
          <w:szCs w:val="22"/>
        </w:rPr>
        <w:t>97/42/EC</w:t>
      </w:r>
      <w:r>
        <w:rPr>
          <w:rFonts w:hint="cs"/>
          <w:rtl/>
        </w:rPr>
        <w:t xml:space="preserve"> المتعلقة بتعزيز صحة العمال وسلامتهم في مكان العمل. ولا يختلف عدد الحوادث في مكان العمل أساساً عن الاتجاه المسجل في السنوات الماضية لكنه ارتفع ارتفاعاً طفيفاً في نهاية عام 2001 مقارنة بالسنة الماضية من حيث مجموع عدد الحوادث المسجلة (ما يقل عن 000 6 حادث أي بزيادة نسبتها 0.6 في المائة مقارنة بعام 2000) والحوادث القاتلة (30 حالة إضافية مقارنة بعام 2000 أي زيادة نسبتها 2.1 في المائة). وهذه الأرقام هي الحصيلة النهائية لوضع يتسم بالتباين الشديد يمكن أن تحدد في إطاره الزيادة في عدد الحوادث في قطاعي الصناعة والخدمات (+1.2 في المائة إجمالاً و+3.1 في المائة إجمالاً بالنسبة إلى الحوادث القاتلة) مقابل انخفاض شديد في عدد الحوادث في قطاع الزراعة (- 6.5 في المائة إجمالاً و- 4.7 في المائة بالنسبة إلى الحوادث القاتلة). أما في قطاعي الصناعة والخدمات، فقد كانت نسبة عدد الحوادث مرتفعة بصورة ملحوظة في صفوف النساء (+5.4 في المائة) مقارنة بالزيادة المسجلة في صفوف الرجال (+0.1في المائة)، في حين أن الانخفاض المسجل في قطاع الزراعة كان شبه متعادل في صفوف الرجال والنساء. ومن الناحية الجغرافية، شهد قطاعا الصناعة والخدمات زيادة عامة بلغت ذروتها في جنوب إيطاليا (+2.7 في المائة) والجزر (+3.3 في المائة) بينما كان الانخفاض المسجل في عدد الحوادث الزراعية موزعاً توزيعاً متساوياً في جميع أنحاء البلد.</w:t>
      </w:r>
    </w:p>
    <w:p w:rsidR="00000000" w:rsidRDefault="00000000">
      <w:pPr>
        <w:spacing w:line="400" w:lineRule="exact"/>
        <w:jc w:val="both"/>
        <w:rPr>
          <w:rtl/>
        </w:rPr>
      </w:pPr>
      <w:r>
        <w:rPr>
          <w:rFonts w:hint="cs"/>
          <w:rtl/>
        </w:rPr>
        <w:t>37-</w:t>
      </w:r>
      <w:r>
        <w:rPr>
          <w:rFonts w:hint="cs"/>
          <w:rtl/>
        </w:rPr>
        <w:tab/>
        <w:t>وبصدد الحوادث القاتلة بصفة خاصة، اتسم الوضع في قطاعي الصناعة والخدمات بالتباين الشديد إذ انخفض عدد الحوادث في المنطقة الشمالية الشرقية والجزر بينما بقي الحال على ما هو عليه في الجنوب وسجلت زيادة في عدد الحوادث في وسط إيطاليا وزيادة أكبر في المنطقة الشمالية الغربية من البلد. وفي هذا المجال، ينبغي الإشارة إلى الزيادة الملحوظة المسجلة في لومبارديا: ويعكس ذلك جزئياً على الأقل كارثة مطار ليناتي التي وقعت في 8 تشرين الأول/أكتوبر 2001 وتسببت في مقتل 118 شخصا؛ً ثم أفيد بوقوع 36 حادثاً آخر في منطقة لومبارديا. وسجل أيضاً ارتفاع ملحوظ في عدد الحوادث القاتلة في منطقة بوليا الأمر الذي يؤكد مرة أخرى أن البيانات تكشف أحياناً عن حالات لا بد من الاستفاضة في دراستها وتحليلها على الصعيدين المركزي والمحلي.</w:t>
      </w:r>
    </w:p>
    <w:p w:rsidR="00000000" w:rsidRDefault="00000000">
      <w:pPr>
        <w:spacing w:line="400" w:lineRule="exact"/>
        <w:jc w:val="both"/>
        <w:rPr>
          <w:rFonts w:hint="cs"/>
          <w:rtl/>
        </w:rPr>
      </w:pPr>
      <w:r>
        <w:rPr>
          <w:rFonts w:hint="cs"/>
          <w:rtl/>
        </w:rPr>
        <w:t>38-</w:t>
      </w:r>
      <w:r>
        <w:rPr>
          <w:rFonts w:hint="cs"/>
          <w:rtl/>
        </w:rPr>
        <w:tab/>
        <w:t>ويجب أيضاً القول إن البيانات التي أتيحت خلال الأشهر القليلة الأولى من عام 2002 وهي بيانات مؤقتة حتى الآن تشير فيما يبدو إلى الوضع بوجه عام وهو أمر لا يمكن التأكد منه إلا بعد فترة أطول من الملاحظة والأهم من ذلك بالاعتماد على قاعدة معلومات راسخة أكثر ثباتاً. وفي هذا الصدد، ينبغي التشديد على ضرورة إجراء تحليل إحصائي تفصيلي يعتد به للاتجاهات الحالية فيما يتعلق بالحوادث في مكان العمل على مدى فترة زمنية أطول من السنتين الماضيتين. وتسمح أيضاً سلسلة تاريخية متوسطة الأجل أو طويلة الأجل بتقييم التطور في مجال الحوادث في مكان العمل في سياق مجموعة شاملة من العوامل الاجتماعية والاقتصادية والثقافية والتشريعية المرتبطة ارتباطاً وثيقاً بالظاهرة المذكورة. وفي هذا الشأن، تبين الاتجاهات المنبثقة عن تحليل السلسلة التاريخية الممتدة على مدى 50 سنة الوارد في التقرير المعنون "نصف قرن من الحوادث تحت المجهر" الانخفاض المطرد والمتواصل في عدد الحوادث والمعبر عنه بوصفه مؤشرات وقوع الحوادث (الفقرة 2-1-3).</w:t>
      </w:r>
    </w:p>
    <w:p w:rsidR="00000000" w:rsidRDefault="00000000">
      <w:pPr>
        <w:spacing w:line="400" w:lineRule="exact"/>
        <w:jc w:val="both"/>
        <w:rPr>
          <w:rFonts w:hint="cs"/>
          <w:rtl/>
        </w:rPr>
      </w:pPr>
      <w:r>
        <w:rPr>
          <w:rFonts w:hint="cs"/>
          <w:rtl/>
        </w:rPr>
        <w:t>39-</w:t>
      </w:r>
      <w:r>
        <w:rPr>
          <w:rFonts w:hint="cs"/>
          <w:rtl/>
        </w:rPr>
        <w:tab/>
        <w:t xml:space="preserve">وعلى الرغم من هذه الاعتبارات، فإن إجراء التحليل القصير الأجل يقارن الحالات المسجلة خلال سنة واحدة بالحالات المسجلة في السنة الماضية يعتبر مفيداً في تفسير هذه الظاهرة. لكن التحليل يكون أكثر دقة لو أجري بربط القيم المطلقة بمعيار قياسي يعبر عن حجم القوة العاملة التي تنشأ عنها هذه الظاهرة. وفي هذا الصدد، لا تصعب ملاحظة أن الاتجاه في الحوادث المهنية المسجل في عام 2001 يعتبر تجسيداً أميناً بصورة معقولة لاتجاهات العمالة المسجلة في الفترة ذاتها إذا نظرنا إلى التطورات الراهنة المسجلة في القوة العاملة. وبناء على أحدث بيانات معهد الإحصائيات الوطني، ازدادت فرص العمل بنسبة 2.1 في المائة في عام 2001 مما يعبر عن زيادة إجمالية قدرها 000 434 وظيفة تقريباً مقارنة بالعام الماضي. ومرة أخرى كانت هذه الزيادة كبيرة في صفوف النساء (000 296 وحدة إضافية أي بزيادة نسبتها 3.8 في المائة) مقارنة بالزيادة المسجلة لدى الرجال </w:t>
      </w:r>
      <w:r>
        <w:rPr>
          <w:rtl/>
        </w:rPr>
        <w:br/>
      </w:r>
      <w:r>
        <w:rPr>
          <w:rFonts w:hint="cs"/>
          <w:rtl/>
        </w:rPr>
        <w:t>(000 138 وحدة إضافية أي بزيادة نسبتها 1.0 في المائة).</w:t>
      </w:r>
    </w:p>
    <w:p w:rsidR="00000000" w:rsidRDefault="00000000">
      <w:pPr>
        <w:spacing w:line="400" w:lineRule="exact"/>
        <w:jc w:val="both"/>
        <w:rPr>
          <w:rFonts w:hint="cs"/>
          <w:rtl/>
        </w:rPr>
      </w:pPr>
      <w:r>
        <w:rPr>
          <w:rFonts w:hint="cs"/>
          <w:rtl/>
        </w:rPr>
        <w:t>40-</w:t>
      </w:r>
      <w:r>
        <w:rPr>
          <w:rFonts w:hint="cs"/>
          <w:rtl/>
        </w:rPr>
        <w:tab/>
        <w:t>ومن القطاعات التي شهدت أهم التحسينات قطاع البناء (+5.5 في المائة) وقطاع الخدمات الذي حافظ على الاتجاه التصاعدي المسجل منذ عام 1995 بتسجيل زيادة نسبتها 2.7 في المائة وقطاع الزراعة الذي سجل زيادة متواضعة وإن كانت مهمة بنسبة 0.6 في المائة بعد أن شهد رحيلاً هائلاً لفرص العمل إلى الخارج على مدى 50 عاماً.</w:t>
      </w:r>
    </w:p>
    <w:p w:rsidR="00000000" w:rsidRDefault="00000000">
      <w:pPr>
        <w:spacing w:line="400" w:lineRule="exact"/>
        <w:jc w:val="both"/>
        <w:rPr>
          <w:rFonts w:hint="cs"/>
          <w:rtl/>
        </w:rPr>
      </w:pPr>
      <w:r>
        <w:rPr>
          <w:rFonts w:hint="cs"/>
          <w:rtl/>
        </w:rPr>
        <w:t>41-</w:t>
      </w:r>
      <w:r>
        <w:rPr>
          <w:rFonts w:hint="cs"/>
          <w:rtl/>
        </w:rPr>
        <w:tab/>
        <w:t>كما ذكر من قبل، يمكن الاعتماد على بيانات معهد الإحصائيات الوطني بشأن العمالة التي جرى ترشيدها على نحو ملائم لأسباب واضحة تتعلق بالتوحيد كأساس لتحديد القيمة النسبية الأولية للتغيير العام المسجل في عدد الحوادث في مكان العمل في عام 2001 مقارنة بالعام السابق. وتبين المؤشرات انخفاض عدد الحوادث في مكان العمل انخفاضاً طفيفاً يقدر بحوالي نقطة مئوية واحدة في قطاعي البناء والخدمات وانخفاضاً شديداً نسبته 9.0 في المائة تقريباً في قطاع الزراعة. وسجل هذا الانخفاض في صفوف الرجال والنساء على السواء. وانخفض عدد الحوادث القاتلة انخفاضاً شديداً في قطاع الزراعة (-7.69 في المائة) بينما ارتفع ارتفاعاً طفيفاً في قطاعي الصناعة والخدمات (+1.64 في المائة).</w:t>
      </w:r>
    </w:p>
    <w:p w:rsidR="00000000" w:rsidRDefault="00000000">
      <w:pPr>
        <w:spacing w:line="400" w:lineRule="exact"/>
        <w:jc w:val="both"/>
        <w:rPr>
          <w:rFonts w:hint="cs"/>
          <w:rtl/>
        </w:rPr>
      </w:pPr>
      <w:r>
        <w:rPr>
          <w:rFonts w:hint="cs"/>
          <w:rtl/>
        </w:rPr>
        <w:t>42-</w:t>
      </w:r>
      <w:r>
        <w:rPr>
          <w:rFonts w:hint="cs"/>
          <w:rtl/>
        </w:rPr>
        <w:tab/>
        <w:t>وبالنسبة إلى الحوادث القاتلة، استكملت المؤشرات العادية بمؤشرات إضافية تربط عدد الموظفين بعدد الحوادث باستثناء الحوادث "أثناء العمل" التي لا ترتبط بالضرورة بالخطر المحدد الذي ينطوي عليه أداء الوظيفة عموماً.</w:t>
      </w:r>
    </w:p>
    <w:p w:rsidR="00000000" w:rsidRDefault="00000000">
      <w:pPr>
        <w:spacing w:line="400" w:lineRule="exact"/>
        <w:jc w:val="both"/>
        <w:rPr>
          <w:rFonts w:hint="cs"/>
          <w:rtl/>
        </w:rPr>
      </w:pPr>
      <w:r>
        <w:rPr>
          <w:rFonts w:hint="cs"/>
          <w:rtl/>
        </w:rPr>
        <w:t>43-</w:t>
      </w:r>
      <w:r>
        <w:rPr>
          <w:rFonts w:hint="cs"/>
          <w:rtl/>
        </w:rPr>
        <w:tab/>
        <w:t>وفي هذا الصدد، ينبغي الإشارة إلى الارتفاع الكبير المسجل في عدد الحوادث المميتة "أثناء التنقل إلى العمل" في عام 2001. ففي قطاعي الصناعة والخدمات ارتفع عدد هذه الحوادث من 127 حالة مسجلة في عام 2000 إلى 170 حالة في عام 2001 أي ما يساوي 43 حالة إضافية. أما في قطاع الزراعة، فقد ارتفع عددها من حالتين إلى خمس حالات. واستناداً إلى هذه المؤشرات الجديدة، يبرز بجلاء اتجاه هبوطي في عدد الحوادث المميتة باستثناء الحوادث "أثناء الذهاب إلى العمل".</w:t>
      </w:r>
    </w:p>
    <w:p w:rsidR="00000000" w:rsidRDefault="00000000">
      <w:pPr>
        <w:spacing w:line="400" w:lineRule="exact"/>
        <w:jc w:val="both"/>
        <w:rPr>
          <w:rFonts w:hint="cs"/>
          <w:rtl/>
        </w:rPr>
      </w:pPr>
      <w:r>
        <w:rPr>
          <w:rFonts w:hint="cs"/>
          <w:rtl/>
        </w:rPr>
        <w:t>44-</w:t>
      </w:r>
      <w:r>
        <w:rPr>
          <w:rFonts w:hint="cs"/>
          <w:rtl/>
        </w:rPr>
        <w:tab/>
        <w:t>وأخيراً، ينبغي التشديد على ضرورة أن لا يراعى في هذا الشكل من أشكال التقييم العوامل العامة التي تشير إلى نمو معدلات العمالة فحسب وإنما ينبغي أيضاً مراعاة العوامل "الذاتية" مثل توسيع نطاق مجموعة الأفراد المشمولين بالتأمين لدى المؤسسة الوطنية للتأمين من الحوادث خلال العمل. وهذه العوامل لا بد أن تعكس "عدد الموظفين" وهو المعيار المستخدم عادة كعامل مشترك للنسبة التي تعبر عن مدى تواتر هذه الحوادث. وفي عام 2001، ازداد عدد الفئات التي تخضع للتأمين الإلزامي ازدياداً كبيراً نتيجة للأحكام المنصوص عليها في المرسوم التشريعي رقم 38/2000. وتشمل هذه الفئات "الجديدة" الموظفين الإداريين والرياضيين المحترفين العاملين بعقود عمل محددة المدة (بلغ عدد المؤمن عليهم من الفئة الأخيرة في عام 2001 زهاء 463 485 شخصاً لمدة مجموعها 130 مليون يوم عمل في السنة).</w:t>
      </w:r>
    </w:p>
    <w:p w:rsidR="00000000" w:rsidRDefault="00000000">
      <w:pPr>
        <w:spacing w:line="400" w:lineRule="exact"/>
        <w:jc w:val="both"/>
        <w:rPr>
          <w:rFonts w:hint="cs"/>
          <w:rtl/>
        </w:rPr>
      </w:pPr>
      <w:r>
        <w:rPr>
          <w:rFonts w:hint="cs"/>
          <w:rtl/>
        </w:rPr>
        <w:t>45-</w:t>
      </w:r>
      <w:r>
        <w:rPr>
          <w:rFonts w:hint="cs"/>
          <w:rtl/>
        </w:rPr>
        <w:tab/>
        <w:t>وعلى قدر علمنا لا تتوفر حالياً البيانات بشأن "الموظفين في عام 2001" المحسوبة باتباع منهج المؤسسة الوطنية للتأمين من الحوادث باستخدام إحصاءات كشوف الأجور التي أعلنها أرباب العمل، إلا أن من المرجح أن يطرأ عليها المزيد من التحسن فيما يتعلق بمؤشرات تواتر الحوادث المحسوبة بناء على إحصاءات معهد الإحصائيات الوطني المتعلقة بالقوة العاملة. وهذا يعني ضمناً أن من الممكن اعتبار الوضع مرضياً لأن الانخفاض - إذا كان هناك انخفاض بالفعل - لن يكون شديداً ولن يبرر بالطبع أي تراجع في توخي الحذر من جانبنا.</w:t>
      </w:r>
    </w:p>
    <w:p w:rsidR="00000000" w:rsidRDefault="00000000">
      <w:pPr>
        <w:spacing w:line="400" w:lineRule="exact"/>
        <w:jc w:val="both"/>
        <w:rPr>
          <w:rFonts w:hint="cs"/>
          <w:rtl/>
        </w:rPr>
      </w:pPr>
      <w:r>
        <w:rPr>
          <w:rFonts w:hint="cs"/>
          <w:rtl/>
        </w:rPr>
        <w:t>46-</w:t>
      </w:r>
      <w:r>
        <w:rPr>
          <w:rFonts w:hint="cs"/>
          <w:rtl/>
        </w:rPr>
        <w:tab/>
        <w:t>وتركز إيطاليا اهتمامها على التخطيط لإعطاء مضمون حقيقي وتنفيذ أنشطة محددة الهدف على نحو متزايد فيما يخص الصحة والسلامة في مكان العمل. وفي هذا الصدد، قد تؤدي الحوافز الجديدة التي استحدثها المعهد للوقاية من الحوادث إلى تحقيق طفرة نوعية لا بد منها للحد من المخاطر.</w:t>
      </w:r>
    </w:p>
    <w:p w:rsidR="00000000" w:rsidRDefault="00000000">
      <w:pPr>
        <w:spacing w:line="400" w:lineRule="exact"/>
        <w:jc w:val="both"/>
        <w:rPr>
          <w:rFonts w:hint="cs"/>
          <w:rtl/>
        </w:rPr>
      </w:pPr>
      <w:r>
        <w:rPr>
          <w:rFonts w:hint="cs"/>
          <w:rtl/>
        </w:rPr>
        <w:t>47-</w:t>
      </w:r>
      <w:r>
        <w:rPr>
          <w:rFonts w:hint="cs"/>
          <w:rtl/>
        </w:rPr>
        <w:tab/>
        <w:t>وفيما يتعلق بموضوع الوقاية من الحوادث في مكان العمل ولا سيما في الموانئ، تجدر الإشارة إلى ما يلي:</w:t>
      </w:r>
    </w:p>
    <w:p w:rsidR="00000000" w:rsidRDefault="00000000">
      <w:pPr>
        <w:spacing w:line="400" w:lineRule="exact"/>
        <w:ind w:left="1434" w:hanging="720"/>
        <w:jc w:val="both"/>
        <w:rPr>
          <w:rFonts w:hint="cs"/>
          <w:rtl/>
        </w:rPr>
      </w:pPr>
      <w:r>
        <w:rPr>
          <w:rFonts w:hint="cs"/>
          <w:rtl/>
        </w:rPr>
        <w:t>-</w:t>
      </w:r>
      <w:r>
        <w:rPr>
          <w:rFonts w:hint="cs"/>
          <w:rtl/>
        </w:rPr>
        <w:tab/>
        <w:t>المرسوم التشريعي رقم 271/1999 الذي ينص على أحكام إضافية تنظيم الشروط المتعلقة بصحة وسلامة الملاحين على متن مراكب صيد السمك التجارية الوطنية عملاً بالقانون 485/1998 بشأن السلطات المفوضة للحكومة فيما يتصل بمسائل الصحة والسلامة في الموانئ والقانون 862/1984 بشأن التصديق على اتفاقية منظمة العمل الدولية رقم 152 وتنفيذها وقد أودعت وثيقة التصديق على هذه الاتفاقية في 7 حزيران/يونيه 2000؛</w:t>
      </w:r>
    </w:p>
    <w:p w:rsidR="00000000" w:rsidRDefault="00000000">
      <w:pPr>
        <w:spacing w:line="400" w:lineRule="exact"/>
        <w:ind w:left="1434" w:hanging="720"/>
        <w:jc w:val="both"/>
        <w:rPr>
          <w:rFonts w:hint="cs"/>
          <w:rtl/>
        </w:rPr>
      </w:pPr>
      <w:r>
        <w:rPr>
          <w:rFonts w:hint="cs"/>
          <w:rtl/>
        </w:rPr>
        <w:t>-</w:t>
      </w:r>
      <w:r>
        <w:rPr>
          <w:rFonts w:hint="cs"/>
          <w:rtl/>
        </w:rPr>
        <w:tab/>
        <w:t>المرسوم التشريعي رقم 272/1999 الذي ينص على أحكام إضافية تنظيم الأمور المتعلقة بصحة العمال وسلامتهم أثناء الاضطلاع بالعمليات والخدمات في الموانئ والعمليات التي تتطلب صيانة السفن وإصلاحها وتغييرها في الموانئ عملاً بالقانون 485/1998 والقانون 862/1984.</w:t>
      </w:r>
    </w:p>
    <w:p w:rsidR="00000000" w:rsidRDefault="00000000">
      <w:pPr>
        <w:spacing w:line="400" w:lineRule="exact"/>
        <w:jc w:val="both"/>
        <w:rPr>
          <w:rFonts w:hint="cs"/>
          <w:rtl/>
        </w:rPr>
      </w:pPr>
      <w:r>
        <w:rPr>
          <w:rFonts w:hint="cs"/>
          <w:rtl/>
        </w:rPr>
        <w:t>48-</w:t>
      </w:r>
      <w:r>
        <w:rPr>
          <w:rFonts w:hint="cs"/>
          <w:rtl/>
        </w:rPr>
        <w:tab/>
        <w:t>وأخيراً، استهلت حكومة إيطاليا منذ بعض الوقت إجراءات التصديق على الاتفاقية 174/1993 بشأن الوقاية من الحوادث الصناعية الكبرى.</w:t>
      </w:r>
    </w:p>
    <w:p w:rsidR="00000000" w:rsidRDefault="00000000">
      <w:pPr>
        <w:spacing w:line="400" w:lineRule="exact"/>
        <w:jc w:val="center"/>
        <w:rPr>
          <w:rFonts w:hint="cs"/>
          <w:b/>
          <w:bCs/>
          <w:rtl/>
        </w:rPr>
      </w:pPr>
      <w:r>
        <w:rPr>
          <w:rFonts w:hint="cs"/>
          <w:b/>
          <w:bCs/>
          <w:rtl/>
        </w:rPr>
        <w:t>دال-</w:t>
      </w:r>
      <w:r>
        <w:rPr>
          <w:rFonts w:hint="cs"/>
          <w:b/>
          <w:bCs/>
          <w:rtl/>
        </w:rPr>
        <w:tab/>
        <w:t>الضمان الاجتماعي</w:t>
      </w:r>
    </w:p>
    <w:p w:rsidR="00000000" w:rsidRDefault="00000000">
      <w:pPr>
        <w:spacing w:line="400" w:lineRule="exact"/>
        <w:ind w:left="715"/>
        <w:jc w:val="both"/>
        <w:rPr>
          <w:rFonts w:hint="cs"/>
          <w:b/>
          <w:bCs/>
          <w:sz w:val="30"/>
          <w:rtl/>
          <w:lang w:eastAsia="en-US"/>
        </w:rPr>
      </w:pPr>
      <w:r>
        <w:rPr>
          <w:rFonts w:hint="cs"/>
          <w:rtl/>
        </w:rPr>
        <w:tab/>
      </w:r>
      <w:r>
        <w:rPr>
          <w:rFonts w:hint="cs"/>
          <w:b/>
          <w:bCs/>
          <w:rtl/>
        </w:rPr>
        <w:t>3-</w:t>
      </w:r>
      <w:r>
        <w:rPr>
          <w:rFonts w:hint="cs"/>
          <w:b/>
          <w:bCs/>
          <w:rtl/>
        </w:rPr>
        <w:tab/>
        <w:t xml:space="preserve">تعرب اللجنة </w:t>
      </w:r>
      <w:r>
        <w:rPr>
          <w:rFonts w:hint="cs"/>
          <w:b/>
          <w:bCs/>
          <w:sz w:val="30"/>
          <w:rtl/>
          <w:lang w:eastAsia="en-US"/>
        </w:rPr>
        <w:t xml:space="preserve">عن أسفها لعدم كفاية المعلومات التي قدمتها الدولة الطرف بشأن نظام الضمان الاجتماعي، ولا سيما بالنظر إلى أن الملاحظات الختامية السابقـة التي أبدتها اللجنة بصـدد إيطاليا قد أشارت إلى افتقار التقرير الدوري الثاني للدولة الطرف إلى معلومات عن المادة 9 (الفقرة 188 من التقرير الوارد في الوثيقة </w:t>
      </w:r>
      <w:r>
        <w:rPr>
          <w:b/>
          <w:bCs/>
          <w:lang w:eastAsia="en-US"/>
        </w:rPr>
        <w:t>(E/1993/22)</w:t>
      </w:r>
      <w:r>
        <w:rPr>
          <w:rFonts w:hint="cs"/>
          <w:b/>
          <w:bCs/>
          <w:sz w:val="30"/>
          <w:rtl/>
          <w:lang w:eastAsia="en-US"/>
        </w:rPr>
        <w:t>).</w:t>
      </w:r>
    </w:p>
    <w:p w:rsidR="00000000" w:rsidRDefault="00000000">
      <w:pPr>
        <w:spacing w:line="400" w:lineRule="exact"/>
        <w:ind w:left="715"/>
        <w:jc w:val="both"/>
        <w:rPr>
          <w:rFonts w:hint="cs"/>
          <w:rtl/>
        </w:rPr>
      </w:pPr>
      <w:r>
        <w:rPr>
          <w:rFonts w:hint="cs"/>
          <w:b/>
          <w:bCs/>
          <w:sz w:val="30"/>
          <w:rtl/>
          <w:lang w:eastAsia="en-US"/>
        </w:rPr>
        <w:tab/>
        <w:t>4-</w:t>
      </w:r>
      <w:r>
        <w:rPr>
          <w:rFonts w:hint="cs"/>
          <w:b/>
          <w:bCs/>
          <w:sz w:val="30"/>
          <w:rtl/>
          <w:lang w:eastAsia="en-US"/>
        </w:rPr>
        <w:tab/>
        <w:t>وتشيد اللجنة بالجهود التي بذلتها الدولة الطرف لمكافحة العنف ضد المرأة إلا أنها ما زالت قلقة لأن الحكومة لم تضع حتى الآن استراتيجية شاملة منسقة وموحدة للتصدي لهذه المشكلة الخطيرة.</w:t>
      </w:r>
    </w:p>
    <w:p w:rsidR="00000000" w:rsidRDefault="00000000">
      <w:pPr>
        <w:spacing w:line="400" w:lineRule="exact"/>
        <w:jc w:val="both"/>
        <w:rPr>
          <w:rFonts w:hint="cs"/>
          <w:rtl/>
        </w:rPr>
      </w:pPr>
      <w:r>
        <w:rPr>
          <w:rFonts w:hint="cs"/>
          <w:rtl/>
        </w:rPr>
        <w:t>49-</w:t>
      </w:r>
      <w:r>
        <w:rPr>
          <w:rFonts w:hint="cs"/>
          <w:rtl/>
        </w:rPr>
        <w:tab/>
        <w:t>وللاطلاع على وصف كامل لنظام الضمان الاجتماعي الإيطالي يمكن الرجوع إلى التعليق على المادة 9 من العهد الوارد في هذا التقرير.</w:t>
      </w:r>
    </w:p>
    <w:p w:rsidR="00000000" w:rsidRDefault="00000000">
      <w:pPr>
        <w:spacing w:line="400" w:lineRule="exact"/>
        <w:jc w:val="center"/>
        <w:rPr>
          <w:rFonts w:hint="cs"/>
          <w:b/>
          <w:bCs/>
          <w:rtl/>
        </w:rPr>
      </w:pPr>
      <w:r>
        <w:rPr>
          <w:rFonts w:hint="cs"/>
          <w:b/>
          <w:bCs/>
          <w:rtl/>
        </w:rPr>
        <w:t>هاء-</w:t>
      </w:r>
      <w:r>
        <w:rPr>
          <w:rFonts w:hint="cs"/>
          <w:b/>
          <w:bCs/>
          <w:rtl/>
        </w:rPr>
        <w:tab/>
        <w:t>عدم تكافؤ الفرص بين المناطق الشمالية والجنوبية في إيطاليا</w:t>
      </w:r>
    </w:p>
    <w:p w:rsidR="00000000" w:rsidRDefault="00000000">
      <w:pPr>
        <w:spacing w:line="400" w:lineRule="exact"/>
        <w:ind w:left="715" w:hanging="715"/>
        <w:jc w:val="both"/>
        <w:rPr>
          <w:rFonts w:hint="cs"/>
          <w:b/>
          <w:bCs/>
          <w:rtl/>
        </w:rPr>
      </w:pPr>
      <w:r>
        <w:rPr>
          <w:rFonts w:hint="cs"/>
          <w:rtl/>
        </w:rPr>
        <w:tab/>
      </w:r>
      <w:r>
        <w:rPr>
          <w:rFonts w:hint="cs"/>
          <w:b/>
          <w:bCs/>
          <w:rtl/>
        </w:rPr>
        <w:t>5-</w:t>
      </w:r>
      <w:r>
        <w:rPr>
          <w:rFonts w:hint="cs"/>
          <w:b/>
          <w:bCs/>
          <w:rtl/>
        </w:rPr>
        <w:tab/>
      </w:r>
      <w:r>
        <w:rPr>
          <w:rFonts w:hint="cs"/>
          <w:b/>
          <w:bCs/>
          <w:sz w:val="30"/>
          <w:rtl/>
          <w:lang w:eastAsia="en-US"/>
        </w:rPr>
        <w:t>تلاحظ اللجنة مع القلق أنه ما زال هناك تفاوت كبير بين المناطق الشمالية والجنوبية في البلد من الناحيتين الاقتصادية والاجتماعية الأمر الذي يؤثر تأثيراً سلبياً في أوضاع النساء والشباب والأطفال والفئات المحرومة والمهمشة.</w:t>
      </w:r>
    </w:p>
    <w:p w:rsidR="00000000" w:rsidRDefault="00000000">
      <w:pPr>
        <w:spacing w:line="400" w:lineRule="exact"/>
        <w:ind w:left="715" w:hanging="715"/>
        <w:jc w:val="both"/>
        <w:rPr>
          <w:rFonts w:hint="cs"/>
          <w:b/>
          <w:bCs/>
          <w:rtl/>
        </w:rPr>
      </w:pPr>
      <w:r>
        <w:rPr>
          <w:rFonts w:hint="cs"/>
          <w:b/>
          <w:bCs/>
          <w:rtl/>
        </w:rPr>
        <w:tab/>
        <w:t>6-</w:t>
      </w:r>
      <w:r>
        <w:rPr>
          <w:rFonts w:hint="cs"/>
          <w:b/>
          <w:bCs/>
          <w:rtl/>
        </w:rPr>
        <w:tab/>
      </w:r>
      <w:r>
        <w:rPr>
          <w:rFonts w:hint="cs"/>
          <w:b/>
          <w:bCs/>
          <w:sz w:val="30"/>
          <w:rtl/>
          <w:lang w:eastAsia="en-US"/>
        </w:rPr>
        <w:t>وتوصي اللجنة الدولة الطرف بأن تتصدى بجدية للمشكلة المستمرة المتمثلة في الفروق الاقتصادية والاجتماعية بين شمال إيطاليا وجنوبها التي لها وقع سلبي على أوضاع النساء والشباب والأطفال والفئات المحرومة والمهمشة.</w:t>
      </w:r>
    </w:p>
    <w:p w:rsidR="00000000" w:rsidRDefault="00000000">
      <w:pPr>
        <w:spacing w:line="400" w:lineRule="exact"/>
        <w:ind w:left="715" w:hanging="715"/>
        <w:jc w:val="both"/>
        <w:rPr>
          <w:rFonts w:hint="cs"/>
          <w:b/>
          <w:bCs/>
          <w:rtl/>
        </w:rPr>
      </w:pPr>
      <w:r>
        <w:rPr>
          <w:rFonts w:hint="cs"/>
          <w:b/>
          <w:bCs/>
          <w:rtl/>
        </w:rPr>
        <w:tab/>
        <w:t>وتعمل الحكومة حالياً في وضع خطة تركز على احتياجات الشباب العاطلين عن العمل في جنوب إيطاليا. ومن المزمع أن تستغرق الخطة ثلاثة أعوام وتركز على نشر تكنولوجيا المعلومات واللغة الإنكليزية في صفوف العاطلين عن العمل بهدف زيادة فرصهم المهنية.</w:t>
      </w:r>
    </w:p>
    <w:p w:rsidR="00000000" w:rsidRDefault="00000000">
      <w:pPr>
        <w:spacing w:line="400" w:lineRule="exact"/>
        <w:jc w:val="both"/>
        <w:rPr>
          <w:rFonts w:hint="cs"/>
          <w:b/>
          <w:bCs/>
          <w:rtl/>
        </w:rPr>
      </w:pPr>
      <w:r>
        <w:rPr>
          <w:rFonts w:hint="cs"/>
          <w:b/>
          <w:bCs/>
          <w:rtl/>
        </w:rPr>
        <w:t>الاختلافات بين الأقاليم</w:t>
      </w:r>
    </w:p>
    <w:p w:rsidR="00000000" w:rsidRDefault="00000000">
      <w:pPr>
        <w:spacing w:line="400" w:lineRule="exact"/>
        <w:jc w:val="both"/>
        <w:rPr>
          <w:rFonts w:hint="cs"/>
          <w:rtl/>
        </w:rPr>
      </w:pPr>
      <w:r>
        <w:rPr>
          <w:rFonts w:hint="cs"/>
          <w:rtl/>
        </w:rPr>
        <w:t>50-</w:t>
      </w:r>
      <w:r>
        <w:rPr>
          <w:rFonts w:hint="cs"/>
          <w:rtl/>
        </w:rPr>
        <w:tab/>
        <w:t>تتسم عملية التنمية الاقتصادية في إيطاليا بالتباين الشديد بين الأقاليم. ويظهر هذا التباين أساساً في معدلات العمالة غير أنها تتبدى أيضاً في مجال تطوير الخدمات الشخصية والجماعية. وترتبط أوجه التباين الرئيسية بما يلي:</w:t>
      </w:r>
    </w:p>
    <w:p w:rsidR="00000000" w:rsidRDefault="00000000">
      <w:pPr>
        <w:spacing w:line="400" w:lineRule="exact"/>
        <w:jc w:val="both"/>
        <w:rPr>
          <w:rFonts w:hint="cs"/>
          <w:rtl/>
        </w:rPr>
      </w:pPr>
      <w:r>
        <w:rPr>
          <w:rFonts w:hint="cs"/>
          <w:rtl/>
        </w:rPr>
        <w:tab/>
        <w:t>-</w:t>
      </w:r>
      <w:r>
        <w:rPr>
          <w:rFonts w:hint="cs"/>
          <w:rtl/>
        </w:rPr>
        <w:tab/>
        <w:t>تركز فرص العمل في مناطق محددة من البلد؛</w:t>
      </w:r>
    </w:p>
    <w:p w:rsidR="00000000" w:rsidRDefault="00000000">
      <w:pPr>
        <w:spacing w:line="400" w:lineRule="exact"/>
        <w:ind w:left="1434" w:hanging="720"/>
        <w:jc w:val="both"/>
        <w:rPr>
          <w:rFonts w:hint="cs"/>
          <w:rtl/>
        </w:rPr>
      </w:pPr>
      <w:r>
        <w:rPr>
          <w:rFonts w:hint="cs"/>
          <w:rtl/>
        </w:rPr>
        <w:t>-</w:t>
      </w:r>
      <w:r>
        <w:rPr>
          <w:rFonts w:hint="cs"/>
          <w:rtl/>
        </w:rPr>
        <w:tab/>
        <w:t>التفاوت بين مختلف شرائح السكان بدءاً بالفجوة الشاسعة في فرص النفاذ إلى سوق العمل والبقاء فيه، واستمرار فرص تطوير الخدمات الشخصية والحصول عليها؛</w:t>
      </w:r>
    </w:p>
    <w:p w:rsidR="00000000" w:rsidRDefault="00000000">
      <w:pPr>
        <w:spacing w:line="400" w:lineRule="exact"/>
        <w:jc w:val="both"/>
        <w:rPr>
          <w:rFonts w:hint="cs"/>
          <w:rtl/>
        </w:rPr>
      </w:pPr>
      <w:r>
        <w:rPr>
          <w:rFonts w:hint="cs"/>
          <w:rtl/>
        </w:rPr>
        <w:tab/>
        <w:t>-</w:t>
      </w:r>
      <w:r>
        <w:rPr>
          <w:rFonts w:hint="cs"/>
          <w:rtl/>
        </w:rPr>
        <w:tab/>
        <w:t>اختلاف مواطن انتشار الفقر (يعيش نحو 65 في المائة من الأسر الفقيرة في جنوب إيطاليا).</w:t>
      </w:r>
    </w:p>
    <w:p w:rsidR="00000000" w:rsidRDefault="00000000">
      <w:pPr>
        <w:spacing w:line="400" w:lineRule="exact"/>
        <w:jc w:val="center"/>
        <w:rPr>
          <w:rFonts w:hint="cs"/>
          <w:b/>
          <w:bCs/>
          <w:rtl/>
        </w:rPr>
      </w:pPr>
      <w:r>
        <w:rPr>
          <w:rFonts w:hint="cs"/>
          <w:b/>
          <w:bCs/>
          <w:rtl/>
        </w:rPr>
        <w:t>واو-</w:t>
      </w:r>
      <w:r>
        <w:rPr>
          <w:rFonts w:hint="cs"/>
          <w:b/>
          <w:bCs/>
          <w:rtl/>
        </w:rPr>
        <w:tab/>
        <w:t>الانقطاع عن الدراسة في المرحلة الثانوية والأمية الوظيفية</w:t>
      </w:r>
    </w:p>
    <w:p w:rsidR="00000000" w:rsidRDefault="00000000">
      <w:pPr>
        <w:spacing w:line="400" w:lineRule="exact"/>
        <w:ind w:left="715" w:hanging="715"/>
        <w:jc w:val="both"/>
        <w:rPr>
          <w:rFonts w:hint="cs"/>
          <w:b/>
          <w:bCs/>
          <w:rtl/>
        </w:rPr>
      </w:pPr>
      <w:r>
        <w:rPr>
          <w:rFonts w:hint="cs"/>
          <w:b/>
          <w:bCs/>
          <w:rtl/>
        </w:rPr>
        <w:tab/>
        <w:t>7-</w:t>
      </w:r>
      <w:r>
        <w:rPr>
          <w:rFonts w:hint="cs"/>
          <w:b/>
          <w:bCs/>
          <w:rtl/>
        </w:rPr>
        <w:tab/>
      </w:r>
      <w:r>
        <w:rPr>
          <w:rFonts w:hint="cs"/>
          <w:b/>
          <w:bCs/>
          <w:sz w:val="30"/>
          <w:rtl/>
          <w:lang w:eastAsia="en-US"/>
        </w:rPr>
        <w:t>فيما يتعلق بالتعليم، تلاحظ اللجنة مع القلق المعدل المرتفع المسجل في صفوف الشباب الذين ينقطعون عن الدراسة في مرحلة التعليم الثانوي. وتعرب عن قلقها أيضاً إزاء ظاهرة الأمية الوظيفية. وتأسف لعدم تلقيها إجابة واضحة عن السؤال الذي وجهته بصدد هذه القضية خلال الحوار.</w:t>
      </w:r>
    </w:p>
    <w:p w:rsidR="00000000" w:rsidRDefault="00000000">
      <w:pPr>
        <w:spacing w:line="400" w:lineRule="exact"/>
        <w:ind w:left="715"/>
        <w:jc w:val="both"/>
        <w:rPr>
          <w:rFonts w:hint="cs"/>
          <w:b/>
          <w:bCs/>
          <w:rtl/>
        </w:rPr>
      </w:pPr>
      <w:r>
        <w:rPr>
          <w:rFonts w:hint="cs"/>
          <w:b/>
          <w:bCs/>
          <w:rtl/>
        </w:rPr>
        <w:tab/>
        <w:t>8-</w:t>
      </w:r>
      <w:r>
        <w:rPr>
          <w:rFonts w:hint="cs"/>
          <w:b/>
          <w:bCs/>
          <w:rtl/>
        </w:rPr>
        <w:tab/>
      </w:r>
      <w:r>
        <w:rPr>
          <w:rFonts w:hint="cs"/>
          <w:b/>
          <w:bCs/>
          <w:sz w:val="30"/>
          <w:rtl/>
          <w:lang w:eastAsia="en-US"/>
        </w:rPr>
        <w:t>وتوصي اللجنة بأن تضع الدولة الطرف استراتيجية وطنية وخطة عمل وطنية لمعالجة المشاكل الكبيرة المتعلقة بظاهرة الانقطاع عن الدارسة والبطالة بين الشباب.</w:t>
      </w:r>
    </w:p>
    <w:p w:rsidR="00000000" w:rsidRDefault="00000000">
      <w:pPr>
        <w:spacing w:line="400" w:lineRule="exact"/>
        <w:jc w:val="both"/>
        <w:rPr>
          <w:rFonts w:hint="cs"/>
          <w:rtl/>
        </w:rPr>
      </w:pPr>
      <w:r>
        <w:rPr>
          <w:rFonts w:hint="cs"/>
          <w:rtl/>
        </w:rPr>
        <w:t>51-</w:t>
      </w:r>
      <w:r>
        <w:rPr>
          <w:rFonts w:hint="cs"/>
          <w:rtl/>
        </w:rPr>
        <w:tab/>
        <w:t>وفيما يتعلق بمواطن القلق التي أعربت عنها اللجنة، تجدر الإشارة إلى التعليقات على المادتين 6 و13 من العهد الواردة أدناه.</w:t>
      </w:r>
    </w:p>
    <w:p w:rsidR="00000000" w:rsidRDefault="00000000">
      <w:pPr>
        <w:spacing w:line="400" w:lineRule="exact"/>
        <w:jc w:val="center"/>
        <w:rPr>
          <w:rFonts w:hint="cs"/>
          <w:b/>
          <w:bCs/>
          <w:rtl/>
        </w:rPr>
      </w:pPr>
      <w:r>
        <w:rPr>
          <w:rFonts w:hint="cs"/>
          <w:b/>
          <w:bCs/>
          <w:rtl/>
        </w:rPr>
        <w:t>زاي-</w:t>
      </w:r>
      <w:r>
        <w:rPr>
          <w:rFonts w:hint="cs"/>
          <w:b/>
          <w:bCs/>
          <w:rtl/>
        </w:rPr>
        <w:tab/>
        <w:t>اللامركزية ونظام التفتيش في مجال العمل</w:t>
      </w:r>
    </w:p>
    <w:p w:rsidR="00000000" w:rsidRDefault="00000000">
      <w:pPr>
        <w:spacing w:line="400" w:lineRule="exact"/>
        <w:ind w:left="715" w:hanging="715"/>
        <w:jc w:val="both"/>
        <w:rPr>
          <w:rFonts w:hint="cs"/>
          <w:b/>
          <w:bCs/>
          <w:rtl/>
        </w:rPr>
      </w:pPr>
      <w:r>
        <w:rPr>
          <w:rFonts w:hint="cs"/>
          <w:b/>
          <w:bCs/>
          <w:rtl/>
        </w:rPr>
        <w:tab/>
        <w:t>9-</w:t>
      </w:r>
      <w:r>
        <w:rPr>
          <w:rFonts w:hint="cs"/>
          <w:b/>
          <w:bCs/>
          <w:rtl/>
        </w:rPr>
        <w:tab/>
      </w:r>
      <w:r>
        <w:rPr>
          <w:rFonts w:hint="cs"/>
          <w:b/>
          <w:bCs/>
          <w:sz w:val="30"/>
          <w:rtl/>
          <w:lang w:eastAsia="en-US"/>
        </w:rPr>
        <w:t>تناشد اللجنة الدولة الطرف أن تنفذ توصيات لجنة الخبراء التابعة لمنظمة العمل الدولية فيما يتعلق بإضفاء اللامركزية على عمليات التفتيش في مجال العمل. وتأمل اللجنة أن تتلقى معلومات مفصلة عن نظام التفتيش في مجال العمل في التقرير الدوري التالي.</w:t>
      </w:r>
    </w:p>
    <w:p w:rsidR="00000000" w:rsidRDefault="00000000">
      <w:pPr>
        <w:spacing w:line="400" w:lineRule="exact"/>
        <w:jc w:val="both"/>
        <w:rPr>
          <w:rFonts w:hint="cs"/>
          <w:b/>
          <w:bCs/>
          <w:rtl/>
        </w:rPr>
      </w:pPr>
    </w:p>
    <w:p w:rsidR="00000000" w:rsidRDefault="00000000">
      <w:pPr>
        <w:spacing w:line="400" w:lineRule="exact"/>
        <w:jc w:val="both"/>
        <w:rPr>
          <w:rFonts w:hint="cs"/>
          <w:b/>
          <w:bCs/>
          <w:rtl/>
        </w:rPr>
      </w:pPr>
    </w:p>
    <w:p w:rsidR="00000000" w:rsidRDefault="00000000">
      <w:pPr>
        <w:spacing w:line="400" w:lineRule="exact"/>
        <w:jc w:val="both"/>
        <w:rPr>
          <w:rFonts w:hint="cs"/>
          <w:b/>
          <w:bCs/>
          <w:rtl/>
        </w:rPr>
      </w:pPr>
      <w:r>
        <w:rPr>
          <w:rFonts w:hint="cs"/>
          <w:b/>
          <w:bCs/>
          <w:rtl/>
        </w:rPr>
        <w:t>التعليقات التمهيدية</w:t>
      </w:r>
    </w:p>
    <w:p w:rsidR="00000000" w:rsidRDefault="00000000">
      <w:pPr>
        <w:spacing w:line="400" w:lineRule="exact"/>
        <w:jc w:val="both"/>
        <w:rPr>
          <w:rFonts w:hint="cs"/>
          <w:rtl/>
        </w:rPr>
      </w:pPr>
      <w:r>
        <w:rPr>
          <w:rFonts w:hint="cs"/>
          <w:rtl/>
        </w:rPr>
        <w:t>52-</w:t>
      </w:r>
      <w:r>
        <w:rPr>
          <w:rFonts w:hint="cs"/>
          <w:rtl/>
        </w:rPr>
        <w:tab/>
        <w:t>تعتبر عمليات التفتيش في مجال العمل بموجب التشريع الإيطالي إحدى الأدوات المتاحة للمشرع لإنفاذ المبادئ الدستورية التي تنظم الأمور المتعلقة بحماية العمل والضمان الاجتماعي وضمان أن يجري مراعاة النشاط الاقتصادي مع حرية وسلامة وكرامة الإنسان على النحو الواجب. والأهمية التي تعلقها تشريعاتنا على أهداف عمليات التفتيش في مجال العمل أي تنفيذ التشريع المنظم للعمل والضمان الاجتماعي والصحة والسلامة المهنيتين يمكن استخلاصها من حقيقة أن هذه الأهداف معترف بها بوصفها عناصر تمنح الشرعية لتقييد الحق في حرمة المسكن الشخصي استناداً إلى المبدأ المنصوص عليه في المادة 14 والمادة 41(3).</w:t>
      </w:r>
    </w:p>
    <w:p w:rsidR="00000000" w:rsidRDefault="00000000">
      <w:pPr>
        <w:spacing w:line="400" w:lineRule="exact"/>
        <w:jc w:val="both"/>
        <w:rPr>
          <w:rFonts w:hint="cs"/>
          <w:rtl/>
        </w:rPr>
      </w:pPr>
      <w:r>
        <w:rPr>
          <w:rFonts w:hint="cs"/>
          <w:rtl/>
        </w:rPr>
        <w:t>53-</w:t>
      </w:r>
      <w:r>
        <w:rPr>
          <w:rFonts w:hint="cs"/>
          <w:rtl/>
        </w:rPr>
        <w:tab/>
        <w:t>وفي هذا الصدد، اعترفت المحكمة الدستورية بالشرعية الدستورية لجميع القوانين العامة التي تمنح سلطة الدخول إلى مسكن أطراف أخرى من جانب مسؤولين حكوميين معنيين بالإشراف الإداري على القضايا المتعلقة بالعمل والضمان الاجتماعي برفع الضمانات المكفولة بموجب مبدأ حماية الحرية الشخصية والحق في الدفاع.</w:t>
      </w:r>
    </w:p>
    <w:p w:rsidR="00000000" w:rsidRDefault="00000000">
      <w:pPr>
        <w:spacing w:line="400" w:lineRule="exact"/>
        <w:jc w:val="both"/>
        <w:rPr>
          <w:rFonts w:hint="cs"/>
          <w:b/>
          <w:bCs/>
          <w:rtl/>
        </w:rPr>
      </w:pPr>
      <w:r>
        <w:rPr>
          <w:rFonts w:hint="cs"/>
          <w:b/>
          <w:bCs/>
          <w:rtl/>
        </w:rPr>
        <w:t>مهام وزارة العمل في مجال التفتيش</w:t>
      </w:r>
    </w:p>
    <w:p w:rsidR="00000000" w:rsidRDefault="00000000">
      <w:pPr>
        <w:spacing w:line="400" w:lineRule="exact"/>
        <w:jc w:val="both"/>
        <w:rPr>
          <w:rFonts w:hint="cs"/>
          <w:rtl/>
        </w:rPr>
      </w:pPr>
      <w:r>
        <w:rPr>
          <w:rFonts w:hint="cs"/>
          <w:rtl/>
        </w:rPr>
        <w:t>54-</w:t>
      </w:r>
      <w:r>
        <w:rPr>
          <w:rFonts w:hint="cs"/>
          <w:rtl/>
        </w:rPr>
        <w:tab/>
        <w:t>أسند القانون 628/1961 مهمة تنسيق عمليات التفتيش في مجال العمل إلى وزارة العمل التي تضطلع بالدرجة الأولى بالإشراف الإداري على "إنفاذ جميع القوانين المنظمة للأمور الخاصة بالعمل" عبر ممارسة السلطات المخولة للمفتشين في هيئات التفتيش في مجال العمل (وتدعى الآن مديريات العمل المحلية). وكانت هذه المهام تشمل أساساً الإشراف على إنفاذ القوانين المنظمة للأمور المتعلقة بالصحة والسلامة في مكان العمل والضمان الاجتماعي وإبرام عقود عمل جماعية والاضطلاع بأنشطة استشارية بشأن تطبيق القوانين المذكورة. وكلف أيضاً المفتشون في مجال العمل بموجب القانون ذاته بالإشراف على الهيئات المسؤولة عن الضمان الاجتماعي.</w:t>
      </w:r>
    </w:p>
    <w:p w:rsidR="00000000" w:rsidRDefault="00000000">
      <w:pPr>
        <w:spacing w:line="400" w:lineRule="exact"/>
        <w:jc w:val="both"/>
        <w:rPr>
          <w:rFonts w:hint="cs"/>
          <w:rtl/>
        </w:rPr>
      </w:pPr>
      <w:r>
        <w:rPr>
          <w:rFonts w:hint="cs"/>
          <w:rtl/>
        </w:rPr>
        <w:t>55-</w:t>
      </w:r>
      <w:r>
        <w:rPr>
          <w:rFonts w:hint="cs"/>
          <w:rtl/>
        </w:rPr>
        <w:tab/>
        <w:t>ومهمة الإشراف على إنفاذ جميع القوانين المنظمة للمسائل المتعلقة بالعمل والضمان الاجتماعي (المادة 4 من القانون 628/1961) في ضمان مراعاة القانون فيما يخص المسائل التالية: إرساء علاقة العمل (المادة 9(مكرراً) من القانون 608/1996)، وساعات العمل (المرسوم التشريعي رقم 692/1923 المعدل بموجب المادة 13 من القانون 196/1997)، وفترات الراحة الأسبوعية (القانون 370/1934)، والإجازة السنوية (اتفاقية منظمة العمل الدوليـة رقم 132 (1970) المصدق عليها بموجب القانون 157/1981)، وإنفاذ العقود الجماعية (القانون 741/1959)، وحماية عمل القصر (القانون 977/1967 المعدل بموجب المرسوم التشريعي رقم 262/2000)، وحماية الأمهات الموظفات (المرسوم التشريعي 151/2001)، والمساواة بين الجنسين (القانون 903/1977؛ والقانون 125/1991؛ والمرسوم التشريعي 196/2000)، والتطبيق الصحيح للقانون المنظم للعقود غير النمطية مثل العقود المحددة المدة (المرسوم التشريعي 368/2001) وعقود الدوام الجزئي (المادة 2 من المرسوم التشريعي 61/2000؛ والمرسوم التشريعي 100/2001) وعقود التلمذة الصناعية (القانون 25/1955؛ والمادة 21 من القانون 56/1987؛ والمادة 16 من القانون 196/1997) وعقود التدريب والعمل (القانون 863/1984؛ والمادة 16 من القانون 451/1994؛ والقانون 196/1997) والعمل في المنزل أو خارج المنشأة (القانون 877/1973) والعمل المؤقت (القانون 196/1997).</w:t>
      </w:r>
    </w:p>
    <w:p w:rsidR="00000000" w:rsidRDefault="00000000">
      <w:pPr>
        <w:spacing w:line="400" w:lineRule="exact"/>
        <w:jc w:val="both"/>
        <w:rPr>
          <w:rFonts w:hint="cs"/>
          <w:rtl/>
        </w:rPr>
      </w:pPr>
      <w:r>
        <w:rPr>
          <w:rFonts w:hint="cs"/>
          <w:rtl/>
        </w:rPr>
        <w:t>56-</w:t>
      </w:r>
      <w:r>
        <w:rPr>
          <w:rFonts w:hint="cs"/>
          <w:rtl/>
        </w:rPr>
        <w:tab/>
        <w:t>وعلاوة على ذلك، يشرف المفتشون في مجال العمل أيضاً على التطبيق الصحيح للقوانين المنظمة للأمور المتعلقة بالتأمين الاجتماعي الإلزامي والصحة والسلامة المهنيتين وهي مجالات ما زالوا يحتفظون بشأنها بمهام تكميلية للإشراف عليها (في قطاع البناء؛ أشغال شق الطرق وإقامة السكك الحديدية والمنشآت المائية وصيانتها وإصلاحها وهدمها؛ الأشغال تحت الأرض وفي الأنفاق، بما في ذلك الأشغال التي تتضمن استخدام المتفجرات أو الأشغال التي يجري القيام بها باستخدام صهاريج الهواء المضغوط والأشغال تحت الماء، على النحو المنصوص عليه في المرسوم رقم 412 الصادر عن رئيس الوزراء في عام 1997).</w:t>
      </w:r>
    </w:p>
    <w:p w:rsidR="00000000" w:rsidRDefault="00000000">
      <w:pPr>
        <w:spacing w:line="400" w:lineRule="exact"/>
        <w:jc w:val="both"/>
        <w:rPr>
          <w:rFonts w:hint="cs"/>
          <w:rtl/>
        </w:rPr>
      </w:pPr>
      <w:r>
        <w:rPr>
          <w:rFonts w:hint="cs"/>
          <w:rtl/>
        </w:rPr>
        <w:t>57-</w:t>
      </w:r>
      <w:r>
        <w:rPr>
          <w:rFonts w:hint="cs"/>
          <w:rtl/>
        </w:rPr>
        <w:tab/>
        <w:t>وتمنح المادة 8 من المرسوم الرئاسي 520/1955 المفتشين في مجال العمل وضع المسؤولين المكلفين بإنفاذ القانون في حدود الوظيفة التي عينوا من أجل القيام بها ووفقاً للمهام والمسؤوليات المسندة إليهم بموجب قوانين ولوائح محددة. وهذا يعني أنه يجوز للمفتشين إذا ظهرت أدلة على ارتكاب مخالفات تندرج في عداد المهام الإدارية لهيئة التفتيش في مجال العمل خلال أدائهم مهام الإشراف الإداري العادية أن يجروا التحقيقات اللازمة للتأكد من صحة هذه الأدلة دون الاضطرار إلى وقف إجراء التفتيش. وفي هذه الحالات، يظل المفتش ملزماً بإخطار السلطات القضائية بالمخالفة المرتكبة.</w:t>
      </w:r>
    </w:p>
    <w:p w:rsidR="00000000" w:rsidRDefault="00000000">
      <w:pPr>
        <w:spacing w:line="400" w:lineRule="exact"/>
        <w:jc w:val="both"/>
        <w:rPr>
          <w:rFonts w:hint="cs"/>
          <w:rtl/>
        </w:rPr>
      </w:pPr>
      <w:r>
        <w:rPr>
          <w:rFonts w:hint="cs"/>
          <w:rtl/>
        </w:rPr>
        <w:t>58-</w:t>
      </w:r>
      <w:r>
        <w:rPr>
          <w:rFonts w:hint="cs"/>
          <w:rtl/>
        </w:rPr>
        <w:tab/>
        <w:t>ويمارس المفتشون في مجال العمل هذه المهام لإنفاذ القانون في حال الإخلال بالقواعد المنظمة للأمور المتعلقة بالصحة والسلامة المهنيتين بموجب أحكام المادة 23 من المرسوم التشريعي 626/1994 فيما يتعلق بالاختصاصات التكميلية.</w:t>
      </w:r>
    </w:p>
    <w:p w:rsidR="00000000" w:rsidRDefault="00000000">
      <w:pPr>
        <w:spacing w:line="400" w:lineRule="exact"/>
        <w:jc w:val="both"/>
        <w:rPr>
          <w:rFonts w:hint="cs"/>
          <w:rtl/>
        </w:rPr>
      </w:pPr>
      <w:r>
        <w:rPr>
          <w:rFonts w:hint="cs"/>
          <w:rtl/>
        </w:rPr>
        <w:t>59-</w:t>
      </w:r>
      <w:r>
        <w:rPr>
          <w:rFonts w:hint="cs"/>
          <w:rtl/>
        </w:rPr>
        <w:tab/>
        <w:t>وتتألف سلطات المفتشين في مجال العمل مما يلي:</w:t>
      </w:r>
    </w:p>
    <w:p w:rsidR="00000000" w:rsidRDefault="00000000">
      <w:pPr>
        <w:numPr>
          <w:ilvl w:val="0"/>
          <w:numId w:val="65"/>
        </w:numPr>
        <w:spacing w:line="400" w:lineRule="exact"/>
        <w:ind w:right="0"/>
        <w:jc w:val="both"/>
        <w:rPr>
          <w:rFonts w:hint="cs"/>
          <w:rtl/>
        </w:rPr>
      </w:pPr>
      <w:r>
        <w:rPr>
          <w:rFonts w:hint="cs"/>
          <w:rtl/>
        </w:rPr>
        <w:t xml:space="preserve">سلطة زيارة مباني الشركة (سلطة الدخول </w:t>
      </w:r>
      <w:r>
        <w:rPr>
          <w:rtl/>
        </w:rPr>
        <w:t>–</w:t>
      </w:r>
      <w:r>
        <w:rPr>
          <w:rFonts w:hint="cs"/>
          <w:rtl/>
        </w:rPr>
        <w:t xml:space="preserve"> المادة 8 من المرسوم الرئاسي 520/1955)؛</w:t>
      </w:r>
    </w:p>
    <w:p w:rsidR="00000000" w:rsidRDefault="00000000">
      <w:pPr>
        <w:numPr>
          <w:ilvl w:val="0"/>
          <w:numId w:val="65"/>
        </w:numPr>
        <w:spacing w:line="400" w:lineRule="exact"/>
        <w:ind w:right="0"/>
        <w:jc w:val="both"/>
        <w:rPr>
          <w:rFonts w:hint="cs"/>
        </w:rPr>
      </w:pPr>
      <w:r>
        <w:rPr>
          <w:rFonts w:hint="cs"/>
          <w:rtl/>
        </w:rPr>
        <w:t>سلطة طلب المعلومات والحصول عليها وإبداء الملاحظات (المادة 4 من القانون 628/1961)؛</w:t>
      </w:r>
    </w:p>
    <w:p w:rsidR="00000000" w:rsidRDefault="00000000">
      <w:pPr>
        <w:numPr>
          <w:ilvl w:val="0"/>
          <w:numId w:val="65"/>
        </w:numPr>
        <w:spacing w:line="400" w:lineRule="exact"/>
        <w:ind w:right="0"/>
        <w:jc w:val="both"/>
        <w:rPr>
          <w:rFonts w:hint="cs"/>
        </w:rPr>
      </w:pPr>
      <w:r>
        <w:rPr>
          <w:rFonts w:hint="cs"/>
          <w:rtl/>
        </w:rPr>
        <w:t>سلطة إصدار تحذيرات (المادة 9 من المرسوم الرئاسي 520/1955)؛</w:t>
      </w:r>
    </w:p>
    <w:p w:rsidR="00000000" w:rsidRDefault="00000000">
      <w:pPr>
        <w:numPr>
          <w:ilvl w:val="0"/>
          <w:numId w:val="65"/>
        </w:numPr>
        <w:spacing w:line="400" w:lineRule="exact"/>
        <w:ind w:right="0"/>
        <w:jc w:val="both"/>
        <w:rPr>
          <w:rFonts w:hint="cs"/>
          <w:rtl/>
        </w:rPr>
      </w:pPr>
      <w:r>
        <w:rPr>
          <w:rFonts w:hint="cs"/>
          <w:rtl/>
        </w:rPr>
        <w:t>سلطة إصدار أحكام (المادة 10 من المرسوم الرئاسي 520/1955).</w:t>
      </w:r>
    </w:p>
    <w:p w:rsidR="00000000" w:rsidRDefault="00000000">
      <w:pPr>
        <w:spacing w:line="400" w:lineRule="exact"/>
        <w:jc w:val="both"/>
        <w:rPr>
          <w:rFonts w:hint="cs"/>
          <w:rtl/>
        </w:rPr>
      </w:pPr>
      <w:r>
        <w:rPr>
          <w:rFonts w:hint="cs"/>
          <w:rtl/>
        </w:rPr>
        <w:t>60-</w:t>
      </w:r>
      <w:r>
        <w:rPr>
          <w:rFonts w:hint="cs"/>
          <w:rtl/>
        </w:rPr>
        <w:tab/>
        <w:t>وتتخذ سلطة الدخول شكل ترخيص بزيارة أي مكان من أماكن العمل والمصانع ومواقع البناء في أي وقت من النهار أو الليل إذ إن هذه الأماكن تخضع لإشراف المفتشين، وكذلك زيارة قاعات النوم ومرافق الطعام الملحقة بالمصنع. وسلطة إصدار تحذيرات تسمح للمفتشين في مجال العمل في حال عدم الامتثال لأحكام القانون بتقييم ما إذا كان من المناسب منح الشخص المخالف مهلة محددة لتدارك المخالفة الإدارية أو الجنائية المرتكبة.</w:t>
      </w:r>
    </w:p>
    <w:p w:rsidR="00000000" w:rsidRDefault="00000000">
      <w:pPr>
        <w:spacing w:line="400" w:lineRule="exact"/>
        <w:jc w:val="both"/>
        <w:rPr>
          <w:rFonts w:hint="cs"/>
          <w:rtl/>
        </w:rPr>
      </w:pPr>
      <w:r>
        <w:rPr>
          <w:rFonts w:hint="cs"/>
          <w:rtl/>
        </w:rPr>
        <w:t>61-</w:t>
      </w:r>
      <w:r>
        <w:rPr>
          <w:rFonts w:hint="cs"/>
          <w:rtl/>
        </w:rPr>
        <w:tab/>
        <w:t>والأحكام هي إجراءات إدارية ذات طابع تقديري فيما يتعلق بالتوقيت المناسب لاعتمادها ومضمونها ولها تأثير في اعتماد التزامات جديدة بالإضافة إلى الالتزامات المنصوص عليها في القانون. والمادة 10 من المرسوم الرئاسي 520/1955 تقصر اعتماد هذه الإجراءات على مجال الصحة والسلامة المهنيتين.</w:t>
      </w:r>
    </w:p>
    <w:p w:rsidR="00000000" w:rsidRDefault="00000000">
      <w:pPr>
        <w:spacing w:line="400" w:lineRule="exact"/>
        <w:jc w:val="both"/>
        <w:rPr>
          <w:rFonts w:hint="cs"/>
          <w:rtl/>
        </w:rPr>
      </w:pPr>
      <w:r>
        <w:rPr>
          <w:rFonts w:hint="cs"/>
          <w:rtl/>
        </w:rPr>
        <w:t>62-</w:t>
      </w:r>
      <w:r>
        <w:rPr>
          <w:rFonts w:hint="cs"/>
          <w:rtl/>
        </w:rPr>
        <w:tab/>
        <w:t>وتقلصت أهمية سلطة إصدار التحذيرات وسلطة إصدار الأحكام بعد إسناد مهمة الإشراف الإداري على الأمور المتعلقة بالصحة والسلامة المهنيتين إلى وحدات/وكالات الصحة المحلية على وجه الحصر أو يكاد واعتماد القواعد الإلزامية عملاً بالمادة 20 من المرسوم التشريعي 758/1994.</w:t>
      </w:r>
    </w:p>
    <w:p w:rsidR="00000000" w:rsidRDefault="00000000">
      <w:pPr>
        <w:spacing w:line="400" w:lineRule="exact"/>
        <w:jc w:val="both"/>
        <w:rPr>
          <w:rFonts w:hint="cs"/>
          <w:rtl/>
        </w:rPr>
      </w:pPr>
      <w:r>
        <w:rPr>
          <w:rFonts w:hint="cs"/>
          <w:rtl/>
        </w:rPr>
        <w:t>63-</w:t>
      </w:r>
      <w:r>
        <w:rPr>
          <w:rFonts w:hint="cs"/>
          <w:rtl/>
        </w:rPr>
        <w:tab/>
        <w:t>وبالنسبة إلى المفتشين في مجال العمل يقتصر استخدام هذه السلطات على مهمة الإشراف على الوظائف التي تنطوي على مستويات عالية من المخاطر المحددة في المرسوم 412/1997 الصادر عن رئيس الوزراء (البناء والأشغال المعتمدة على استخدام صهاريج الهواء المضغوط والأشغال تحت الماء وغير ذلك) تنفيذاً للمادة 23 من المرسوم التشريعي 626/1994 الذي ينص على الاختصاصات التكميلية للمفتشين في الأمور المتعقلة بالصحة والسلامة المهنيتين.</w:t>
      </w:r>
    </w:p>
    <w:p w:rsidR="00000000" w:rsidRDefault="00000000">
      <w:pPr>
        <w:pStyle w:val="BodyText"/>
        <w:spacing w:line="400" w:lineRule="exact"/>
        <w:rPr>
          <w:rFonts w:hint="cs"/>
          <w:b/>
          <w:bCs/>
          <w:u w:val="none"/>
          <w:rtl/>
        </w:rPr>
      </w:pPr>
      <w:r>
        <w:rPr>
          <w:rFonts w:hint="cs"/>
          <w:b/>
          <w:bCs/>
          <w:u w:val="none"/>
          <w:rtl/>
        </w:rPr>
        <w:t>إسناد مهام الوقاية ونظافة مكان العمل والرصد في الأمور المتعلقة بالصحة والسلامة المهنيتين إلى وحدات/وكالات الصحة المحلية</w:t>
      </w:r>
    </w:p>
    <w:p w:rsidR="00000000" w:rsidRDefault="00000000">
      <w:pPr>
        <w:spacing w:line="400" w:lineRule="exact"/>
        <w:jc w:val="both"/>
        <w:rPr>
          <w:rFonts w:hint="cs"/>
          <w:rtl/>
        </w:rPr>
      </w:pPr>
      <w:r>
        <w:rPr>
          <w:rFonts w:hint="cs"/>
          <w:rtl/>
        </w:rPr>
        <w:t>64-</w:t>
      </w:r>
      <w:r>
        <w:rPr>
          <w:rFonts w:hint="cs"/>
          <w:rtl/>
        </w:rPr>
        <w:tab/>
        <w:t>نفذت الحكومة عملية نقل المهام المتعلقة بالمساعدة الصحية والاستشفائية (المادة 117 من الدستور) إلى المقاطعات بناء على المرسوم الرئاسي 616/1977 وانطوت هذه العملية أيضاً على إضفاء الطابع اللامركزي على الاختصاصات في الأمور المتعلقة بالصحة والسلامة المهنيتين. وعندما أنشئ مرفق الصحة الوطني بموجب القانون 833/1978، نقلت المهام الإدارية المتعلقة بالوقاية من الأمراض المهنية وحفظ الصحة والنظافة الشخصية والسلامة في أماكن الإقامة والعمل من الحكومة المركزية وبالتالي من وزارة العمل وحولت إلى المقاطعات.</w:t>
      </w:r>
    </w:p>
    <w:p w:rsidR="00000000" w:rsidRDefault="00000000">
      <w:pPr>
        <w:spacing w:line="400" w:lineRule="exact"/>
        <w:jc w:val="both"/>
        <w:rPr>
          <w:rFonts w:hint="cs"/>
          <w:rtl/>
        </w:rPr>
      </w:pPr>
      <w:r>
        <w:rPr>
          <w:rFonts w:hint="cs"/>
          <w:rtl/>
        </w:rPr>
        <w:t>65-</w:t>
      </w:r>
      <w:r>
        <w:rPr>
          <w:rFonts w:hint="cs"/>
          <w:rtl/>
        </w:rPr>
        <w:tab/>
        <w:t>ونتيجة لذلك، أنشئت أجهزة جديدة وهي وحدات/وكالات الصحة المحلية وأسندت إليها المهام التي كانت منوطة من قبل هيئة التفتيش في مجال العمل فيما يخص رصد الحالة الصحية للعمال. كما منحت هذه الوحدات سلطة الدخول وسلطة إصدار التحذيرات اللتين كان يتمتع بهما المفتشون من قبل. وتمارس هذه السلطات في إطار الأنشطة التي ينص القانون صراحة على إسنادها إلى موظفي وحدات/وكالات الصحة المحلية وهي التوصية باتخاذ تدابير ملائمة للقضاء على عوامل الخطر وتحسين ظروف المعيشة والعمل عملاً بالقوانين السارية في الوقت الراهن (المادة 20 من القانون 833/1978). وكما ذكر أعلاه، يجري الآن الاضطلاع بمهام الوقاية والرصد في هذا المجال أساساً بناء على القواعد الإلزامية المعتمدة بموجب المرسوم التشريعي 758/1994 والتي تنص على سلطة/مهمة اتخاذ تدابير خاصة من جانب الهيئة المشرفة (المفتشون في وحدة/وكالة الصحة المحلية والمفتشون في مجال العمل) لكي يتدارك المخالفون ما ارتكبوه من انتهاكات للقواعد المنظمة للأمور المتعلقة بالصحة والسلامة المهنيتين والواردة في الملحق 1 للمرسوم التشريعي ذاته.</w:t>
      </w:r>
    </w:p>
    <w:p w:rsidR="00000000" w:rsidRDefault="00000000">
      <w:pPr>
        <w:spacing w:line="400" w:lineRule="exact"/>
        <w:jc w:val="both"/>
        <w:rPr>
          <w:rFonts w:hint="cs"/>
          <w:rtl/>
        </w:rPr>
      </w:pPr>
      <w:r>
        <w:rPr>
          <w:rFonts w:hint="cs"/>
          <w:rtl/>
        </w:rPr>
        <w:t>66-</w:t>
      </w:r>
      <w:r>
        <w:rPr>
          <w:rFonts w:hint="cs"/>
          <w:rtl/>
        </w:rPr>
        <w:tab/>
        <w:t>وهذا الإجراء الخاص يحل محل ممارسة سلطتي إصدار التحذيرات والأحكام في حال ارتكاب مخالفات وينطوي على سلطة/مهمة إصدار أمر خاص يحدد المدة التي يجب خلالها تدارك المخالفة في سياق ممارسة مهام إنفاذ القانون. وفي حال الإخلال بالأمر، يلزم المخالف بدفع مبلغاً يساوي ربع قيمة الغرامة القصوى المحددة. ولا يجوز للهيئة المشرفة أن تصدر الأمر إلا في حال ارتكاب مخالفات في الأمور المتعلقة بالصحة والسلامة المهنيتين يجوز المعاقبة عليها بالحبس كبديل لدفع الغرامة. وإسناد سلطات يتمتع بها بالفعل المفتشون في مجال العمل في الأمور المتعلقة بالصحة والسلامة في مكان العمل لموظفي وحدات/وكالات الصحة المحلية تمثل مشكلة تتعلق بالتنسيق بين المهام التي تضطلع بها الحكومة المركزية والمهام التي تمارسها المقاطعات والبلديات. وينص المرسوم 412/1997 الصادر عن رئيس الوزراء على التنسيق بين المفتشين في مجال العمل ومفتشي الوكالات الصحية في هذا الصدد، إذ إنه يقضي بإحاطة قسم الوقاية التابع لوكالة الصحة المحلية علماً بصورة دورية بالأنشطة التي تضطلع بها الهيئات الوزارية وفقاً لجداول زمنية متفق عليها بغية تجنب ازدواج الأعمال.</w:t>
      </w:r>
    </w:p>
    <w:p w:rsidR="00000000" w:rsidRDefault="00000000">
      <w:pPr>
        <w:spacing w:line="400" w:lineRule="exact"/>
        <w:jc w:val="both"/>
        <w:rPr>
          <w:rFonts w:hint="cs"/>
          <w:rtl/>
        </w:rPr>
      </w:pPr>
      <w:r>
        <w:rPr>
          <w:rFonts w:hint="cs"/>
          <w:rtl/>
        </w:rPr>
        <w:t>67-</w:t>
      </w:r>
      <w:r>
        <w:rPr>
          <w:rFonts w:hint="cs"/>
          <w:rtl/>
        </w:rPr>
        <w:tab/>
        <w:t>وتنص المادة 27 من المرسوم التشريعي 626/1994 على إنشاء لجنة إقليمية للتنسيق تعنى بالاتصال بالهيئات الإشرافية التابعة لوزارتي الصحة والعمل بهدف تحديد معايير مناسبة لضمان اتباع مبادئ ومعايير موحدة لدى القيام بأنشطة الإشراف على الأمور المتعلقة بالصحة والسلامة المهنيتين.</w:t>
      </w:r>
    </w:p>
    <w:p w:rsidR="00000000" w:rsidRDefault="00000000">
      <w:pPr>
        <w:pStyle w:val="Heading1"/>
        <w:spacing w:line="400" w:lineRule="exact"/>
        <w:rPr>
          <w:rFonts w:hint="cs"/>
          <w:sz w:val="30"/>
          <w:szCs w:val="30"/>
          <w:rtl/>
        </w:rPr>
      </w:pPr>
      <w:r>
        <w:rPr>
          <w:rFonts w:hint="cs"/>
          <w:sz w:val="30"/>
          <w:szCs w:val="30"/>
          <w:rtl/>
        </w:rPr>
        <w:t>منح سلطات التفتيش لأجهزة الضمان الاجتماعي</w:t>
      </w:r>
    </w:p>
    <w:p w:rsidR="00000000" w:rsidRDefault="00000000">
      <w:pPr>
        <w:spacing w:line="400" w:lineRule="exact"/>
        <w:jc w:val="both"/>
        <w:rPr>
          <w:rFonts w:hint="cs"/>
          <w:rtl/>
        </w:rPr>
      </w:pPr>
      <w:r>
        <w:rPr>
          <w:rFonts w:hint="cs"/>
          <w:rtl/>
        </w:rPr>
        <w:t>68-</w:t>
      </w:r>
      <w:r>
        <w:rPr>
          <w:rFonts w:hint="cs"/>
          <w:rtl/>
        </w:rPr>
        <w:tab/>
        <w:t>لم يتم التخلي عن دور المفتشين المركزي والحصري في الأمور المتعلقة بالإشراف على ظروف العمل في ميدان الصحة والسلامة المهنيتين فحسب، وإنما أيضاً فيما يتصل بقضايا الضمان الاجتماعي حيث منحت للمفتشين العاملين في الهيئات المختصة بإدارة اشتراكات الضمان الاجتماعي الإلزامية سلطات أوسع نطاقاً في ما يخص إجراء التحقيقات بمقتضى القانون 638/1983. وتنص المادة 3 من هذا القانون على منح موظفي هذه الهيئات المعنية بالتأمين (مثل المؤسسة الوطنية للضمان الاجتماعي، والمؤسسة الوطنية للتأمين من الحوادث خلال العمل، والوكالة الوطنية المعنية بتقديم الخدمات الضمان الاجتماعي والمساعدة للعاملين في المسرح والسينما وغيرها) المكلفين بمهام الإشراف على المسائل المتعلقة بالاشتراكات السلطات التالية: الدخول إلى جميع الأماكن في الشركة ... لفحص شؤون الموظفين وكشوف الأجور ... وأي وثيقة أخرى لها صلة مباشرة أو غير مباشرة بالتزامات دفع الاشتراكات وتوزيع الفوائد؛ وإصدار أرباب العمل والعمال وممثلي نقابات العمال لتصريحات بصدد وجود علاقات العمل والأجور وإجراءات دفع اشتراكات الضمان الاجتماعي والتأمينات وتوزيع الفوائد. وتنص المادة 3 أيضاً على منح هؤلاء الموظفين السلطات التي يتمتع بها المفتشون في مجال العمل باستثناء سلطة إصدار الغرامات. وتقضي المادة نفسها بأن تتولى مديرية العمل المحلية ممارسة سلطة التنسيق بعد التشاور مع الهيئات المختصة بالضمان الاجتماعي، مثلاً من خلال وضع برامج سنوية بهدف مكافحة التهرب من تسديد الاشتراكات الإلزامية للضمان الاجتماعي والمساعدة الاجتماعية.</w:t>
      </w:r>
    </w:p>
    <w:p w:rsidR="00000000" w:rsidRDefault="00000000">
      <w:pPr>
        <w:spacing w:before="220" w:after="220" w:line="380" w:lineRule="exact"/>
        <w:jc w:val="both"/>
        <w:rPr>
          <w:rFonts w:hint="cs"/>
          <w:rtl/>
        </w:rPr>
      </w:pPr>
      <w:r>
        <w:rPr>
          <w:rFonts w:hint="cs"/>
          <w:rtl/>
        </w:rPr>
        <w:t>69-</w:t>
      </w:r>
      <w:r>
        <w:rPr>
          <w:rFonts w:hint="cs"/>
          <w:rtl/>
        </w:rPr>
        <w:tab/>
        <w:t>وتحقيقاً لهذه الغاية، تعد سنوياً أنشطة مشتركة للإشراف تضطلع بها أفرقة التفتيش المكونة من مفتشين من هيئة التفتيش في مجال العمل والهيئات المختصة بالضمان الاجتماعي بهدف مكافحة التهرب من تسديد الاشتراكات حسبما ذكر أعلاه. وينبغي مقارنة هذا الإجراء بالمادة 5 من القانون 628/1961 التي بموجبها تناط بمديرية العمل المحلية مهمة تنظيم أنشطة المؤسسة الوطنية للتأمين من الحوادث خلال العمل في مجالي المساعدة والإشراف بغية تجنب عمليات المراقبة المتعددة والاختلافات في تناول الحالات.</w:t>
      </w:r>
    </w:p>
    <w:p w:rsidR="00000000" w:rsidRDefault="00000000">
      <w:pPr>
        <w:spacing w:before="220" w:after="220" w:line="380" w:lineRule="exact"/>
        <w:jc w:val="both"/>
        <w:rPr>
          <w:rFonts w:hint="cs"/>
          <w:rtl/>
        </w:rPr>
      </w:pPr>
      <w:r>
        <w:rPr>
          <w:rFonts w:hint="cs"/>
          <w:rtl/>
        </w:rPr>
        <w:t>70-</w:t>
      </w:r>
      <w:r>
        <w:rPr>
          <w:rFonts w:hint="cs"/>
          <w:rtl/>
        </w:rPr>
        <w:tab/>
        <w:t>وأفسح المجال لمعالجة مسألة تنسيق أنشطة التفتيش في الأحكام التشريعية التي صدرت مؤخراً أيضاً مثل المادة 79 من القانون 448/1998 التي اعتمدت بموجبها تدابير تستهدف إلى مكافحة سوق العمل "غير الرسمية" أو "الخفية". وبموجب هذه المادة، تسند إلى وزارة العمل ووزارة المالية ومؤسسات الضمان الاجتماعي ووحدات/وكالات الصحة المحلية مهمة تنسيق أنشطتها المتعلقة بإجراء عمليات التفتيش ورصد المتطلبات من الضرائب والاشتراكات عن طريق وضع مشاريع متكاملة. وبمقتضى المادة نفسها، تسند إلى وزارة العمل مهمة اتخاذ المبادرة في هذه الأنشطة. ولهذا الغرض أنشأت الوزارة لجنة مركزية تقوم بتحديد المعايير اللازمة لوضع خطة للقيام بعمليات المراقبة المتكاملة المذكورة أعلاه، بما في ذلك عن طريق تبادل البيانات والمعلومات بشأن مختلف المبادرات المتعلقة بالرصد التي يتخذها المشاركون.</w:t>
      </w:r>
    </w:p>
    <w:p w:rsidR="00000000" w:rsidRDefault="00000000">
      <w:pPr>
        <w:pStyle w:val="Heading9"/>
        <w:spacing w:before="220" w:after="220" w:line="380" w:lineRule="exact"/>
        <w:jc w:val="center"/>
        <w:rPr>
          <w:rFonts w:hint="cs"/>
          <w:b/>
          <w:bCs/>
          <w:u w:val="none"/>
          <w:rtl/>
        </w:rPr>
      </w:pPr>
      <w:r>
        <w:rPr>
          <w:rFonts w:hint="cs"/>
          <w:b/>
          <w:bCs/>
          <w:u w:val="none"/>
          <w:rtl/>
        </w:rPr>
        <w:t>حاء-</w:t>
      </w:r>
      <w:r>
        <w:rPr>
          <w:rFonts w:hint="cs"/>
          <w:b/>
          <w:bCs/>
          <w:u w:val="none"/>
          <w:rtl/>
        </w:rPr>
        <w:tab/>
        <w:t>المعوقون</w:t>
      </w:r>
    </w:p>
    <w:p w:rsidR="00000000" w:rsidRDefault="00000000">
      <w:pPr>
        <w:spacing w:before="220" w:after="220" w:line="380" w:lineRule="exact"/>
        <w:ind w:left="720" w:hanging="720"/>
        <w:jc w:val="both"/>
        <w:rPr>
          <w:rFonts w:hint="cs"/>
          <w:b/>
          <w:bCs/>
          <w:sz w:val="30"/>
          <w:rtl/>
          <w:lang w:eastAsia="en-US"/>
        </w:rPr>
      </w:pPr>
      <w:r>
        <w:rPr>
          <w:rFonts w:hint="cs"/>
          <w:b/>
          <w:bCs/>
          <w:rtl/>
        </w:rPr>
        <w:tab/>
        <w:t>10-</w:t>
      </w:r>
      <w:r>
        <w:rPr>
          <w:rFonts w:hint="cs"/>
          <w:b/>
          <w:bCs/>
          <w:rtl/>
        </w:rPr>
        <w:tab/>
      </w:r>
      <w:r>
        <w:rPr>
          <w:rFonts w:hint="cs"/>
          <w:b/>
          <w:bCs/>
          <w:sz w:val="30"/>
          <w:rtl/>
          <w:lang w:eastAsia="en-US"/>
        </w:rPr>
        <w:t>تشجع اللجنة الدولة الطرف على أن تصدق، على اتفاقية عام 1983 (رقم 159) بشأن التأهيل المهني والعمالة (الخاصة بالمعوقين). وتقدر اللجنة تلقي أي معلومات عن القضايا التي بتت فيها المحاكم بموجب التشريعات الخاصة بالعجز من وزارة العمل في التقرير الدوري التالي.</w:t>
      </w:r>
    </w:p>
    <w:p w:rsidR="00000000" w:rsidRDefault="00000000">
      <w:pPr>
        <w:spacing w:before="220" w:after="220" w:line="380" w:lineRule="exact"/>
        <w:jc w:val="both"/>
        <w:rPr>
          <w:rFonts w:hint="cs"/>
          <w:sz w:val="30"/>
          <w:rtl/>
          <w:lang w:eastAsia="en-US"/>
        </w:rPr>
      </w:pPr>
      <w:r>
        <w:rPr>
          <w:rFonts w:hint="cs"/>
          <w:sz w:val="30"/>
          <w:rtl/>
          <w:lang w:eastAsia="en-US"/>
        </w:rPr>
        <w:t>71-</w:t>
      </w:r>
      <w:r>
        <w:rPr>
          <w:rFonts w:hint="cs"/>
          <w:sz w:val="30"/>
          <w:rtl/>
          <w:lang w:eastAsia="en-US"/>
        </w:rPr>
        <w:tab/>
        <w:t>وتتضمن التعليقات على المادة 11 من العهد وصفاً كاملاً للمشاكل المتعلقة بالمعوقين في إيطاليا.</w:t>
      </w:r>
    </w:p>
    <w:p w:rsidR="00000000" w:rsidRDefault="00000000">
      <w:pPr>
        <w:spacing w:before="220" w:after="220" w:line="380" w:lineRule="exact"/>
        <w:jc w:val="center"/>
        <w:rPr>
          <w:rFonts w:hint="cs"/>
          <w:sz w:val="30"/>
          <w:rtl/>
          <w:lang w:eastAsia="en-US"/>
        </w:rPr>
      </w:pPr>
      <w:r>
        <w:rPr>
          <w:rFonts w:hint="cs"/>
          <w:b/>
          <w:bCs/>
          <w:sz w:val="30"/>
          <w:rtl/>
          <w:lang w:eastAsia="en-US"/>
        </w:rPr>
        <w:t>طاء-</w:t>
      </w:r>
      <w:r>
        <w:rPr>
          <w:rFonts w:hint="cs"/>
          <w:b/>
          <w:bCs/>
          <w:sz w:val="30"/>
          <w:rtl/>
          <w:lang w:eastAsia="en-US"/>
        </w:rPr>
        <w:tab/>
        <w:t>الفقر</w:t>
      </w:r>
    </w:p>
    <w:p w:rsidR="00000000" w:rsidRDefault="00000000">
      <w:pPr>
        <w:spacing w:before="220" w:after="220" w:line="380" w:lineRule="exact"/>
        <w:ind w:left="720"/>
        <w:jc w:val="both"/>
        <w:rPr>
          <w:rFonts w:hint="cs"/>
          <w:b/>
          <w:bCs/>
          <w:sz w:val="30"/>
          <w:rtl/>
          <w:lang w:eastAsia="en-US"/>
        </w:rPr>
      </w:pPr>
      <w:r>
        <w:rPr>
          <w:rFonts w:hint="cs"/>
          <w:b/>
          <w:bCs/>
          <w:sz w:val="30"/>
          <w:rtl/>
          <w:lang w:eastAsia="en-US"/>
        </w:rPr>
        <w:t>11-</w:t>
      </w:r>
      <w:r>
        <w:rPr>
          <w:rFonts w:hint="cs"/>
          <w:b/>
          <w:bCs/>
          <w:sz w:val="30"/>
          <w:rtl/>
          <w:lang w:eastAsia="en-US"/>
        </w:rPr>
        <w:tab/>
        <w:t>توصي اللجنة الدولة الطرف بأن تكثِّف جهودها لمساعدة الأشخاص الذين يعيشون دون خط الفقر، وأغلبيتهم من النساء.</w:t>
      </w:r>
    </w:p>
    <w:p w:rsidR="00000000" w:rsidRDefault="00000000">
      <w:pPr>
        <w:pStyle w:val="BodyText2"/>
        <w:spacing w:before="220" w:after="220" w:line="380" w:lineRule="exact"/>
        <w:rPr>
          <w:rFonts w:hint="cs"/>
          <w:rtl/>
        </w:rPr>
      </w:pPr>
      <w:r>
        <w:rPr>
          <w:rFonts w:hint="cs"/>
          <w:rtl/>
        </w:rPr>
        <w:t>72-</w:t>
      </w:r>
      <w:r>
        <w:rPr>
          <w:rFonts w:hint="cs"/>
          <w:rtl/>
        </w:rPr>
        <w:tab/>
        <w:t>ولقد أوليت أهمية خاصة لمشكلة الفقر في الخطة الوطنية الجديدة للإدماج الاجتماعي. وترد معلومات إضافية عن الخطة في موضع لاحق من هذا التقرير.</w:t>
      </w:r>
    </w:p>
    <w:p w:rsidR="00000000" w:rsidRDefault="00000000">
      <w:pPr>
        <w:pStyle w:val="Heading6"/>
        <w:spacing w:before="220" w:after="220" w:line="380" w:lineRule="exact"/>
        <w:jc w:val="center"/>
        <w:rPr>
          <w:rFonts w:hint="cs"/>
          <w:b/>
          <w:bCs/>
          <w:rtl/>
        </w:rPr>
      </w:pPr>
      <w:r>
        <w:rPr>
          <w:rFonts w:hint="cs"/>
          <w:b/>
          <w:bCs/>
          <w:rtl/>
        </w:rPr>
        <w:t>ثانياً-</w:t>
      </w:r>
      <w:r>
        <w:rPr>
          <w:rFonts w:hint="cs"/>
          <w:b/>
          <w:bCs/>
          <w:rtl/>
        </w:rPr>
        <w:tab/>
        <w:t>تنفيذ مواد معينة من العهد</w:t>
      </w:r>
    </w:p>
    <w:p w:rsidR="00000000" w:rsidRDefault="00000000">
      <w:pPr>
        <w:pStyle w:val="Heading7"/>
        <w:spacing w:before="220" w:after="220" w:line="380" w:lineRule="exact"/>
        <w:jc w:val="center"/>
        <w:rPr>
          <w:rFonts w:hint="cs"/>
          <w:i w:val="0"/>
          <w:iCs w:val="0"/>
          <w:rtl/>
        </w:rPr>
      </w:pPr>
      <w:r>
        <w:rPr>
          <w:rFonts w:hint="cs"/>
          <w:i w:val="0"/>
          <w:iCs w:val="0"/>
          <w:rtl/>
        </w:rPr>
        <w:t>ألف-</w:t>
      </w:r>
      <w:r>
        <w:rPr>
          <w:rFonts w:hint="cs"/>
          <w:i w:val="0"/>
          <w:iCs w:val="0"/>
          <w:rtl/>
        </w:rPr>
        <w:tab/>
        <w:t>المادتان 2 و3</w:t>
      </w:r>
    </w:p>
    <w:p w:rsidR="00000000" w:rsidRDefault="00000000">
      <w:pPr>
        <w:pStyle w:val="Heading8"/>
        <w:spacing w:before="220" w:after="220" w:line="380" w:lineRule="exact"/>
        <w:jc w:val="center"/>
        <w:rPr>
          <w:rFonts w:hint="cs"/>
          <w:b/>
          <w:bCs/>
          <w:i w:val="0"/>
          <w:iCs w:val="0"/>
          <w:rtl/>
        </w:rPr>
      </w:pPr>
      <w:r>
        <w:rPr>
          <w:rFonts w:hint="cs"/>
          <w:b/>
          <w:bCs/>
          <w:i w:val="0"/>
          <w:iCs w:val="0"/>
          <w:rtl/>
        </w:rPr>
        <w:t>التمييز</w:t>
      </w:r>
    </w:p>
    <w:p w:rsidR="00000000" w:rsidRDefault="00000000">
      <w:pPr>
        <w:spacing w:before="220" w:after="220" w:line="380" w:lineRule="exact"/>
        <w:jc w:val="both"/>
        <w:rPr>
          <w:rFonts w:hint="cs"/>
          <w:b/>
          <w:bCs/>
          <w:rtl/>
        </w:rPr>
      </w:pPr>
      <w:r>
        <w:rPr>
          <w:rFonts w:hint="cs"/>
          <w:b/>
          <w:bCs/>
          <w:rtl/>
        </w:rPr>
        <w:t xml:space="preserve">المرأة </w:t>
      </w:r>
      <w:r>
        <w:rPr>
          <w:b/>
          <w:bCs/>
          <w:rtl/>
        </w:rPr>
        <w:t>–</w:t>
      </w:r>
      <w:r>
        <w:rPr>
          <w:rFonts w:hint="cs"/>
          <w:b/>
          <w:bCs/>
          <w:rtl/>
        </w:rPr>
        <w:t xml:space="preserve"> اقتصاد الظل</w:t>
      </w:r>
    </w:p>
    <w:p w:rsidR="00000000" w:rsidRDefault="00000000">
      <w:pPr>
        <w:spacing w:line="400" w:lineRule="exact"/>
        <w:jc w:val="both"/>
        <w:rPr>
          <w:rFonts w:hint="cs"/>
          <w:rtl/>
        </w:rPr>
      </w:pPr>
      <w:r>
        <w:rPr>
          <w:rFonts w:hint="cs"/>
          <w:rtl/>
        </w:rPr>
        <w:t>73-</w:t>
      </w:r>
      <w:r>
        <w:rPr>
          <w:rFonts w:hint="cs"/>
          <w:rtl/>
        </w:rPr>
        <w:tab/>
        <w:t>ينص الدستور الإيطالي (المواد 3 و35 و37) على مبدأ تكافؤ الفرص بين الرجال والنساء في مجال العمل الذي نفذ تنفيذاً تاماً في القوانين الإيطالية (القانون 903/77 والتدابير اللاحقة). ومع ذلك فما زال الرجال والنساء يحتلون في الواقع أماكن مختلفة في سوق العمل. وتبين النسبة المعكوسة بين تدريب النساء وتوظيفهن مقارنة بالرجال أن سوق العمل هي موقع يتميز بالمساواة الفعلية بين الجنسين (النساء إجمالاً أفضل تدريباً من الرجال غير أن معدل العمالة في صفوفهن أقل من المعدل المسجل في صفوف الرجال).</w:t>
      </w:r>
    </w:p>
    <w:p w:rsidR="00000000" w:rsidRDefault="00000000">
      <w:pPr>
        <w:spacing w:line="400" w:lineRule="exact"/>
        <w:jc w:val="both"/>
        <w:rPr>
          <w:rFonts w:hint="cs"/>
          <w:rtl/>
        </w:rPr>
      </w:pPr>
      <w:r>
        <w:rPr>
          <w:rFonts w:hint="cs"/>
          <w:rtl/>
        </w:rPr>
        <w:t>74-</w:t>
      </w:r>
      <w:r>
        <w:rPr>
          <w:rFonts w:hint="cs"/>
          <w:rtl/>
        </w:rPr>
        <w:tab/>
        <w:t>وتقييم وقع جميع التدابير الاقتصادية والتدابير المتعلقة بالعمل المتخذة على المرأة بهدف تنفيذ سياسة "تعميم المنظور الجنساني" التي حددت بوضعها من الأولويات العليا في المؤتمر العالمي الذي عقد في بيجين عام 1995 واتبعت في إيطاليا بناء على توجيه برودي وفينوكيارو لعام 1997 يعتبر خطوة أساسية في إطار الجهود المبذولة لتحسين مستوى معيشة الجنسين من الناحيتين الاجتماعية والاقتصادية. وفي حين أنه لا تزال هناك أوجه تفاوت في ظروف العمل بين الرجل والمرأة فقد سجلت زيادة في مستوى العمالة في صفوف النساء. وفي إطار سوق العمل الموحد، تمثل النساء أكثر الشرائح نشاطاً على الرغم من أنها شريحة ما زالت هشة حتى الآن.</w:t>
      </w:r>
    </w:p>
    <w:p w:rsidR="00000000" w:rsidRDefault="00000000">
      <w:pPr>
        <w:spacing w:line="400" w:lineRule="exact"/>
        <w:jc w:val="both"/>
        <w:rPr>
          <w:rFonts w:hint="cs"/>
          <w:rtl/>
        </w:rPr>
      </w:pPr>
      <w:r>
        <w:rPr>
          <w:rFonts w:hint="cs"/>
          <w:spacing w:val="0"/>
          <w:rtl/>
        </w:rPr>
        <w:t>75-</w:t>
      </w:r>
      <w:r>
        <w:rPr>
          <w:rFonts w:hint="cs"/>
          <w:spacing w:val="0"/>
          <w:rtl/>
        </w:rPr>
        <w:tab/>
        <w:t>واستناداً إلى بيانات قدمها المعهد الإيطالي للإحصائيات الوطنية، ازداد مجموع عدد العمال بمقدار 000 168 1 عامل في الفترة ما بين عامي 1997 و2000 وكان هناك ما يزيد على 000 700 امرأة من بين هؤلاء العمال الجدد (أو 61 في المائة). ومن خلال تحليل هذه الإحصاءات تحليلاً جزئياً يمكن استخلاص أن معدل عمالة الإناث بلغ مستويات مقبولة تتوافق مع المستويات المسجلة في باقي بلدان الاتحاد الأوروبي. وعلى الرغم من بدء عملية</w:t>
      </w:r>
      <w:r>
        <w:rPr>
          <w:rFonts w:hint="cs"/>
          <w:rtl/>
        </w:rPr>
        <w:t xml:space="preserve"> تدريجية لتسوية الفروق بين معدلات عمالة الإناث والذكور فلم تبلغ معدلات النشاط في إيطاليا متوسط المعدلات الأوروبية حتى الآن كما يظهر في التقرير عن المرأة لعام 2000 الذي أعده مكتب رئيس الوزراء الإيطالي وصدر بعد خمسة أعوام من انعقاد مؤتمر بيجين. ويعزى ذلك أساساً إلى انخفاض معدل نشاط عمل الإناث وناظر الارتفاع في معدل عمالة الإناث زيادة في معدل البطالة في صفوف الإناث نظراً إلى ارتفاع عدد النساء اللواتي يعرضن خدماتهن في سوق العمل. </w:t>
      </w:r>
    </w:p>
    <w:p w:rsidR="00000000" w:rsidRDefault="00000000">
      <w:pPr>
        <w:spacing w:line="400" w:lineRule="exact"/>
        <w:jc w:val="both"/>
        <w:rPr>
          <w:rFonts w:hint="cs"/>
          <w:rtl/>
        </w:rPr>
      </w:pPr>
      <w:r>
        <w:rPr>
          <w:rFonts w:hint="cs"/>
          <w:rtl/>
        </w:rPr>
        <w:t>76-</w:t>
      </w:r>
      <w:r>
        <w:rPr>
          <w:rFonts w:hint="cs"/>
          <w:rtl/>
        </w:rPr>
        <w:tab/>
        <w:t>ويجدر بالذكر أيضاً أن ارتفاع معدل عمالة الإناث كان مصحوباً بزيادة في عدد ما يسمى الوظائف غير النمطية أي العمل لبعض الوقت ولمدة محددة وكذلك علاقات العمل القائمة على مساهمات خارجية منسقة ومتواصلة. وأتاحت هذه الوظائف التي تتسم بدرجة أكبر من المرونة للمرأة فرصة فعلية لاقتحام سوق العمل على الرغم مما يصحبها من عدم استقرار الأوضاع وتدهور في الحقوق ونقص في الضمانات وآفاق الارتقاء المهني.</w:t>
      </w:r>
    </w:p>
    <w:p w:rsidR="00000000" w:rsidRDefault="00000000">
      <w:pPr>
        <w:spacing w:line="400" w:lineRule="exact"/>
        <w:jc w:val="both"/>
        <w:rPr>
          <w:rFonts w:hint="cs"/>
          <w:rtl/>
        </w:rPr>
      </w:pPr>
      <w:r>
        <w:rPr>
          <w:rFonts w:hint="cs"/>
          <w:rtl/>
        </w:rPr>
        <w:t>77-</w:t>
      </w:r>
      <w:r>
        <w:rPr>
          <w:rFonts w:hint="cs"/>
          <w:rtl/>
        </w:rPr>
        <w:tab/>
        <w:t>وأخيراً، ينبغي الإشارة إلى أن أي تقييم لتكافؤ الفرص بين الرجل والمرأة من حيث فرص العمل والتطوير المهني واتخاذ زمام المبادرة لن يكون كاملاً دون إجراء دراسة للآثار الأكثر أهمية لاتفاقي عام 1993 وعام 1996 على العرض من العمال الإناث.</w:t>
      </w:r>
    </w:p>
    <w:p w:rsidR="00000000" w:rsidRDefault="00000000">
      <w:pPr>
        <w:spacing w:line="400" w:lineRule="exact"/>
        <w:jc w:val="both"/>
        <w:rPr>
          <w:rFonts w:hint="cs"/>
          <w:b/>
          <w:bCs/>
          <w:rtl/>
        </w:rPr>
      </w:pPr>
      <w:r>
        <w:rPr>
          <w:rFonts w:hint="cs"/>
          <w:b/>
          <w:bCs/>
          <w:rtl/>
        </w:rPr>
        <w:t>المساواة بين الجنسين في مجال التعليم</w:t>
      </w:r>
    </w:p>
    <w:p w:rsidR="00000000" w:rsidRDefault="00000000">
      <w:pPr>
        <w:spacing w:line="400" w:lineRule="exact"/>
        <w:jc w:val="both"/>
        <w:rPr>
          <w:rFonts w:hint="cs"/>
          <w:spacing w:val="-4"/>
          <w:rtl/>
        </w:rPr>
      </w:pPr>
      <w:r>
        <w:rPr>
          <w:rFonts w:hint="cs"/>
          <w:spacing w:val="-4"/>
          <w:rtl/>
        </w:rPr>
        <w:t>78-</w:t>
      </w:r>
      <w:r>
        <w:rPr>
          <w:rFonts w:hint="cs"/>
          <w:spacing w:val="-4"/>
          <w:rtl/>
        </w:rPr>
        <w:tab/>
        <w:t>اتخذت وزارة التعليم عدداً من المبادرات لدعم المساواة بين الجنسين وتشجيعها في الفترة ما بين 1997 و2000.</w:t>
      </w:r>
    </w:p>
    <w:p w:rsidR="00000000" w:rsidRDefault="00000000">
      <w:pPr>
        <w:spacing w:line="400" w:lineRule="exact"/>
        <w:jc w:val="both"/>
        <w:rPr>
          <w:rFonts w:hint="cs"/>
          <w:rtl/>
        </w:rPr>
      </w:pPr>
      <w:r>
        <w:rPr>
          <w:rFonts w:hint="cs"/>
          <w:rtl/>
        </w:rPr>
        <w:t>79-</w:t>
      </w:r>
      <w:r>
        <w:rPr>
          <w:rFonts w:hint="cs"/>
          <w:rtl/>
        </w:rPr>
        <w:tab/>
        <w:t>ويمكن ملاحظة السمات الرئيسية لهذه المبادرات عبر المحاور/الأبعاد التالية:</w:t>
      </w:r>
    </w:p>
    <w:p w:rsidR="00000000" w:rsidRDefault="00000000">
      <w:pPr>
        <w:spacing w:line="400" w:lineRule="exact"/>
        <w:jc w:val="both"/>
        <w:rPr>
          <w:rFonts w:hint="cs"/>
          <w:rtl/>
        </w:rPr>
      </w:pPr>
      <w:r>
        <w:rPr>
          <w:rFonts w:hint="cs"/>
          <w:i/>
          <w:iCs/>
          <w:rtl/>
        </w:rPr>
        <w:t>الهيكل التنظيمي</w:t>
      </w:r>
      <w:r>
        <w:rPr>
          <w:rFonts w:hint="cs"/>
          <w:rtl/>
        </w:rPr>
        <w:t>:</w:t>
      </w:r>
    </w:p>
    <w:p w:rsidR="00000000" w:rsidRDefault="00000000">
      <w:pPr>
        <w:spacing w:line="400" w:lineRule="exact"/>
        <w:ind w:left="1434" w:hanging="720"/>
        <w:jc w:val="both"/>
        <w:rPr>
          <w:rFonts w:hint="cs"/>
          <w:rtl/>
        </w:rPr>
      </w:pPr>
      <w:r>
        <w:rPr>
          <w:rFonts w:hint="cs"/>
          <w:rtl/>
        </w:rPr>
        <w:t>-</w:t>
      </w:r>
      <w:r>
        <w:rPr>
          <w:rFonts w:hint="cs"/>
          <w:rtl/>
        </w:rPr>
        <w:tab/>
        <w:t>إغلاق المعاهد التقنية للمرأة التي استعيض عنها بالمعاهد التقنية للأنشطة الاجتماعية المفتوحة للطلاب من الإناث والذكور (المرسوم الوزاري رقم 383 الصادر في 7 تشرين الأول/أكتوبر 1998)؛</w:t>
      </w:r>
    </w:p>
    <w:p w:rsidR="00000000" w:rsidRDefault="00000000">
      <w:pPr>
        <w:spacing w:line="400" w:lineRule="exact"/>
        <w:ind w:left="1434" w:hanging="720"/>
        <w:jc w:val="both"/>
        <w:rPr>
          <w:rFonts w:hint="cs"/>
          <w:rtl/>
        </w:rPr>
      </w:pPr>
      <w:r>
        <w:rPr>
          <w:rFonts w:hint="cs"/>
          <w:rtl/>
        </w:rPr>
        <w:t>-</w:t>
      </w:r>
      <w:r>
        <w:rPr>
          <w:rFonts w:hint="cs"/>
          <w:rtl/>
        </w:rPr>
        <w:tab/>
        <w:t>إنشاء لجنتين تابعتين لوزارة التربية والتعليم لمعالجة مسألة المساواة بين الجنسين فيما يتعلق بظروف الموظفين الكتابيين والمعلمين.</w:t>
      </w:r>
    </w:p>
    <w:p w:rsidR="00000000" w:rsidRDefault="00000000">
      <w:pPr>
        <w:spacing w:line="400" w:lineRule="exact"/>
        <w:jc w:val="both"/>
        <w:rPr>
          <w:rFonts w:hint="cs"/>
          <w:rtl/>
        </w:rPr>
      </w:pPr>
      <w:r>
        <w:rPr>
          <w:rFonts w:hint="cs"/>
          <w:i/>
          <w:iCs/>
          <w:rtl/>
        </w:rPr>
        <w:t>الإرشادات التعليمية</w:t>
      </w:r>
      <w:r>
        <w:rPr>
          <w:rFonts w:hint="cs"/>
          <w:rtl/>
        </w:rPr>
        <w:t>:</w:t>
      </w:r>
    </w:p>
    <w:p w:rsidR="00000000" w:rsidRDefault="00000000">
      <w:pPr>
        <w:spacing w:line="400" w:lineRule="exact"/>
        <w:ind w:left="1434" w:hanging="720"/>
        <w:jc w:val="both"/>
        <w:rPr>
          <w:rFonts w:hint="cs"/>
          <w:spacing w:val="0"/>
          <w:rtl/>
        </w:rPr>
      </w:pPr>
      <w:r>
        <w:rPr>
          <w:rFonts w:hint="cs"/>
          <w:spacing w:val="0"/>
          <w:rtl/>
        </w:rPr>
        <w:t>-</w:t>
      </w:r>
      <w:r>
        <w:rPr>
          <w:rFonts w:hint="cs"/>
          <w:spacing w:val="0"/>
          <w:rtl/>
        </w:rPr>
        <w:tab/>
        <w:t>النظام الأساسي لتلاميذ المدارس الثانوية من الإناث والذكور الذي يحدد القيم التي تنظم الوسط المدرسي ويركز تركيزاً خاصاً على أهمية الحقوق المرتبطة بالمساواة بين الجنسين (المرسوم رقم 249 الصادر في 24 حزيران/يونيه 1998)؛</w:t>
      </w:r>
    </w:p>
    <w:p w:rsidR="00000000" w:rsidRDefault="00000000">
      <w:pPr>
        <w:spacing w:line="400" w:lineRule="exact"/>
        <w:ind w:left="1434" w:hanging="720"/>
        <w:jc w:val="both"/>
        <w:rPr>
          <w:rFonts w:hint="cs"/>
          <w:rtl/>
        </w:rPr>
      </w:pPr>
      <w:r>
        <w:rPr>
          <w:rFonts w:hint="cs"/>
          <w:spacing w:val="0"/>
          <w:rtl/>
        </w:rPr>
        <w:t>-</w:t>
      </w:r>
      <w:r>
        <w:rPr>
          <w:rFonts w:hint="cs"/>
          <w:spacing w:val="0"/>
          <w:rtl/>
        </w:rPr>
        <w:tab/>
      </w:r>
      <w:r>
        <w:rPr>
          <w:rFonts w:hint="cs"/>
          <w:rtl/>
        </w:rPr>
        <w:tab/>
        <w:t>تمويل برنامج تكافؤ الفرص في مجالي البحث والتدخل (المساواة بين الجنسين في المدارس) الذي يهدف إلى اقتراح مبادئ توجيهية لإعداد الكتب المدرسية بحيث تتوافق مع مبادئ المساواة بين الجنسين.</w:t>
      </w:r>
    </w:p>
    <w:p w:rsidR="00000000" w:rsidRDefault="00000000">
      <w:pPr>
        <w:spacing w:line="400" w:lineRule="exact"/>
        <w:jc w:val="both"/>
        <w:rPr>
          <w:rFonts w:hint="cs"/>
          <w:rtl/>
        </w:rPr>
      </w:pPr>
      <w:r>
        <w:rPr>
          <w:rFonts w:hint="cs"/>
          <w:i/>
          <w:iCs/>
          <w:rtl/>
        </w:rPr>
        <w:t>البعد التنفيذي أو العملي</w:t>
      </w:r>
      <w:r>
        <w:rPr>
          <w:rFonts w:hint="cs"/>
          <w:rtl/>
        </w:rPr>
        <w:t>:</w:t>
      </w:r>
    </w:p>
    <w:p w:rsidR="00000000" w:rsidRDefault="00000000">
      <w:pPr>
        <w:spacing w:line="400" w:lineRule="exact"/>
        <w:ind w:left="1434" w:hanging="720"/>
        <w:jc w:val="both"/>
        <w:rPr>
          <w:rStyle w:val="FootnoteReference"/>
          <w:rFonts w:hint="cs"/>
          <w:bCs w:val="0"/>
          <w:vertAlign w:val="baseline"/>
          <w:rtl/>
        </w:rPr>
      </w:pPr>
      <w:r>
        <w:rPr>
          <w:rFonts w:hint="cs"/>
          <w:rtl/>
        </w:rPr>
        <w:t>-</w:t>
      </w:r>
      <w:r>
        <w:rPr>
          <w:rFonts w:hint="cs"/>
          <w:rtl/>
        </w:rPr>
        <w:tab/>
        <w:t>تنفيذ مشاريع تدعم المساواة بين الجنسين في مجال التعليم في إطار البرنامج الوطني للفترة ما بين 2000 و2006 المعنون "المدارس من أجل التنمية" والممول جزئياً من المنتدى الاجتماعي الأوروبي - يتجاوز مجموع الالتزامات المالية 000 000 50 يورو -. ويستهدف على وجه التحديد دعم النساء اللواتي يرغبن في الدراسة دون التخلي عن وظائفهن بعدة طرق منها إنشاء مرافق لرعاية الأطفال أو تقديم حوافز مالية.</w:t>
      </w:r>
    </w:p>
    <w:p w:rsidR="00000000" w:rsidRDefault="00000000">
      <w:pPr>
        <w:spacing w:line="400" w:lineRule="exact"/>
        <w:jc w:val="center"/>
        <w:rPr>
          <w:rFonts w:hint="cs"/>
          <w:b/>
          <w:bCs/>
          <w:rtl/>
        </w:rPr>
      </w:pPr>
      <w:r>
        <w:rPr>
          <w:rFonts w:hint="cs"/>
          <w:b/>
          <w:bCs/>
          <w:rtl/>
        </w:rPr>
        <w:t>باء- المادة 6</w:t>
      </w:r>
    </w:p>
    <w:p w:rsidR="00000000" w:rsidRDefault="00000000">
      <w:pPr>
        <w:spacing w:line="400" w:lineRule="exact"/>
        <w:jc w:val="center"/>
        <w:rPr>
          <w:rFonts w:hint="cs"/>
          <w:b/>
          <w:bCs/>
          <w:rtl/>
        </w:rPr>
      </w:pPr>
      <w:r>
        <w:rPr>
          <w:rFonts w:hint="cs"/>
          <w:b/>
          <w:bCs/>
          <w:rtl/>
        </w:rPr>
        <w:t>الحق في العمل</w:t>
      </w:r>
    </w:p>
    <w:p w:rsidR="00000000" w:rsidRDefault="00000000">
      <w:pPr>
        <w:spacing w:line="400" w:lineRule="exact"/>
        <w:jc w:val="both"/>
        <w:rPr>
          <w:rFonts w:hint="cs"/>
          <w:b/>
          <w:bCs/>
          <w:rtl/>
        </w:rPr>
      </w:pPr>
      <w:r>
        <w:rPr>
          <w:rFonts w:hint="cs"/>
          <w:b/>
          <w:bCs/>
          <w:rtl/>
        </w:rPr>
        <w:t>مركز العاطل عن العمل</w:t>
      </w:r>
    </w:p>
    <w:p w:rsidR="00000000" w:rsidRDefault="00000000">
      <w:pPr>
        <w:spacing w:line="400" w:lineRule="exact"/>
        <w:jc w:val="both"/>
        <w:rPr>
          <w:rFonts w:hint="cs"/>
          <w:rtl/>
        </w:rPr>
      </w:pPr>
      <w:r>
        <w:rPr>
          <w:rFonts w:hint="cs"/>
          <w:rtl/>
        </w:rPr>
        <w:t>80-</w:t>
      </w:r>
      <w:r>
        <w:rPr>
          <w:rFonts w:hint="cs"/>
          <w:rtl/>
        </w:rPr>
        <w:tab/>
        <w:t xml:space="preserve">بمقتضى المرسوم التشريعي 181/2000 (الصادر طبقا للصلاحيات المفوضـة التي نص عليها القانون 144/1999، ملحق قانون المالية بشأن العمل لعام 2000)، تمت مراجعة المعايير التي تحدد متطلبات الأهلية فيما يتعلق بإمكانية الاستفادة من التدابير الوقائية؛ كما وضع المرسوم شروطا للحصول على مركز العاطل عن العمل ونصّ على أن حالة البطالة ينبغي أن تتوقف على الاستعداد للعمل حالما يتوفر، بحيث تترتب عن رفض أي عرض عمل مناسب خسارة "الأقدمية" في وضع البطالة. </w:t>
      </w:r>
    </w:p>
    <w:p w:rsidR="00000000" w:rsidRDefault="00000000">
      <w:pPr>
        <w:spacing w:line="400" w:lineRule="exact"/>
        <w:jc w:val="both"/>
        <w:rPr>
          <w:rFonts w:hint="cs"/>
          <w:rtl/>
        </w:rPr>
      </w:pPr>
      <w:r>
        <w:rPr>
          <w:rFonts w:hint="cs"/>
          <w:rtl/>
        </w:rPr>
        <w:t>81-</w:t>
      </w:r>
      <w:r>
        <w:rPr>
          <w:rFonts w:hint="cs"/>
          <w:rtl/>
        </w:rPr>
        <w:tab/>
        <w:t>وتضطلع إدارة خدمات العمالة العامة بدور رئيسي في هذا الصدد. إذ لا تتولى هذه الإدارة إنجاز المهام التقليدية المتصلة بالتحقق من ظروف العمل ورصدها فحسب، بل تقدم أيضا خدمات جديدة مثل "المقابلات التوجيهية" التي تنظم لفائدة الشبان والمراهقين في غضون ستة أشهر من انقطاعهم عن العمل، و"اقتراحات المشاركة في مبادرات الإدماج في سوق العمل أو التدريب و/أو إعادة التدريب" الموجهة إلى: (أ) النساء الراغبات في العودة إلى العمل، في غضون فترة لا تتجاوز ستة أشهر من انقطاعهن عنه؛ و(ب) العاطلين أو غير النشطين منذ أمد طويل، لفترة لا تتعدى 12 شهرا؛ و(ج) العاطلين عن العمل الذين يتلقون مساعدات الرعاية الاجتماعية، لفترة لا تتجاوز 6 أشهر.</w:t>
      </w:r>
    </w:p>
    <w:p w:rsidR="00000000" w:rsidRDefault="00000000">
      <w:pPr>
        <w:spacing w:line="400" w:lineRule="exact"/>
        <w:jc w:val="both"/>
        <w:rPr>
          <w:rFonts w:hint="cs"/>
          <w:rtl/>
        </w:rPr>
      </w:pPr>
      <w:r>
        <w:rPr>
          <w:rFonts w:hint="cs"/>
          <w:rtl/>
        </w:rPr>
        <w:t>82-</w:t>
      </w:r>
      <w:r>
        <w:rPr>
          <w:rFonts w:hint="cs"/>
          <w:rtl/>
        </w:rPr>
        <w:tab/>
        <w:t>وتجدر الإشارة إلى أن الأشخاص المعنيين يفقدون مركزهم كعاطلين عن العمل في حال تخلفهم عن "المقابلات التوجيهية".</w:t>
      </w:r>
    </w:p>
    <w:p w:rsidR="00000000" w:rsidRDefault="00000000">
      <w:pPr>
        <w:spacing w:line="400" w:lineRule="exact"/>
        <w:jc w:val="both"/>
        <w:rPr>
          <w:rFonts w:hint="cs"/>
          <w:b/>
          <w:bCs/>
          <w:rtl/>
        </w:rPr>
      </w:pPr>
      <w:r>
        <w:rPr>
          <w:rFonts w:hint="cs"/>
          <w:b/>
          <w:bCs/>
          <w:rtl/>
        </w:rPr>
        <w:t xml:space="preserve">الخبرة المهنية - الشبان </w:t>
      </w:r>
    </w:p>
    <w:p w:rsidR="00000000" w:rsidRDefault="00000000">
      <w:pPr>
        <w:spacing w:line="400" w:lineRule="exact"/>
        <w:jc w:val="both"/>
        <w:rPr>
          <w:rFonts w:hint="cs"/>
          <w:rtl/>
        </w:rPr>
      </w:pPr>
      <w:r>
        <w:rPr>
          <w:rFonts w:hint="cs"/>
          <w:rtl/>
        </w:rPr>
        <w:t>82-</w:t>
      </w:r>
      <w:r>
        <w:rPr>
          <w:rFonts w:hint="cs"/>
          <w:rtl/>
        </w:rPr>
        <w:tab/>
        <w:t>اقتداء بالمبادرات الراسخة في بلدان أخرى، اتخذت مجموعة من الإجراءات لتوفير خبرة مهنية فنية وتطبيقية بصفة غير تعاقدية. وتشمل هذه التدابير منح العمل التي نص عليها القانون 196/1997 (برنامج "تريو"، المسمى باسم وزير العمل في تلك الفترة) وخطط الإدماج المهني التي لم توضع موضع التنفيذ إلا ابتداء من سنة 1998، رغم أنها صيغت منذ سنة 1994. وترمي هذه الخطط إلى تشجيع أصحاب الكفاءات المهنية على قضاء فترات تدريب واكتساب خبرة في ميدان العمل؛ وبموجب اتفاقات خاصة مع جمعيات أصحاب العمل وجمعيات و/أو رابطات مهنية، وقد تسنى لشبان حاصلين على شهادة أو دبلوم مهني، وتتراوح أعمارهم بين 19 و32 عاما (حتى 35 عاماً في حالة العاطلين عن العمل المدرجين منذ ما لا يقل عن سنتين ضمن الفئة الأولى من سجل البطالة) اكتساب خبرة مهنية حقيقية بالعمل مع شركات أو إنجاز تطبيقات مهنية. وتدوم عمليات الإدماج لفترة تصل إلى ستة أشهر أو 960 ساعة في السنة، ويتقاضى المشاركون فيها 000 600 ليرة شهريا من المؤسسة الوطنية للضمان الاجتماعي. وأقرت حوافز خاصة في شكل تخفيضات في الاشتراكات لفائدة أصحاب العمل الذين يمنحون المشاركين، عند انتهاء خطة الإدماج المهني، عقد تدريب في العمل ضمن المجال المهني ذاته.</w:t>
      </w:r>
    </w:p>
    <w:p w:rsidR="00000000" w:rsidRDefault="00000000">
      <w:pPr>
        <w:spacing w:line="400" w:lineRule="exact"/>
        <w:jc w:val="both"/>
        <w:rPr>
          <w:rFonts w:hint="cs"/>
          <w:rtl/>
        </w:rPr>
      </w:pPr>
      <w:r>
        <w:rPr>
          <w:rFonts w:hint="cs"/>
          <w:rtl/>
        </w:rPr>
        <w:t>84-</w:t>
      </w:r>
      <w:r>
        <w:rPr>
          <w:rFonts w:hint="cs"/>
          <w:rtl/>
        </w:rPr>
        <w:tab/>
        <w:t xml:space="preserve">وفي السياق نفسه، يؤدي التوجيه، فضلا عن منح التدريب (المسماة </w:t>
      </w:r>
      <w:r>
        <w:rPr>
          <w:i/>
          <w:iCs/>
        </w:rPr>
        <w:t>tirocini</w:t>
      </w:r>
      <w:r>
        <w:rPr>
          <w:rFonts w:hint="cs"/>
          <w:rtl/>
        </w:rPr>
        <w:t xml:space="preserve"> ) التي خضعت للتعديل مؤخرا على أساس برنامج "تريو" (المادة 18) دورا هاما. إذ خوّل هذا الإجراء الهياكل الإقليمية وهياكل المقاطعات، إضافة إلى الجامعات والهيئات العامة والهيئات والمنظمات الخاصة غير الهادفة إلى الربح، والتي تعنى بإدماج المحرومين، سلطة اتخاذ مبادرات لتمكين الأشخاص الذين يتراوح مستوى تعليمهم بين الإعدادي والدراسات الجامعية العليا من تحسين معرفتهم المباشرة بميدان العمل من خلال التجارب المهنية مع أصحاب العمل من القطاعين العام والخاص. وتستغرق فترات التدريب بين 4 أشهر و24 شهرا، بحسب مستوى المشارك التعليمي ودرجة حرمانه (من منظور سوق العمل). ولم يحدد أي نوع من الأجر للمشارك، إلا إذا قرر صاحب العمل تقديمه بملء إرادته. كما لم يتقرر تقديم حوافز (من قبيل تخفيض الاشتراكات) أو مدفوعات من الأموال العامة إلى أصحاب العمل إذا عرضوا عملا على أحد المشاركين. </w:t>
      </w:r>
    </w:p>
    <w:p w:rsidR="00000000" w:rsidRDefault="00000000">
      <w:pPr>
        <w:spacing w:line="400" w:lineRule="exact"/>
        <w:jc w:val="both"/>
        <w:rPr>
          <w:rFonts w:hint="cs"/>
          <w:rtl/>
        </w:rPr>
      </w:pPr>
      <w:r>
        <w:rPr>
          <w:rFonts w:hint="cs"/>
          <w:rtl/>
        </w:rPr>
        <w:t>85-</w:t>
      </w:r>
      <w:r>
        <w:rPr>
          <w:rFonts w:hint="cs"/>
          <w:rtl/>
        </w:rPr>
        <w:tab/>
        <w:t>وتتضمن الصكوك التشريعية الخاصة بتهيئة ظروف إيجابية تحول دون بطالة الشبان أيضا العقود "المختلطة" التقليدية التي خضعت مؤخرا للتحديث والتعديل، وهي كالتالي:</w:t>
      </w:r>
    </w:p>
    <w:p w:rsidR="00000000" w:rsidRDefault="00000000">
      <w:pPr>
        <w:spacing w:line="400" w:lineRule="exact"/>
        <w:jc w:val="both"/>
        <w:rPr>
          <w:rFonts w:hint="cs"/>
          <w:rtl/>
        </w:rPr>
      </w:pPr>
      <w:r>
        <w:rPr>
          <w:rFonts w:hint="cs"/>
          <w:rtl/>
        </w:rPr>
        <w:tab/>
        <w:t>(أ)</w:t>
      </w:r>
      <w:r>
        <w:rPr>
          <w:rFonts w:hint="cs"/>
          <w:rtl/>
        </w:rPr>
        <w:tab/>
        <w:t xml:space="preserve">عدلت المادة 15 من القانون 196/1997 عقود التدريب والعمل التي نصت عليها المادة 16 من المرسوم التشريعي 299/1994. وعرفت مفوضية الاتحاد الأوروبي في شهر أيار/مايو 1999 إجراء المخالفة المتخذ ضد إيطاليا في تموز/يوليه 1998 والمتصل بمشروعية حوافز الاشتراكات، إذ قررت أنه لا يجوز اعتبار هذه المساعدات مشروعة إلا في ظل ظروف محددة، مثل استحداث وظائف جديدة وتوظيف عمال يعانون أوضاعاً صعبة مثل الشبان دون سن 25 (أو 29 بالنسبة إلى خريجي الجامعات) والعاطلين عن العمل منذ أمد طويل (أي لمدة تجاوزت 12 شهرا). وفي ما يتعلق بالإطار التشريعي، نصت الفقرة 2 من المادة 15 على أن عقود التدريب والعمل يمكن أيضا أن تستهدف في حالات أخرى: </w:t>
      </w:r>
      <w:r>
        <w:rPr>
          <w:rtl/>
        </w:rPr>
        <w:t>`</w:t>
      </w:r>
      <w:r>
        <w:rPr>
          <w:rFonts w:hint="cs"/>
          <w:rtl/>
        </w:rPr>
        <w:t>1</w:t>
      </w:r>
      <w:r>
        <w:rPr>
          <w:rtl/>
        </w:rPr>
        <w:t>`</w:t>
      </w:r>
      <w:r>
        <w:rPr>
          <w:rFonts w:hint="cs"/>
          <w:rtl/>
        </w:rPr>
        <w:t xml:space="preserve"> اكتساب مهارات مهنية من الدرجة المتوسطة؛</w:t>
      </w:r>
      <w:r>
        <w:rPr>
          <w:rtl/>
        </w:rPr>
        <w:br/>
        <w:t>`</w:t>
      </w:r>
      <w:r>
        <w:rPr>
          <w:rFonts w:hint="cs"/>
          <w:rtl/>
        </w:rPr>
        <w:t>2</w:t>
      </w:r>
      <w:r>
        <w:rPr>
          <w:rtl/>
        </w:rPr>
        <w:t>`</w:t>
      </w:r>
      <w:r>
        <w:rPr>
          <w:rFonts w:hint="cs"/>
          <w:rtl/>
        </w:rPr>
        <w:t xml:space="preserve"> اكتساب مهارات مهنية عالية؛ </w:t>
      </w:r>
      <w:r>
        <w:rPr>
          <w:rtl/>
        </w:rPr>
        <w:t>`</w:t>
      </w:r>
      <w:r>
        <w:rPr>
          <w:rFonts w:hint="cs"/>
          <w:rtl/>
        </w:rPr>
        <w:t>3</w:t>
      </w:r>
      <w:r>
        <w:rPr>
          <w:rtl/>
        </w:rPr>
        <w:t>`</w:t>
      </w:r>
      <w:r>
        <w:rPr>
          <w:rFonts w:hint="cs"/>
          <w:rtl/>
        </w:rPr>
        <w:t xml:space="preserve"> تسهيل الإدماج المهني من خلال إكساب خبرة مهنية تتيح تمشي المهارات مع متطلبات السياق الإنتاجي والتنظيمي. وتنص الفقرة 4 من ذلك الحكم على ألا يتجاوز عقد التدريب والعمل مدة 24 شهرا، في الحالات الواردة في البندين </w:t>
      </w:r>
      <w:r>
        <w:rPr>
          <w:rtl/>
        </w:rPr>
        <w:t>`</w:t>
      </w:r>
      <w:r>
        <w:rPr>
          <w:rFonts w:hint="cs"/>
          <w:rtl/>
        </w:rPr>
        <w:t>1</w:t>
      </w:r>
      <w:r>
        <w:rPr>
          <w:rtl/>
        </w:rPr>
        <w:t>`</w:t>
      </w:r>
      <w:r>
        <w:rPr>
          <w:rFonts w:hint="cs"/>
          <w:rtl/>
        </w:rPr>
        <w:t xml:space="preserve"> و</w:t>
      </w:r>
      <w:r>
        <w:rPr>
          <w:rtl/>
        </w:rPr>
        <w:t>`</w:t>
      </w:r>
      <w:r>
        <w:rPr>
          <w:rFonts w:hint="cs"/>
          <w:rtl/>
        </w:rPr>
        <w:t>2</w:t>
      </w:r>
      <w:r>
        <w:rPr>
          <w:rtl/>
        </w:rPr>
        <w:t>`</w:t>
      </w:r>
      <w:r>
        <w:rPr>
          <w:rFonts w:hint="cs"/>
          <w:rtl/>
        </w:rPr>
        <w:t xml:space="preserve"> أعلاه، و12 شهرا في الحالات المشار إليها في البند </w:t>
      </w:r>
      <w:r>
        <w:rPr>
          <w:rtl/>
        </w:rPr>
        <w:t>`</w:t>
      </w:r>
      <w:r>
        <w:rPr>
          <w:rFonts w:hint="cs"/>
          <w:rtl/>
        </w:rPr>
        <w:t>3</w:t>
      </w:r>
      <w:r>
        <w:rPr>
          <w:rtl/>
        </w:rPr>
        <w:t>`</w:t>
      </w:r>
      <w:r>
        <w:rPr>
          <w:rFonts w:hint="cs"/>
          <w:rtl/>
        </w:rPr>
        <w:t xml:space="preserve"> أعلاه. وتنص الفقرة 5 على وجوب أن تنص عقود التدريب والعمل على قضاء ما لا يقل عن 80 و130 ساعة من ساعات التدريب على التوالي داخل مكان العمل. وفي الحالة المشار إليها في البند </w:t>
      </w:r>
      <w:r>
        <w:rPr>
          <w:rtl/>
        </w:rPr>
        <w:t>`</w:t>
      </w:r>
      <w:r>
        <w:rPr>
          <w:rFonts w:hint="cs"/>
          <w:rtl/>
        </w:rPr>
        <w:t>3</w:t>
      </w:r>
      <w:r>
        <w:rPr>
          <w:rtl/>
        </w:rPr>
        <w:t>`</w:t>
      </w:r>
      <w:r>
        <w:rPr>
          <w:rFonts w:hint="cs"/>
          <w:rtl/>
        </w:rPr>
        <w:t>، ينبغي أن يستغرق نشاط التدريب ما لا يقل عن 20 ساعة، بحسب نوع العلاقة المهنية، وتنظيم العمل، والتدابير المتصلة بالبيئة والوقاية من الحوادث.</w:t>
      </w:r>
    </w:p>
    <w:p w:rsidR="00000000" w:rsidRDefault="00000000">
      <w:pPr>
        <w:spacing w:line="400" w:lineRule="exact"/>
        <w:jc w:val="both"/>
        <w:rPr>
          <w:rFonts w:hint="cs"/>
          <w:rtl/>
        </w:rPr>
      </w:pPr>
      <w:r>
        <w:rPr>
          <w:rFonts w:hint="cs"/>
          <w:rtl/>
        </w:rPr>
        <w:tab/>
        <w:t>(ب)</w:t>
      </w:r>
      <w:r>
        <w:rPr>
          <w:rFonts w:hint="cs"/>
          <w:rtl/>
        </w:rPr>
        <w:tab/>
        <w:t xml:space="preserve">تعتبر فترات التلمذة، طبقا لنص المادة 2 من المرسوم التشريعي 25/1955، نوعا خاصا من علاقات العمل، ويتعين في أثنائها على أصحاب العمل توفير التعليم اللازم للمتدربين الموظفين لديهم، أو الترتيب لذلك، داخل شركاتهم، لتمكين هؤلاء من اكتساب المهارات الفنية التي تتطلبها صفة العمالة الماهرة، في الوقت الذي تستفيد فيه الشركة ذاتها من عملهم. وكان هذا النوع من العقود أيضا محل مراجعة شاملة بعد عدة أعوام، وذلك بواسطة القانون 196/1997. فقد وسعت الفئة العمرية المؤهلة إلى سن تتراوح بين 16 و24 عاما بعد أن كانت في حدود 15 و20 عاما (يمكن رفع السن القصوى إلى 26 عاما في المجالات المنصوص عليها في إطار الهدفين 1 و2 من لائحة الجماعة الاقتصادية الأوروبية 208/1993، وإلى 28 عاما في المجلات ذاتها بالنسبة إلى المعوقين؛ أو رفعها إلى 29 عاما في القطاعات الحرفية). كما أقرت مدة أدناها 18 شهرا لضمان إدارة المخطط وتنظيمه على الوجه الأنسب استنادا إلى المقتضيات الخاصة للقطاع الصناعي والظروف المحلية، فضلا عن الصبغة الإلزامية للتدريب خارج العمل لمدة أدناها 120 ساعة في السنة إذا رغب أصحاب العمل في التمتع بالحوافز المتصلة بخفض الاشتراكات. وقد حدد مرسوما وزارة العمل المؤرخان 8 نيسان/أبريل 1998 و20 أيار/مايو 1999 مضمون أنشطة التدريب الخاصة بالمتتلمذين. وحدد في إطارهما نوعان هما: </w:t>
      </w:r>
      <w:r>
        <w:rPr>
          <w:rtl/>
        </w:rPr>
        <w:t>`</w:t>
      </w:r>
      <w:r>
        <w:rPr>
          <w:rFonts w:hint="cs"/>
          <w:rtl/>
        </w:rPr>
        <w:t>1</w:t>
      </w:r>
      <w:r>
        <w:rPr>
          <w:rtl/>
        </w:rPr>
        <w:t>`</w:t>
      </w:r>
      <w:r>
        <w:rPr>
          <w:rFonts w:hint="cs"/>
          <w:rtl/>
        </w:rPr>
        <w:t xml:space="preserve"> التدريب العام والمستعرض، لمدة لا تقل عن 35 في المائة من مجموع 120 ساعة في السنة، في مواد اللغات والإدارة والاقتصاد فضلا عن عقود العمل والتدابير الوقائية الجماعية؛ و</w:t>
      </w:r>
      <w:r>
        <w:rPr>
          <w:rtl/>
        </w:rPr>
        <w:t>`</w:t>
      </w:r>
      <w:r>
        <w:rPr>
          <w:rFonts w:hint="cs"/>
          <w:rtl/>
        </w:rPr>
        <w:t>2</w:t>
      </w:r>
      <w:r>
        <w:rPr>
          <w:rtl/>
        </w:rPr>
        <w:t>`</w:t>
      </w:r>
      <w:r>
        <w:rPr>
          <w:rFonts w:hint="cs"/>
          <w:rtl/>
        </w:rPr>
        <w:t xml:space="preserve"> التدريب الفني العلمي والتدريب التطبيقي، لمدة لا تقل عن 65 في المائة من مجموع 120 ساعة في السنة، في ما يتعلق بالمهارات المهنية المتصلة بما يضطلع به المتدرب أو المتدربة من أنشطة خاصة في العمل. </w:t>
      </w:r>
    </w:p>
    <w:p w:rsidR="00000000" w:rsidRDefault="00000000">
      <w:pPr>
        <w:spacing w:line="400" w:lineRule="exact"/>
        <w:jc w:val="both"/>
        <w:rPr>
          <w:rFonts w:hint="cs"/>
          <w:rtl/>
        </w:rPr>
      </w:pPr>
      <w:r>
        <w:rPr>
          <w:rFonts w:hint="cs"/>
          <w:rtl/>
        </w:rPr>
        <w:t>86-</w:t>
      </w:r>
      <w:r>
        <w:rPr>
          <w:rFonts w:hint="cs"/>
          <w:rtl/>
        </w:rPr>
        <w:tab/>
        <w:t xml:space="preserve">وأخيرا، تكتسي أحكام المادة 68 من القانون 144/1999 المتصلة بالإصلاحات التعليمية واشتراط التعليم أو التدريب الإجباريين حتى سن 18 عاما أهمية لا شك فيها في هذا الصدد. إذ تعتبر التلمذة شأنها شأن غيرها من الخيارات التعليمية والتدريبية سبيلا من بين سبل استيفاء هذا الاشتراط. </w:t>
      </w:r>
    </w:p>
    <w:p w:rsidR="00000000" w:rsidRDefault="00000000">
      <w:pPr>
        <w:spacing w:line="400" w:lineRule="exact"/>
        <w:jc w:val="both"/>
        <w:rPr>
          <w:rFonts w:hint="cs"/>
          <w:b/>
          <w:bCs/>
          <w:rtl/>
        </w:rPr>
      </w:pPr>
      <w:r>
        <w:rPr>
          <w:rFonts w:hint="cs"/>
          <w:b/>
          <w:bCs/>
          <w:rtl/>
        </w:rPr>
        <w:t xml:space="preserve">العمل/التدريب </w:t>
      </w:r>
    </w:p>
    <w:p w:rsidR="00000000" w:rsidRDefault="00000000">
      <w:pPr>
        <w:spacing w:line="400" w:lineRule="exact"/>
        <w:jc w:val="both"/>
        <w:rPr>
          <w:rFonts w:hint="cs"/>
          <w:rtl/>
        </w:rPr>
      </w:pPr>
      <w:r>
        <w:rPr>
          <w:rFonts w:hint="cs"/>
          <w:rtl/>
        </w:rPr>
        <w:t>87-</w:t>
      </w:r>
      <w:r>
        <w:rPr>
          <w:rFonts w:hint="cs"/>
          <w:rtl/>
        </w:rPr>
        <w:tab/>
        <w:t xml:space="preserve">إن ممارسة الحق في العمل (المنصوص عليه في المادة 4 من الدستور) وتعزيز الظروف التي تجسد هذا الحق تتطلب، أولا وقبل كل شيء، تنفيذ أنشطة ترمي إلى الحيلولة دون البطالة. وتتخذ هذه الأنشطة، على الصعيد التطبيقي، شكل سياسات عمل فعالة. وإذ يعتبر التدريب إحدى وسائل السياسة الفعالة، بفضل إصلاح نظام التعليم المدرسي والجامعي، فقد تقرر العمل على تحقيق الهدف المتمثل في زيادة التكامل بين التدريب المدرسي المهني والعمل، واعتماد نظام جديد يقوم على التدريب المستمر من أجل المصلحة الجماعية (يخصص القانون رقم 196/97، المسمى برنامج تريو، موارد جديدة للتدريب). ومن هذا المنظور، يبدو أن جميع سياسات التدريب تشترك في أولويتين هما: ضمان معرفة اللغات الأجنبية وإرساء أسس الدراية المعلوماتية. </w:t>
      </w:r>
    </w:p>
    <w:p w:rsidR="00000000" w:rsidRDefault="00000000">
      <w:pPr>
        <w:spacing w:line="400" w:lineRule="exact"/>
        <w:jc w:val="both"/>
        <w:rPr>
          <w:rFonts w:hint="cs"/>
          <w:rtl/>
        </w:rPr>
      </w:pPr>
      <w:r>
        <w:rPr>
          <w:rFonts w:hint="cs"/>
          <w:rtl/>
        </w:rPr>
        <w:t>88-</w:t>
      </w:r>
      <w:r>
        <w:rPr>
          <w:rFonts w:hint="cs"/>
          <w:rtl/>
        </w:rPr>
        <w:tab/>
        <w:t>وقد وضعت برامج عديدة واتخذت مبادرات متعددة لنشر المعرفة في مجالي المعلوماتية واللغات بالموازاة مع توسيع الموارد التكنولوجية في الهياكل ذات الصلة. ففي المدارس، يمكن الإشارة إلى برنامج "اللغات 2000" (الرامي إلى تعزيز تعليم اللغات في جميع المراحل المدرسية)؛ إضافة إلى برنامج "أوروبا الإلكترونية" (</w:t>
      </w:r>
      <w:r>
        <w:t>e-Europe</w:t>
      </w:r>
      <w:r>
        <w:rPr>
          <w:rFonts w:hint="cs"/>
          <w:rtl/>
        </w:rPr>
        <w:t>) التابع للاتحاد الأوروبي (ومن بين أهدافه وصول المدارس إلى الإنترنت)؛ و"خطة النهوض بتعليم التكنولوجيا" (الموجهة إلى تدعيم موارد المدارس وخبرتها في مجال التكنولوجيات الجديدة")؛ وبرنامج "حواسيب شخصية للطلبة" (المتمثل في منح قروض بشروط ملائمة لاقتناء أجهزة حاسوب شخصية").</w:t>
      </w:r>
    </w:p>
    <w:p w:rsidR="00000000" w:rsidRDefault="00000000">
      <w:pPr>
        <w:spacing w:line="400" w:lineRule="exact"/>
        <w:jc w:val="both"/>
        <w:rPr>
          <w:rFonts w:hint="cs"/>
          <w:rtl/>
        </w:rPr>
      </w:pPr>
      <w:r>
        <w:rPr>
          <w:rFonts w:hint="cs"/>
          <w:rtl/>
        </w:rPr>
        <w:t>89-</w:t>
      </w:r>
      <w:r>
        <w:rPr>
          <w:rFonts w:hint="cs"/>
          <w:rtl/>
        </w:rPr>
        <w:tab/>
        <w:t>وفي مجال التدريب المهني، نذكر "خطة الدراية المعلوماتية"، التابعة لوكالة "إيطاليا لافورو" الحكومية والموجهة إلى 000 60 شاب من العاطلين عن العمل في جنوب إيطاليا؛ وأنشطة المراكز الإقليمية الدائمة؛ والأنشطة الإقليمية الممولة بالاشتراك مع الصندوق الاجتماعي الأوروبي؛ بالإضافة إلى استحداث بطاقة اعتماد دراسية (وهي عبارة عن قروض مدعومة لاقتناء أجهزة حاسوب شخصية وتلقي دروس في استعمال الحاسوب).</w:t>
      </w:r>
    </w:p>
    <w:p w:rsidR="00000000" w:rsidRDefault="00000000">
      <w:pPr>
        <w:spacing w:line="400" w:lineRule="exact"/>
        <w:jc w:val="both"/>
        <w:rPr>
          <w:rFonts w:hint="cs"/>
          <w:rtl/>
        </w:rPr>
      </w:pPr>
      <w:r>
        <w:rPr>
          <w:rFonts w:hint="cs"/>
          <w:rtl/>
        </w:rPr>
        <w:t>90-</w:t>
      </w:r>
      <w:r>
        <w:rPr>
          <w:rFonts w:hint="cs"/>
          <w:rtl/>
        </w:rPr>
        <w:tab/>
        <w:t>أما في ما يتعلق بالنظام الجامعي، فيمكن ملاحظة الطلب المتنامي على مختبرات المعلوماتية والألسنية، بما يستدعي تغطية مالية ملائمة وتوفر الهياكل المناسبة.</w:t>
      </w:r>
    </w:p>
    <w:p w:rsidR="00000000" w:rsidRDefault="00000000">
      <w:pPr>
        <w:spacing w:line="400" w:lineRule="exact"/>
        <w:jc w:val="both"/>
        <w:rPr>
          <w:rFonts w:hint="cs"/>
          <w:rtl/>
        </w:rPr>
      </w:pPr>
      <w:r>
        <w:rPr>
          <w:rFonts w:hint="cs"/>
          <w:rtl/>
        </w:rPr>
        <w:t>91-</w:t>
      </w:r>
      <w:r>
        <w:rPr>
          <w:rFonts w:hint="cs"/>
          <w:rtl/>
        </w:rPr>
        <w:tab/>
        <w:t xml:space="preserve">وبذلت جهود خاصة لاعتماد إجراءات مبسطة في ما يتعلق بفئات الأفراد الذين لا تتوفر لهم سبل الحصول على المعلومات إلا بقدر ضئيل. ولقد تصدى القانون رقم 53/2000 جزئيا إلى هذا المشكل، إذ نص على أنه يحق للعامل (أو الباحث عن عمل أو من لم ينضم بعد إلى القوى العاملة) أن يحصل على دروس في إطار التدريب المستمر بغية اكتساب خبرات جديدة وتعزيز قدراته المهنية (أي إجازة تدريب مدتها 11 شهرا). وعلاوة على ذلك، أنشأ القانون رقم 338 المؤرخ 23 كانون الأول/ديسمبر 2000 صناديق مشتركة بين المهن يشرف على إدارتها الشركاء الاجتماعيون، لغرض تدريب العمال بصفة مستمرة. وقد استخدمت القدرة الأكبر على استعمال الصناديق الهيكلية، لا سيما الصندوق الاجتماعي الأوروبي، لتعزيز مشاركة القطاع العام في تفعيل خدمات العمالة. </w:t>
      </w:r>
    </w:p>
    <w:p w:rsidR="00000000" w:rsidRDefault="00000000">
      <w:pPr>
        <w:spacing w:line="400" w:lineRule="exact"/>
        <w:jc w:val="both"/>
        <w:rPr>
          <w:rFonts w:hint="cs"/>
          <w:rtl/>
        </w:rPr>
      </w:pPr>
      <w:r>
        <w:rPr>
          <w:rFonts w:hint="cs"/>
          <w:rtl/>
        </w:rPr>
        <w:t>92-</w:t>
      </w:r>
      <w:r>
        <w:rPr>
          <w:rFonts w:hint="cs"/>
          <w:rtl/>
        </w:rPr>
        <w:tab/>
        <w:t xml:space="preserve">وأخيرا، يجدر التذكير بأن تحرير سوق خدمات الهاتف قد أدى، بإتاحة خفض التكاليف، إلى زيادة استعمال وانتشار الإنترنت داخل الأسر. </w:t>
      </w:r>
    </w:p>
    <w:p w:rsidR="00000000" w:rsidRDefault="00000000">
      <w:pPr>
        <w:spacing w:line="400" w:lineRule="exact"/>
        <w:jc w:val="both"/>
        <w:rPr>
          <w:rFonts w:hint="cs"/>
          <w:b/>
          <w:bCs/>
          <w:rtl/>
        </w:rPr>
      </w:pPr>
      <w:r>
        <w:rPr>
          <w:rFonts w:hint="cs"/>
          <w:b/>
          <w:bCs/>
          <w:rtl/>
        </w:rPr>
        <w:t>العمالة غير الرسمية</w:t>
      </w:r>
    </w:p>
    <w:p w:rsidR="00000000" w:rsidRDefault="00000000">
      <w:pPr>
        <w:spacing w:line="400" w:lineRule="exact"/>
        <w:jc w:val="both"/>
        <w:rPr>
          <w:rFonts w:hint="cs"/>
          <w:rtl/>
        </w:rPr>
      </w:pPr>
      <w:r>
        <w:rPr>
          <w:rFonts w:hint="cs"/>
          <w:rtl/>
        </w:rPr>
        <w:t>93-</w:t>
      </w:r>
      <w:r>
        <w:rPr>
          <w:rFonts w:hint="cs"/>
          <w:rtl/>
        </w:rPr>
        <w:tab/>
        <w:t xml:space="preserve">من الطبيعي أن يشمل أي تفكير بشأن الدفاع عن حقوق العمال بحثا في حالة العمالة غير الرسمية، التي بلغت في إيطاليا مستوى يعد من بين الأعلى في جميع البلدان المصنعة (قدر بما يعادل 15.4 في المائة من الناتج المحلي الإجمالي)، مع ما يصحب ذلك من تبعات جديرة بالذكر في ما يتصل بالسلامة في مكان العمل وحماية الفئات الأضعف في سوق العمل (أي النساء والأحداث والمهاجرين والعمال الموسميين وعمال جنوب إيطاليا). وقد شددت نقاشات عديدة في السنوات الأخيرة على صعوبة تقدير العمالة غير الرسمية بالاستناد إلى بيانات كمية بحتة، إذ إن من الضروري والمستحسن أيضاً تحليل الوضع في الميدان. ويخلص هذا النهج المتكامل إلى إعطاء صورة عامة أكثر إثارة للانشغال بشأن العمالة غير الرسمية. </w:t>
      </w:r>
    </w:p>
    <w:p w:rsidR="00000000" w:rsidRDefault="00000000">
      <w:pPr>
        <w:spacing w:line="400" w:lineRule="exact"/>
        <w:jc w:val="both"/>
        <w:rPr>
          <w:rFonts w:hint="cs"/>
          <w:rtl/>
        </w:rPr>
      </w:pPr>
      <w:r>
        <w:rPr>
          <w:rFonts w:hint="cs"/>
          <w:rtl/>
        </w:rPr>
        <w:t>94-</w:t>
      </w:r>
      <w:r>
        <w:rPr>
          <w:rFonts w:hint="cs"/>
          <w:rtl/>
        </w:rPr>
        <w:tab/>
        <w:t xml:space="preserve">وتتميز إيطاليا، إلى جانب اليونان، بأعلى نسبة من العمالة غير الرسمية في بلدان الاتحاد الأوروبي. وتفيد بيانات صادرة عن معهد الإحصاءات الإيطالي أن العمالة غير الرسمية قدرت سنة 1999 بنسبة 15.1 في المائة من إجمالي العمالة (أي ما يعادل 000 486 3 وظيفة)، مسجلة بذلك ارتفاعا بمعدل 1.7 في المائة مقارنة بسنة 1992. كما أن أنشطة التفتيش التي أجريت على امتداد العامين الماضيين تبين بوضوح أكبر حدة ظاهرة العمالة غير الرسمية، إذ تعطي تقديرا لعدد المخالفات المكشوف عنها مقارنة بعدد عمليات التفتيش المنجزة، يختلف بحسب المنطقة الجغرافية وقطاع الإنتاج وحجم الشركات موضع البحث. فقد أفادت وزارة العمل أن 965 51 شركة من مجموع 638 118 شركة خضعت للتفتيش قد ارتكبت مخالفات. وحسب المؤسسة الوطنية للضمان الاجتماعي، يمكن عزو ما مقداره 000 102 1 مليار ليرة من حوالي 000 495 1 مليار ليرة، وهو مقدار التهرب من دفع اشتراكات الضمان الاجتماعي، إلى استخدام العمالة غير الرسمية بالمعنى الضيق (73.72 في المائة)، في حين كشفت المؤسسة الوطنية للتأمين من حوادث العمل أمثلة على العمالة غير الرسمية في 62.65 في المائة من عمليات التفتيش التي أجرتها. </w:t>
      </w:r>
    </w:p>
    <w:p w:rsidR="00000000" w:rsidRDefault="00000000">
      <w:pPr>
        <w:spacing w:line="400" w:lineRule="exact"/>
        <w:jc w:val="both"/>
        <w:rPr>
          <w:rFonts w:hint="cs"/>
          <w:rtl/>
        </w:rPr>
      </w:pPr>
      <w:r>
        <w:rPr>
          <w:rFonts w:hint="cs"/>
          <w:rtl/>
        </w:rPr>
        <w:t>95-</w:t>
      </w:r>
      <w:r>
        <w:rPr>
          <w:rFonts w:hint="cs"/>
          <w:rtl/>
        </w:rPr>
        <w:tab/>
        <w:t>وخلصت المقارنة التي أجرتها المؤسسة الوطنية للتأمين من حوادث العمل بين تاريخ الإبلاغ عن الحوادث وتاريخ تعيين الطرف المؤمن عليه إلى استنتاج هام آخر هو التالي: تشير النسبة المرتفعة من الحوادث التي تقع خلال الأيام الخمسة الأولى من العمل (399 6 حالة من أصل 474 92 حالة، أي ما يعادل قرابة 7 في المائة من مجموع الحالات) إلى مستويات هامة من العمالة غير الرسمية خلال اليومين الأولين من النشاط، وتبين في ذات الحين احتمال عدم الإبلاغ عن العديد من حالات استخدام العمال إلا عند وقوع حادث. أضف إلى ذلك أن وقوع 42 من أصل 135 حادثا مميتا (أكثر من 30 في المائة) خلال الأيام الخمسة الأولى من العمل يدعم افتراض عدم الإبلاغ عن استخدام العمال إلا إذا استحال تفادي ذلك (مثل وقوع حوادث مميتة).</w:t>
      </w:r>
    </w:p>
    <w:p w:rsidR="00000000" w:rsidRDefault="00000000">
      <w:pPr>
        <w:spacing w:line="400" w:lineRule="exact"/>
        <w:jc w:val="both"/>
        <w:rPr>
          <w:rFonts w:hint="cs"/>
          <w:rtl/>
        </w:rPr>
      </w:pPr>
      <w:r>
        <w:rPr>
          <w:rFonts w:hint="cs"/>
          <w:rtl/>
        </w:rPr>
        <w:t>96-</w:t>
      </w:r>
      <w:r>
        <w:rPr>
          <w:rFonts w:hint="cs"/>
          <w:rtl/>
        </w:rPr>
        <w:tab/>
        <w:t>وفي ما يتعلق بمختلف أشكال هذه الظاهرة، تبين أن العمالة غير الرسمية بمعناها الضيق تنتشر في جنوب إيطاليا، في حين يتمثل النوع السائد في وسط وشمال البلد في العمالة المقنعة المدفوعة الأجر، الناشئة عن سوء استخدام العقود المبرمة في إطار العمل الحر، فضلا عن الجمع بين الوظائف وساعات العمل الإضافية التي لا تدون في كشوف المرتبات. وهذا هو الإطار الذي يجب أن يدرج فيه عمل الأحداث: فالتحديد الكمي لحجم هذا العمل يمثل عملية وصف أبعاده عملية معقدة تستوجب إجراء تحليل متقاطع لمجموعات مختلفة من البيانات. ويتعين أولاً أخذ عاملين متناميين في الاعتبار، ألا وهما مستويات الانقطاع عن المدرسة والفشل المدرسي، والإبلاغ عن وقوع حوادث في مكان العمل.</w:t>
      </w:r>
    </w:p>
    <w:p w:rsidR="00000000" w:rsidRDefault="00000000">
      <w:pPr>
        <w:spacing w:line="400" w:lineRule="exact"/>
        <w:jc w:val="both"/>
        <w:rPr>
          <w:rFonts w:hint="cs"/>
          <w:rtl/>
        </w:rPr>
      </w:pPr>
      <w:r>
        <w:rPr>
          <w:rFonts w:hint="cs"/>
          <w:rtl/>
        </w:rPr>
        <w:t>97-</w:t>
      </w:r>
      <w:r>
        <w:rPr>
          <w:rFonts w:hint="cs"/>
          <w:rtl/>
        </w:rPr>
        <w:tab/>
        <w:t>وبغية تحديد الظروف التي تساعد على انتشار النشاط الاقتصادي الخفي ومكافحة هذه الظاهرة المتفشية على نحو مهول، اعتمدت منذ سنة 1989 سلسلة من التدابير المركّزة، الرامية إلى تقديم حوافز للشركات لتشجيعها على دخول حيز الاقتصاد المشروع وإلى تعزيز أنشطة التفتيش والمراقبة مع التخفيف من أثر نظام العقوبات. وقد سار في هذا المنحى:</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المرسوم التشريعي 338/1989، المواد 1 و6 و7 (المعدلة، بإدخال تنقيحات، بموجب المادة الأولى من القانون 389/1989)؛</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المرسوم التشريعي 129/1990، المادة 2 مكرراً (المنفذة، بإدخال تعديلات، بموجب المادة الأولى من القانون 210/1990)؛</w:t>
      </w:r>
    </w:p>
    <w:p w:rsidR="00000000" w:rsidRDefault="00000000">
      <w:pPr>
        <w:spacing w:line="400" w:lineRule="exact"/>
        <w:jc w:val="both"/>
        <w:rPr>
          <w:rFonts w:hint="cs"/>
          <w:rtl/>
        </w:rPr>
      </w:pPr>
      <w:r>
        <w:rPr>
          <w:rFonts w:hint="cs"/>
          <w:rtl/>
        </w:rPr>
        <w:tab/>
        <w:t>-</w:t>
      </w:r>
      <w:r>
        <w:rPr>
          <w:rFonts w:hint="cs"/>
          <w:rtl/>
        </w:rPr>
        <w:tab/>
        <w:t>القانون 608/1996، المادة 5؛</w:t>
      </w:r>
    </w:p>
    <w:p w:rsidR="00000000" w:rsidRDefault="00000000">
      <w:pPr>
        <w:spacing w:line="400" w:lineRule="exact"/>
        <w:jc w:val="both"/>
        <w:rPr>
          <w:rFonts w:hint="cs"/>
          <w:rtl/>
        </w:rPr>
      </w:pPr>
      <w:r>
        <w:rPr>
          <w:rFonts w:hint="cs"/>
          <w:rtl/>
        </w:rPr>
        <w:tab/>
        <w:t>-</w:t>
      </w:r>
      <w:r>
        <w:rPr>
          <w:rFonts w:hint="cs"/>
          <w:rtl/>
        </w:rPr>
        <w:tab/>
        <w:t>القانون 196/1997، المادة 23؛</w:t>
      </w:r>
    </w:p>
    <w:p w:rsidR="00000000" w:rsidRDefault="00000000">
      <w:pPr>
        <w:spacing w:line="400" w:lineRule="exact"/>
        <w:jc w:val="both"/>
        <w:rPr>
          <w:rFonts w:hint="cs"/>
          <w:rtl/>
        </w:rPr>
      </w:pPr>
      <w:r>
        <w:rPr>
          <w:rFonts w:hint="cs"/>
          <w:rtl/>
        </w:rPr>
        <w:tab/>
        <w:t>-</w:t>
      </w:r>
      <w:r>
        <w:rPr>
          <w:rFonts w:hint="cs"/>
          <w:rtl/>
        </w:rPr>
        <w:tab/>
        <w:t>القانون 448/1998، المواد 75 و78 و79 (قانون الميزانية لسنة 1999)؛</w:t>
      </w:r>
    </w:p>
    <w:p w:rsidR="00000000" w:rsidRDefault="00000000">
      <w:pPr>
        <w:spacing w:line="400" w:lineRule="exact"/>
        <w:jc w:val="both"/>
        <w:rPr>
          <w:rFonts w:hint="cs"/>
          <w:rtl/>
        </w:rPr>
      </w:pPr>
      <w:r>
        <w:rPr>
          <w:rFonts w:hint="cs"/>
          <w:rtl/>
        </w:rPr>
        <w:tab/>
        <w:t>-</w:t>
      </w:r>
      <w:r>
        <w:rPr>
          <w:rFonts w:hint="cs"/>
          <w:rtl/>
        </w:rPr>
        <w:tab/>
        <w:t>القانون 448/1999، المادة 63 (قانون الميزانية لسنة 2000)؛</w:t>
      </w:r>
    </w:p>
    <w:p w:rsidR="00000000" w:rsidRDefault="00000000">
      <w:pPr>
        <w:spacing w:line="400" w:lineRule="exact"/>
        <w:jc w:val="both"/>
        <w:rPr>
          <w:rFonts w:hint="cs"/>
          <w:rtl/>
        </w:rPr>
      </w:pPr>
      <w:r>
        <w:rPr>
          <w:rFonts w:hint="cs"/>
          <w:rtl/>
        </w:rPr>
        <w:tab/>
        <w:t>-</w:t>
      </w:r>
      <w:r>
        <w:rPr>
          <w:rFonts w:hint="cs"/>
          <w:rtl/>
        </w:rPr>
        <w:tab/>
        <w:t>القانون 388/2000، المواد 5 و116 و119 (قانون الميزانية لسنة 2001)؛</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اتفاق العمل المؤرخ 24 أيلول/سبتمبر 1996، الفصل المعنون "إخراج العمالة غير الرسمية إلى النور"؛</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العهد الاجتماعي من أجل التنمية والعمالة لسنة 1999، الفصل 3 (سياسات التنمية والعمالة)، النقطة 7.</w:t>
      </w:r>
    </w:p>
    <w:p w:rsidR="00000000" w:rsidRDefault="00000000">
      <w:pPr>
        <w:spacing w:line="400" w:lineRule="exact"/>
        <w:jc w:val="both"/>
        <w:rPr>
          <w:rFonts w:hint="cs"/>
          <w:rtl/>
        </w:rPr>
      </w:pPr>
      <w:r>
        <w:rPr>
          <w:rFonts w:hint="cs"/>
          <w:rtl/>
        </w:rPr>
        <w:t>98-</w:t>
      </w:r>
      <w:r>
        <w:rPr>
          <w:rFonts w:hint="cs"/>
          <w:rtl/>
        </w:rPr>
        <w:tab/>
        <w:t>وقد تمثلت الأدوات الرئيسية في هذه السياسات حتى الآن في عقود التسوية التي برهنت، رغم أن استخدامها محدود مقارنة بالأبعاد الهائلة التي تتخذها العمالة غير الرسمية، عن جدواها كنهج أولي ومنتظم من نهج التصدي إلى المشكلة (فقد أضيف للمرة الأولى بعد ترويجي قائم على الحوافز إلى ما كان معتمدا من نهج ردعي جزائي بحت)، علاوة على تأثيرها الإيجابي على ظروف العمل والأجور بالموازاة مع تأكيد حقوق العمال ودوائر الأعمال على السواء.</w:t>
      </w:r>
    </w:p>
    <w:p w:rsidR="00000000" w:rsidRDefault="00000000">
      <w:pPr>
        <w:spacing w:line="400" w:lineRule="exact"/>
        <w:jc w:val="both"/>
        <w:rPr>
          <w:rFonts w:hint="cs"/>
          <w:rtl/>
        </w:rPr>
      </w:pPr>
      <w:r>
        <w:rPr>
          <w:rFonts w:hint="cs"/>
          <w:rtl/>
        </w:rPr>
        <w:t>99-</w:t>
      </w:r>
      <w:r>
        <w:rPr>
          <w:rFonts w:hint="cs"/>
          <w:rtl/>
        </w:rPr>
        <w:tab/>
        <w:t>وقد ساهمت المبادرات المتخذة في السنوات الأخيرة، رغم أنها كانت ترمي إلى التصدي إلى الدورة الاقتصادية، في إبراز أهمية البعد المحلي بالموازاة مع إنعاش عملية إعادة صياغة أنشطة التفتيش على الصعيدين التقني والتنظيمي، ومن ذلك: إنشاء اللجنة المعنية بتقنين أنشطة الاقتصاد الخفي إضافة إلى اللجان المحلية، علاوة على التدابير المتخذة لتنسيق الأنشطة بين مختلف أجهزة التفتيش والمراقبة (طبقا للمادتين 78 و79 من قانون الميزانية لسنة 2000)، أو استحداث مركز الوسيط لتقنين العمالة غير الرسمية وما يتصل بها من جزاءات (المواد 5 و116 و119 من قانون الميزانية لسنة 2001).</w:t>
      </w:r>
    </w:p>
    <w:p w:rsidR="00000000" w:rsidRDefault="00000000">
      <w:pPr>
        <w:spacing w:line="400" w:lineRule="exact"/>
        <w:jc w:val="both"/>
        <w:rPr>
          <w:rFonts w:hint="cs"/>
          <w:rtl/>
        </w:rPr>
      </w:pPr>
      <w:r>
        <w:rPr>
          <w:rFonts w:hint="cs"/>
          <w:rtl/>
        </w:rPr>
        <w:t>100-</w:t>
      </w:r>
      <w:r>
        <w:rPr>
          <w:rFonts w:hint="cs"/>
          <w:rtl/>
        </w:rPr>
        <w:tab/>
        <w:t>وقد جاءت تلك المبادرات بعد اضطلاع الإدارة الحكومية بنشاط مكثف، متخذة خطوات كان من أهمها ما يلي:</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إنشاء فريق عمل تابع لوزارة العمل (بموجب المرسوم الوزاري المؤرخ 19 آذار/مارس 1999) يتولى مهمة تعزيز وظيفة التفتيش وتدعيم أنشطة إدارات العمل على مستوى المقاطعات، خاصة في حالات الخطورة البالغة أو الحالات الملحة؛</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 xml:space="preserve">القيام (بموجب قرار المؤسسة الوطنية للضمان الاجتماعي رقم 246 المؤرخ 21 تموز/يوليه 1999) بإنشاء "إدارة مراقبة الإيرادات واقتصاد الخفاء" التي تعمل على تحليل السياسات وصياغتها من أجل تقنين أنشطة الاقتصاد الخفي؛ </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 xml:space="preserve">الحصول على تفويض من المؤسسة الوطنية للضمان الاجتماعي (نيسان/ أبريل 2000) بتوقيع بروتوكولات اتفاق مع المؤسسات والمنظمات المحلية المشرفة على المسائل ذات الصلة، بغية إنشاء مراصد إقليمية للعمالة غير الرسمية، في ما يتصل باقتصاد الخفاء والتهرب من دفع اشتراكات الضمان الاجتماعي وتفاديه؛ </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اعتماد المؤسسة الوطنية للتأمين من حوادث العمل (آذار/مارس 2000) لاستمارة واحدة للإرجاع والإيداع (للإبلاغ عن أسماء الأطراف في التأمين) يمكن استخدامها لتسجيل مدفوعات الضرائب والضمان الاجتماعي في آن معا، أعقبها استحداث بنك معلومات بشأن العمال ودوائر الأعمال، فضلا عن إنشاء أقسام متكاملة تعمل كمراكز لتقديم الخدمات والاضطلاع بالإجراءات المتصلة بالضرائب والضمان الاجتماعي.</w:t>
      </w:r>
    </w:p>
    <w:p w:rsidR="00000000" w:rsidRDefault="00000000">
      <w:pPr>
        <w:spacing w:line="400" w:lineRule="exact"/>
        <w:jc w:val="both"/>
        <w:rPr>
          <w:rFonts w:hint="cs"/>
          <w:rtl/>
        </w:rPr>
      </w:pPr>
      <w:r>
        <w:rPr>
          <w:rFonts w:hint="cs"/>
          <w:rtl/>
        </w:rPr>
        <w:t>101-</w:t>
      </w:r>
      <w:r>
        <w:rPr>
          <w:rFonts w:hint="cs"/>
          <w:rtl/>
        </w:rPr>
        <w:tab/>
        <w:t>وانتهت تجربة عقود التسوية باعتماد القانون رقم 383 المؤرخ 18 تشرين الأول/أكتوبر 2001، الذي نص على شروط جديدة ملائمة لأصحاب العمل، إضافة إلى إمكانية الاستفادة من عفو عند تسوية المخالفات المتصلة بالضمان الاجتماعي والضرائب، والمخالفات البيئية بالنسبة إلى المنشآت الصغيرة الحجم. وحاليا، أي بعد مضي أربعة أشهر على اعتماد هذا الإجراء، تفيد المؤسسة الوطنية للضمان الاجتماعي بأنه ما من مؤسسة من مؤسسات الأعمال طلبت الاستفادة منه.</w:t>
      </w:r>
    </w:p>
    <w:p w:rsidR="00000000" w:rsidRDefault="00000000">
      <w:pPr>
        <w:spacing w:line="400" w:lineRule="exact"/>
        <w:jc w:val="both"/>
        <w:rPr>
          <w:rFonts w:hint="cs"/>
          <w:b/>
          <w:bCs/>
          <w:rtl/>
        </w:rPr>
      </w:pPr>
      <w:r>
        <w:rPr>
          <w:rFonts w:hint="cs"/>
          <w:b/>
          <w:bCs/>
          <w:rtl/>
        </w:rPr>
        <w:t>المرونة</w:t>
      </w:r>
    </w:p>
    <w:p w:rsidR="00000000" w:rsidRDefault="00000000">
      <w:pPr>
        <w:spacing w:line="400" w:lineRule="exact"/>
        <w:jc w:val="both"/>
        <w:rPr>
          <w:rFonts w:hint="cs"/>
          <w:rtl/>
        </w:rPr>
      </w:pPr>
      <w:r>
        <w:rPr>
          <w:rFonts w:hint="cs"/>
          <w:rtl/>
        </w:rPr>
        <w:t>102-</w:t>
      </w:r>
      <w:r>
        <w:rPr>
          <w:rFonts w:hint="cs"/>
          <w:rtl/>
        </w:rPr>
        <w:tab/>
        <w:t xml:space="preserve">ترمي المستجدات على مستوى "وقت العمل ومرونة ساعات العمل" إلى المساعدة على نمو العمالة وجعل دوائر الأعمال أكثر تنافساً. وتتسق هذه المستجدات مع الإجراءات المتخذة في باقي بلدان أوروبا (من الكتاب الأبيض للسيد ديلور إلى التوجيه </w:t>
      </w:r>
      <w:r>
        <w:t>93/104/EC</w:t>
      </w:r>
      <w:r>
        <w:rPr>
          <w:rFonts w:hint="cs"/>
          <w:rtl/>
        </w:rPr>
        <w:t>: أسبوع ساعات العمل الأربعين) والمقصود بها هو الاستفادة إلى أقصى حد من التقدم المحرز في ما يتعلق بالعقود، بما يحقق توزيع الفوائد على نحو متوازن بين الأطراف المتعاقدة، على الصعيدين الفردي والجماعي. غير أن المسألة برمتها قد تكون مرتبطة، عموما، بما يطرأ من تغيرات على تنظيم أوقات الحياة في المدينة على المستوى الجماعي وكذلك الفردي، وهي تطورات حدت بالمشرع إلى توفير وسيلة لتنويع أوقات العمل وأقلمتها، لا سيما في المدن، مع مراعاة احتياجات العمال، لا سيما النساء منهم (القانون 142/90).</w:t>
      </w:r>
    </w:p>
    <w:p w:rsidR="00000000" w:rsidRDefault="00000000">
      <w:pPr>
        <w:spacing w:line="400" w:lineRule="exact"/>
        <w:jc w:val="both"/>
        <w:rPr>
          <w:rFonts w:hint="cs"/>
          <w:rtl/>
        </w:rPr>
      </w:pPr>
      <w:r>
        <w:rPr>
          <w:rFonts w:hint="cs"/>
          <w:rtl/>
        </w:rPr>
        <w:t>103-</w:t>
      </w:r>
      <w:r>
        <w:rPr>
          <w:rFonts w:hint="cs"/>
          <w:rtl/>
        </w:rPr>
        <w:tab/>
        <w:t>وقد حدّد القانون، على النحو المتوخى في الدستور (المادة 36، المكررة في المادة 2107 من القانون المدني)، الحد الأقصى لساعات العمل، في حين تُركت لدوائر العمل والعمال حرية التفاوض على تنظيم ساعات العمل بالأيام والأسابيع على النحو الذي يستجيب لاحتياجاتهم. وكان هدف المشرع في هذا المجال، حتى العقد الماضي، هو الحد من عدد ساعات العمل حماية لصحة العمال. ومنذ نهاية الثمانينات، أصبح الاتجاه نحو خفض ساعات العمل، في ضوء متطلبات نظام الإنتاج وأزمة العمالة، وسيلة من وسائل السياسة الاجتماعية والتكافل الاجتماعي، بغية تفادي التسريح الجماعي، والارتقاء بمستويات العمالة، والحيلولة دون اللجوء إلى ساعات العمل الإضافية (قانون الميزانية لعام 1996). ورغم عدم توفر الموارد المالية اللازمة لتنفيذ هذا البرنامج، فإن نفس الأهداف المبينة آنفا ترد في التدابير المتخذة بموجب المادة 13 من برنامج تريو (القانون 196/97)، الذي يقدم حوافز لخفض ساعات العمل وإعادة تنظيم أوقات العمل والعمل غير المتفرغ، وذلك بتحديد أوقات العمل العادية في 40 ساعة في الأسبوع، كما ينص على أن لعقود التفاوض الجماعي الوطنية أن تحدّد أسبوع عمل أقصر. وقد حدد أسبوع العمل في حالة موظفي الخدمة المدنية، استناداً إلى مختلف، في 36 ساعة (القانون 93/83).</w:t>
      </w:r>
    </w:p>
    <w:p w:rsidR="00000000" w:rsidRDefault="00000000">
      <w:pPr>
        <w:spacing w:line="400" w:lineRule="exact"/>
        <w:jc w:val="both"/>
        <w:rPr>
          <w:rFonts w:hint="cs"/>
          <w:rtl/>
        </w:rPr>
      </w:pPr>
      <w:r>
        <w:rPr>
          <w:rFonts w:hint="cs"/>
          <w:rtl/>
        </w:rPr>
        <w:t>104-</w:t>
      </w:r>
      <w:r>
        <w:rPr>
          <w:rFonts w:hint="cs"/>
          <w:rtl/>
        </w:rPr>
        <w:tab/>
        <w:t>وقد نُص أيضا على عبء عمل أسبوعي مختلف بالنسبة إلى الأفراد الذين تتراوح أعمارهم بين 14 و18 سنة، حُدّد في 35 ساعة في الأسبوع بالنسبة لأصغرهم سنا و40 ساعة في الأسبوع في حالة المراهقين (القانون 977/67). وتبقى عملية التفاوض المنبع الرئيسي للتدابير المتصلة بأوقات العمل، بسبب تنوع الاحتياجات التي يتعين على النماذج المرنة تلبيتها وبسبب ما يشوبها من تعقيد. ويبين تحليل لساعات العمل الأسبوعية التي تنص عليها عقود التفاوض الجماعي الوطنية أن أوقات العمل الأسبوعية بالنسبة إلى 62 في المائة من العمال تفوق 39 ساعة، في حين يعمل 18 في المائة منهم بين 37 و39 ساعة ويعمل 20 في المائة منهم ما يعادل 36 ساعة.</w:t>
      </w:r>
    </w:p>
    <w:p w:rsidR="00000000" w:rsidRDefault="00000000">
      <w:pPr>
        <w:spacing w:line="400" w:lineRule="exact"/>
        <w:jc w:val="both"/>
        <w:rPr>
          <w:rFonts w:hint="cs"/>
          <w:b/>
          <w:bCs/>
          <w:rtl/>
        </w:rPr>
      </w:pPr>
      <w:r>
        <w:rPr>
          <w:rFonts w:hint="cs"/>
          <w:b/>
          <w:bCs/>
          <w:rtl/>
        </w:rPr>
        <w:t>منح العمل</w:t>
      </w:r>
    </w:p>
    <w:p w:rsidR="00000000" w:rsidRDefault="00000000">
      <w:pPr>
        <w:spacing w:line="400" w:lineRule="exact"/>
        <w:jc w:val="both"/>
        <w:rPr>
          <w:rFonts w:hint="cs"/>
          <w:rtl/>
        </w:rPr>
      </w:pPr>
      <w:r>
        <w:rPr>
          <w:rFonts w:hint="cs"/>
          <w:rtl/>
        </w:rPr>
        <w:t>105-</w:t>
      </w:r>
      <w:r>
        <w:rPr>
          <w:rFonts w:hint="cs"/>
          <w:rtl/>
        </w:rPr>
        <w:tab/>
        <w:t xml:space="preserve">يتعين النظر أيضا في "منح العمل"، رغم أنها لم تعد قائمة، إذ كانت تستهدف الشبان في جنوب إيطاليا. وقد اعتمد المرسوم التشريعي 280/1997، تنفيذا للصلاحيات المفوضة للحكومة بمقتضى المادة 26 من القانون 196/1997بشأن المبادرات المتخذة من أجل العاطلين عن العمل من الشبان في جنوب إيطاليا. وتضمن هذا المرسوم مخطط "وظائف النفع العام" و"منح العمل". وقد كان في نية المشرع تمكين ما لا يقل عن 000 100 شاب من العاطلين عن العمل من الانضمام إلى العمالة في مناطق جنوب إيطاليا الثماني والمقاطعات التي فاق فيها متوسط معدل البطالة السنوي سنة 1996 المتوسط الوطني حسب التعريف الموسع لمعهد الإحصاءات الإيطالي (فيتربو ولاتينا وروما وفروزينوني وماسا كرارا). </w:t>
      </w:r>
    </w:p>
    <w:p w:rsidR="00000000" w:rsidRDefault="00000000">
      <w:pPr>
        <w:spacing w:line="400" w:lineRule="exact"/>
        <w:jc w:val="both"/>
        <w:rPr>
          <w:rFonts w:hint="cs"/>
          <w:rtl/>
        </w:rPr>
      </w:pPr>
      <w:r>
        <w:rPr>
          <w:rFonts w:hint="cs"/>
          <w:rtl/>
        </w:rPr>
        <w:t>106-</w:t>
      </w:r>
      <w:r>
        <w:rPr>
          <w:rFonts w:hint="cs"/>
          <w:rtl/>
        </w:rPr>
        <w:tab/>
        <w:t>وقد فتح باب المشاركة في المخطط، عملا بأحكام المرسوم، أمام الشبان الذين تتراوح أعمارهم بين 21 و32 سنة المسجلين لما يزيد على 30 شهرا ضمن الفئة الأولى من قوائم البطالة، وهم الأشخاص الذين استهدفتهم خطة العمل الخاصة. وفي ما يتعلق بالمنح، نص المرسوم على وجوب انتقاء الشركات للشبان مباشرة وعلى أساس فردي، في غضون 30 يوما من تاريخ الإخطار بأهلية الانضمام إلى قائمة الترخيص. وقد حُدّدت مدة تجربة العمل - التي لم تكن تمثل علاقة عمل مباشرة - باثني عشـر شهـراً. وخصصـت للمستفيديـن منحة شهرية بمقدار 000 800 ليرة. واستبعدت الشركات المكونة من أقل من موظفين اثنين أو أكثر من 100 موظف من المشاركة في هذا المخطط الذي لم يشمل سوى الشركات المنتمية إلى قطاعات نشاط بعينها حددت على أساس تصنيف معهد الإحصاءات الإيطالي لسنة 1991.</w:t>
      </w:r>
    </w:p>
    <w:p w:rsidR="00000000" w:rsidRDefault="00000000">
      <w:pPr>
        <w:spacing w:line="400" w:lineRule="exact"/>
        <w:jc w:val="both"/>
        <w:rPr>
          <w:rFonts w:hint="cs"/>
          <w:rtl/>
        </w:rPr>
      </w:pPr>
      <w:r>
        <w:rPr>
          <w:rFonts w:hint="cs"/>
          <w:rtl/>
        </w:rPr>
        <w:t>107-</w:t>
      </w:r>
      <w:r>
        <w:rPr>
          <w:rFonts w:hint="cs"/>
          <w:rtl/>
        </w:rPr>
        <w:tab/>
        <w:t>وبغية تشجيع الشركات على توظيف مشاركين في المخطط على أساس دائم، فقد نص الحكم على أنه يحق للشركات التي توفر عملا للشبان، سواء خلال فترة المنحة أو عند انتهائها، أن تحصل على "تخفيضات" خاصة في الاشتراكات (على غرار تلك التي تمنح لأصحاب العمل الذين يوظفون عمالا على المدى الطويل (المادة 8، الفقرة 9، من القانون 407/1990)).</w:t>
      </w:r>
    </w:p>
    <w:p w:rsidR="00000000" w:rsidRDefault="00000000">
      <w:pPr>
        <w:spacing w:line="400" w:lineRule="exact"/>
        <w:jc w:val="both"/>
        <w:rPr>
          <w:rFonts w:hint="cs"/>
          <w:b/>
          <w:bCs/>
          <w:rtl/>
        </w:rPr>
      </w:pPr>
      <w:r>
        <w:rPr>
          <w:rFonts w:hint="cs"/>
          <w:b/>
          <w:bCs/>
          <w:rtl/>
        </w:rPr>
        <w:t xml:space="preserve">المساعدة على الانتقال من جنوب إيطاليا إلى الوسط والشمال </w:t>
      </w:r>
    </w:p>
    <w:p w:rsidR="00000000" w:rsidRDefault="00000000">
      <w:pPr>
        <w:spacing w:line="400" w:lineRule="exact"/>
        <w:jc w:val="both"/>
        <w:rPr>
          <w:rFonts w:hint="cs"/>
          <w:rtl/>
        </w:rPr>
      </w:pPr>
      <w:r>
        <w:rPr>
          <w:rFonts w:hint="cs"/>
          <w:rtl/>
        </w:rPr>
        <w:t>108-</w:t>
      </w:r>
      <w:r>
        <w:rPr>
          <w:rFonts w:hint="cs"/>
          <w:rtl/>
        </w:rPr>
        <w:tab/>
        <w:t xml:space="preserve">ترمي عمليات التدريب والتوجيه أو التلمذة الخاصة بالشبان من حاملي شهادة التعليم الإعدادي على الأقل إلى تيسير اتخاذ قراراتهم المتعلقة بالعمالة، من خلال تزويدهم بخبرة مباشرة في ميدان العمل وتمكينهم من الجمع بين العمل والدراسة. وفي هذا الصدد، كان الهدف من المرسوم الوزاري المؤرخ 22 كانون الثاني/يناير 2001 هو تقديم الدعم المالي لشباب جنوب إيطاليا الذين اعتزموا الانتقال إلى الوسط - الشمال لأغراض التلمذة. وقد نظم هذا المرسوم تسديد ما يتكبده أصحاب العمل في القطاعين العام والخاص من تكاليف مترتبة عن مشاركة شبان من جنوب إيطاليا في مشاريع تلمذة لدى شركات في الوسط - الشمال، والتكاليف المتصلة بتوفير أقساط تأمينهم من حوادث العمل. </w:t>
      </w:r>
    </w:p>
    <w:p w:rsidR="00000000" w:rsidRDefault="00000000">
      <w:pPr>
        <w:spacing w:line="400" w:lineRule="exact"/>
        <w:jc w:val="both"/>
        <w:rPr>
          <w:rFonts w:hint="cs"/>
          <w:rtl/>
        </w:rPr>
      </w:pPr>
      <w:r>
        <w:rPr>
          <w:rFonts w:hint="cs"/>
          <w:rtl/>
        </w:rPr>
        <w:t>109-</w:t>
      </w:r>
      <w:r>
        <w:rPr>
          <w:rFonts w:hint="cs"/>
          <w:rtl/>
        </w:rPr>
        <w:tab/>
        <w:t xml:space="preserve">وفي ما يتعلق بهذا الإجراء، أعطى المرسوم الوزاري 142/1998 المنفذ لبرنامج تريو مركز الأولوية لتمويل فترات التلمذة المعتمدة "كجزء من المشاريع الإطارية التي تصوغها الأقاليم". ويبين الحكم الصادر سنة 2001 بصريح العبارة أن على هذه المشاريع أن تحدد ترتيبات التسديد، بما يحث على انتقال الشبان جغرافيا من الجنوب إلى الوسط - الشمال، وهو ما استأثر بنسبة 85 في المائة من الموارد المخصصة للمخطط سنتي 1998 </w:t>
      </w:r>
      <w:r>
        <w:rPr>
          <w:rtl/>
        </w:rPr>
        <w:br/>
      </w:r>
      <w:r>
        <w:rPr>
          <w:rFonts w:hint="cs"/>
          <w:rtl/>
        </w:rPr>
        <w:t xml:space="preserve">و2000. وحال توزيع الموارد المالية على السلطات المحلية للأقاليم التي يتحدر منها هؤلاء الشبان، على أساس معدلات البطالة الإقليمية وعدد السكان المقيمين، شجعت المناطق المعنية على الانضمام إلى المشاريع لضمان حصولها على أقصى قدر من التمويل المتاح. ويتوقف نقل موارد الحكومة المركزية إلى إقليمي الوسط - الشمال على إبرامهما ما لا يقل عن اتفاقين مع إقليم جنوب إيطاليا. </w:t>
      </w:r>
    </w:p>
    <w:p w:rsidR="00000000" w:rsidRDefault="00000000">
      <w:pPr>
        <w:spacing w:line="400" w:lineRule="exact"/>
        <w:jc w:val="both"/>
        <w:rPr>
          <w:rFonts w:hint="cs"/>
          <w:rtl/>
        </w:rPr>
      </w:pPr>
      <w:r>
        <w:rPr>
          <w:rFonts w:hint="cs"/>
          <w:rtl/>
        </w:rPr>
        <w:t>110-</w:t>
      </w:r>
      <w:r>
        <w:rPr>
          <w:rFonts w:hint="cs"/>
          <w:rtl/>
        </w:rPr>
        <w:tab/>
        <w:t>ويُتوخى أيضا توفير حوافز إضافية لاستعمال هذه الأموال: إذ حُثت السلطات المحلية في جنوب إيطاليا على استخدام الأموال في أقصر فترة ممكنة، وإلا فقد يعاد توزيعها على غيرها من المناطق الجنوبية؛ وفي حال عدم استخدام السلطات المحلية في الوسط والشمال لهذه الأموال، فستعاد تلك الموارد إلى مصدرها الأصلي.</w:t>
      </w:r>
    </w:p>
    <w:p w:rsidR="00000000" w:rsidRDefault="00000000">
      <w:pPr>
        <w:spacing w:line="400" w:lineRule="exact"/>
        <w:jc w:val="both"/>
        <w:rPr>
          <w:rFonts w:hint="cs"/>
          <w:b/>
          <w:bCs/>
          <w:rtl/>
        </w:rPr>
      </w:pPr>
      <w:r>
        <w:rPr>
          <w:rFonts w:hint="cs"/>
          <w:b/>
          <w:bCs/>
          <w:rtl/>
        </w:rPr>
        <w:t>التخطيط المتفاوض عليه</w:t>
      </w:r>
    </w:p>
    <w:p w:rsidR="00000000" w:rsidRDefault="00000000">
      <w:pPr>
        <w:spacing w:line="400" w:lineRule="exact"/>
        <w:jc w:val="both"/>
        <w:rPr>
          <w:rFonts w:hint="cs"/>
          <w:rtl/>
        </w:rPr>
      </w:pPr>
      <w:r>
        <w:rPr>
          <w:rFonts w:hint="cs"/>
          <w:rtl/>
        </w:rPr>
        <w:t>111-</w:t>
      </w:r>
      <w:r>
        <w:rPr>
          <w:rFonts w:hint="cs"/>
          <w:rtl/>
        </w:rPr>
        <w:tab/>
        <w:t>يؤدي التخطيط المتفاوض عليه، في سياق المبادرات الرامية إلى التنمية الاقتصادية والاجتماعية للمناطق التي تعاني من الكساد، دوراً خاصاً لا من حيث مقدار الموارد المخصصة فحسب، بل أيضا، وقبل كل شيء، بسبب زيادة التشديد على هدف الحد من الحرمان الجغرافي بدل مجرد التعويض عنه، وبسبب فتح حوار على المستوى المحلي بشأن التخطيط وتصميم المشاريع بين المتعهدين من القطاعين العام والخاص والسلطات المحلية والفعاليات الاقتصادية والاجتماعية. وتنقسم عملية تنفيذ هذه المبادرات إلى أربع مراحل: قيام لجنة التخطيط الاقتصادي المشتركة بين الوزارات بتوزيع الأموال على الأطراف المعنية؛ وانتقاء المبادرات من خلال عملية تقييم تضطلع بها الإدارات الحكومية ذات الصلة؛ وتسليم الأموال؛ وإنفاق المتعهدين المحليين، سواء كانوا من القطاع الخاص أو المختلط، لتلك الأموال.</w:t>
      </w:r>
    </w:p>
    <w:p w:rsidR="00000000" w:rsidRDefault="00000000">
      <w:pPr>
        <w:spacing w:line="400" w:lineRule="exact"/>
        <w:jc w:val="both"/>
        <w:rPr>
          <w:rFonts w:hint="cs"/>
          <w:rtl/>
        </w:rPr>
      </w:pPr>
      <w:r>
        <w:rPr>
          <w:rFonts w:hint="cs"/>
          <w:rtl/>
        </w:rPr>
        <w:t>112-</w:t>
      </w:r>
      <w:r>
        <w:rPr>
          <w:rFonts w:hint="cs"/>
          <w:rtl/>
        </w:rPr>
        <w:tab/>
        <w:t xml:space="preserve">ولذلك، سوف تظهر على المدى القصير إمكانيات مؤسسية جديدة. وقد بدأت في هذا المجال عملية إدارة قائمة على اللامركزية، تجلت في الإقرار بدور التخطيط الإقليمي. وقد أوكل المرسوم التشريعي 112/1998 إلى الأقاليم مهمة "وضع الترتيبات من أجل تنفيذ أدوات التخطيط المتفاوض عليها". وتكتسي "عقود المناطق" في هذا الصدد أهمية خاصة (انظر المخطط الوارد أدناه). وقد انطوت بعض الاتفاقات المبرمة بين الشركاء الاجتماعيين على مستجدات هامة تتصل بالترتيبات التعاقدية المرنة، لا سيما في ما يخص الشبان، وذلك نظرا لقدرة هذه العقود على الخروج عن الإطار التشريعي النافذ حاليا في هذا المجال. </w:t>
      </w:r>
    </w:p>
    <w:p w:rsidR="00000000" w:rsidRDefault="00000000">
      <w:pPr>
        <w:spacing w:line="400" w:lineRule="exact"/>
        <w:jc w:val="both"/>
        <w:rPr>
          <w:rFonts w:hint="cs"/>
          <w:rtl/>
        </w:rPr>
      </w:pPr>
      <w:r>
        <w:rPr>
          <w:rFonts w:hint="cs"/>
          <w:rtl/>
        </w:rPr>
        <w:t>113-</w:t>
      </w:r>
      <w:r>
        <w:rPr>
          <w:rFonts w:hint="cs"/>
          <w:rtl/>
        </w:rPr>
        <w:tab/>
        <w:t>وبإيجاز، فقد تضمنت الاتفاقات الأولى، النقاط التالية:</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مُدّدت آجال عقود التدريب والعمل إلى 36 شهرا، يعين خلالها المشاركون في مناصب تقل بدرجتين عن المناصب الخاصة بالموظفين الدائمين الذين ينجزون نفس المهام، وكذا الحال على مدى الأشهر ال‍ 12 التي تعقب تحويل عقودهم إلى عقود عمل دائمة؛</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مُدّدت فترة التلمذة إلى 4 سنوات (وهو الحد الأقصى المنصوص عليه في القانون 196/1997)، على أن يبلغ الأجر الابتدائي مستوى قد يقل بنسبة 60 في المائة عن المستوى العادي؛ وأقرت أيضا خطط تلمذة وإدماج مهني.</w:t>
      </w:r>
    </w:p>
    <w:p w:rsidR="00000000" w:rsidRDefault="00000000">
      <w:pPr>
        <w:spacing w:line="400" w:lineRule="exact"/>
        <w:jc w:val="center"/>
        <w:rPr>
          <w:rFonts w:hint="cs"/>
          <w:b/>
          <w:bCs/>
          <w:rtl/>
        </w:rPr>
      </w:pPr>
      <w:r>
        <w:rPr>
          <w:rFonts w:hint="cs"/>
          <w:b/>
          <w:bCs/>
          <w:rtl/>
        </w:rPr>
        <w:t>جيم- المادة 7</w:t>
      </w:r>
    </w:p>
    <w:p w:rsidR="00000000" w:rsidRDefault="00000000">
      <w:pPr>
        <w:spacing w:line="400" w:lineRule="exact"/>
        <w:jc w:val="center"/>
        <w:rPr>
          <w:rFonts w:hint="cs"/>
          <w:b/>
          <w:bCs/>
          <w:rtl/>
        </w:rPr>
      </w:pPr>
      <w:r>
        <w:rPr>
          <w:rFonts w:hint="cs"/>
          <w:b/>
          <w:bCs/>
          <w:rtl/>
        </w:rPr>
        <w:t>الحق في ظروف عمل عادلة ومواتية</w:t>
      </w:r>
    </w:p>
    <w:p w:rsidR="00000000" w:rsidRDefault="00000000">
      <w:pPr>
        <w:spacing w:line="400" w:lineRule="exact"/>
        <w:jc w:val="both"/>
        <w:rPr>
          <w:rFonts w:hint="cs"/>
          <w:b/>
          <w:bCs/>
          <w:rtl/>
        </w:rPr>
      </w:pPr>
      <w:r>
        <w:rPr>
          <w:rFonts w:hint="cs"/>
          <w:b/>
          <w:bCs/>
          <w:rtl/>
        </w:rPr>
        <w:t>السلامة في مكان العمل</w:t>
      </w:r>
    </w:p>
    <w:p w:rsidR="00000000" w:rsidRDefault="00000000">
      <w:pPr>
        <w:spacing w:line="400" w:lineRule="exact"/>
        <w:jc w:val="both"/>
        <w:rPr>
          <w:rFonts w:hint="cs"/>
          <w:rtl/>
        </w:rPr>
      </w:pPr>
      <w:r>
        <w:rPr>
          <w:rFonts w:hint="cs"/>
          <w:rtl/>
        </w:rPr>
        <w:t>114-</w:t>
      </w:r>
      <w:r>
        <w:rPr>
          <w:rFonts w:hint="cs"/>
          <w:rtl/>
        </w:rPr>
        <w:tab/>
        <w:t xml:space="preserve">ألزم المرسوم التشريعي 626/94 (الذي نفذ توجيهات الجماعة الاقتصادية الأوروبية في ما يخص النهوض بسلامة العمال وصحتهم في مكان العمل)، وما تلاه من تدابير وقواعد مكملة، دوائر الأعمال بالتصدي إلى مسألة حماية صحة العمال وسلامتهم على نحو شامل ودينامي، وذلك باستحداث وظيفة خاصة داخل الشركة (المسؤول عن خدمات الوقاية والحماية </w:t>
      </w:r>
      <w:r>
        <w:t>RSPP</w:t>
      </w:r>
      <w:r>
        <w:rPr>
          <w:rFonts w:hint="cs"/>
          <w:rtl/>
        </w:rPr>
        <w:t>) لمساعدة صاحب العمل على إدارة أنشطة الوقاية داخل المنشأة والتخطيط لها. ويتضمن المرسوم التشريعي 626 قواعد تلقي على عاتق الشركاء الاجتماعيين مهمة صياغة الإجراءات الفعلية الكفيلة بإعمال الحقوق المنصوص عليها في المرسوم بخصوص مشاركة ممثل العمال المعني بالسلامة (</w:t>
      </w:r>
      <w:r>
        <w:t>RLS</w:t>
      </w:r>
      <w:r>
        <w:rPr>
          <w:rFonts w:hint="cs"/>
          <w:rtl/>
        </w:rPr>
        <w:t xml:space="preserve">) في تحليل المخاطر وتقييمها، وصياغة برنامج التوعية/التدريب، وتحديد الإجراءات الوقائية. ورغم وضع إطار تقنيني وتنظيمي جديد، ما زالت الحوادث المتصلة بالعمل تسفر عن تكاليف باهظة من حيث خسارة الأرواح أو الإعاقة الدائمة. </w:t>
      </w:r>
    </w:p>
    <w:p w:rsidR="00000000" w:rsidRDefault="00000000">
      <w:pPr>
        <w:spacing w:line="400" w:lineRule="exact"/>
        <w:jc w:val="both"/>
        <w:rPr>
          <w:rFonts w:hint="cs"/>
          <w:rtl/>
        </w:rPr>
      </w:pPr>
      <w:r>
        <w:rPr>
          <w:rFonts w:hint="cs"/>
          <w:rtl/>
        </w:rPr>
        <w:t>115-</w:t>
      </w:r>
      <w:r>
        <w:rPr>
          <w:rFonts w:hint="cs"/>
          <w:rtl/>
        </w:rPr>
        <w:tab/>
        <w:t>وقد سُجّل سنة 2000 ما يزيد على مليون حادث في مكان العمل (تقرير مركز الدراسات والسياسات الاجتماعية لسنة 2001)، أي ما يمثل ارتفاعا بنسبة 0.6 في المائة مقارنة بالعام السابق. وعلى عكس الاتجاه الذي ساد مؤخرا، ازدادت أيضا حالات المرض المتصلة بالعمل (زيادة بنسبة 4.3 في المائة). ويمكن عزو جزء كبير من هذا الارتفاع إلى توسيع نطاق التأمين الإجباري ليشمل فئات إضافية من العمال، لا سيما أكثرهم عرضة للمخاطر (العمال بعقود شبه دائمة، والعمال من خارج الاتحاد الأوروبي، وربات البيوت والطلاب). وتشير البيانات المتوفرة (المؤسسة الوطنية للتأمين من حوادث العمل والمؤسسة الوطنية للضمان الاجتماعي ومعهد الإحصاءات الإيطالي)، في ضوء ما سبق، إلى وجود اتجاه واضح نحو الانخفاض على المدى الطويل (نمو بالأرقام المطلقة مقابل تراجع من الناحية النسبية)، لا سيما في الميدان الزراعي. وبعبارات أخرى، يستلزم إجراء تقييم أشمل للحالة أخذ عناصر أخرى تميز نظام الإنتاج في البلد بعين الاعتبار. وفي الواقع، يتبين من خلال تحليل أعمق وجود عملية لا يستهان بها تنطوي على تحويل خطر وقوع الحوادث تدريجيا إلى أحداث أقل خطورة، كنتيجة لما سبق بذله من جهود في سبيل تحديث أماكن العمل والارتقاء بها إلى مستويات كمية أفضل، وتحسين ظروف العمل، والتدريب، وتنمية الوعي بالقضايا المتصلة بصحة العمال وسلامتهم في مكان العمل.</w:t>
      </w:r>
    </w:p>
    <w:p w:rsidR="00000000" w:rsidRDefault="00000000">
      <w:pPr>
        <w:spacing w:line="400" w:lineRule="exact"/>
        <w:jc w:val="both"/>
        <w:rPr>
          <w:rFonts w:hint="cs"/>
          <w:rtl/>
        </w:rPr>
      </w:pPr>
      <w:r>
        <w:rPr>
          <w:rFonts w:hint="cs"/>
          <w:rtl/>
        </w:rPr>
        <w:t>116-</w:t>
      </w:r>
      <w:r>
        <w:rPr>
          <w:rFonts w:hint="cs"/>
          <w:rtl/>
        </w:rPr>
        <w:tab/>
        <w:t>وتمثلت نسبة 97 في المائة من الحوادث التي قدمت المؤسسة الوطنية للتأمين من حوادث العمل تعويضا عنها سنة 2000 في إعاقات مؤقتة، في حين قدرت الحوادث الأكثر خطورة (بما فيها تلك التي تسببت في الوفاة) بنسبة 2.5 في المائة إجمالا. وبالإضافة إلى ذلك، انخفضت نسبة الحوادث المسفرة عن إعاقات دائمة بحوالي 60 في المائة، في حين انخفضت نسبة الحوادث المميتة بما يفوق 28 في المائة. ولا تزال صعوبة دراسة الوضع بغرض تنفيذ سياسات تصحيحية مرتبطة جزئيا بضعف الجهود المبذولة لإنشاء وظيفة رصد (تعود البيانات المتصلة بمشروع الرصد والمراقبة الأول المشترك بين الأقاليم والوارد في برنامج وزارة الصحة الخاص إلى سنة 2001) تأخذ في الاعتبار التباينات العميقة بين مختلف قطاعات نظام الإنتاج الإيطالي.</w:t>
      </w:r>
    </w:p>
    <w:p w:rsidR="00000000" w:rsidRDefault="00000000">
      <w:pPr>
        <w:spacing w:line="400" w:lineRule="exact"/>
        <w:jc w:val="both"/>
        <w:rPr>
          <w:rFonts w:hint="cs"/>
          <w:rtl/>
        </w:rPr>
      </w:pPr>
      <w:r>
        <w:rPr>
          <w:rFonts w:hint="cs"/>
          <w:rtl/>
        </w:rPr>
        <w:t>117-</w:t>
      </w:r>
      <w:r>
        <w:rPr>
          <w:rFonts w:hint="cs"/>
          <w:rtl/>
        </w:rPr>
        <w:tab/>
        <w:t>ونشير بذلك، أولا وقبل كل شيء، إلى حجم الشركات في قطاع الصناعة الذي ازداد فيه عدد الشركات الصغيرة والشركات الصغيرة جدا، لا سيما في قطاع التكنولوجيا المتقدمة، بما استتبع ذلك من نتائج على النموذج التنظيمي، وهو ما يعكس اتجاها واضحا نحو إسناد جزء من وظيفة الإنتاج إلى أطراف أخرى (نظام الشبكات أو الفروع الصناعية). وقد تراجعت مكانة المنشآت العامة والشركات الخاصة الكبرى، واتسعت شبكة مصادر الإنتاج الصغيرة والمتوسطة الحجم على امتداد البلد، بما يميزها من مرونة وإبداع وقدرة تنافسية حتى على الصعيد العالمي، كما تراجعت مستويات التدريب والسلامة (إذ طغى النهج القائم على الربح على قيمة العمل والحياة).</w:t>
      </w:r>
    </w:p>
    <w:p w:rsidR="00000000" w:rsidRDefault="00000000">
      <w:pPr>
        <w:spacing w:line="400" w:lineRule="exact"/>
        <w:jc w:val="both"/>
        <w:rPr>
          <w:rFonts w:hint="cs"/>
          <w:rtl/>
        </w:rPr>
      </w:pPr>
      <w:r>
        <w:rPr>
          <w:rFonts w:hint="cs"/>
          <w:rtl/>
        </w:rPr>
        <w:t>118-</w:t>
      </w:r>
      <w:r>
        <w:rPr>
          <w:rFonts w:hint="cs"/>
          <w:rtl/>
        </w:rPr>
        <w:tab/>
        <w:t xml:space="preserve">وقد كانت مكافحة حوادث العمل ولا تزال من بين أولويات الحكومات المتعاقبة، التي استحدثت أدوات للوقاية منها (مشروع "ميثاق عام 2000: خطة العمل من أجل مكافحة إصابات العمل") واتخذت إجراءات ضد أشكال السلوك المخالفة للقانون والمحظورة (الشرطة وفريق من مفتشي العمل). وفي الوقت ذاته، يتعين بذل جهد مماثل يشمل بالضرورة اتخاذ تدابير تسهل تقنين العمالة غير الرسمية وعقود التسوية. </w:t>
      </w:r>
    </w:p>
    <w:p w:rsidR="00000000" w:rsidRDefault="00000000">
      <w:pPr>
        <w:spacing w:line="400" w:lineRule="exact"/>
        <w:jc w:val="both"/>
        <w:rPr>
          <w:rFonts w:hint="cs"/>
          <w:b/>
          <w:bCs/>
          <w:rtl/>
        </w:rPr>
      </w:pPr>
      <w:r>
        <w:rPr>
          <w:rFonts w:hint="cs"/>
          <w:b/>
          <w:bCs/>
          <w:rtl/>
        </w:rPr>
        <w:t>الحق في الإضراب</w:t>
      </w:r>
    </w:p>
    <w:p w:rsidR="00000000" w:rsidRDefault="00000000">
      <w:pPr>
        <w:spacing w:line="400" w:lineRule="exact"/>
        <w:jc w:val="both"/>
        <w:rPr>
          <w:rFonts w:hint="cs"/>
          <w:rtl/>
        </w:rPr>
      </w:pPr>
      <w:r>
        <w:rPr>
          <w:rFonts w:hint="cs"/>
          <w:rtl/>
        </w:rPr>
        <w:t>119-</w:t>
      </w:r>
      <w:r>
        <w:rPr>
          <w:rFonts w:hint="cs"/>
          <w:rtl/>
        </w:rPr>
        <w:tab/>
        <w:t xml:space="preserve">أشارت لجنة المراقبة المعنية بتنفيذ القانون المتعلق بالإضراب في قطاع الخدمات العامة الحيوية، عند تقديم تقريرها السنوي لعام 2000، إلى أن الحق في الإضراب، رغم اعتباره من بين الحقوق الأساسية الواردة في الدستور (المادة 40)، لم يحظ إلا بتغطية جزئية في التشريع، إذ نص عليه أساساً في القانون 146/1990 الذي تضمن "أحكاما تتعلق بممارسة حق الإضراب في قطاع الخدمات العامة الحيوية"، ونقح لاحقا بالقانون 83/2000. ويقصد بالخدمات العامة الحيوية تلك التي يفترض أن تضمن حقوق الفرد وحرياته المكفولة في الدستور، مثل الحق في الحياة والصحة والأمن وحرية التنقل والحق في المساعدة والتأمين الاجتماعيين والحق في التعليم وحرية التواصل. </w:t>
      </w:r>
    </w:p>
    <w:p w:rsidR="00000000" w:rsidRDefault="00000000">
      <w:pPr>
        <w:spacing w:line="400" w:lineRule="exact"/>
        <w:jc w:val="both"/>
        <w:rPr>
          <w:rFonts w:hint="cs"/>
          <w:rtl/>
        </w:rPr>
      </w:pPr>
      <w:r>
        <w:rPr>
          <w:rFonts w:hint="cs"/>
          <w:rtl/>
        </w:rPr>
        <w:t>120-</w:t>
      </w:r>
      <w:r>
        <w:rPr>
          <w:rFonts w:hint="cs"/>
          <w:rtl/>
        </w:rPr>
        <w:tab/>
        <w:t>وفي سياق هذه الخدمات، يفرض القانون، إذ يجيز عمليات الإضراب، شرطا يتمثل في ضمان ألا يتعارض هذا الحق مع غيره من الحقوق المكفولة في الدستور. ولا يكون ذلك إلا بإقرار واحترام ضمانات خاصة ومحددة مثل قاعدة أجل الإخطار الأدنى، وقاعدة تحديد مدة الإضراب مسبقا، وشرط ضمان توفير المستويات الضرورية (أو الدنيا) من الخدمات، وشرط بيان أسباب الإضراب وطريقة تنفيذه، إضافة إلى شرط محاولة القيام بإجراءات التوفيق والمصالحة قبل إعلان الإضراب، وقاعدة المهلة الدنيا بين تنظيم إضراب والإعلان عن آخر.</w:t>
      </w:r>
    </w:p>
    <w:p w:rsidR="00000000" w:rsidRDefault="00000000">
      <w:pPr>
        <w:spacing w:line="400" w:lineRule="exact"/>
        <w:jc w:val="both"/>
        <w:rPr>
          <w:rFonts w:hint="cs"/>
          <w:rtl/>
        </w:rPr>
      </w:pPr>
      <w:r>
        <w:rPr>
          <w:rFonts w:hint="cs"/>
          <w:rtl/>
        </w:rPr>
        <w:t>121-</w:t>
      </w:r>
      <w:r>
        <w:rPr>
          <w:rFonts w:hint="cs"/>
          <w:rtl/>
        </w:rPr>
        <w:tab/>
        <w:t>وتشجع لجنة المراقبة على إبرام اتفاقات بين إدارات الحكومة (أو الشركات العامة التي تقدم الخدمات) وممثلي العمال، إذ يكفل هذا النوع من التفاوض التوافق بين حق الإضراب وغيره من الحقوق الدستورية. وتنشط اللجنة بصفة خاصة في قطاعات الاتصالات والكهرباء والعدل وفي الوزارات وفي قطاعي الصحة والنقل. ومن منظور إحصائي بحت، أبلغت اللجنة سنة 2000 عن ما يلي:</w:t>
      </w:r>
    </w:p>
    <w:p w:rsidR="00000000" w:rsidRDefault="00000000">
      <w:pPr>
        <w:spacing w:line="400" w:lineRule="exact"/>
        <w:jc w:val="both"/>
        <w:rPr>
          <w:rFonts w:hint="cs"/>
          <w:rtl/>
        </w:rPr>
      </w:pPr>
      <w:r>
        <w:rPr>
          <w:rFonts w:hint="cs"/>
          <w:rtl/>
        </w:rPr>
        <w:tab/>
        <w:t>-</w:t>
      </w:r>
      <w:r>
        <w:rPr>
          <w:rFonts w:hint="cs"/>
          <w:rtl/>
        </w:rPr>
        <w:tab/>
        <w:t>توقيع 5 اتفاقات وطنية و231 اتفاقاً محلياً بشأن التنظيم الذاتي المتصل بالحق في الإضراب؛</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تنظيم 287 إضرابا، 179 منها في قطاع النقل وحده، و22 في قطاع الاتصالات، و18 في قطاع العدل، و10 إضرابات في قطاع الصحة، و5 في قطاع التعليم؛</w:t>
      </w:r>
    </w:p>
    <w:p w:rsidR="00000000" w:rsidRDefault="00000000">
      <w:pPr>
        <w:tabs>
          <w:tab w:val="left" w:pos="714"/>
        </w:tabs>
        <w:spacing w:line="400" w:lineRule="exact"/>
        <w:ind w:left="1440" w:hanging="1440"/>
        <w:jc w:val="both"/>
        <w:rPr>
          <w:rFonts w:hint="cs"/>
          <w:rtl/>
        </w:rPr>
      </w:pPr>
      <w:r>
        <w:rPr>
          <w:rFonts w:hint="cs"/>
          <w:rtl/>
        </w:rPr>
        <w:tab/>
        <w:t>-</w:t>
      </w:r>
      <w:r>
        <w:rPr>
          <w:rFonts w:hint="cs"/>
          <w:rtl/>
        </w:rPr>
        <w:tab/>
        <w:t xml:space="preserve">في ما يتعلق بتقييم مدى احترام القانون - وهو مؤشر عن درجة التوفيق بين حق الإضراب وغيره من الحقوق الدستورية - سجل عدد من الانتهاكات، شمل 37.6 في المائة من مجموع الإضرابات التي نظمت. </w:t>
      </w:r>
    </w:p>
    <w:p w:rsidR="00000000" w:rsidRDefault="00000000">
      <w:pPr>
        <w:spacing w:line="400" w:lineRule="exact"/>
        <w:jc w:val="center"/>
        <w:rPr>
          <w:rFonts w:hint="cs"/>
          <w:b/>
          <w:bCs/>
          <w:rtl/>
        </w:rPr>
      </w:pPr>
      <w:r>
        <w:rPr>
          <w:rFonts w:hint="cs"/>
          <w:b/>
          <w:bCs/>
          <w:rtl/>
        </w:rPr>
        <w:t>دال- المادة 8</w:t>
      </w:r>
    </w:p>
    <w:p w:rsidR="00000000" w:rsidRDefault="00000000">
      <w:pPr>
        <w:spacing w:line="400" w:lineRule="exact"/>
        <w:jc w:val="center"/>
        <w:rPr>
          <w:rFonts w:hint="cs"/>
          <w:b/>
          <w:bCs/>
          <w:rtl/>
        </w:rPr>
      </w:pPr>
      <w:r>
        <w:rPr>
          <w:rFonts w:hint="cs"/>
          <w:b/>
          <w:bCs/>
          <w:rtl/>
        </w:rPr>
        <w:t>النقابات</w:t>
      </w:r>
    </w:p>
    <w:p w:rsidR="00000000" w:rsidRDefault="00000000">
      <w:pPr>
        <w:spacing w:line="400" w:lineRule="exact"/>
        <w:jc w:val="both"/>
        <w:rPr>
          <w:rFonts w:hint="cs"/>
          <w:rtl/>
        </w:rPr>
      </w:pPr>
      <w:r>
        <w:rPr>
          <w:rFonts w:hint="cs"/>
          <w:rtl/>
        </w:rPr>
        <w:t>122- تنبع قواعد قانون العمل من التشريع والتفاوض الجماعي والفقه القانوني. وقد استخدمت المبادرات التشريعية الرامية إلى حماية حق النقابات في الاستقلالية والتنظيم الذاتي كضمانات (إذ حددت مستويات دنيا إجبارية في المجالين الاقتصادي والتنظيمي، كما في حالة القانون 83/00 الذي يكمل اللوائح المتعلقة بحق الإضراب في قطاع الخدمات العامة الحيوية - القانون 146/90 - ويدمج قواعد لزيادة الدفاع عن المستعملين من المواطنين) ودعائم وحوافز لعملية التفاوض. ويشكل عقد التفاوض الجماعي، الذي يمثل أفضل تعبير عن استقلالية النقابات، المصدر المحدد لقانون العمل. ولئن لم يكتمل، كما هو معلوم، تنفيذ المادة ذات الصلة من الدستور (المادة 39)، فإن النقابات، وهي تعمل كمنظمات مستقلة فعلياً (المادة 39، الفقرة 1، والمادة 18 من الدستور) وتوقع الاتفاقات المتفاوض عليها بين الأطراف طبقا للعرف السائد أو عقود التفاوض الجماعي، قد أخذت تضطلع بدور هام تجاه المجتمع برمته، إذ أصبح المشرعون يقرون (إقراراً مباشراً إلى حد ما، وأيضا على أساس قرارات المحاكم) بصلاحية عقود التفاوض الجماعي عموما (صلاحية لا تقتصر على أعضاء النقابات بل تشمل عامة الناس). وتعد إحالات المشرع إلى التفاوض الجماعي بمثابة اعتراف دائم بصلاحية مصدر من مصادر القواعد، يتميز بمرونة تتناسب على نحو أفضل مع تنظيم علاقات العمل. ولا ينحصر نظام التفاوض (أو التفاوض المنظم على مستويات مختلفة)، استنادا إلى ممارسات محددة، في عقد التفاوض الجماعي (الأجور وما يتصل بها من قواعد ولوائح)، بل يشمل أيضا جانبا أوسع من العلاقات على الصعيد المركزي وكذلك على مستوى الشركة، يخص مختلف قطاعات الإنتاج وأنواع/فئات العمال.</w:t>
      </w:r>
    </w:p>
    <w:p w:rsidR="00000000" w:rsidRDefault="00000000">
      <w:pPr>
        <w:spacing w:line="400" w:lineRule="exact"/>
        <w:jc w:val="both"/>
        <w:rPr>
          <w:rFonts w:hint="cs"/>
          <w:rtl/>
        </w:rPr>
      </w:pPr>
      <w:r>
        <w:rPr>
          <w:rFonts w:hint="cs"/>
          <w:rtl/>
        </w:rPr>
        <w:t>123-</w:t>
      </w:r>
      <w:r>
        <w:rPr>
          <w:rFonts w:hint="cs"/>
          <w:rtl/>
        </w:rPr>
        <w:tab/>
        <w:t>وقد ساهم التزام الشركاء الاجتماعيين وتحملهم المسؤولية عن الحالة الوطنية العامة تدريجيا، إضافة إلى عوامل أخرى أعم (تجديد أنماط الإنتاج؛ أزمة الأحزاب السياسية؛ تقادم منطق الشركة، التزامات المجموعة الأوروبية؛ تغير المشهد السياسي الدولي) في التوصل إلى اتفاق عام بشأن أهداف جماعية من شأنها دعم تنمية البلد الاجتماعية والاقتصادية (وأدى إلى توقيع اتفاقات ثنائية وثلاثية الأطراف). وغدا توسيع المشاركة في عملية صنع القرار كي تشمل قوى ومجموعات جديدة من خلال إجراءات الحوار الاجتماعي والشراكة والعمل المنسق بمثابة حجر زاوية في عهد جديد من الديمقراطية الاجتماعية والمدنية.</w:t>
      </w:r>
    </w:p>
    <w:p w:rsidR="00000000" w:rsidRDefault="00000000">
      <w:pPr>
        <w:spacing w:line="400" w:lineRule="exact"/>
        <w:jc w:val="both"/>
        <w:rPr>
          <w:rFonts w:hint="cs"/>
          <w:rtl/>
        </w:rPr>
      </w:pPr>
      <w:r>
        <w:rPr>
          <w:rFonts w:hint="cs"/>
          <w:rtl/>
        </w:rPr>
        <w:t>124-</w:t>
      </w:r>
      <w:r>
        <w:rPr>
          <w:rFonts w:hint="cs"/>
          <w:rtl/>
        </w:rPr>
        <w:tab/>
        <w:t>ويعتبر العهد الاجتماعي من أجل التنمية والعمالة الموقع في 22 كانون الأول/ديسمبر 1998 اتفاقا بين الاتحادات (يضم الحكومة ورابطات أصحاب العمل والنقابات) يمثل أهم التدابير المتخذة في هذا المنحى على امتداد السنوات الخمس الأخيرة. فهو يعيد تأكيد نظام علاقات العمل وقواعد التفاوض الجماعي وحصيلة سياسات تنمية العمالة المنصوص عليها في اتفاق تموز/يوليه 1993. ويرد في الجزء الأول من الاتفاق اعتراف بنتائج أسلوب العمل المنسق وبصلاحيته، تليه توجيهات للإصلاح الذي يرجى منه تحقيق أهداف تنمية العمالة. وقد تبين أن "الإجراءات المنسقة" طريقة مميزة من طرق "صنع القرار"، تمكن من بلوغ الأهداف الأساسية التالية: أولاً وقبل كل شيء خفض معدل التضخم، الذي مكن من حماية دخل الأسر؛ وانتعاش المالية العامة، مما أتاح احترام أهداف ماستريخت؛ وانتشار التعاون على مستوى علاقات العمل، الذي أدى إلى إنعاش القوة التنافسية للشركات الإيطالية.</w:t>
      </w:r>
    </w:p>
    <w:p w:rsidR="00000000" w:rsidRDefault="00000000">
      <w:pPr>
        <w:spacing w:line="400" w:lineRule="exact"/>
        <w:jc w:val="both"/>
        <w:rPr>
          <w:rFonts w:hint="cs"/>
          <w:rtl/>
        </w:rPr>
      </w:pPr>
      <w:r>
        <w:rPr>
          <w:rFonts w:hint="cs"/>
          <w:rtl/>
        </w:rPr>
        <w:t>125-</w:t>
      </w:r>
      <w:r>
        <w:rPr>
          <w:rFonts w:hint="cs"/>
          <w:rtl/>
        </w:rPr>
        <w:tab/>
        <w:t>وفي هذا السياق، نما أيضا التفاوض الجماعي اللامركزي على صعيد الشركات كما على الصعيد الإقليمي. وابتداء من سنة 2000، أجبرت الحكومة على إعطاء الأولوية للحاجة إلى التحديث قصد تنمية القدرة التنافسية للنظام الإيطالي، وهو ما يستدعي إدخال إصلاحات من شأنها زيادة تحرير سوق العمالة وخفض عبء الضريبة وتحديث نظام الرعاية الاجتماعية. وفي الوقت ذاته، شهد العام المنصرم، في ارتباط وثيق مع مجموعة من التغييرات الجذرية في المجالين الاقتصادي والاجتماعي، إعادة النظر في نهج الإجراءات المنسقة الذي ساد في التسعينات، مما أدى بحكم الأمر الواقع إلى وقف العمل بالعهد الموقع سنة 1998 وإحداث فراغ يصعب معه اتخاذ الإجراءات المنسقة. وفي هذا الصدد، لا ينكر أحد أن عملية الإجراءات المنسقة في إيطاليا قد تأثرت بنماذج الحوار والشراكة المتبعة في المجموعة الأوروبية. وتبين أحدث التغيرات أن الشركاء الاجتماعيين يعملون في سبيل أهداف غير تلك التي ميزت التسعينات. وقد تمخضت المحاولات الرامية إلى التحكم في متغيرات الاقتصاد الكلي، إلى حد ما، عن تحديات جديدة، من قبيل تنمية العمالة ونمو دوائر الأعمال، بالتزامن مع كفالة حقوق العمال، على نحو قد يكون جديدا.</w:t>
      </w:r>
    </w:p>
    <w:p w:rsidR="00000000" w:rsidRDefault="00000000">
      <w:pPr>
        <w:spacing w:line="400" w:lineRule="exact"/>
        <w:jc w:val="center"/>
        <w:rPr>
          <w:rFonts w:hint="cs"/>
          <w:b/>
          <w:bCs/>
          <w:rtl/>
        </w:rPr>
      </w:pPr>
      <w:r>
        <w:rPr>
          <w:rFonts w:hint="cs"/>
          <w:b/>
          <w:bCs/>
          <w:rtl/>
        </w:rPr>
        <w:t>هاء- المادة 9</w:t>
      </w:r>
    </w:p>
    <w:p w:rsidR="00000000" w:rsidRDefault="00000000">
      <w:pPr>
        <w:spacing w:line="400" w:lineRule="exact"/>
        <w:jc w:val="center"/>
        <w:rPr>
          <w:rFonts w:hint="cs"/>
          <w:b/>
          <w:bCs/>
          <w:rtl/>
        </w:rPr>
      </w:pPr>
      <w:r>
        <w:rPr>
          <w:rFonts w:hint="cs"/>
          <w:b/>
          <w:bCs/>
          <w:rtl/>
        </w:rPr>
        <w:t>الضمان الاجتماعي</w:t>
      </w:r>
    </w:p>
    <w:p w:rsidR="00000000" w:rsidRDefault="00000000">
      <w:pPr>
        <w:spacing w:line="400" w:lineRule="exact"/>
        <w:jc w:val="both"/>
        <w:rPr>
          <w:rFonts w:hint="cs"/>
          <w:b/>
          <w:bCs/>
          <w:rtl/>
        </w:rPr>
      </w:pPr>
      <w:r>
        <w:rPr>
          <w:rFonts w:hint="cs"/>
          <w:b/>
          <w:bCs/>
          <w:rtl/>
        </w:rPr>
        <w:t>الضمان الاجتماعي الإجباري والإضافي</w:t>
      </w:r>
    </w:p>
    <w:p w:rsidR="00000000" w:rsidRDefault="00000000">
      <w:pPr>
        <w:spacing w:line="400" w:lineRule="exact"/>
        <w:jc w:val="both"/>
        <w:rPr>
          <w:rFonts w:hint="cs"/>
          <w:rtl/>
        </w:rPr>
      </w:pPr>
      <w:r>
        <w:rPr>
          <w:rFonts w:hint="cs"/>
          <w:rtl/>
        </w:rPr>
        <w:t>126-</w:t>
      </w:r>
      <w:r>
        <w:rPr>
          <w:rFonts w:hint="cs"/>
          <w:rtl/>
        </w:rPr>
        <w:tab/>
        <w:t>تبين التوقعات الصادرة عن معهد الإحصاءات الوطني بشأن تطور السكان الديمغرافي في إيطاليا أن الاتجاه المشترك مع بقية بلدان أوروبا يظل قويا. وعلى وجه الخصوص، يتوقع أن يرتفع مؤشر إعالة المسنين من معدل 24.6 في المائة الذي كان عليه سنة 1996 إلى معدل 57.6 في المائة بحلول عام 2050، أي ما يمثل زيادة بحوالي 134 في المائة. وفي المقابل، سينخفض إجمالي عدد السكان بقرابة 20 في المائة (إذ سيتراجع من 000 333 57 نسمة سنة 1996 إلى 000 997 45 نسمة بحلول سنة 2050).</w:t>
      </w:r>
    </w:p>
    <w:p w:rsidR="00000000" w:rsidRDefault="00000000">
      <w:pPr>
        <w:spacing w:line="400" w:lineRule="exact"/>
        <w:jc w:val="both"/>
        <w:rPr>
          <w:rFonts w:hint="cs"/>
          <w:rtl/>
        </w:rPr>
      </w:pPr>
      <w:r>
        <w:rPr>
          <w:rFonts w:hint="cs"/>
          <w:rtl/>
        </w:rPr>
        <w:t>127-</w:t>
      </w:r>
      <w:r>
        <w:rPr>
          <w:rFonts w:hint="cs"/>
          <w:rtl/>
        </w:rPr>
        <w:tab/>
        <w:t>وقد بذلت إيطاليا في الأعوام الأخيرة، بحافز من هذه القوى، جهودا لا يستهان بها، لا سيما من خلال القانون رقم 335/1995، في سبيل العودة بالإنفاق على الضمان الاجتماعي إلى مستوى متوازن، دون الحيد عن هدف تقديم معاشات ملائمة إلى المواطنين المتقاعدين، عملا بنص المادة 38 من الدستور.</w:t>
      </w:r>
    </w:p>
    <w:p w:rsidR="00000000" w:rsidRDefault="00000000">
      <w:pPr>
        <w:spacing w:line="400" w:lineRule="exact"/>
        <w:jc w:val="both"/>
        <w:rPr>
          <w:rFonts w:hint="cs"/>
          <w:rtl/>
        </w:rPr>
      </w:pPr>
      <w:r>
        <w:rPr>
          <w:rFonts w:hint="cs"/>
          <w:rtl/>
        </w:rPr>
        <w:t>128-</w:t>
      </w:r>
      <w:r>
        <w:rPr>
          <w:rFonts w:hint="cs"/>
          <w:rtl/>
        </w:rPr>
        <w:tab/>
        <w:t>ويظل الوضع العام مشتتا، سواء من حيث البنية الاشتراعية التي تتسم بوجود تشريعات لم تنسق بعد تنسيقا كاملا، فضلا عن عدد من الولايات التي لم تنجز، أو في ما يتعلق بتدفق المعلومات بشأن المستجدات في مجال الضمان الاجتماعي، مما يجعل رصدها عملية صعبة.</w:t>
      </w:r>
    </w:p>
    <w:p w:rsidR="00000000" w:rsidRDefault="00000000">
      <w:pPr>
        <w:spacing w:line="400" w:lineRule="exact"/>
        <w:jc w:val="both"/>
        <w:rPr>
          <w:rFonts w:hint="cs"/>
          <w:rtl/>
        </w:rPr>
      </w:pPr>
      <w:r>
        <w:rPr>
          <w:rFonts w:hint="cs"/>
          <w:rtl/>
        </w:rPr>
        <w:t>129-</w:t>
      </w:r>
      <w:r>
        <w:rPr>
          <w:rFonts w:hint="cs"/>
          <w:rtl/>
        </w:rPr>
        <w:tab/>
        <w:t xml:space="preserve">وفي ما يتعلق بالدفاع عن حقوق أضعف فئات المجتمع، تجدر الإشارة إلى أن بعض القطاعات/الفئات ما زالت تحظى بأنظمة تقاعد راقية. وتعد صحة البيانات المتوفرة، في حالة العمال المهاجرين، مشكلة. وفي الواقع، ثمة تضارب ملحوظ في النسب المئوية بين العمال المقيدين في سجلات وزارة الداخلية وأولئك المسجلين في سجلات المؤسسة الوطنية للضمان الاجتماعي. إلا أنه، رغم ما يشوب النظام من انحرافات، ينبغي التشديد، كما بينته أعمال لجنة وزارية، على أن إصلاح نظام الضمان الاجتماعي الإيطالي في السنوات الأخيرة كان في مستوى التطلعات (بل فاقه) في مجال الموازنات المالية ذي الأهمية الكبرى. ويفترض أن يزيد نظام التقاعد التكميلي من فوائد نظام التقاعد العام من خلال التفاوض على صناديق تقاعد تقترن بصناديق مفتوحة تستخدم كوسائل إضافية لبلوغ مستويات تغطية معاشية أعلى. </w:t>
      </w:r>
    </w:p>
    <w:p w:rsidR="00000000" w:rsidRDefault="00000000">
      <w:pPr>
        <w:spacing w:line="400" w:lineRule="exact"/>
        <w:jc w:val="both"/>
        <w:rPr>
          <w:rFonts w:hint="cs"/>
          <w:rtl/>
        </w:rPr>
      </w:pPr>
      <w:r>
        <w:rPr>
          <w:rFonts w:hint="cs"/>
          <w:rtl/>
        </w:rPr>
        <w:t>130-</w:t>
      </w:r>
      <w:r>
        <w:rPr>
          <w:rFonts w:hint="cs"/>
          <w:rtl/>
        </w:rPr>
        <w:tab/>
        <w:t xml:space="preserve">ويتعين توضيح صلاحيات المصدر المتفاوض عليه من زاوية معايير الحكومة المركزية والمعايير الإقليمية؛ فمقارنة بالمعايير الإقليمية، لا يهدف هذا المصدر إلى تفادي التباينات في التعامل مع المعاشات وما يطرأ على قواعد السوق من تغيرات فحسب، بل إنه يرمي أيضا إلى تفادي التفاوت بين مختلف الأقاليم من حيث الموارد المتاحة للضمان الاجتماعي التكميلي. ويكمن التحدي في الحيلولة دون الوقوع في نظام ضمان اجتماعي مشتت ومتداخل، مع الإبقاء على الاعتبارات القائمة في ما يتصل بالنجاعة الاقتصادية وآفاق صناديق التقاعد. </w:t>
      </w:r>
    </w:p>
    <w:p w:rsidR="00000000" w:rsidRDefault="00000000">
      <w:pPr>
        <w:spacing w:line="400" w:lineRule="exact"/>
        <w:jc w:val="both"/>
        <w:rPr>
          <w:rFonts w:hint="cs"/>
          <w:b/>
          <w:bCs/>
          <w:rtl/>
        </w:rPr>
      </w:pPr>
    </w:p>
    <w:p w:rsidR="00000000" w:rsidRDefault="00000000">
      <w:pPr>
        <w:spacing w:line="400" w:lineRule="exact"/>
        <w:jc w:val="both"/>
        <w:rPr>
          <w:rFonts w:hint="cs"/>
          <w:b/>
          <w:bCs/>
          <w:rtl/>
        </w:rPr>
      </w:pPr>
      <w:r>
        <w:rPr>
          <w:rFonts w:hint="cs"/>
          <w:b/>
          <w:bCs/>
          <w:rtl/>
        </w:rPr>
        <w:t>صناديق التقاعد التفاوضية</w:t>
      </w:r>
    </w:p>
    <w:p w:rsidR="00000000" w:rsidRDefault="00000000">
      <w:pPr>
        <w:spacing w:line="400" w:lineRule="exact"/>
        <w:jc w:val="both"/>
        <w:rPr>
          <w:rFonts w:hint="cs"/>
          <w:rtl/>
        </w:rPr>
      </w:pPr>
      <w:r>
        <w:rPr>
          <w:rFonts w:hint="cs"/>
          <w:rtl/>
        </w:rPr>
        <w:t>131-</w:t>
      </w:r>
      <w:r>
        <w:rPr>
          <w:rFonts w:hint="cs"/>
          <w:rtl/>
        </w:rPr>
        <w:tab/>
        <w:t xml:space="preserve">يبلغ عدد المشاركين في الصناديق التفاوضية (بمن فيهم المسجلون في صناديق تعود إلى ما قبل صدور المرسوم التشريعي رقم 124/1993) زهاء 000 700 1 مشارك (بيانات شركة تنمية صناديق التقاعد </w:t>
      </w:r>
      <w:r>
        <w:t>Mefop</w:t>
      </w:r>
      <w:r>
        <w:rPr>
          <w:rFonts w:hint="cs"/>
          <w:rtl/>
        </w:rPr>
        <w:t xml:space="preserve"> في 30 أيلول/سبتمبر 2001)، في حين تتسع دائرة المشاركة لحوالي 13 مليون عامل. وتسمح معظم الصناديق التفاوضية بمشاركة العمال في مرحلة التلمذة فضلا عن المرتبطين بعقود تدريب وعقود ذات أجل محدد وعقود موسمية. وفي هذا الصدد، أسفر التفاوض الجماعي الوطني، خلافا للمرحلة الأولى، عن توسيع نطاق هذا الحق. وقد لوحظ أن الموظفين الذين يتقاضون أجرا في الشركات الصغيرة والمنشآت الحرفية يلاقون صعوبات في الاشتراك، إذ يتعرضون لمشاكل في الوصول إلى الأطراف المعنية، والحصول على معلومات بشأن هذا الحق. وعلى هذا النحو، يتسم تصنيف المشتركين في صناديق التقاعد حسب الأعمار بحضور شبابي محدود. وبلغ متوسط عائد الصناديق نسبة 3.6 في المائة سنة 2000 ؛ ويتعين أيضا أخذ العائد السنوي لصناديق تعويضات نهاية الخدمة في الاعتبار، إذ بلغ 3.5 في المائة سنة 2000. وثمة مسألة تستحق أن ينظر فيها على حدة، وهي مسألة العمال المؤقتين الذين يتعذر عليهم التسجيل في الصناديق التفاوضية داخل الشركات التي تستخدمهم. ومن ثم ينبغي للكيانات المؤسسية صاحبة السلطة في هذا المجال (الحكومة والبرلمان والشركاء الاجتماعيون) أن تفكر في مستويات المشاركة غير الكافية وذلك للتوصل إلى الحلول المناسبة. </w:t>
      </w:r>
    </w:p>
    <w:p w:rsidR="00000000" w:rsidRDefault="00000000">
      <w:pPr>
        <w:spacing w:line="400" w:lineRule="exact"/>
        <w:jc w:val="both"/>
        <w:rPr>
          <w:rFonts w:hint="cs"/>
          <w:b/>
          <w:bCs/>
          <w:rtl/>
        </w:rPr>
      </w:pPr>
      <w:r>
        <w:rPr>
          <w:rFonts w:hint="cs"/>
          <w:b/>
          <w:bCs/>
          <w:rtl/>
        </w:rPr>
        <w:t xml:space="preserve">صناديق التقاعد المفتوحة </w:t>
      </w:r>
    </w:p>
    <w:p w:rsidR="00000000" w:rsidRDefault="00000000">
      <w:pPr>
        <w:spacing w:line="400" w:lineRule="exact"/>
        <w:jc w:val="both"/>
        <w:rPr>
          <w:rFonts w:hint="cs"/>
          <w:rtl/>
        </w:rPr>
      </w:pPr>
      <w:r>
        <w:rPr>
          <w:rFonts w:hint="cs"/>
          <w:rtl/>
        </w:rPr>
        <w:t>132-</w:t>
      </w:r>
      <w:r>
        <w:rPr>
          <w:rFonts w:hint="cs"/>
          <w:rtl/>
        </w:rPr>
        <w:tab/>
        <w:t xml:space="preserve">حُدّد عدد من النقاط المعيارية التي يعتبر إيجاد حل لها أمرا حاسما لكفالة تنمية قطاع الضمان الاجتماعي التكميلي على نحو ملائم. ومن ذلك ما يسمى "قابلية مدفوعات الضمان الاجتماعي للتحويل" (بما في ذلك مدفوعات صاحب العمل). ويتعلق الأمر بإمكانية قيام عامل مسجل في صندوق تفاوضي معين بتحويل لرصيده الإجمالي من ذلك الصندوق إلى صندوق مفتوح آخر، بعد مضي الفترة الدنيا اللازمة من المشاركة في ذلك الصندوق. ومما لا شك فيه أن إمكانية القيام بذلك تتوقف على سلطة اتخاذ القرار التي يملكها العامل، دون الحاجة إلى موافقة أي كان أو إلى أي اتفاق ثنائي أو نقابي. لكن المشكلة، في هذه الحالة ، تكمن في ما إذا كان لهذا التحويل أثر على التزام الشركة بدفع حصتها من مدفوعات الضمان الاجتماعي والاشتراكات في تعويضات نهاية الخدمة إلى الصندوق الجديد. وتكتسي هذه المسألة أهمية كبرى، وتتطلب توضيحا من خلال تفسير متسق لمعايير الحكومة المركزية والمعايير المشتركة بين النقابات. </w:t>
      </w:r>
    </w:p>
    <w:p w:rsidR="00000000" w:rsidRDefault="00000000">
      <w:pPr>
        <w:spacing w:line="400" w:lineRule="exact"/>
        <w:jc w:val="both"/>
        <w:rPr>
          <w:rFonts w:hint="cs"/>
          <w:b/>
          <w:bCs/>
          <w:rtl/>
        </w:rPr>
      </w:pPr>
      <w:r>
        <w:rPr>
          <w:rFonts w:hint="cs"/>
          <w:b/>
          <w:bCs/>
          <w:rtl/>
        </w:rPr>
        <w:t>نظام التقاعد</w:t>
      </w:r>
    </w:p>
    <w:p w:rsidR="00000000" w:rsidRDefault="00000000">
      <w:pPr>
        <w:spacing w:line="400" w:lineRule="exact"/>
        <w:jc w:val="both"/>
        <w:rPr>
          <w:rFonts w:hint="cs"/>
          <w:rtl/>
        </w:rPr>
      </w:pPr>
      <w:r>
        <w:rPr>
          <w:rFonts w:hint="cs"/>
          <w:rtl/>
        </w:rPr>
        <w:t>133-</w:t>
      </w:r>
      <w:r>
        <w:rPr>
          <w:rFonts w:hint="cs"/>
          <w:rtl/>
        </w:rPr>
        <w:tab/>
        <w:t>شهدت فترة التسعينات اتخاذ سلسلة من التدابير المتصلة بالضمان الاجتماعي. وعلى وجه الخصوص، استهل إصلاح أولي أجري سنة 1992 عملية مواءمة تدريجية، ترمي إلى توسيع نطاق اللوائح المطبقة على العاملين بأجر لتشمل مختلف الفئات، بحيث يتسنى تحقيق بعض النتائج الأولية على مستوى خفض مصروفات الضمان الاجتماعي بفضل اعتماد عدد من العناصر الجديدة، من بينها:</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زيادة السن "المؤهلة للحصول على المعاش" ورفع الحد الأدنى للأقدمية في دفع الاشتراكات اللازم للاستفادة من معاش الشيخوخة؛</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مقايسة المزايا على أساس زيادات الأسعار فقط؛</w:t>
      </w:r>
    </w:p>
    <w:p w:rsidR="00000000" w:rsidRDefault="00000000">
      <w:pPr>
        <w:spacing w:line="400" w:lineRule="exact"/>
        <w:jc w:val="both"/>
        <w:rPr>
          <w:rFonts w:hint="cs"/>
          <w:spacing w:val="0"/>
          <w:rtl/>
        </w:rPr>
      </w:pPr>
      <w:r>
        <w:rPr>
          <w:rFonts w:hint="cs"/>
          <w:spacing w:val="0"/>
          <w:rtl/>
        </w:rPr>
        <w:t>واستؤنفت العملية الرامية إلى ترشيد الإنفاق على المعاشات في الفترة الممتدة بين سنتي 1993 و1994 وشملت ما يلي:</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خفض مزايا معاش الأقدمية الخاصة بموظفي القطاع العام على نحو متناسب مع الفارق بين سنوات العمل والحد الأدنى المتمثل في 35 عاما من دفع الاشتراكات</w:t>
      </w:r>
      <w:r>
        <w:rPr>
          <w:rFonts w:hint="cs"/>
          <w:vertAlign w:val="superscript"/>
          <w:rtl/>
        </w:rPr>
        <w:t>(1)</w:t>
      </w:r>
      <w:r>
        <w:rPr>
          <w:rFonts w:hint="cs"/>
          <w:rtl/>
        </w:rPr>
        <w:t>؛</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دمج بعض هيئات الضمان الاجتماعي وإعادة تنظيمها؛</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خصخصة الصناديق المهنية.</w:t>
      </w:r>
    </w:p>
    <w:p w:rsidR="00000000" w:rsidRDefault="00000000">
      <w:pPr>
        <w:spacing w:line="400" w:lineRule="exact"/>
        <w:jc w:val="both"/>
        <w:rPr>
          <w:rFonts w:hint="cs"/>
          <w:rtl/>
        </w:rPr>
      </w:pPr>
      <w:r>
        <w:rPr>
          <w:rFonts w:hint="cs"/>
          <w:rtl/>
        </w:rPr>
        <w:t>134-</w:t>
      </w:r>
      <w:r>
        <w:rPr>
          <w:rFonts w:hint="cs"/>
          <w:rtl/>
        </w:rPr>
        <w:tab/>
        <w:t xml:space="preserve">وفي سنة 1995، أدت التدابير المتصلة بنظام الضمان الاجتماعي، في إطار محاولة الاستفادة إلى أقصى حد من الانخراط المكثف للشركاء الاجتماعيين، تمشيا مع إجراءات مواءمة السياسات الخاصة بالدخل، إلى إعمال القانون (رقم 335/95) الذي نص على تجديد نظام التقاعد الإيطالي بالكامل والانتقال من طريقة الحساب المرتبطة بالأجر إلى طريقة قائمة على الاشتراكات. وشكل نظام الاشتراكات الجديد خطوة حاسمة على درب تثبيت معدل الإنفاق على المعاشات إلى الناتج المحلي الإجمالي كما كان مثالا صادقا على مواءمة القواعد التي من شأنها أن تعود بالفائدة على وظائف اجتماعية أخرى. وقد تناول القانون نفسه مسألة شروط الحصول على التقاعد بالأقدمية بإدخال شرط السن (التي رفعت تدريجيا إلى 57 عاما) إضافة إلى شرط الأقدمية في دفع الاشتراكات الذي حدد في 35 عاما. وأخيرا، نص قانون ميزانية الدولة لسنة 1997 (رقم 449/97) على عدد من التدابير الهامة الرامية إلى ضمان المزيد من الاتساق بين اللوائح التنظيمية، شملت بصفة خاصة: المساواة بين موظفي القطاع العام والقطاع الخاص في ما يتعلق بشروط معاش الأقدمية؛ وزيادة مقدار الاشتراك تدريجيا بالنسبة إلى الموظفين العاملين لحسابهم الخاص؛ فضلا عن زيادة السن المطلوبة لحصولهم على التقاعد بالأقدمية (من 57 إلى 58 عاما)؛ وخفض مدة تنفيذ شروط السن الجديدة التي تخول الحصول على معاش الأقدمية. </w:t>
      </w:r>
    </w:p>
    <w:p w:rsidR="00000000" w:rsidRDefault="00000000">
      <w:pPr>
        <w:spacing w:line="400" w:lineRule="exact"/>
        <w:jc w:val="both"/>
        <w:rPr>
          <w:rFonts w:hint="cs"/>
          <w:b/>
          <w:bCs/>
          <w:rtl/>
        </w:rPr>
      </w:pPr>
      <w:r>
        <w:rPr>
          <w:rFonts w:hint="cs"/>
          <w:b/>
          <w:bCs/>
          <w:rtl/>
        </w:rPr>
        <w:t>طريقة الحساب الجديدة</w:t>
      </w:r>
    </w:p>
    <w:p w:rsidR="00000000" w:rsidRDefault="00000000">
      <w:pPr>
        <w:spacing w:line="400" w:lineRule="exact"/>
        <w:jc w:val="both"/>
        <w:rPr>
          <w:rFonts w:hint="cs"/>
          <w:rtl/>
        </w:rPr>
      </w:pPr>
      <w:r>
        <w:rPr>
          <w:rFonts w:hint="cs"/>
          <w:rtl/>
        </w:rPr>
        <w:t>135-</w:t>
      </w:r>
      <w:r>
        <w:rPr>
          <w:rFonts w:hint="cs"/>
          <w:rtl/>
        </w:rPr>
        <w:tab/>
        <w:t>لا يزال نظام الاشتراكات الجديد قائما على مبدأ الحصص الذي يقضي بدفع المعاشات الحالية من اشتراكات العمال النشطين، إلا أن حساب تلك المعاشات يتبع طريقة الحساب القائمة على الرسملة؛ وعليه، حدد اشتراك العمال المشمولين بالتأمين بالمقدار التالي:</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33 في المائة من الإيرادات الخاضعة للضريبة بالنسبة إلى العاملين بأجر (يبلغ مقدار الاشتراك الحالي 32.7 في المائة)؛</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20 في المائة من الدخل الخاضع للضريبة في حالة العاملين لحسابهم الخاص بمن فيهم العمال ذوو الأوضاع الخاصة الذين يفتقرون إلى أية تغطية أخرى (الاشتراكات الحالية أقل لكنها ترتفع تدريجيا لتبلغ 19 في المائة).</w:t>
      </w:r>
    </w:p>
    <w:p w:rsidR="00000000" w:rsidRDefault="00000000">
      <w:pPr>
        <w:spacing w:line="400" w:lineRule="exact"/>
        <w:jc w:val="both"/>
        <w:rPr>
          <w:rFonts w:hint="cs"/>
          <w:rtl/>
        </w:rPr>
      </w:pPr>
      <w:r>
        <w:rPr>
          <w:rFonts w:hint="cs"/>
          <w:rtl/>
        </w:rPr>
        <w:t>ويمكن اعتبار التمييز بين الاشتراكات المدفوعة بالفعل والاشتراكات قيد الدفع وسيلة للتحكم في اتجاه الأرصدة المالية، إذ تستجيب الأولى لشروط تمويل النظام في حين تستخدم الثانية لإبقاء متوسط معدلات التعويض في مستوى يعد ملائما من الناحية الاجتماعية. وتجمع الاشتراكات المدفوعة تدريجيا على مدى الأعوام ثم يعاد تقييمها على أساس متوسط معدلات تغير الناتج المحلي الإجمالي الاسمي على مدى خمس سنوات.</w:t>
      </w:r>
    </w:p>
    <w:p w:rsidR="00000000" w:rsidRDefault="00000000">
      <w:pPr>
        <w:spacing w:line="400" w:lineRule="exact"/>
        <w:jc w:val="both"/>
        <w:rPr>
          <w:rFonts w:hint="cs"/>
          <w:rtl/>
        </w:rPr>
      </w:pPr>
      <w:r>
        <w:rPr>
          <w:rFonts w:hint="cs"/>
          <w:rtl/>
        </w:rPr>
        <w:t>136-</w:t>
      </w:r>
      <w:r>
        <w:rPr>
          <w:rFonts w:hint="cs"/>
          <w:rtl/>
        </w:rPr>
        <w:tab/>
        <w:t>ويجوز للعمال أن يتقاعدوا في سن تتراوح بين 57 و65 عاما، شريطة أن يكونوا قد شاركوا على نحو نشط في النظام التقاعدي الإجباري لمدة لا تقل عن خمس سنوات وأن يفوق المعاش الذي يحق لهم تقاضيه مقدار البدل الاجتماعي بما لا يقل عن 20 في المائة (ويقدر هذا البدل حاليا بحوالي 333 يورو شهريا). وعند تقاعد العامل، يحسب المعاش السنوي بضرب مبلغ الاشتراكات بالمعامل الاكتواري للتغيير المحدد. وتأخذ هذه المعامِلات في الحسبان الآجال المتوقعة للبقاء على قيد الحياة في سن التقاعد باعتماد متوسط للنساء والرجال ووضع احتمالات البقاء على قيد الحياة في الاعتبار. ويطبق معدل تخفيض يبلغ 1.5 في المائة يمثل تقديرا لمعدل نمو الناتج المحلي الإجمالي المتوقع للحصول على قيمة تلك المعامِلات.</w:t>
      </w:r>
    </w:p>
    <w:p w:rsidR="00000000" w:rsidRDefault="00000000">
      <w:pPr>
        <w:spacing w:line="400" w:lineRule="exact"/>
        <w:jc w:val="both"/>
        <w:rPr>
          <w:rFonts w:hint="cs"/>
          <w:rtl/>
        </w:rPr>
      </w:pPr>
      <w:r>
        <w:rPr>
          <w:rFonts w:hint="cs"/>
          <w:rtl/>
        </w:rPr>
        <w:t>137-</w:t>
      </w:r>
      <w:r>
        <w:rPr>
          <w:rFonts w:hint="cs"/>
          <w:rtl/>
        </w:rPr>
        <w:tab/>
        <w:t xml:space="preserve">وقد أبقي على قواعد حساب نظام التقاعد القديم بالنسبة إلى العمال الذين أنهوا 18 سنة من دفع الاشتراكات حتى نهاية عام 1995، في حين طبق على الذين لم ينهوا هذه المدة نظام الحساب الجديد باعتماد مبدأ النسبية، أي ابتداء من الاشتراكات المدفوعة منذ شهر كانون الثاني/يناير 1996. كما ألغى القانون الجديد معاشات التقاعد بالأقدمية بالنسبة إلى جميع المشتركين الجدد. إلا أن إمكانية التقاعد هذه ظلت قائمة بالنسبة إلى كل من بدأ العمل قبل نهاية سنة 1995، على أن تراعى زيادة الحد الأدنى للسن الدنيا (55 عاما في الوقت الحالي، مع زيادتها تدريجيا لتبلغ 57 عاما بين سنتي 2002 و2006). وكما أشير إليه آنفا، كان الهدف من هذه القاعدة جعل آثار الإصلاح تدريجية على العمال النشطين الذين شارفوا على سن التقاعد. </w:t>
      </w:r>
    </w:p>
    <w:p w:rsidR="00000000" w:rsidRDefault="00000000">
      <w:pPr>
        <w:spacing w:line="400" w:lineRule="exact"/>
        <w:jc w:val="both"/>
        <w:rPr>
          <w:rFonts w:hint="cs"/>
          <w:b/>
          <w:bCs/>
          <w:rtl/>
        </w:rPr>
      </w:pPr>
      <w:r>
        <w:rPr>
          <w:rFonts w:hint="cs"/>
          <w:b/>
          <w:bCs/>
          <w:rtl/>
        </w:rPr>
        <w:t>استثناءات</w:t>
      </w:r>
    </w:p>
    <w:p w:rsidR="00000000" w:rsidRDefault="00000000">
      <w:pPr>
        <w:spacing w:line="400" w:lineRule="exact"/>
        <w:jc w:val="both"/>
        <w:rPr>
          <w:rFonts w:hint="cs"/>
          <w:rtl/>
        </w:rPr>
      </w:pPr>
      <w:r>
        <w:rPr>
          <w:rFonts w:hint="cs"/>
          <w:rtl/>
        </w:rPr>
        <w:t>138-</w:t>
      </w:r>
      <w:r>
        <w:rPr>
          <w:rFonts w:hint="cs"/>
          <w:rtl/>
        </w:rPr>
        <w:tab/>
        <w:t>في سياق الحديث عن اللوائح العامة، تضمن قانون الإصلاح بعض الاستثناءات التي أملتها أسباب تتصل في معظمها بالجانب التضامني. ومن بين هذه الاستثناءات ما يلي:</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يجوز للعمال الذين دفعوا اشتراكات لمدة لا تقل عن 40 عاما أن يتقاعدوا حتى قبل بلوغهم سن السابعة والخمسين. ويحسب المعاش على أساس مُعامل التغير ذاته المطبق على من بلغوا سن السابعة والخمسين. وترفع قيمة الاشتراكات المدفوعة قبل سن الثامنة عشرة بنسبة 50 في المائة؛</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يحق للعمال الذين يزاولون أعمالاً شاقة أو تنطوي على احتمال خطر (ما ينعت باسم "الوظائف المرهقة") أن يعاملوا على أساس تفضيلي، إذ تضاف في حالتهم مدة سنة في حساب مُعامِل التغير عن كل 6 سنوات يمضونها في مزاولة ذلك النشاط؛</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يحق للعاملات الاستفادة من زيادة سنة في حساب معامل التغيير في حالة إنجاب طفل أو طفلين أو زيادة سنتين في حالة إنجاب ثلاثة أطفال أو أكثر؛</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يعترف للوالدين العاملين بإجازات التغيب المتصل بتربية ورعاية الأطفال (حتى سن السادسة) وذلك لمدة أقصاها 170 يوما عن كل طفل؛</w:t>
      </w:r>
    </w:p>
    <w:p w:rsidR="00000000" w:rsidRDefault="00000000">
      <w:pPr>
        <w:tabs>
          <w:tab w:val="left" w:pos="714"/>
        </w:tabs>
        <w:spacing w:line="400" w:lineRule="exact"/>
        <w:ind w:left="1434" w:hanging="1434"/>
        <w:jc w:val="both"/>
        <w:rPr>
          <w:rFonts w:hint="cs"/>
          <w:rtl/>
        </w:rPr>
      </w:pPr>
      <w:r>
        <w:rPr>
          <w:rFonts w:hint="cs"/>
          <w:rtl/>
        </w:rPr>
        <w:tab/>
        <w:t>-</w:t>
      </w:r>
      <w:r>
        <w:rPr>
          <w:rFonts w:hint="cs"/>
          <w:rtl/>
        </w:rPr>
        <w:tab/>
        <w:t xml:space="preserve">يعترف لأفراد الأسرة بالإجازات المتصلة برعاية ذوي القربى ممن يسكنون معهم لمدة أقصاها 25 يوما في السنة على امتداد 24 شهرا على أقصى تقدير. </w:t>
      </w:r>
    </w:p>
    <w:p w:rsidR="00000000" w:rsidRDefault="00000000">
      <w:pPr>
        <w:spacing w:line="400" w:lineRule="exact"/>
        <w:jc w:val="both"/>
        <w:rPr>
          <w:rFonts w:hint="cs"/>
          <w:b/>
          <w:bCs/>
          <w:rtl/>
        </w:rPr>
      </w:pPr>
      <w:r>
        <w:rPr>
          <w:rFonts w:hint="cs"/>
          <w:b/>
          <w:bCs/>
          <w:rtl/>
        </w:rPr>
        <w:t xml:space="preserve">تطوير الضمان الاجتماعي التكميلي والفردي </w:t>
      </w:r>
    </w:p>
    <w:p w:rsidR="00000000" w:rsidRDefault="00000000">
      <w:pPr>
        <w:spacing w:line="400" w:lineRule="exact"/>
        <w:jc w:val="both"/>
        <w:rPr>
          <w:rFonts w:hint="cs"/>
          <w:rtl/>
        </w:rPr>
      </w:pPr>
      <w:r>
        <w:rPr>
          <w:rFonts w:hint="cs"/>
          <w:rtl/>
        </w:rPr>
        <w:t>139-</w:t>
      </w:r>
      <w:r>
        <w:rPr>
          <w:rFonts w:hint="cs"/>
          <w:rtl/>
        </w:rPr>
        <w:tab/>
        <w:t xml:space="preserve">فتحت أحكام الإصلاحات الصادرة مؤخرا آفاقا جديدة لتطوير أشكال الضمان الاجتماعي التكميلي والفردي. فالواقع أن فترة التسعينات قد شهدت إقبالا متناميا على الحماية الذاتية. وارتفع مبلغ الأقساط في حافظة أموال التأمين المباشر على الحياة من 473 5 مليون يورو سنة 1991 إلى 595.2 35 مليون يورو سنة 1999، أي ما يعادل زيادة اسمية بنسبة 550.3 في المائة. وفي سياق الضمان الاجتماعي التكميلي، إضافة إلى أشكال الضمان الاجتماعي الجماعي (صناديق التقاعد)، نصت اللوائح الجديدة على وضع مخططات تقاعد فردية تشمل الاشتراك في صندوق تقاعد برأس مال مفتوح أو الاكتتاب في عقود تأمين على الحياة تقوم على دفع أقساط سنوية للتأمين على الحياة، مع إمكانات محدودة للتسوية في رأس المال. ولا تسمح هذه العقود بأي دفعات مقدمة في ما عدا المصروفات المتكبدة ابتداء من سنة 000 2 عن فترات التدريب المهني. كما تنص هذه اللوائح، بالإضافة إلى ذلك، على خصم جزئي في حال تكبد مصروفات رعاية صحية استثنائية أو شراء منزل وإعادة تأثيثه. أما في ما يتعلق بالضرائب، فتنص اللوائح الجديدة على أن تخصم من الدخل المبالغ المدفوعة للضمان الاجتماعي التكميلي الجماعي (صناديق التقاعد) وتلك المدفوعة للضمان الاجتماعي التكميلي الفردي، بمقدار يصل إلى 12 في المائة من إجمالي الدخل، على أن لا يتعدى ذلك مبلغ 164.57 5 يورو. </w:t>
      </w:r>
    </w:p>
    <w:p w:rsidR="00000000" w:rsidRDefault="00000000">
      <w:pPr>
        <w:spacing w:line="400" w:lineRule="exact"/>
        <w:jc w:val="both"/>
        <w:rPr>
          <w:rFonts w:hint="cs"/>
          <w:rtl/>
        </w:rPr>
      </w:pPr>
      <w:r>
        <w:rPr>
          <w:rFonts w:hint="cs"/>
          <w:rtl/>
        </w:rPr>
        <w:t>140-</w:t>
      </w:r>
      <w:r>
        <w:rPr>
          <w:rFonts w:hint="cs"/>
          <w:rtl/>
        </w:rPr>
        <w:tab/>
        <w:t>وقد وسعت بعض الأحكام الصادرة سنة 1999 نطاق الضمان الاجتماعي الإجباري ليشمل العاملين في الوكالات الحكومية، ومؤسسات الضمان الاجتماعي الإجباري وإدارة التأمين التي شملتها عملية الخصخصة، والعاملين في القطاع الزراعي بعقود مؤقتة. وأتاحت الحكومة، كإجراء مؤقت، خلال فترة الأربع سنوات الممتدة بين سنتي 1999 و2002، إمكانية دفع بدل أقساط تعويضات نهاية الخدمة إلى صناديق التقاعد في شكل صكوك دين صادرة عن الشركات، رهنا بموافقة مسبقة من الشركات والعمال. وأخيرا، شهدت سنة 1999 أيضا، بالاتفاق مع النقابات، إنفاذ تدابير من أجل العمل بنظام الضمان الاجتماعي التكميلي حتى بالنسبة إلى قطاع العمالة العامة.</w:t>
      </w:r>
    </w:p>
    <w:p w:rsidR="00000000" w:rsidRDefault="00000000">
      <w:pPr>
        <w:spacing w:line="400" w:lineRule="exact"/>
        <w:jc w:val="both"/>
        <w:rPr>
          <w:rFonts w:hint="cs"/>
          <w:rtl/>
        </w:rPr>
      </w:pPr>
      <w:r>
        <w:rPr>
          <w:rFonts w:hint="cs"/>
          <w:rtl/>
        </w:rPr>
        <w:t>141-</w:t>
      </w:r>
      <w:r>
        <w:rPr>
          <w:rFonts w:hint="cs"/>
          <w:rtl/>
        </w:rPr>
        <w:tab/>
        <w:t>وقد بدأت الجهود المبذولة في بلدنا من أجل تطوير الضمان الاجتماعي التكميلي تؤتي أكلها. إذ بلغ مجموع المسجلين في قرابة 705 صناديق من صناديق التقاعد القائمة منذ 30 أيلول/سبتمبر 2000 ما يعادل</w:t>
      </w:r>
      <w:r>
        <w:rPr>
          <w:rtl/>
        </w:rPr>
        <w:br/>
      </w:r>
      <w:r>
        <w:rPr>
          <w:rFonts w:hint="cs"/>
          <w:rtl/>
        </w:rPr>
        <w:t xml:space="preserve">682 695 1 شخصا، وهو ما يمثل ارتفاعا بنسبة 17.3 في المائة مقارنة بنهاية سنة 1999. ويبلغ معدل التسجيل، المتأتي من نسبة المكتتبين إلى مجموع المكتتبين المؤهلين، 30.5 في المائة، وقد سجل ارتفاعا بما يعادل 4 نقاط مقارنة بشهر كانون الأول/ديسمبر 1999. وما انفك عدد المسجلين في الصناديق ذات رأس المال المفتوح يزداد، لكنه يظل دون عدد المسجلين في الصناديق التعاقدية. ولا تزال البيانات المتاحة تشير إلى أن نسبة 78.8 في المائة من المسجلين، في نهاية سنة 1999، هم من العمال الذين لم تبلغ أقدميتهم من حيث دفع الاشتراكات 18 عاما، عند إصلاح النظام سنة 1995؛ ومن ثم فإنهم يتأثرون بخفض تغطية التقاعد العامة. ومن ناحية أخرى، سُجّل حضور ضئيل للعمال الشبان والعاملات. </w:t>
      </w:r>
    </w:p>
    <w:p w:rsidR="00000000" w:rsidRDefault="00000000">
      <w:pPr>
        <w:keepNext/>
        <w:spacing w:line="400" w:lineRule="exact"/>
        <w:jc w:val="both"/>
        <w:rPr>
          <w:rFonts w:hint="cs"/>
          <w:b/>
          <w:bCs/>
          <w:rtl/>
        </w:rPr>
      </w:pPr>
      <w:r>
        <w:rPr>
          <w:rFonts w:hint="cs"/>
          <w:b/>
          <w:bCs/>
          <w:rtl/>
        </w:rPr>
        <w:t>تدابير الرعاية الاجتماعية</w:t>
      </w:r>
    </w:p>
    <w:p w:rsidR="00000000" w:rsidRDefault="00000000">
      <w:pPr>
        <w:keepNext/>
        <w:spacing w:line="400" w:lineRule="exact"/>
        <w:jc w:val="both"/>
        <w:rPr>
          <w:rFonts w:hint="cs"/>
          <w:rtl/>
        </w:rPr>
      </w:pPr>
      <w:r>
        <w:rPr>
          <w:rFonts w:hint="cs"/>
          <w:rtl/>
        </w:rPr>
        <w:t>142-</w:t>
      </w:r>
      <w:r>
        <w:rPr>
          <w:rFonts w:hint="cs"/>
          <w:rtl/>
        </w:rPr>
        <w:tab/>
        <w:t xml:space="preserve">يقتصر هذا الجزء على استعراض تدابير الرعاية الاجتماعية الرئيسية المتخذة لفائدة الفقراء ويميز بين التدابير المتصلة بالتأمين الاجتماعي وتلك المتصلة بالمساعدة الاجتماعية، وهو تمييز يستند أساساً إلى كون النوع الأول يموّل بواسطة الاشتراكات بالدرجة الأولى، بينما يمول النوع الثاني بواسطة الضريبة العامة. ويتوقف حق الفرد في الاستفادة من تدابير النوع الأول على سيرته المهنية أساساً. </w:t>
      </w:r>
    </w:p>
    <w:p w:rsidR="00000000" w:rsidRDefault="00000000">
      <w:pPr>
        <w:spacing w:line="400" w:lineRule="exact"/>
        <w:jc w:val="both"/>
        <w:rPr>
          <w:rFonts w:hint="cs"/>
          <w:b/>
          <w:bCs/>
          <w:rtl/>
        </w:rPr>
      </w:pPr>
      <w:r>
        <w:rPr>
          <w:rFonts w:hint="cs"/>
          <w:b/>
          <w:bCs/>
          <w:rtl/>
        </w:rPr>
        <w:t>تدابير التأمين الاجتماعي</w:t>
      </w:r>
    </w:p>
    <w:p w:rsidR="00000000" w:rsidRDefault="00000000">
      <w:pPr>
        <w:spacing w:line="400" w:lineRule="exact"/>
        <w:jc w:val="both"/>
        <w:rPr>
          <w:rFonts w:hint="cs"/>
          <w:rtl/>
        </w:rPr>
      </w:pPr>
      <w:r>
        <w:rPr>
          <w:rFonts w:hint="cs"/>
          <w:rtl/>
        </w:rPr>
        <w:t>143-</w:t>
      </w:r>
      <w:r>
        <w:rPr>
          <w:rFonts w:hint="cs"/>
          <w:rtl/>
        </w:rPr>
        <w:tab/>
        <w:t>تشمل هذه التدابير التي تشرف عليها المؤسسة الوطنية للضمان الاجتماعي ما يلي:</w:t>
      </w:r>
    </w:p>
    <w:p w:rsidR="00000000" w:rsidRDefault="00000000">
      <w:pPr>
        <w:spacing w:line="400" w:lineRule="exact"/>
        <w:jc w:val="both"/>
        <w:rPr>
          <w:rFonts w:hint="cs"/>
          <w:rtl/>
        </w:rPr>
      </w:pPr>
      <w:r>
        <w:rPr>
          <w:rFonts w:hint="cs"/>
          <w:rtl/>
        </w:rPr>
        <w:tab/>
        <w:t>(أ)</w:t>
      </w:r>
      <w:r>
        <w:rPr>
          <w:rFonts w:hint="cs"/>
          <w:rtl/>
        </w:rPr>
        <w:tab/>
        <w:t>المنحة الأسرية (</w:t>
      </w:r>
      <w:r>
        <w:rPr>
          <w:i/>
          <w:iCs/>
        </w:rPr>
        <w:t>assegno per il nucleo familiare</w:t>
      </w:r>
      <w:r>
        <w:rPr>
          <w:rFonts w:hint="cs"/>
          <w:rtl/>
        </w:rPr>
        <w:t>): هي عبارة عن مبلغ شهري تختلف قيمته بحسب مستوى الدخل، يخصص لأسر العاملين بأجر أو من سبق لهم العمل بأجر ممن يعيلون أسراً. ويتناسب مقدار المنحة مباشرة مع حجم الأسرة ويرتبط عكسيا بمقدار دخلها. ومنذ سنة 1999، أصبح باستطاعة العمال المستقلين المطالبة بهذه المنحة رغم أن شروط الأهلية المفروضة على هذه الفئة أكثر صرامة من تلك المفروضة على العاملين بأجر.</w:t>
      </w:r>
    </w:p>
    <w:p w:rsidR="00000000" w:rsidRDefault="00000000">
      <w:pPr>
        <w:spacing w:line="400" w:lineRule="exact"/>
        <w:jc w:val="both"/>
        <w:rPr>
          <w:rFonts w:hint="cs"/>
          <w:rtl/>
        </w:rPr>
      </w:pPr>
      <w:r>
        <w:rPr>
          <w:rFonts w:hint="cs"/>
          <w:rtl/>
        </w:rPr>
        <w:tab/>
        <w:t>(ب)</w:t>
      </w:r>
      <w:r>
        <w:rPr>
          <w:rFonts w:hint="cs"/>
          <w:rtl/>
        </w:rPr>
        <w:tab/>
        <w:t>المعاشات التكميلية (</w:t>
      </w:r>
      <w:r>
        <w:rPr>
          <w:i/>
          <w:iCs/>
        </w:rPr>
        <w:t>trattamento minimo delle pensioni</w:t>
      </w:r>
      <w:r>
        <w:rPr>
          <w:rFonts w:hint="cs"/>
          <w:rtl/>
        </w:rPr>
        <w:t>): هي استحقاقات تمنح للمستفيدين من معاشات التقاعد الذين يتقاضون استحقاقات تقل عن الحد الأدنى المنصوص عليه قانونا، والمقدر سنة 2002 بحوالي 5100 يورو</w:t>
      </w:r>
      <w:r>
        <w:rPr>
          <w:rFonts w:hint="cs"/>
          <w:vertAlign w:val="superscript"/>
          <w:rtl/>
        </w:rPr>
        <w:t>(2)</w:t>
      </w:r>
      <w:r>
        <w:rPr>
          <w:rFonts w:hint="cs"/>
          <w:rtl/>
        </w:rPr>
        <w:t>. ويتوقف تلقي المعاش التكميلي على مستوى الدخل الخاضع للضريبة الذي يتقاضاه المستفيد (إضافة إلى دخل الزوج، إذا كان المستفيد متزوجا، لمن التمس هذا الاستحقاق بعد سنة 1994) وعلى شروط تتعلق بالاشتراكات (دفع الاشتراكات لمدة 15 عاما). ولا يحق المعاش التكميلي لمن دخل سوق العمل بعد 1 كانون الثاني/يناير 1996، ذلك أن استحقاق المعاش، بالانتقال إلى نظام الاشتراكات المدفوعة تدريجيا، سيكون حاصل الاشتراكات المجمعة، بلا مكملات. ومن بين التدابير المستعرضة في هذا القسم، تشمل المعاشات التكميلية أكبر عدد من المستفيدين إذ بلغ عددهم 000 400 4 مستفيد سنة 2000.</w:t>
      </w:r>
    </w:p>
    <w:p w:rsidR="00000000" w:rsidRDefault="00000000">
      <w:pPr>
        <w:spacing w:line="400" w:lineRule="exact"/>
        <w:jc w:val="both"/>
        <w:rPr>
          <w:rFonts w:hint="cs"/>
          <w:rtl/>
        </w:rPr>
      </w:pPr>
      <w:r>
        <w:rPr>
          <w:rFonts w:hint="cs"/>
          <w:rtl/>
        </w:rPr>
        <w:tab/>
        <w:t>(ج)</w:t>
      </w:r>
      <w:r>
        <w:rPr>
          <w:rFonts w:hint="cs"/>
          <w:rtl/>
        </w:rPr>
        <w:tab/>
        <w:t>معاشات العجز (</w:t>
      </w:r>
      <w:r>
        <w:rPr>
          <w:i/>
          <w:iCs/>
        </w:rPr>
        <w:t>pensione di inabilita / assegno ordinario di invalidita</w:t>
      </w:r>
      <w:r>
        <w:rPr>
          <w:rFonts w:hint="cs"/>
          <w:rtl/>
        </w:rPr>
        <w:t xml:space="preserve">): تدفع هذه الاستحقاقات للعمال الذين دفعوا اشتراكات لمدة لا تقل عن خمسة أعوام (منها ثلاثة خلال الأعوام الخمسة الأخيرة). ويتوقف الحصول عليها على إجراء اختبار طبي وعلى شرط الدخل، ويضاف مبلغ الاستحقاق إلى الحد الأدنى عند الاقتضاء. </w:t>
      </w:r>
    </w:p>
    <w:p w:rsidR="00000000" w:rsidRDefault="00000000">
      <w:pPr>
        <w:keepNext/>
        <w:spacing w:line="400" w:lineRule="exact"/>
        <w:jc w:val="both"/>
        <w:rPr>
          <w:rFonts w:hint="cs"/>
          <w:b/>
          <w:bCs/>
          <w:rtl/>
        </w:rPr>
      </w:pPr>
      <w:r>
        <w:rPr>
          <w:rFonts w:hint="cs"/>
          <w:b/>
          <w:bCs/>
          <w:rtl/>
        </w:rPr>
        <w:t>تدابير المساعدة الاجتماعية</w:t>
      </w:r>
    </w:p>
    <w:p w:rsidR="00000000" w:rsidRDefault="00000000">
      <w:pPr>
        <w:keepNext/>
        <w:spacing w:line="400" w:lineRule="exact"/>
        <w:jc w:val="both"/>
        <w:rPr>
          <w:rFonts w:hint="cs"/>
          <w:rtl/>
        </w:rPr>
      </w:pPr>
      <w:r>
        <w:rPr>
          <w:rFonts w:hint="cs"/>
          <w:rtl/>
        </w:rPr>
        <w:t>144-</w:t>
      </w:r>
      <w:r>
        <w:rPr>
          <w:rFonts w:hint="cs"/>
          <w:rtl/>
        </w:rPr>
        <w:tab/>
        <w:t>تتضمن هذه التدابير ما يلي:</w:t>
      </w:r>
    </w:p>
    <w:p w:rsidR="00000000" w:rsidRDefault="00000000">
      <w:pPr>
        <w:spacing w:line="400" w:lineRule="exact"/>
        <w:jc w:val="both"/>
        <w:rPr>
          <w:rtl/>
        </w:rPr>
      </w:pPr>
      <w:r>
        <w:rPr>
          <w:rFonts w:hint="cs"/>
          <w:rtl/>
        </w:rPr>
        <w:tab/>
        <w:t>(أ)</w:t>
      </w:r>
      <w:r>
        <w:rPr>
          <w:rFonts w:hint="cs"/>
          <w:rtl/>
        </w:rPr>
        <w:tab/>
        <w:t>معاشات العجز المدني (</w:t>
      </w:r>
      <w:r>
        <w:rPr>
          <w:i/>
          <w:iCs/>
        </w:rPr>
        <w:t>pensione di inabilita civile / assegno di assitenza</w:t>
      </w:r>
      <w:r>
        <w:rPr>
          <w:rFonts w:hint="cs"/>
          <w:rtl/>
        </w:rPr>
        <w:t>): تقتصر هذه المخططات غير القائمة على الاشتراكات على المعوقين وتتلاءم مع مزاولة النشاط المهني. ويكتسي شرط الدخل فيها بعدا فرديا بحتا، بصرف النظر عن حجم أسرة المستفيد. وقد حلّت هذه البرامج بعد سنة 1984 محل برامج معاشات العجز التي تقدمها المؤسسة الوطنية للضمان الاجتماعي. واستفاد من هذه البرامج سنة 1999 قرابة 000 260 1 شخص.</w:t>
      </w:r>
    </w:p>
    <w:p w:rsidR="00000000" w:rsidRDefault="00000000">
      <w:pPr>
        <w:spacing w:line="400" w:lineRule="exact"/>
        <w:jc w:val="both"/>
        <w:rPr>
          <w:rFonts w:hint="cs"/>
          <w:rtl/>
        </w:rPr>
      </w:pPr>
      <w:r>
        <w:rPr>
          <w:rFonts w:hint="cs"/>
          <w:rtl/>
        </w:rPr>
        <w:tab/>
        <w:t>(ب)</w:t>
      </w:r>
      <w:r>
        <w:rPr>
          <w:rFonts w:hint="cs"/>
          <w:rtl/>
        </w:rPr>
        <w:tab/>
        <w:t>المعاش الاجتماعي (</w:t>
      </w:r>
      <w:r>
        <w:rPr>
          <w:i/>
          <w:iCs/>
        </w:rPr>
        <w:t>pensione sociale</w:t>
      </w:r>
      <w:r>
        <w:rPr>
          <w:rFonts w:hint="cs"/>
          <w:rtl/>
        </w:rPr>
        <w:t>): يمنح هذا المعاش للأشخاص الذين يبلغ عمرهم 65 عاما ولا يحصلون على دخل أو يتلقون مبالغ سنوية أو استحقاقات أو دخلا لا يتجاوز مقداره مقدار المعاش الاجتماعي. وقد استعيض عن هذا المعاش منذ سنة 1996 بالبدل الاجتماعي، لكنه ما زال يدفع لمن كان يستحقه قبل ذلك التاريخ. ويتعين على المستفيد، للحصول على معاش اجتماعي، أن يكون مقيما في إيطاليا. وقد بلغت قيمة هذا المعاش سنة 2000 ما يعادل 274.2 يورو شهريا. لكن إذا كان الدخل جد متدن أو في حالة انعدام الدخل، يضاف إلى هذا المعاش مبلغ تكميلي يسمى مكمل المعاش الاجتماعي (</w:t>
      </w:r>
      <w:r>
        <w:rPr>
          <w:i/>
          <w:iCs/>
        </w:rPr>
        <w:t>maggiorazione</w:t>
      </w:r>
      <w:r>
        <w:rPr>
          <w:rFonts w:hint="cs"/>
          <w:rtl/>
        </w:rPr>
        <w:t>). ويمنح للأشخاص الذين تجاوزوا سن الخامسة والستين ولا يحصلون على دخل أو يتلقون مبالغ سنوية أو استحقاقات أو دخلا لا يتجاوز مقداره مقدار المعاش الاجتماعي، بما في ذلك المبلغ التكميلي. ويدفع مكمل المعاش على مدى 13 شهرا في السنة للمقيمين، ولا يخضع للتسوية الآلية كما ينبغي ألا يتجاوز مقدار 64.56 يورو شهريا</w:t>
      </w:r>
      <w:r>
        <w:rPr>
          <w:rFonts w:hint="cs"/>
          <w:vertAlign w:val="superscript"/>
          <w:rtl/>
        </w:rPr>
        <w:t>(3)</w:t>
      </w:r>
      <w:r>
        <w:rPr>
          <w:rFonts w:hint="cs"/>
          <w:rtl/>
        </w:rPr>
        <w:t>، حتى وإن كان المبلغ الفعلي يتغير بحسب دخل الفرد. ويدفع المعاش الاجتماعي أيضا للمعوقين والأشخاص الذين يعانون من عجز مدني (تام أو جزئي)، وللصم والبكم الذين بلغوا من العمر 65 عاما سنة 1995 أو قبل ذلك التاريخ، وهو يحل محل التدابير الخاصة التي كان لهم حق الاستفادة منها حتى بلوغهم تلك السن</w:t>
      </w:r>
      <w:r>
        <w:rPr>
          <w:rFonts w:hint="cs"/>
          <w:vertAlign w:val="superscript"/>
          <w:rtl/>
        </w:rPr>
        <w:t>(4)</w:t>
      </w:r>
      <w:r>
        <w:rPr>
          <w:rFonts w:hint="cs"/>
          <w:rtl/>
        </w:rPr>
        <w:t>.</w:t>
      </w:r>
    </w:p>
    <w:p w:rsidR="00000000" w:rsidRDefault="00000000">
      <w:pPr>
        <w:spacing w:line="400" w:lineRule="exact"/>
        <w:jc w:val="both"/>
        <w:rPr>
          <w:rFonts w:hint="cs"/>
          <w:rtl/>
        </w:rPr>
      </w:pPr>
      <w:r>
        <w:rPr>
          <w:rFonts w:hint="cs"/>
          <w:rtl/>
        </w:rPr>
        <w:tab/>
        <w:t>(ج)</w:t>
      </w:r>
      <w:r>
        <w:rPr>
          <w:rFonts w:hint="cs"/>
          <w:rtl/>
        </w:rPr>
        <w:tab/>
        <w:t>البــدل الاجتمــاعي (</w:t>
      </w:r>
      <w:r>
        <w:rPr>
          <w:i/>
          <w:iCs/>
        </w:rPr>
        <w:t>assegno sociale</w:t>
      </w:r>
      <w:r>
        <w:rPr>
          <w:rFonts w:hint="cs"/>
          <w:rtl/>
        </w:rPr>
        <w:t>): أقر إصلاح سنة 1995 هذا الاستحقاق لفائدة الأشخاص الذين تجاوزا سن الخامسة والستين ويقل مقدار دخلهم عن مقدار البدل. وحلّ هذا البدل منذ سنة 1996 محل المعاش الاجتماعي (وما يتصل به من أحكام إضافية). وينبغي للمستفيد، للحصول على بدل اجتماعي، أن يكون مقيما في إيطاليا. كما يمنح هذا البدل للمعوقين والأشخاص الذين يعانون من عجز مدني (تام أو جزئي)، وللصم والبكم الذين بلغوا من العمر 65 عاما، وهو يحل محل التدابير الخاصة التي كان لهم حق الاستفادة منها حتى بلوغهم تلك السن. وفي حال وجود مصدر آخر من مصادر الدخل، يجوز دفع البدل جزئيا حتى بلوغ الحد المنصوص عليه. وقد حدد مبلغ البدل بداية بمقدار 248 يورو وهو خاضع للتعديل بحسب تكلفة المعيشة. وعلى إثر ما تلا ذلك من تدخلات اشتراعية، بلغت قيمة البدل الشهرية سنة 2000 حوالي 333 يورو.</w:t>
      </w:r>
    </w:p>
    <w:p w:rsidR="00000000" w:rsidRDefault="00000000">
      <w:pPr>
        <w:spacing w:line="400" w:lineRule="exact"/>
        <w:jc w:val="both"/>
        <w:rPr>
          <w:rFonts w:hint="cs"/>
          <w:rtl/>
        </w:rPr>
      </w:pPr>
      <w:r>
        <w:rPr>
          <w:rFonts w:hint="cs"/>
          <w:rtl/>
        </w:rPr>
        <w:tab/>
        <w:t>(د)</w:t>
      </w:r>
      <w:r>
        <w:rPr>
          <w:rFonts w:hint="cs"/>
          <w:rtl/>
        </w:rPr>
        <w:tab/>
        <w:t>بــدل الرعايـة (</w:t>
      </w:r>
      <w:r>
        <w:rPr>
          <w:i/>
          <w:iCs/>
        </w:rPr>
        <w:t>indennita di accompagnamento</w:t>
      </w:r>
      <w:r>
        <w:rPr>
          <w:rFonts w:hint="cs"/>
          <w:rtl/>
        </w:rPr>
        <w:t xml:space="preserve">): يدفع هذا البدل لمن هم في حاجة إلى مساعدة مستمرة، وهم غير قادرين على رعاية أنفسهم. ويتوقف منح هذا البدل على إجراء فحوص طبية لحالة الملتمسين الجسدية، لكنه يستبعد شرط مستوى الدخل. وبمرور الأعوام، تعاظمت أهمية هذا البدل كمصدر من مصادر الرعاية الاجتماعية بالنسبة إلى المسنين الضعفاء. </w:t>
      </w:r>
    </w:p>
    <w:p w:rsidR="00000000" w:rsidRDefault="00000000">
      <w:pPr>
        <w:spacing w:before="0" w:after="0" w:line="400" w:lineRule="exact"/>
        <w:jc w:val="center"/>
        <w:rPr>
          <w:rFonts w:hint="cs"/>
          <w:b/>
          <w:bCs/>
          <w:rtl/>
        </w:rPr>
      </w:pPr>
      <w:r>
        <w:rPr>
          <w:rFonts w:hint="cs"/>
          <w:b/>
          <w:bCs/>
          <w:rtl/>
        </w:rPr>
        <w:t>الجدول 1</w:t>
      </w:r>
    </w:p>
    <w:p w:rsidR="00000000" w:rsidRDefault="00000000">
      <w:pPr>
        <w:spacing w:before="0" w:after="0" w:line="400" w:lineRule="exact"/>
        <w:jc w:val="center"/>
        <w:rPr>
          <w:rFonts w:hint="cs"/>
          <w:b/>
          <w:bCs/>
          <w:rtl/>
        </w:rPr>
      </w:pPr>
      <w:r>
        <w:rPr>
          <w:rFonts w:hint="cs"/>
          <w:b/>
          <w:bCs/>
          <w:rtl/>
        </w:rPr>
        <w:t>استحقاقات الرعاية الاجتماعية للمتقاعدين</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080"/>
        <w:gridCol w:w="962"/>
        <w:gridCol w:w="1087"/>
        <w:gridCol w:w="1148"/>
        <w:gridCol w:w="1303"/>
        <w:gridCol w:w="1080"/>
        <w:gridCol w:w="1080"/>
        <w:gridCol w:w="1008"/>
      </w:tblGrid>
      <w:tr w:rsidR="00A208FF" w:rsidTr="00A208FF">
        <w:tblPrEx>
          <w:tblCellMar>
            <w:top w:w="0" w:type="dxa"/>
            <w:bottom w:w="0" w:type="dxa"/>
          </w:tblCellMar>
        </w:tblPrEx>
        <w:trPr>
          <w:cantSplit/>
        </w:trPr>
        <w:tc>
          <w:tcPr>
            <w:tcW w:w="720" w:type="dxa"/>
            <w:vMerge w:val="restart"/>
            <w:vAlign w:val="bottom"/>
          </w:tcPr>
          <w:p w:rsidR="00A208FF" w:rsidRDefault="00A208FF">
            <w:pPr>
              <w:spacing w:before="40" w:after="80" w:line="400" w:lineRule="exact"/>
              <w:jc w:val="center"/>
              <w:rPr>
                <w:rFonts w:hint="cs"/>
                <w:szCs w:val="22"/>
              </w:rPr>
            </w:pPr>
          </w:p>
        </w:tc>
        <w:tc>
          <w:tcPr>
            <w:tcW w:w="2042" w:type="dxa"/>
            <w:gridSpan w:val="2"/>
          </w:tcPr>
          <w:p w:rsidR="00A208FF" w:rsidRDefault="00A208FF">
            <w:pPr>
              <w:spacing w:before="40" w:after="80" w:line="400" w:lineRule="exact"/>
              <w:jc w:val="center"/>
              <w:rPr>
                <w:rFonts w:hint="cs"/>
                <w:szCs w:val="22"/>
              </w:rPr>
            </w:pPr>
            <w:r>
              <w:rPr>
                <w:rFonts w:hint="cs"/>
                <w:szCs w:val="22"/>
                <w:rtl/>
              </w:rPr>
              <w:t>المعاش التقاعدي</w:t>
            </w:r>
          </w:p>
        </w:tc>
        <w:tc>
          <w:tcPr>
            <w:tcW w:w="2235" w:type="dxa"/>
            <w:gridSpan w:val="2"/>
          </w:tcPr>
          <w:p w:rsidR="00A208FF" w:rsidRDefault="00A208FF">
            <w:pPr>
              <w:spacing w:before="40" w:after="80" w:line="400" w:lineRule="exact"/>
              <w:jc w:val="center"/>
              <w:rPr>
                <w:rFonts w:hint="cs"/>
                <w:szCs w:val="22"/>
              </w:rPr>
            </w:pPr>
            <w:r>
              <w:rPr>
                <w:rFonts w:hint="cs"/>
                <w:szCs w:val="22"/>
                <w:rtl/>
              </w:rPr>
              <w:t>المعاش التقاعدي ومعه مخصص إضافي</w:t>
            </w:r>
          </w:p>
        </w:tc>
        <w:tc>
          <w:tcPr>
            <w:tcW w:w="2383" w:type="dxa"/>
            <w:gridSpan w:val="2"/>
          </w:tcPr>
          <w:p w:rsidR="00A208FF" w:rsidRDefault="00A208FF">
            <w:pPr>
              <w:spacing w:before="40" w:after="80" w:line="400" w:lineRule="exact"/>
              <w:jc w:val="center"/>
              <w:rPr>
                <w:rFonts w:hint="cs"/>
                <w:szCs w:val="22"/>
              </w:rPr>
            </w:pPr>
            <w:r>
              <w:rPr>
                <w:rFonts w:hint="cs"/>
                <w:szCs w:val="22"/>
                <w:rtl/>
              </w:rPr>
              <w:t>مخصص الرعاية الاجتماعية</w:t>
            </w:r>
          </w:p>
        </w:tc>
        <w:tc>
          <w:tcPr>
            <w:tcW w:w="2088" w:type="dxa"/>
            <w:gridSpan w:val="2"/>
            <w:tcBorders>
              <w:bottom w:val="nil"/>
            </w:tcBorders>
          </w:tcPr>
          <w:p w:rsidR="00A208FF" w:rsidRDefault="00A208FF">
            <w:pPr>
              <w:spacing w:before="40" w:after="80" w:line="400" w:lineRule="exact"/>
              <w:jc w:val="center"/>
              <w:rPr>
                <w:rFonts w:hint="cs"/>
                <w:szCs w:val="22"/>
              </w:rPr>
            </w:pPr>
            <w:r>
              <w:rPr>
                <w:rFonts w:hint="cs"/>
                <w:szCs w:val="22"/>
                <w:rtl/>
              </w:rPr>
              <w:t>مخصص مُكمل للمعاش التقاعدي</w:t>
            </w:r>
          </w:p>
        </w:tc>
      </w:tr>
      <w:tr w:rsidR="00A208FF" w:rsidTr="00A208FF">
        <w:tblPrEx>
          <w:tblCellMar>
            <w:top w:w="0" w:type="dxa"/>
            <w:bottom w:w="0" w:type="dxa"/>
          </w:tblCellMar>
        </w:tblPrEx>
        <w:trPr>
          <w:cantSplit/>
        </w:trPr>
        <w:tc>
          <w:tcPr>
            <w:tcW w:w="720" w:type="dxa"/>
            <w:vMerge/>
          </w:tcPr>
          <w:p w:rsidR="00A208FF" w:rsidRDefault="00A208FF">
            <w:pPr>
              <w:spacing w:before="40" w:after="80" w:line="400" w:lineRule="exact"/>
              <w:jc w:val="both"/>
              <w:rPr>
                <w:rFonts w:hint="cs"/>
                <w:szCs w:val="22"/>
              </w:rPr>
            </w:pPr>
          </w:p>
        </w:tc>
        <w:tc>
          <w:tcPr>
            <w:tcW w:w="2042" w:type="dxa"/>
            <w:gridSpan w:val="2"/>
          </w:tcPr>
          <w:p w:rsidR="00A208FF" w:rsidRDefault="00A208FF">
            <w:pPr>
              <w:spacing w:before="40" w:after="80" w:line="320" w:lineRule="exact"/>
              <w:jc w:val="center"/>
              <w:rPr>
                <w:rFonts w:hint="cs"/>
                <w:szCs w:val="22"/>
              </w:rPr>
            </w:pPr>
            <w:r>
              <w:rPr>
                <w:rFonts w:hint="cs"/>
                <w:szCs w:val="22"/>
                <w:rtl/>
              </w:rPr>
              <w:t>شهريا</w:t>
            </w:r>
          </w:p>
        </w:tc>
        <w:tc>
          <w:tcPr>
            <w:tcW w:w="2235" w:type="dxa"/>
            <w:gridSpan w:val="2"/>
          </w:tcPr>
          <w:p w:rsidR="00A208FF" w:rsidRDefault="00A208FF">
            <w:pPr>
              <w:spacing w:before="40" w:after="80" w:line="320" w:lineRule="exact"/>
              <w:jc w:val="center"/>
              <w:rPr>
                <w:rFonts w:hint="cs"/>
                <w:szCs w:val="22"/>
              </w:rPr>
            </w:pPr>
            <w:r>
              <w:rPr>
                <w:rFonts w:hint="cs"/>
                <w:szCs w:val="22"/>
                <w:rtl/>
              </w:rPr>
              <w:t>شهريا</w:t>
            </w:r>
          </w:p>
        </w:tc>
        <w:tc>
          <w:tcPr>
            <w:tcW w:w="2383" w:type="dxa"/>
            <w:gridSpan w:val="2"/>
          </w:tcPr>
          <w:p w:rsidR="00A208FF" w:rsidRDefault="00A208FF">
            <w:pPr>
              <w:spacing w:before="40" w:after="80" w:line="320" w:lineRule="exact"/>
              <w:jc w:val="center"/>
              <w:rPr>
                <w:rFonts w:hint="cs"/>
                <w:szCs w:val="22"/>
              </w:rPr>
            </w:pPr>
            <w:r>
              <w:rPr>
                <w:rFonts w:hint="cs"/>
                <w:szCs w:val="22"/>
                <w:rtl/>
              </w:rPr>
              <w:t>شهريا</w:t>
            </w:r>
          </w:p>
        </w:tc>
        <w:tc>
          <w:tcPr>
            <w:tcW w:w="2088" w:type="dxa"/>
            <w:gridSpan w:val="2"/>
            <w:tcBorders>
              <w:top w:val="nil"/>
            </w:tcBorders>
          </w:tcPr>
          <w:p w:rsidR="00A208FF" w:rsidRDefault="00A208FF">
            <w:pPr>
              <w:spacing w:before="40" w:after="80" w:line="320" w:lineRule="exact"/>
              <w:jc w:val="center"/>
              <w:rPr>
                <w:rFonts w:hint="cs"/>
                <w:szCs w:val="22"/>
              </w:rPr>
            </w:pPr>
          </w:p>
        </w:tc>
      </w:tr>
      <w:tr w:rsidR="00A208FF" w:rsidTr="00A208FF">
        <w:tblPrEx>
          <w:tblCellMar>
            <w:top w:w="0" w:type="dxa"/>
            <w:bottom w:w="0" w:type="dxa"/>
          </w:tblCellMar>
        </w:tblPrEx>
        <w:tc>
          <w:tcPr>
            <w:tcW w:w="720" w:type="dxa"/>
            <w:tcBorders>
              <w:bottom w:val="single" w:sz="4" w:space="0" w:color="auto"/>
            </w:tcBorders>
          </w:tcPr>
          <w:p w:rsidR="00A208FF" w:rsidRDefault="00A208FF">
            <w:pPr>
              <w:spacing w:before="40" w:after="80" w:line="400" w:lineRule="exact"/>
              <w:jc w:val="center"/>
              <w:rPr>
                <w:rFonts w:hint="cs"/>
                <w:szCs w:val="22"/>
              </w:rPr>
            </w:pPr>
            <w:r>
              <w:rPr>
                <w:rFonts w:hint="cs"/>
                <w:szCs w:val="22"/>
                <w:rtl/>
              </w:rPr>
              <w:t>السنة</w:t>
            </w:r>
          </w:p>
        </w:tc>
        <w:tc>
          <w:tcPr>
            <w:tcW w:w="1080"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ليرة</w:t>
            </w:r>
          </w:p>
        </w:tc>
        <w:tc>
          <w:tcPr>
            <w:tcW w:w="962"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يورو</w:t>
            </w:r>
          </w:p>
        </w:tc>
        <w:tc>
          <w:tcPr>
            <w:tcW w:w="1087"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ليرة</w:t>
            </w:r>
          </w:p>
        </w:tc>
        <w:tc>
          <w:tcPr>
            <w:tcW w:w="1148"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يورو</w:t>
            </w:r>
          </w:p>
        </w:tc>
        <w:tc>
          <w:tcPr>
            <w:tcW w:w="1303"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ليرة</w:t>
            </w:r>
          </w:p>
        </w:tc>
        <w:tc>
          <w:tcPr>
            <w:tcW w:w="1080"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يورو</w:t>
            </w:r>
          </w:p>
        </w:tc>
        <w:tc>
          <w:tcPr>
            <w:tcW w:w="1080"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ليرة</w:t>
            </w:r>
          </w:p>
        </w:tc>
        <w:tc>
          <w:tcPr>
            <w:tcW w:w="1008" w:type="dxa"/>
            <w:tcBorders>
              <w:bottom w:val="single" w:sz="4" w:space="0" w:color="auto"/>
            </w:tcBorders>
          </w:tcPr>
          <w:p w:rsidR="00A208FF" w:rsidRDefault="00A208FF">
            <w:pPr>
              <w:spacing w:before="40" w:after="80" w:line="320" w:lineRule="exact"/>
              <w:jc w:val="center"/>
              <w:rPr>
                <w:rFonts w:hint="cs"/>
                <w:szCs w:val="22"/>
              </w:rPr>
            </w:pPr>
            <w:r>
              <w:rPr>
                <w:rFonts w:hint="cs"/>
                <w:szCs w:val="22"/>
                <w:rtl/>
              </w:rPr>
              <w:t>يورو</w:t>
            </w:r>
          </w:p>
        </w:tc>
      </w:tr>
      <w:tr w:rsidR="00A208FF" w:rsidTr="00A208FF">
        <w:tblPrEx>
          <w:tblCellMar>
            <w:top w:w="0" w:type="dxa"/>
            <w:bottom w:w="0" w:type="dxa"/>
          </w:tblCellMar>
        </w:tblPrEx>
        <w:tc>
          <w:tcPr>
            <w:tcW w:w="720" w:type="dxa"/>
            <w:tcBorders>
              <w:bottom w:val="nil"/>
            </w:tcBorders>
          </w:tcPr>
          <w:p w:rsidR="00A208FF" w:rsidRDefault="00A208FF">
            <w:pPr>
              <w:spacing w:before="40" w:after="80" w:line="400" w:lineRule="exact"/>
              <w:jc w:val="both"/>
              <w:rPr>
                <w:rFonts w:hint="cs"/>
                <w:szCs w:val="22"/>
              </w:rPr>
            </w:pPr>
            <w:r>
              <w:rPr>
                <w:rFonts w:hint="cs"/>
                <w:szCs w:val="22"/>
                <w:rtl/>
              </w:rPr>
              <w:t>1995</w:t>
            </w:r>
          </w:p>
        </w:tc>
        <w:tc>
          <w:tcPr>
            <w:tcW w:w="1080" w:type="dxa"/>
            <w:tcBorders>
              <w:bottom w:val="nil"/>
            </w:tcBorders>
          </w:tcPr>
          <w:p w:rsidR="00A208FF" w:rsidRDefault="00A208FF">
            <w:pPr>
              <w:spacing w:before="40" w:after="80" w:line="320" w:lineRule="exact"/>
              <w:jc w:val="both"/>
              <w:rPr>
                <w:rFonts w:hint="cs"/>
                <w:szCs w:val="22"/>
                <w:rtl/>
              </w:rPr>
            </w:pPr>
            <w:r>
              <w:rPr>
                <w:rFonts w:hint="cs"/>
                <w:szCs w:val="22"/>
                <w:rtl/>
              </w:rPr>
              <w:t>000 357</w:t>
            </w:r>
          </w:p>
        </w:tc>
        <w:tc>
          <w:tcPr>
            <w:tcW w:w="962" w:type="dxa"/>
            <w:tcBorders>
              <w:bottom w:val="nil"/>
            </w:tcBorders>
          </w:tcPr>
          <w:p w:rsidR="00A208FF" w:rsidRDefault="00A208FF">
            <w:pPr>
              <w:spacing w:before="40" w:after="80" w:line="320" w:lineRule="exact"/>
              <w:jc w:val="center"/>
              <w:rPr>
                <w:rFonts w:hint="cs"/>
                <w:szCs w:val="22"/>
                <w:rtl/>
              </w:rPr>
            </w:pPr>
            <w:r>
              <w:rPr>
                <w:rFonts w:hint="cs"/>
                <w:szCs w:val="22"/>
                <w:rtl/>
              </w:rPr>
              <w:t>184.4</w:t>
            </w:r>
          </w:p>
        </w:tc>
        <w:tc>
          <w:tcPr>
            <w:tcW w:w="1087" w:type="dxa"/>
            <w:tcBorders>
              <w:bottom w:val="nil"/>
            </w:tcBorders>
          </w:tcPr>
          <w:p w:rsidR="00A208FF" w:rsidRDefault="00A208FF">
            <w:pPr>
              <w:spacing w:before="40" w:after="80" w:line="320" w:lineRule="exact"/>
              <w:jc w:val="both"/>
              <w:rPr>
                <w:rFonts w:hint="cs"/>
                <w:szCs w:val="22"/>
                <w:rtl/>
              </w:rPr>
            </w:pPr>
            <w:r>
              <w:rPr>
                <w:rFonts w:hint="cs"/>
                <w:szCs w:val="22"/>
                <w:rtl/>
              </w:rPr>
              <w:t>000 482</w:t>
            </w:r>
          </w:p>
        </w:tc>
        <w:tc>
          <w:tcPr>
            <w:tcW w:w="1148" w:type="dxa"/>
            <w:tcBorders>
              <w:bottom w:val="nil"/>
            </w:tcBorders>
          </w:tcPr>
          <w:p w:rsidR="00A208FF" w:rsidRDefault="00A208FF">
            <w:pPr>
              <w:spacing w:before="40" w:after="80" w:line="320" w:lineRule="exact"/>
              <w:jc w:val="center"/>
              <w:rPr>
                <w:rFonts w:hint="cs"/>
                <w:szCs w:val="22"/>
                <w:rtl/>
              </w:rPr>
            </w:pPr>
            <w:r>
              <w:rPr>
                <w:rFonts w:hint="cs"/>
                <w:szCs w:val="22"/>
                <w:rtl/>
              </w:rPr>
              <w:t>248.9</w:t>
            </w:r>
          </w:p>
        </w:tc>
        <w:tc>
          <w:tcPr>
            <w:tcW w:w="1303" w:type="dxa"/>
            <w:tcBorders>
              <w:bottom w:val="nil"/>
            </w:tcBorders>
          </w:tcPr>
          <w:p w:rsidR="00A208FF" w:rsidRDefault="00A208FF">
            <w:pPr>
              <w:spacing w:before="40" w:after="80" w:line="320" w:lineRule="exact"/>
              <w:jc w:val="center"/>
              <w:rPr>
                <w:rFonts w:hint="cs"/>
                <w:szCs w:val="22"/>
                <w:rtl/>
              </w:rPr>
            </w:pPr>
            <w:r>
              <w:rPr>
                <w:rFonts w:hint="cs"/>
                <w:szCs w:val="22"/>
                <w:rtl/>
              </w:rPr>
              <w:t>-</w:t>
            </w:r>
          </w:p>
        </w:tc>
        <w:tc>
          <w:tcPr>
            <w:tcW w:w="1080" w:type="dxa"/>
            <w:tcBorders>
              <w:bottom w:val="nil"/>
            </w:tcBorders>
          </w:tcPr>
          <w:p w:rsidR="00A208FF" w:rsidRDefault="00A208FF">
            <w:pPr>
              <w:spacing w:before="40" w:after="80" w:line="320" w:lineRule="exact"/>
              <w:jc w:val="center"/>
              <w:rPr>
                <w:rFonts w:hint="cs"/>
                <w:szCs w:val="22"/>
                <w:rtl/>
              </w:rPr>
            </w:pPr>
            <w:r>
              <w:rPr>
                <w:rFonts w:hint="cs"/>
                <w:szCs w:val="22"/>
                <w:rtl/>
              </w:rPr>
              <w:t>-</w:t>
            </w:r>
          </w:p>
        </w:tc>
        <w:tc>
          <w:tcPr>
            <w:tcW w:w="1080" w:type="dxa"/>
            <w:tcBorders>
              <w:bottom w:val="nil"/>
            </w:tcBorders>
          </w:tcPr>
          <w:p w:rsidR="00A208FF" w:rsidRDefault="00A208FF">
            <w:pPr>
              <w:spacing w:before="40" w:after="80" w:line="320" w:lineRule="exact"/>
              <w:jc w:val="both"/>
              <w:rPr>
                <w:rFonts w:hint="cs"/>
                <w:szCs w:val="22"/>
                <w:rtl/>
              </w:rPr>
            </w:pPr>
            <w:r>
              <w:rPr>
                <w:rFonts w:hint="cs"/>
                <w:szCs w:val="22"/>
                <w:rtl/>
              </w:rPr>
              <w:t>450 626</w:t>
            </w:r>
          </w:p>
        </w:tc>
        <w:tc>
          <w:tcPr>
            <w:tcW w:w="1008" w:type="dxa"/>
            <w:tcBorders>
              <w:bottom w:val="nil"/>
            </w:tcBorders>
          </w:tcPr>
          <w:p w:rsidR="00A208FF" w:rsidRDefault="00A208FF">
            <w:pPr>
              <w:spacing w:before="40" w:after="80" w:line="320" w:lineRule="exact"/>
              <w:jc w:val="center"/>
              <w:rPr>
                <w:rFonts w:hint="cs"/>
                <w:szCs w:val="22"/>
                <w:rtl/>
              </w:rPr>
            </w:pPr>
            <w:r>
              <w:rPr>
                <w:rFonts w:hint="cs"/>
                <w:szCs w:val="22"/>
                <w:rtl/>
              </w:rPr>
              <w:t>323.5</w:t>
            </w:r>
          </w:p>
        </w:tc>
      </w:tr>
      <w:tr w:rsidR="00A208FF" w:rsidTr="00A208FF">
        <w:tblPrEx>
          <w:tblCellMar>
            <w:top w:w="0" w:type="dxa"/>
            <w:bottom w:w="0" w:type="dxa"/>
          </w:tblCellMar>
        </w:tblPrEx>
        <w:tc>
          <w:tcPr>
            <w:tcW w:w="720" w:type="dxa"/>
            <w:tcBorders>
              <w:top w:val="nil"/>
              <w:bottom w:val="nil"/>
            </w:tcBorders>
          </w:tcPr>
          <w:p w:rsidR="00A208FF" w:rsidRDefault="00A208FF">
            <w:pPr>
              <w:spacing w:before="40" w:after="80" w:line="400" w:lineRule="exact"/>
              <w:jc w:val="both"/>
              <w:rPr>
                <w:rFonts w:hint="cs"/>
                <w:szCs w:val="22"/>
              </w:rPr>
            </w:pPr>
            <w:r>
              <w:rPr>
                <w:rFonts w:hint="cs"/>
                <w:szCs w:val="22"/>
                <w:rtl/>
              </w:rPr>
              <w:t>1996</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300 376</w:t>
            </w:r>
          </w:p>
        </w:tc>
        <w:tc>
          <w:tcPr>
            <w:tcW w:w="962" w:type="dxa"/>
            <w:tcBorders>
              <w:top w:val="nil"/>
              <w:bottom w:val="nil"/>
            </w:tcBorders>
          </w:tcPr>
          <w:p w:rsidR="00A208FF" w:rsidRDefault="00A208FF">
            <w:pPr>
              <w:spacing w:before="40" w:after="80" w:line="320" w:lineRule="exact"/>
              <w:jc w:val="center"/>
              <w:rPr>
                <w:rFonts w:hint="cs"/>
                <w:szCs w:val="22"/>
                <w:rtl/>
              </w:rPr>
            </w:pPr>
            <w:r>
              <w:rPr>
                <w:rFonts w:hint="cs"/>
                <w:szCs w:val="22"/>
                <w:rtl/>
              </w:rPr>
              <w:t>194.3</w:t>
            </w:r>
          </w:p>
        </w:tc>
        <w:tc>
          <w:tcPr>
            <w:tcW w:w="1087" w:type="dxa"/>
            <w:tcBorders>
              <w:top w:val="nil"/>
              <w:bottom w:val="nil"/>
            </w:tcBorders>
          </w:tcPr>
          <w:p w:rsidR="00A208FF" w:rsidRDefault="00A208FF">
            <w:pPr>
              <w:spacing w:before="40" w:after="80" w:line="320" w:lineRule="exact"/>
              <w:jc w:val="both"/>
              <w:rPr>
                <w:rFonts w:hint="cs"/>
                <w:szCs w:val="22"/>
                <w:rtl/>
              </w:rPr>
            </w:pPr>
            <w:r>
              <w:rPr>
                <w:rFonts w:hint="cs"/>
                <w:szCs w:val="22"/>
                <w:rtl/>
              </w:rPr>
              <w:t>300 501</w:t>
            </w:r>
          </w:p>
        </w:tc>
        <w:tc>
          <w:tcPr>
            <w:tcW w:w="1148" w:type="dxa"/>
            <w:tcBorders>
              <w:top w:val="nil"/>
              <w:bottom w:val="nil"/>
            </w:tcBorders>
          </w:tcPr>
          <w:p w:rsidR="00A208FF" w:rsidRDefault="00A208FF">
            <w:pPr>
              <w:spacing w:before="40" w:after="80" w:line="320" w:lineRule="exact"/>
              <w:jc w:val="center"/>
              <w:rPr>
                <w:rFonts w:hint="cs"/>
                <w:szCs w:val="22"/>
                <w:rtl/>
              </w:rPr>
            </w:pPr>
            <w:r>
              <w:rPr>
                <w:rFonts w:hint="cs"/>
                <w:szCs w:val="22"/>
                <w:rtl/>
              </w:rPr>
              <w:t>258.9</w:t>
            </w:r>
          </w:p>
        </w:tc>
        <w:tc>
          <w:tcPr>
            <w:tcW w:w="1303" w:type="dxa"/>
            <w:tcBorders>
              <w:top w:val="nil"/>
              <w:bottom w:val="nil"/>
            </w:tcBorders>
          </w:tcPr>
          <w:p w:rsidR="00A208FF" w:rsidRDefault="00A208FF">
            <w:pPr>
              <w:spacing w:before="40" w:after="80" w:line="320" w:lineRule="exact"/>
              <w:jc w:val="both"/>
              <w:rPr>
                <w:rFonts w:hint="cs"/>
                <w:szCs w:val="22"/>
                <w:rtl/>
              </w:rPr>
            </w:pPr>
            <w:r>
              <w:rPr>
                <w:rFonts w:hint="cs"/>
                <w:szCs w:val="22"/>
                <w:rtl/>
              </w:rPr>
              <w:t>000 480</w:t>
            </w:r>
          </w:p>
        </w:tc>
        <w:tc>
          <w:tcPr>
            <w:tcW w:w="1080" w:type="dxa"/>
            <w:tcBorders>
              <w:top w:val="nil"/>
              <w:bottom w:val="nil"/>
            </w:tcBorders>
          </w:tcPr>
          <w:p w:rsidR="00A208FF" w:rsidRDefault="00A208FF">
            <w:pPr>
              <w:spacing w:before="40" w:after="80" w:line="320" w:lineRule="exact"/>
              <w:jc w:val="center"/>
              <w:rPr>
                <w:rFonts w:hint="cs"/>
                <w:szCs w:val="22"/>
                <w:rtl/>
              </w:rPr>
            </w:pPr>
            <w:r>
              <w:rPr>
                <w:rFonts w:hint="cs"/>
                <w:szCs w:val="22"/>
                <w:rtl/>
              </w:rPr>
              <w:t>247.9</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300 660</w:t>
            </w:r>
          </w:p>
        </w:tc>
        <w:tc>
          <w:tcPr>
            <w:tcW w:w="1008" w:type="dxa"/>
            <w:tcBorders>
              <w:top w:val="nil"/>
              <w:bottom w:val="nil"/>
            </w:tcBorders>
          </w:tcPr>
          <w:p w:rsidR="00A208FF" w:rsidRDefault="00A208FF">
            <w:pPr>
              <w:spacing w:before="40" w:after="80" w:line="320" w:lineRule="exact"/>
              <w:jc w:val="center"/>
              <w:rPr>
                <w:rFonts w:hint="cs"/>
                <w:szCs w:val="22"/>
                <w:rtl/>
              </w:rPr>
            </w:pPr>
            <w:r>
              <w:rPr>
                <w:rFonts w:hint="cs"/>
                <w:szCs w:val="22"/>
                <w:rtl/>
              </w:rPr>
              <w:t>341.0</w:t>
            </w:r>
          </w:p>
        </w:tc>
      </w:tr>
      <w:tr w:rsidR="00A208FF" w:rsidTr="00A208FF">
        <w:tblPrEx>
          <w:tblCellMar>
            <w:top w:w="0" w:type="dxa"/>
            <w:bottom w:w="0" w:type="dxa"/>
          </w:tblCellMar>
        </w:tblPrEx>
        <w:tc>
          <w:tcPr>
            <w:tcW w:w="720" w:type="dxa"/>
            <w:tcBorders>
              <w:top w:val="nil"/>
              <w:bottom w:val="nil"/>
            </w:tcBorders>
          </w:tcPr>
          <w:p w:rsidR="00A208FF" w:rsidRDefault="00A208FF">
            <w:pPr>
              <w:spacing w:before="40" w:after="80" w:line="400" w:lineRule="exact"/>
              <w:jc w:val="both"/>
              <w:rPr>
                <w:rFonts w:hint="cs"/>
                <w:szCs w:val="22"/>
              </w:rPr>
            </w:pPr>
            <w:r>
              <w:rPr>
                <w:rFonts w:hint="cs"/>
                <w:szCs w:val="22"/>
                <w:rtl/>
              </w:rPr>
              <w:t>1997</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600 390</w:t>
            </w:r>
          </w:p>
        </w:tc>
        <w:tc>
          <w:tcPr>
            <w:tcW w:w="962" w:type="dxa"/>
            <w:tcBorders>
              <w:top w:val="nil"/>
              <w:bottom w:val="nil"/>
            </w:tcBorders>
          </w:tcPr>
          <w:p w:rsidR="00A208FF" w:rsidRDefault="00A208FF">
            <w:pPr>
              <w:spacing w:before="40" w:after="80" w:line="320" w:lineRule="exact"/>
              <w:jc w:val="center"/>
              <w:rPr>
                <w:rFonts w:hint="cs"/>
                <w:szCs w:val="22"/>
                <w:rtl/>
              </w:rPr>
            </w:pPr>
            <w:r>
              <w:rPr>
                <w:rFonts w:hint="cs"/>
                <w:szCs w:val="22"/>
                <w:rtl/>
              </w:rPr>
              <w:t>201.7</w:t>
            </w:r>
          </w:p>
        </w:tc>
        <w:tc>
          <w:tcPr>
            <w:tcW w:w="1087" w:type="dxa"/>
            <w:tcBorders>
              <w:top w:val="nil"/>
              <w:bottom w:val="nil"/>
            </w:tcBorders>
          </w:tcPr>
          <w:p w:rsidR="00A208FF" w:rsidRDefault="00A208FF">
            <w:pPr>
              <w:spacing w:before="40" w:after="80" w:line="320" w:lineRule="exact"/>
              <w:jc w:val="both"/>
              <w:rPr>
                <w:rFonts w:hint="cs"/>
                <w:szCs w:val="22"/>
                <w:rtl/>
              </w:rPr>
            </w:pPr>
            <w:r>
              <w:rPr>
                <w:rFonts w:hint="cs"/>
                <w:szCs w:val="22"/>
                <w:rtl/>
              </w:rPr>
              <w:t>600 515</w:t>
            </w:r>
          </w:p>
        </w:tc>
        <w:tc>
          <w:tcPr>
            <w:tcW w:w="1148" w:type="dxa"/>
            <w:tcBorders>
              <w:top w:val="nil"/>
              <w:bottom w:val="nil"/>
            </w:tcBorders>
          </w:tcPr>
          <w:p w:rsidR="00A208FF" w:rsidRDefault="00A208FF">
            <w:pPr>
              <w:spacing w:before="40" w:after="80" w:line="320" w:lineRule="exact"/>
              <w:jc w:val="center"/>
              <w:rPr>
                <w:rFonts w:hint="cs"/>
                <w:szCs w:val="22"/>
                <w:rtl/>
              </w:rPr>
            </w:pPr>
            <w:r>
              <w:rPr>
                <w:rFonts w:hint="cs"/>
                <w:szCs w:val="22"/>
                <w:rtl/>
              </w:rPr>
              <w:t>266.3</w:t>
            </w:r>
          </w:p>
        </w:tc>
        <w:tc>
          <w:tcPr>
            <w:tcW w:w="1303" w:type="dxa"/>
            <w:tcBorders>
              <w:top w:val="nil"/>
              <w:bottom w:val="nil"/>
            </w:tcBorders>
          </w:tcPr>
          <w:p w:rsidR="00A208FF" w:rsidRDefault="00A208FF">
            <w:pPr>
              <w:spacing w:before="40" w:after="80" w:line="320" w:lineRule="exact"/>
              <w:jc w:val="both"/>
              <w:rPr>
                <w:rFonts w:hint="cs"/>
                <w:szCs w:val="22"/>
                <w:rtl/>
              </w:rPr>
            </w:pPr>
            <w:r>
              <w:rPr>
                <w:rFonts w:hint="cs"/>
                <w:szCs w:val="22"/>
                <w:rtl/>
              </w:rPr>
              <w:t>700 498</w:t>
            </w:r>
          </w:p>
        </w:tc>
        <w:tc>
          <w:tcPr>
            <w:tcW w:w="1080" w:type="dxa"/>
            <w:tcBorders>
              <w:top w:val="nil"/>
              <w:bottom w:val="nil"/>
            </w:tcBorders>
          </w:tcPr>
          <w:p w:rsidR="00A208FF" w:rsidRDefault="00A208FF">
            <w:pPr>
              <w:spacing w:before="40" w:after="80" w:line="320" w:lineRule="exact"/>
              <w:jc w:val="center"/>
              <w:rPr>
                <w:rFonts w:hint="cs"/>
                <w:szCs w:val="22"/>
                <w:rtl/>
              </w:rPr>
            </w:pPr>
            <w:r>
              <w:rPr>
                <w:rFonts w:hint="cs"/>
                <w:szCs w:val="22"/>
                <w:rtl/>
              </w:rPr>
              <w:t>257.6</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050 686</w:t>
            </w:r>
          </w:p>
        </w:tc>
        <w:tc>
          <w:tcPr>
            <w:tcW w:w="1008" w:type="dxa"/>
            <w:tcBorders>
              <w:top w:val="nil"/>
              <w:bottom w:val="nil"/>
            </w:tcBorders>
          </w:tcPr>
          <w:p w:rsidR="00A208FF" w:rsidRDefault="00A208FF">
            <w:pPr>
              <w:spacing w:before="40" w:after="80" w:line="320" w:lineRule="exact"/>
              <w:jc w:val="center"/>
              <w:rPr>
                <w:rFonts w:hint="cs"/>
                <w:szCs w:val="22"/>
                <w:rtl/>
              </w:rPr>
            </w:pPr>
            <w:r>
              <w:rPr>
                <w:rFonts w:hint="cs"/>
                <w:szCs w:val="22"/>
                <w:rtl/>
              </w:rPr>
              <w:t>354.3</w:t>
            </w:r>
          </w:p>
        </w:tc>
      </w:tr>
      <w:tr w:rsidR="00A208FF" w:rsidTr="00A208FF">
        <w:tblPrEx>
          <w:tblCellMar>
            <w:top w:w="0" w:type="dxa"/>
            <w:bottom w:w="0" w:type="dxa"/>
          </w:tblCellMar>
        </w:tblPrEx>
        <w:tc>
          <w:tcPr>
            <w:tcW w:w="720" w:type="dxa"/>
            <w:tcBorders>
              <w:top w:val="nil"/>
              <w:bottom w:val="nil"/>
            </w:tcBorders>
          </w:tcPr>
          <w:p w:rsidR="00A208FF" w:rsidRDefault="00A208FF">
            <w:pPr>
              <w:spacing w:before="40" w:after="80" w:line="400" w:lineRule="exact"/>
              <w:jc w:val="both"/>
              <w:rPr>
                <w:rFonts w:hint="cs"/>
                <w:szCs w:val="22"/>
              </w:rPr>
            </w:pPr>
            <w:r>
              <w:rPr>
                <w:rFonts w:hint="cs"/>
                <w:szCs w:val="22"/>
                <w:rtl/>
              </w:rPr>
              <w:t>1998</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650 397</w:t>
            </w:r>
          </w:p>
        </w:tc>
        <w:tc>
          <w:tcPr>
            <w:tcW w:w="962" w:type="dxa"/>
            <w:tcBorders>
              <w:top w:val="nil"/>
              <w:bottom w:val="nil"/>
            </w:tcBorders>
          </w:tcPr>
          <w:p w:rsidR="00A208FF" w:rsidRDefault="00A208FF">
            <w:pPr>
              <w:spacing w:before="40" w:after="80" w:line="320" w:lineRule="exact"/>
              <w:jc w:val="center"/>
              <w:rPr>
                <w:rFonts w:hint="cs"/>
                <w:szCs w:val="22"/>
                <w:rtl/>
              </w:rPr>
            </w:pPr>
            <w:r>
              <w:rPr>
                <w:rFonts w:hint="cs"/>
                <w:szCs w:val="22"/>
                <w:rtl/>
              </w:rPr>
              <w:t>205.4</w:t>
            </w:r>
          </w:p>
        </w:tc>
        <w:tc>
          <w:tcPr>
            <w:tcW w:w="1087" w:type="dxa"/>
            <w:tcBorders>
              <w:top w:val="nil"/>
              <w:bottom w:val="nil"/>
            </w:tcBorders>
          </w:tcPr>
          <w:p w:rsidR="00A208FF" w:rsidRDefault="00A208FF">
            <w:pPr>
              <w:spacing w:before="40" w:after="80" w:line="320" w:lineRule="exact"/>
              <w:jc w:val="both"/>
              <w:rPr>
                <w:rFonts w:hint="cs"/>
                <w:szCs w:val="22"/>
                <w:rtl/>
              </w:rPr>
            </w:pPr>
            <w:r>
              <w:rPr>
                <w:rFonts w:hint="cs"/>
                <w:szCs w:val="22"/>
                <w:rtl/>
              </w:rPr>
              <w:t>650 522</w:t>
            </w:r>
          </w:p>
        </w:tc>
        <w:tc>
          <w:tcPr>
            <w:tcW w:w="1148" w:type="dxa"/>
            <w:tcBorders>
              <w:top w:val="nil"/>
              <w:bottom w:val="nil"/>
            </w:tcBorders>
          </w:tcPr>
          <w:p w:rsidR="00A208FF" w:rsidRDefault="00A208FF">
            <w:pPr>
              <w:spacing w:before="40" w:after="80" w:line="320" w:lineRule="exact"/>
              <w:jc w:val="center"/>
              <w:rPr>
                <w:rFonts w:hint="cs"/>
                <w:szCs w:val="22"/>
                <w:rtl/>
              </w:rPr>
            </w:pPr>
            <w:r>
              <w:rPr>
                <w:rFonts w:hint="cs"/>
                <w:szCs w:val="22"/>
                <w:rtl/>
              </w:rPr>
              <w:t>269.9</w:t>
            </w:r>
          </w:p>
        </w:tc>
        <w:tc>
          <w:tcPr>
            <w:tcW w:w="1303" w:type="dxa"/>
            <w:tcBorders>
              <w:top w:val="nil"/>
              <w:bottom w:val="nil"/>
            </w:tcBorders>
          </w:tcPr>
          <w:p w:rsidR="00A208FF" w:rsidRDefault="00A208FF">
            <w:pPr>
              <w:spacing w:before="40" w:after="80" w:line="320" w:lineRule="exact"/>
              <w:jc w:val="both"/>
              <w:rPr>
                <w:rFonts w:hint="cs"/>
                <w:szCs w:val="22"/>
                <w:rtl/>
              </w:rPr>
            </w:pPr>
            <w:r>
              <w:rPr>
                <w:rFonts w:hint="cs"/>
                <w:szCs w:val="22"/>
                <w:rtl/>
              </w:rPr>
              <w:t>200 507</w:t>
            </w:r>
          </w:p>
        </w:tc>
        <w:tc>
          <w:tcPr>
            <w:tcW w:w="1080" w:type="dxa"/>
            <w:tcBorders>
              <w:top w:val="nil"/>
              <w:bottom w:val="nil"/>
            </w:tcBorders>
          </w:tcPr>
          <w:p w:rsidR="00A208FF" w:rsidRDefault="00A208FF">
            <w:pPr>
              <w:spacing w:before="40" w:after="80" w:line="320" w:lineRule="exact"/>
              <w:jc w:val="center"/>
              <w:rPr>
                <w:rFonts w:hint="cs"/>
                <w:szCs w:val="22"/>
                <w:rtl/>
              </w:rPr>
            </w:pPr>
            <w:r>
              <w:rPr>
                <w:rFonts w:hint="cs"/>
                <w:szCs w:val="22"/>
                <w:rtl/>
              </w:rPr>
              <w:t>261.9</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700 697</w:t>
            </w:r>
          </w:p>
        </w:tc>
        <w:tc>
          <w:tcPr>
            <w:tcW w:w="1008" w:type="dxa"/>
            <w:tcBorders>
              <w:top w:val="nil"/>
              <w:bottom w:val="nil"/>
            </w:tcBorders>
          </w:tcPr>
          <w:p w:rsidR="00A208FF" w:rsidRDefault="00A208FF">
            <w:pPr>
              <w:spacing w:before="40" w:after="80" w:line="320" w:lineRule="exact"/>
              <w:jc w:val="center"/>
              <w:rPr>
                <w:rFonts w:hint="cs"/>
                <w:szCs w:val="22"/>
                <w:rtl/>
              </w:rPr>
            </w:pPr>
            <w:r>
              <w:rPr>
                <w:rFonts w:hint="cs"/>
                <w:szCs w:val="22"/>
                <w:rtl/>
              </w:rPr>
              <w:t>360.3</w:t>
            </w:r>
          </w:p>
        </w:tc>
      </w:tr>
      <w:tr w:rsidR="00A208FF" w:rsidTr="00A208FF">
        <w:tblPrEx>
          <w:tblCellMar>
            <w:top w:w="0" w:type="dxa"/>
            <w:bottom w:w="0" w:type="dxa"/>
          </w:tblCellMar>
        </w:tblPrEx>
        <w:tc>
          <w:tcPr>
            <w:tcW w:w="720" w:type="dxa"/>
            <w:tcBorders>
              <w:top w:val="nil"/>
              <w:bottom w:val="nil"/>
            </w:tcBorders>
          </w:tcPr>
          <w:p w:rsidR="00A208FF" w:rsidRDefault="00A208FF">
            <w:pPr>
              <w:spacing w:before="40" w:after="80" w:line="400" w:lineRule="exact"/>
              <w:jc w:val="both"/>
              <w:rPr>
                <w:rFonts w:hint="cs"/>
                <w:szCs w:val="22"/>
              </w:rPr>
            </w:pPr>
            <w:r>
              <w:rPr>
                <w:rFonts w:hint="cs"/>
                <w:szCs w:val="22"/>
                <w:rtl/>
              </w:rPr>
              <w:t>1999</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800 504</w:t>
            </w:r>
          </w:p>
        </w:tc>
        <w:tc>
          <w:tcPr>
            <w:tcW w:w="962" w:type="dxa"/>
            <w:tcBorders>
              <w:top w:val="nil"/>
              <w:bottom w:val="nil"/>
            </w:tcBorders>
          </w:tcPr>
          <w:p w:rsidR="00A208FF" w:rsidRDefault="00A208FF">
            <w:pPr>
              <w:spacing w:before="40" w:after="80" w:line="320" w:lineRule="exact"/>
              <w:jc w:val="center"/>
              <w:rPr>
                <w:rFonts w:hint="cs"/>
                <w:szCs w:val="22"/>
                <w:rtl/>
              </w:rPr>
            </w:pPr>
            <w:r>
              <w:rPr>
                <w:rFonts w:hint="cs"/>
                <w:szCs w:val="22"/>
                <w:rtl/>
              </w:rPr>
              <w:t>260.7</w:t>
            </w:r>
          </w:p>
        </w:tc>
        <w:tc>
          <w:tcPr>
            <w:tcW w:w="1087" w:type="dxa"/>
            <w:tcBorders>
              <w:top w:val="nil"/>
              <w:bottom w:val="nil"/>
            </w:tcBorders>
          </w:tcPr>
          <w:p w:rsidR="00A208FF" w:rsidRDefault="00A208FF">
            <w:pPr>
              <w:spacing w:before="40" w:after="80" w:line="320" w:lineRule="exact"/>
              <w:jc w:val="both"/>
              <w:rPr>
                <w:rFonts w:hint="cs"/>
                <w:szCs w:val="22"/>
                <w:rtl/>
              </w:rPr>
            </w:pPr>
            <w:r>
              <w:rPr>
                <w:rFonts w:hint="cs"/>
                <w:szCs w:val="22"/>
                <w:rtl/>
              </w:rPr>
              <w:t>800 629</w:t>
            </w:r>
          </w:p>
        </w:tc>
        <w:tc>
          <w:tcPr>
            <w:tcW w:w="1148" w:type="dxa"/>
            <w:tcBorders>
              <w:top w:val="nil"/>
              <w:bottom w:val="nil"/>
            </w:tcBorders>
          </w:tcPr>
          <w:p w:rsidR="00A208FF" w:rsidRDefault="00A208FF">
            <w:pPr>
              <w:spacing w:before="40" w:after="80" w:line="320" w:lineRule="exact"/>
              <w:jc w:val="center"/>
              <w:rPr>
                <w:rFonts w:hint="cs"/>
                <w:szCs w:val="22"/>
                <w:rtl/>
              </w:rPr>
            </w:pPr>
            <w:r>
              <w:rPr>
                <w:rFonts w:hint="cs"/>
                <w:szCs w:val="22"/>
                <w:rtl/>
              </w:rPr>
              <w:t>325.3</w:t>
            </w:r>
          </w:p>
        </w:tc>
        <w:tc>
          <w:tcPr>
            <w:tcW w:w="1303" w:type="dxa"/>
            <w:tcBorders>
              <w:top w:val="nil"/>
              <w:bottom w:val="nil"/>
            </w:tcBorders>
          </w:tcPr>
          <w:p w:rsidR="00A208FF" w:rsidRDefault="00A208FF">
            <w:pPr>
              <w:spacing w:before="40" w:after="80" w:line="320" w:lineRule="exact"/>
              <w:jc w:val="both"/>
              <w:rPr>
                <w:rFonts w:hint="cs"/>
                <w:szCs w:val="22"/>
                <w:rtl/>
              </w:rPr>
            </w:pPr>
            <w:r>
              <w:rPr>
                <w:rFonts w:hint="cs"/>
                <w:szCs w:val="22"/>
                <w:rtl/>
              </w:rPr>
              <w:t>350 616</w:t>
            </w:r>
          </w:p>
        </w:tc>
        <w:tc>
          <w:tcPr>
            <w:tcW w:w="1080" w:type="dxa"/>
            <w:tcBorders>
              <w:top w:val="nil"/>
              <w:bottom w:val="nil"/>
            </w:tcBorders>
          </w:tcPr>
          <w:p w:rsidR="00A208FF" w:rsidRDefault="00A208FF">
            <w:pPr>
              <w:spacing w:before="40" w:after="80" w:line="320" w:lineRule="exact"/>
              <w:jc w:val="center"/>
              <w:rPr>
                <w:rFonts w:hint="cs"/>
                <w:szCs w:val="22"/>
                <w:rtl/>
              </w:rPr>
            </w:pPr>
            <w:r>
              <w:rPr>
                <w:rFonts w:hint="cs"/>
                <w:szCs w:val="22"/>
                <w:rtl/>
              </w:rPr>
              <w:t>318.3</w:t>
            </w:r>
          </w:p>
        </w:tc>
        <w:tc>
          <w:tcPr>
            <w:tcW w:w="1080" w:type="dxa"/>
            <w:tcBorders>
              <w:top w:val="nil"/>
              <w:bottom w:val="nil"/>
            </w:tcBorders>
          </w:tcPr>
          <w:p w:rsidR="00A208FF" w:rsidRDefault="00A208FF">
            <w:pPr>
              <w:spacing w:before="40" w:after="80" w:line="320" w:lineRule="exact"/>
              <w:jc w:val="both"/>
              <w:rPr>
                <w:rFonts w:hint="cs"/>
                <w:szCs w:val="22"/>
                <w:rtl/>
              </w:rPr>
            </w:pPr>
            <w:r>
              <w:rPr>
                <w:rFonts w:hint="cs"/>
                <w:szCs w:val="22"/>
                <w:rtl/>
              </w:rPr>
              <w:t>250 710</w:t>
            </w:r>
          </w:p>
        </w:tc>
        <w:tc>
          <w:tcPr>
            <w:tcW w:w="1008" w:type="dxa"/>
            <w:tcBorders>
              <w:top w:val="nil"/>
              <w:bottom w:val="nil"/>
            </w:tcBorders>
          </w:tcPr>
          <w:p w:rsidR="00A208FF" w:rsidRDefault="00A208FF">
            <w:pPr>
              <w:spacing w:before="40" w:after="80" w:line="320" w:lineRule="exact"/>
              <w:jc w:val="center"/>
              <w:rPr>
                <w:rFonts w:hint="cs"/>
                <w:szCs w:val="22"/>
                <w:rtl/>
              </w:rPr>
            </w:pPr>
            <w:r>
              <w:rPr>
                <w:rFonts w:hint="cs"/>
                <w:szCs w:val="22"/>
                <w:rtl/>
              </w:rPr>
              <w:t>366.8</w:t>
            </w:r>
          </w:p>
        </w:tc>
      </w:tr>
      <w:tr w:rsidR="00A208FF" w:rsidTr="00A208FF">
        <w:tblPrEx>
          <w:tblCellMar>
            <w:top w:w="0" w:type="dxa"/>
            <w:bottom w:w="0" w:type="dxa"/>
          </w:tblCellMar>
        </w:tblPrEx>
        <w:tc>
          <w:tcPr>
            <w:tcW w:w="720" w:type="dxa"/>
            <w:tcBorders>
              <w:top w:val="nil"/>
            </w:tcBorders>
          </w:tcPr>
          <w:p w:rsidR="00A208FF" w:rsidRDefault="00A208FF">
            <w:pPr>
              <w:spacing w:before="40" w:after="80" w:line="400" w:lineRule="exact"/>
              <w:jc w:val="both"/>
              <w:rPr>
                <w:rFonts w:hint="cs"/>
                <w:szCs w:val="22"/>
              </w:rPr>
            </w:pPr>
            <w:r>
              <w:rPr>
                <w:rFonts w:hint="cs"/>
                <w:szCs w:val="22"/>
                <w:rtl/>
              </w:rPr>
              <w:t>2000</w:t>
            </w:r>
          </w:p>
        </w:tc>
        <w:tc>
          <w:tcPr>
            <w:tcW w:w="1080" w:type="dxa"/>
            <w:tcBorders>
              <w:top w:val="nil"/>
            </w:tcBorders>
          </w:tcPr>
          <w:p w:rsidR="00A208FF" w:rsidRDefault="00A208FF">
            <w:pPr>
              <w:spacing w:before="40" w:after="80" w:line="320" w:lineRule="exact"/>
              <w:jc w:val="both"/>
              <w:rPr>
                <w:rFonts w:hint="cs"/>
                <w:szCs w:val="22"/>
                <w:rtl/>
              </w:rPr>
            </w:pPr>
            <w:r>
              <w:rPr>
                <w:rFonts w:hint="cs"/>
                <w:szCs w:val="22"/>
                <w:rtl/>
              </w:rPr>
              <w:t>900 530</w:t>
            </w:r>
          </w:p>
        </w:tc>
        <w:tc>
          <w:tcPr>
            <w:tcW w:w="962" w:type="dxa"/>
            <w:tcBorders>
              <w:top w:val="nil"/>
            </w:tcBorders>
          </w:tcPr>
          <w:p w:rsidR="00A208FF" w:rsidRDefault="00A208FF">
            <w:pPr>
              <w:spacing w:before="40" w:after="80" w:line="320" w:lineRule="exact"/>
              <w:jc w:val="center"/>
              <w:rPr>
                <w:rFonts w:hint="cs"/>
                <w:szCs w:val="22"/>
                <w:rtl/>
              </w:rPr>
            </w:pPr>
            <w:r>
              <w:rPr>
                <w:rFonts w:hint="cs"/>
                <w:szCs w:val="22"/>
                <w:rtl/>
              </w:rPr>
              <w:t>274.2</w:t>
            </w:r>
          </w:p>
        </w:tc>
        <w:tc>
          <w:tcPr>
            <w:tcW w:w="1087" w:type="dxa"/>
            <w:tcBorders>
              <w:top w:val="nil"/>
            </w:tcBorders>
          </w:tcPr>
          <w:p w:rsidR="00A208FF" w:rsidRDefault="00A208FF">
            <w:pPr>
              <w:spacing w:before="40" w:after="80" w:line="320" w:lineRule="exact"/>
              <w:jc w:val="both"/>
              <w:rPr>
                <w:rFonts w:hint="cs"/>
                <w:szCs w:val="22"/>
                <w:rtl/>
              </w:rPr>
            </w:pPr>
            <w:r>
              <w:rPr>
                <w:rFonts w:hint="cs"/>
                <w:szCs w:val="22"/>
                <w:rtl/>
              </w:rPr>
              <w:t>350 655</w:t>
            </w:r>
          </w:p>
        </w:tc>
        <w:tc>
          <w:tcPr>
            <w:tcW w:w="1148" w:type="dxa"/>
            <w:tcBorders>
              <w:top w:val="nil"/>
            </w:tcBorders>
          </w:tcPr>
          <w:p w:rsidR="00A208FF" w:rsidRDefault="00A208FF">
            <w:pPr>
              <w:spacing w:before="40" w:after="80" w:line="320" w:lineRule="exact"/>
              <w:jc w:val="center"/>
              <w:rPr>
                <w:rFonts w:hint="cs"/>
                <w:szCs w:val="22"/>
                <w:rtl/>
              </w:rPr>
            </w:pPr>
            <w:r>
              <w:rPr>
                <w:rFonts w:hint="cs"/>
                <w:szCs w:val="22"/>
                <w:rtl/>
              </w:rPr>
              <w:t>338.5</w:t>
            </w:r>
          </w:p>
        </w:tc>
        <w:tc>
          <w:tcPr>
            <w:tcW w:w="1303" w:type="dxa"/>
            <w:tcBorders>
              <w:top w:val="nil"/>
            </w:tcBorders>
          </w:tcPr>
          <w:p w:rsidR="00A208FF" w:rsidRDefault="00A208FF">
            <w:pPr>
              <w:spacing w:before="40" w:after="80" w:line="320" w:lineRule="exact"/>
              <w:jc w:val="both"/>
              <w:rPr>
                <w:rFonts w:hint="cs"/>
                <w:szCs w:val="22"/>
                <w:rtl/>
              </w:rPr>
            </w:pPr>
            <w:r>
              <w:rPr>
                <w:rFonts w:hint="cs"/>
                <w:szCs w:val="22"/>
                <w:rtl/>
              </w:rPr>
              <w:t>200 644</w:t>
            </w:r>
          </w:p>
        </w:tc>
        <w:tc>
          <w:tcPr>
            <w:tcW w:w="1080" w:type="dxa"/>
            <w:tcBorders>
              <w:top w:val="nil"/>
            </w:tcBorders>
          </w:tcPr>
          <w:p w:rsidR="00A208FF" w:rsidRDefault="00A208FF">
            <w:pPr>
              <w:spacing w:before="40" w:after="80" w:line="320" w:lineRule="exact"/>
              <w:jc w:val="center"/>
              <w:rPr>
                <w:rFonts w:hint="cs"/>
                <w:szCs w:val="22"/>
                <w:rtl/>
              </w:rPr>
            </w:pPr>
            <w:r>
              <w:rPr>
                <w:rFonts w:hint="cs"/>
                <w:szCs w:val="22"/>
                <w:rtl/>
              </w:rPr>
              <w:t>332.7</w:t>
            </w:r>
          </w:p>
        </w:tc>
        <w:tc>
          <w:tcPr>
            <w:tcW w:w="1080" w:type="dxa"/>
            <w:tcBorders>
              <w:top w:val="nil"/>
            </w:tcBorders>
          </w:tcPr>
          <w:p w:rsidR="00A208FF" w:rsidRDefault="00A208FF">
            <w:pPr>
              <w:spacing w:before="40" w:after="80" w:line="320" w:lineRule="exact"/>
              <w:jc w:val="both"/>
              <w:rPr>
                <w:rFonts w:hint="cs"/>
                <w:szCs w:val="22"/>
                <w:rtl/>
              </w:rPr>
            </w:pPr>
            <w:r>
              <w:rPr>
                <w:rFonts w:hint="cs"/>
                <w:szCs w:val="22"/>
                <w:rtl/>
              </w:rPr>
              <w:t>600 721</w:t>
            </w:r>
          </w:p>
        </w:tc>
        <w:tc>
          <w:tcPr>
            <w:tcW w:w="1008" w:type="dxa"/>
            <w:tcBorders>
              <w:top w:val="nil"/>
            </w:tcBorders>
          </w:tcPr>
          <w:p w:rsidR="00A208FF" w:rsidRDefault="00A208FF">
            <w:pPr>
              <w:spacing w:before="40" w:after="80" w:line="320" w:lineRule="exact"/>
              <w:jc w:val="center"/>
              <w:rPr>
                <w:rFonts w:hint="cs"/>
                <w:szCs w:val="22"/>
                <w:rtl/>
              </w:rPr>
            </w:pPr>
            <w:r>
              <w:rPr>
                <w:rFonts w:hint="cs"/>
                <w:szCs w:val="22"/>
                <w:rtl/>
              </w:rPr>
              <w:t>372.7</w:t>
            </w:r>
          </w:p>
        </w:tc>
      </w:tr>
    </w:tbl>
    <w:p w:rsidR="00000000" w:rsidRDefault="00A208FF">
      <w:pPr>
        <w:spacing w:line="400" w:lineRule="exact"/>
        <w:jc w:val="both"/>
        <w:rPr>
          <w:rFonts w:hint="cs"/>
          <w:rtl/>
        </w:rPr>
      </w:pPr>
      <w:r>
        <w:rPr>
          <w:rFonts w:hint="cs"/>
          <w:spacing w:val="0"/>
          <w:rtl/>
        </w:rPr>
        <w:t>145-</w:t>
      </w:r>
      <w:r>
        <w:rPr>
          <w:rFonts w:hint="cs"/>
          <w:spacing w:val="0"/>
          <w:rtl/>
        </w:rPr>
        <w:tab/>
        <w:t>وقد استُهلت في حزيران/يونيو 1998، بموجب مرسوم تشريعي، تجربة ما يُسمّى دخل الاندماج الأدنى</w:t>
      </w:r>
      <w:r>
        <w:rPr>
          <w:spacing w:val="0"/>
          <w:rtl/>
        </w:rPr>
        <w:br/>
      </w:r>
      <w:r>
        <w:rPr>
          <w:rFonts w:hint="cs"/>
          <w:spacing w:val="0"/>
          <w:rtl/>
        </w:rPr>
        <w:t>(</w:t>
      </w:r>
      <w:r>
        <w:rPr>
          <w:i/>
          <w:iCs/>
          <w:spacing w:val="0"/>
        </w:rPr>
        <w:t>Reddito minimo di Inserimento</w:t>
      </w:r>
      <w:r>
        <w:rPr>
          <w:rFonts w:hint="cs"/>
          <w:spacing w:val="0"/>
          <w:rtl/>
        </w:rPr>
        <w:t>) الذي تح</w:t>
      </w:r>
      <w:r>
        <w:rPr>
          <w:rFonts w:hint="cs"/>
          <w:spacing w:val="0"/>
          <w:rtl/>
        </w:rPr>
        <w:t xml:space="preserve">يل تسميته مباشرة إلى المقابل الفرنسي </w:t>
      </w:r>
      <w:r>
        <w:rPr>
          <w:i/>
          <w:iCs/>
          <w:spacing w:val="0"/>
        </w:rPr>
        <w:t>Revenu minimum d'inseration</w:t>
      </w:r>
      <w:r>
        <w:rPr>
          <w:rFonts w:hint="cs"/>
          <w:i/>
          <w:iCs/>
          <w:spacing w:val="0"/>
          <w:rtl/>
        </w:rPr>
        <w:br/>
      </w:r>
      <w:r>
        <w:rPr>
          <w:rFonts w:hint="cs"/>
          <w:spacing w:val="0"/>
          <w:rtl/>
        </w:rPr>
        <w:t>الساري منذ سنة 1998. وحسب ما جاء في المرسوم التأسيسي (</w:t>
      </w:r>
      <w:r>
        <w:rPr>
          <w:spacing w:val="0"/>
        </w:rPr>
        <w:t>D.Lg. 237/98</w:t>
      </w:r>
      <w:r>
        <w:rPr>
          <w:rFonts w:hint="cs"/>
          <w:spacing w:val="0"/>
          <w:rtl/>
        </w:rPr>
        <w:t>)، فإن المقصود بمخطط دخل الاندماج الأدنى (</w:t>
      </w:r>
      <w:r>
        <w:rPr>
          <w:spacing w:val="0"/>
        </w:rPr>
        <w:t>Rmi</w:t>
      </w:r>
      <w:r>
        <w:rPr>
          <w:rFonts w:hint="cs"/>
          <w:spacing w:val="0"/>
          <w:rtl/>
        </w:rPr>
        <w:t>) أن يكون بمثابة شبكة أمان عامة بغرض "التصدي للفقر والإقصاء الاجتماعي، من خلال</w:t>
      </w:r>
      <w:r>
        <w:rPr>
          <w:rFonts w:hint="cs"/>
          <w:rtl/>
        </w:rPr>
        <w:t xml:space="preserve"> ا</w:t>
      </w:r>
      <w:r>
        <w:rPr>
          <w:rFonts w:hint="cs"/>
          <w:rtl/>
        </w:rPr>
        <w:t>لنهوض بالظروف الاقتصادية والاجتماعية التي يعيش فيها الأشخاص المعرضون لخطر التهميش الاجتماعي والعاجزون عن إعالة أنفسهم وأطفالهم بسبب علل نفسانية أو جسدية أو لأسباب اجتماعية". ويقوم المخطط على عنصرين هما: تحويل مبلغ نقدي وتنفيذ برنامج إدماج. ويرمي هذا المشرو</w:t>
      </w:r>
      <w:r>
        <w:rPr>
          <w:rFonts w:hint="cs"/>
          <w:rtl/>
        </w:rPr>
        <w:t>ع إلى تحقيق "اندماج المتلقين من الأفراد والأسر على الصعيد الاجتماعي ودعم استقلاليتهم الاقتصادية من خلال برامج مخصصة وتحويلات نقدية تكمل الدخل".</w:t>
      </w:r>
    </w:p>
    <w:p w:rsidR="00000000" w:rsidRDefault="00A208FF">
      <w:pPr>
        <w:spacing w:line="400" w:lineRule="exact"/>
        <w:jc w:val="both"/>
        <w:rPr>
          <w:rFonts w:hint="cs"/>
          <w:rtl/>
        </w:rPr>
      </w:pPr>
      <w:r>
        <w:rPr>
          <w:rFonts w:hint="cs"/>
          <w:rtl/>
        </w:rPr>
        <w:t>146-</w:t>
      </w:r>
      <w:r>
        <w:rPr>
          <w:rFonts w:hint="cs"/>
          <w:rtl/>
        </w:rPr>
        <w:tab/>
        <w:t>ويهدف مخطط دخل الاندماج الأدنى بصفة مباشرة إلى التخفيف من حدة الفقر والإقصاء الاجتماعي، ويشمل مكونا نقديا و</w:t>
      </w:r>
      <w:r>
        <w:rPr>
          <w:rFonts w:hint="cs"/>
          <w:rtl/>
        </w:rPr>
        <w:t>مكونا "تنشيطيا": إذ يتوقف حق المستفيد في الحصول على العنصر النقدي على مشاركته في برامج الإدماج حسب ما تقتضيه حالة الفقر أو الإقصاء التي يعيشها. ويعادل دخل الاندماج الأدنى المخصص للأسر المكونة من فرد واحد الفارق بين حد أدنى معتمد (بلغ 268 يورو سنة 2000) وال</w:t>
      </w:r>
      <w:r>
        <w:rPr>
          <w:rFonts w:hint="cs"/>
          <w:rtl/>
        </w:rPr>
        <w:t>دخل الشهري المتاح للمستفيد، في حين يحسب مقدار الاستحقاق بالنسبة إلى الأسر ذات الأحجام المختلفة على أساس مقياس التكافؤ المتصل بمؤشر الحالة الاقتصادية (</w:t>
      </w:r>
      <w:r>
        <w:t>ISE</w:t>
      </w:r>
      <w:r>
        <w:rPr>
          <w:rFonts w:hint="cs"/>
          <w:rtl/>
        </w:rPr>
        <w:t>). وتصاغ برامج إعادة الإدماج بحسب الحالات وترمي إلى إعادة بناء وتعزيز القدرات الشخصية وإنشاء الشبكات ال</w:t>
      </w:r>
      <w:r>
        <w:rPr>
          <w:rFonts w:hint="cs"/>
          <w:rtl/>
        </w:rPr>
        <w:t>اجتماعية، كما يجب أن يشترك فيها جميع أفراد الأسرة. وبدأت تجربة دخل الاندماج الأدنى في 39 بلدية، منتقاة على أساس مؤشرات اجتماعية اقتصادية، لمدة سنتين ابتداء من نهاية عام 1998 وحتى 31 كانون الأول/ديسمبر 2000</w:t>
      </w:r>
      <w:r>
        <w:rPr>
          <w:rFonts w:hint="cs"/>
          <w:vertAlign w:val="superscript"/>
          <w:rtl/>
        </w:rPr>
        <w:t>(5)</w:t>
      </w:r>
      <w:r>
        <w:rPr>
          <w:rFonts w:hint="cs"/>
          <w:rtl/>
        </w:rPr>
        <w:t xml:space="preserve">. وقد شملت التجربة بين سنتي 1998 و000 2 أكثر من </w:t>
      </w:r>
      <w:r>
        <w:rPr>
          <w:rFonts w:hint="cs"/>
          <w:rtl/>
        </w:rPr>
        <w:t>000 34 أسرة وبلغت مصروفات الاستحقاقات قرابة 000 000 220 يورو. وتقع خمس بلديات من أصل 39 بلدية منتقاة في شمال البلاد، و10 منها في الوسط و24 في الجنوب.</w:t>
      </w:r>
    </w:p>
    <w:p w:rsidR="00000000" w:rsidRDefault="00A208FF">
      <w:pPr>
        <w:spacing w:line="400" w:lineRule="exact"/>
        <w:jc w:val="both"/>
        <w:rPr>
          <w:rFonts w:hint="cs"/>
          <w:rtl/>
        </w:rPr>
      </w:pPr>
      <w:r>
        <w:rPr>
          <w:rFonts w:hint="cs"/>
          <w:rtl/>
        </w:rPr>
        <w:t>147-</w:t>
      </w:r>
      <w:r>
        <w:rPr>
          <w:rFonts w:hint="cs"/>
          <w:rtl/>
        </w:rPr>
        <w:tab/>
        <w:t>ونص المرسوم التشريعي على إجراء تقييم للتجربة؛ وكانت تلك هي المرة الأولى في إيطاليا التي يجري فيها تقي</w:t>
      </w:r>
      <w:r>
        <w:rPr>
          <w:rFonts w:hint="cs"/>
          <w:rtl/>
        </w:rPr>
        <w:t>يم سياسة تتعلق بأحد تدابير الرعاية الاجتماعية. وقد أعدت مجموعة من مراكز البحث المستقلة</w:t>
      </w:r>
      <w:r>
        <w:rPr>
          <w:rFonts w:hint="cs"/>
          <w:vertAlign w:val="superscript"/>
          <w:rtl/>
        </w:rPr>
        <w:t>(6)</w:t>
      </w:r>
      <w:r>
        <w:rPr>
          <w:rFonts w:hint="cs"/>
          <w:rtl/>
        </w:rPr>
        <w:t xml:space="preserve"> في شهر حزيران/يونيه 2001 تقرير تقييم بشأن السنتين الأوليين من تجربة دخل الاندماج الأدنى. وفي مرحلة لاحقة، نص القانون 328/2000 على أن تقدم الحكومة بحلول عام 2001 تقرير</w:t>
      </w:r>
      <w:r>
        <w:rPr>
          <w:rFonts w:hint="cs"/>
          <w:rtl/>
        </w:rPr>
        <w:t>ا إلى البرلمان بشأن التجربة وتقييمها، بغرض إقرار مخطط دخل الاندماج الأدنى كإجراء قائم بذاته يستوعب غيره من التدابير مثل المعاشات الاجتماعية. إلا أنه حتى قبل انقضاء الأجل الأقصى المحدد في منتصف عام 2001، وعندما كانت التجربة جارية، أقر قانون الميزانية لعام 2</w:t>
      </w:r>
      <w:r>
        <w:rPr>
          <w:rFonts w:hint="cs"/>
          <w:rtl/>
        </w:rPr>
        <w:t>001 (المعتمد في كانون الأول/ديسمبر 2000) تمديد تجربة دخل الاندماج الأدنى لمدة سنتين حتى 31 كانون الأول/ديسمبر 2002، بتخصيص مبلغ إجمالي مقداره 000 840 402 يورو على امتداد السنتين (منها 000 000 220 يورو لسنة 2002 وحدها). وزاد القانون عدد البلديات المشاركة، إ</w:t>
      </w:r>
      <w:r>
        <w:rPr>
          <w:rFonts w:hint="cs"/>
          <w:rtl/>
        </w:rPr>
        <w:t>ذ وسع نطاق التجربة لتشمل جميع البلديات التي كانت في 30 حزيران/يونيه أطرافا في العهود الإقليمية التي كانت تضم في عضويتها بلدية من بين 39 بلدية شملتها المرحلة الأولى من التجربة</w:t>
      </w:r>
      <w:r>
        <w:rPr>
          <w:rFonts w:hint="cs"/>
          <w:vertAlign w:val="superscript"/>
          <w:rtl/>
        </w:rPr>
        <w:t>(7)</w:t>
      </w:r>
      <w:r>
        <w:rPr>
          <w:rFonts w:hint="cs"/>
          <w:rtl/>
        </w:rPr>
        <w:t>. ويستند إشراك جميع البلديات المرتبطة بموجب عهود إقليمية، ببلديات أخرى تعتمد مخ</w:t>
      </w:r>
      <w:r>
        <w:rPr>
          <w:rFonts w:hint="cs"/>
          <w:rtl/>
        </w:rPr>
        <w:t>طط دخل الاندماج الأدنى إلى ما يفترض من أن فعالية برامج الإدماج تزداد حيثما وجدت شبكات متطورة من العلاقات الإقليمية بين الهيئات المعنية بإدارة البرنامج وغيرها من المؤسسات العامة المحلية والشركاء الاجتماعيين والجمعيات غير الهادفة إلى تحقيق الربح. وبناء عليه،</w:t>
      </w:r>
      <w:r>
        <w:rPr>
          <w:rFonts w:hint="cs"/>
          <w:rtl/>
        </w:rPr>
        <w:t xml:space="preserve"> سيشمل تمديد التجربة أكثر من 260 بلدية، معظمها في الجنوب، من أصل 306 بلديات مشاركة. وسوف يخضع تمديد التجربة أيضا للتقييم في نهاية فترة السنتين، وقد يتمخض هذا التقييم عن عنصر هام يتمثل في تقديم أدلة على صحة الفرضية المذكورة آنفاً. </w:t>
      </w:r>
    </w:p>
    <w:p w:rsidR="00000000" w:rsidRDefault="00A208FF">
      <w:pPr>
        <w:keepNext/>
        <w:spacing w:line="400" w:lineRule="exact"/>
        <w:jc w:val="both"/>
        <w:rPr>
          <w:rFonts w:hint="cs"/>
          <w:b/>
          <w:bCs/>
          <w:rtl/>
        </w:rPr>
      </w:pPr>
      <w:r>
        <w:rPr>
          <w:rFonts w:hint="cs"/>
          <w:b/>
          <w:bCs/>
          <w:rtl/>
        </w:rPr>
        <w:t>استراتيجية إيطاليا من أجل</w:t>
      </w:r>
      <w:r>
        <w:rPr>
          <w:rFonts w:hint="cs"/>
          <w:b/>
          <w:bCs/>
          <w:rtl/>
        </w:rPr>
        <w:t xml:space="preserve"> مكافحة الفقر والإقصاء الاجتماعي </w:t>
      </w:r>
    </w:p>
    <w:p w:rsidR="00000000" w:rsidRDefault="00A208FF">
      <w:pPr>
        <w:keepNext/>
        <w:spacing w:line="400" w:lineRule="exact"/>
        <w:jc w:val="both"/>
        <w:rPr>
          <w:rFonts w:hint="cs"/>
          <w:rtl/>
        </w:rPr>
      </w:pPr>
      <w:r>
        <w:rPr>
          <w:rFonts w:hint="cs"/>
          <w:rtl/>
        </w:rPr>
        <w:t>148-</w:t>
      </w:r>
      <w:r>
        <w:rPr>
          <w:rFonts w:hint="cs"/>
          <w:rtl/>
        </w:rPr>
        <w:tab/>
        <w:t>اقترن إصلاح قطاع المساعدة الاجتماعية في إيطاليا بمحاولة لاستحداث استراتيجية عامة شاملة لمكافحة الفقر والإقصاء الاجتماعي، نص عليها القانون الإطاري 328/2000. وأقرت في شهر نيسان/أبريل 2001، إثر اعتماد هذا القانون، خطة رئ</w:t>
      </w:r>
      <w:r>
        <w:rPr>
          <w:rFonts w:hint="cs"/>
          <w:rtl/>
        </w:rPr>
        <w:t xml:space="preserve">يسية شاملة (الخطــة الاجتماعيــة </w:t>
      </w:r>
      <w:r>
        <w:rPr>
          <w:i/>
          <w:iCs/>
        </w:rPr>
        <w:t>piano sociale</w:t>
      </w:r>
      <w:r>
        <w:rPr>
          <w:rFonts w:hint="cs"/>
          <w:rtl/>
        </w:rPr>
        <w:t>) للفترة ما بين سنتي 2001</w:t>
      </w:r>
      <w:r>
        <w:rPr>
          <w:rtl/>
        </w:rPr>
        <w:br/>
      </w:r>
      <w:r>
        <w:rPr>
          <w:rFonts w:hint="cs"/>
          <w:rtl/>
        </w:rPr>
        <w:t>و2003</w:t>
      </w:r>
      <w:r>
        <w:rPr>
          <w:rFonts w:hint="cs"/>
          <w:vertAlign w:val="superscript"/>
          <w:rtl/>
        </w:rPr>
        <w:t>(8)</w:t>
      </w:r>
      <w:r>
        <w:rPr>
          <w:rFonts w:hint="cs"/>
          <w:rtl/>
        </w:rPr>
        <w:t>. ثم أدمجت الاستراتيجية المبينة في القانون الإطاري وكذلك الخطة الاجتماعية في الجانب الإيطالي من عملية الإدماج الاجتماعي، وهي استراتيجية الاتحاد الأوروبي الجديدة لمكافحة الفقر و</w:t>
      </w:r>
      <w:r>
        <w:rPr>
          <w:rFonts w:hint="cs"/>
          <w:rtl/>
        </w:rPr>
        <w:t>الإقصاء الاجتماعي، فكان أول ما نتج عن ذلك الخطة الوطنية من أجل الإدماج الاجتماعي التي قدمتها إيطاليا في شهر تموز/يوليه 2001</w:t>
      </w:r>
      <w:r>
        <w:rPr>
          <w:rFonts w:hint="cs"/>
          <w:sz w:val="32"/>
          <w:szCs w:val="32"/>
          <w:vertAlign w:val="superscript"/>
          <w:rtl/>
        </w:rPr>
        <w:t>(9)</w:t>
      </w:r>
      <w:r>
        <w:rPr>
          <w:rFonts w:hint="cs"/>
          <w:rtl/>
        </w:rPr>
        <w:t xml:space="preserve">. </w:t>
      </w:r>
    </w:p>
    <w:p w:rsidR="00000000" w:rsidRDefault="00A208FF">
      <w:pPr>
        <w:spacing w:line="400" w:lineRule="exact"/>
        <w:jc w:val="both"/>
        <w:rPr>
          <w:rFonts w:hint="cs"/>
          <w:rtl/>
        </w:rPr>
      </w:pPr>
      <w:r>
        <w:rPr>
          <w:rFonts w:hint="cs"/>
          <w:rtl/>
        </w:rPr>
        <w:t>149-</w:t>
      </w:r>
      <w:r>
        <w:rPr>
          <w:rFonts w:hint="cs"/>
          <w:rtl/>
        </w:rPr>
        <w:tab/>
        <w:t>وتقوم استراتيجية إيطاليا في مجال الإدماج على إرساء نظام تدخلات وخدمات اجتماعية متكامل يتمشى والتوجهات المنصوص عليها في الم</w:t>
      </w:r>
      <w:r>
        <w:rPr>
          <w:rFonts w:hint="cs"/>
          <w:rtl/>
        </w:rPr>
        <w:t>بادئ العامة التي يستند إليها القانون الإطاري، ألا وهي: إتاحة الوصول للجميع وتكامل السياسات والشراكة وإنشاء الشبكات والرصد والتقييم. ويعتبر مبدأ إتاحة الوصول للجميع في سياق سياسات مكافحة الفقر في إيطاليا مبدأ محدثا؛ وهو يعطي الأولوية للأسر والأفراد الذين يع</w:t>
      </w:r>
      <w:r>
        <w:rPr>
          <w:rFonts w:hint="cs"/>
          <w:rtl/>
        </w:rPr>
        <w:t xml:space="preserve">شون في ظروف عوز اقتصادي وعجز جسدي ونفساني. وقد جرت العادة على أن تكون هذه السياسات تصنيفية وجائرة إلى حد بعيد، بحيث يجد أحوج الناس أنفسهم منسيين وبلا حماية. </w:t>
      </w:r>
    </w:p>
    <w:p w:rsidR="00000000" w:rsidRDefault="00A208FF">
      <w:pPr>
        <w:spacing w:line="400" w:lineRule="exact"/>
        <w:jc w:val="both"/>
        <w:rPr>
          <w:rFonts w:hint="cs"/>
          <w:rtl/>
        </w:rPr>
      </w:pPr>
      <w:r>
        <w:rPr>
          <w:rFonts w:hint="cs"/>
          <w:rtl/>
        </w:rPr>
        <w:t>150-</w:t>
      </w:r>
      <w:r>
        <w:rPr>
          <w:rFonts w:hint="cs"/>
          <w:rtl/>
        </w:rPr>
        <w:tab/>
        <w:t>وبعد اعتماد القانون الإطاري، أصبح نظام تخطيط السياسات الإيطالي جديرا بأن يوصف بالتخطيط المتعد</w:t>
      </w:r>
      <w:r>
        <w:rPr>
          <w:rFonts w:hint="cs"/>
          <w:rtl/>
        </w:rPr>
        <w:t>د المستويات والفعاليات والقطاعات. وتتمثل الصبغة المتعددة المستويات التي تميز عملية التخطيط في توزيع المهام على نحو شبه مفصل بين الحكومة المركزية والأقاليم والبلديات (أو مجموعات البلديات التي تشكل "المناطق"). في حين تقوم صبغة تعدد الفعاليات على مساهمة الشرك</w:t>
      </w:r>
      <w:r>
        <w:rPr>
          <w:rFonts w:hint="cs"/>
          <w:rtl/>
        </w:rPr>
        <w:t>اء الاجتماعيين والمنظمات غير الحكومية في تحديد الأولويات وتنفيذ التدابير تنفيذا فعليا. وأخيرا، تكمن الصبغة المتعددة القطاعات التي تسم التخطيط الاجتماعي في إيطاليا في تزامن وجود خطط عمل متعددة على أصعدة مختلفة، علما أن أبرز الخطط هي الخطة الاجتماعية (ثلاثية</w:t>
      </w:r>
      <w:r>
        <w:rPr>
          <w:rFonts w:hint="cs"/>
          <w:rtl/>
        </w:rPr>
        <w:t xml:space="preserve"> السنوات) وخطة العمل الوطنية من أجل العمالة وخطة التعليم (2000-2006) وخطة الرعاية الصحية (ثلاثية السنوات) فضلا عن سلسلة من الخطط الأخرى الأضيق نطاقاً (تتعلق بالإعاقة وبالأطفال والمراهقين وبإدمان المخدرات وبالمسنين). وتتضمن كل هذه الخطط تدابير تتصدى للإقصاء</w:t>
      </w:r>
      <w:r>
        <w:rPr>
          <w:rtl/>
        </w:rPr>
        <w:br/>
      </w:r>
      <w:r>
        <w:rPr>
          <w:rFonts w:hint="cs"/>
          <w:rtl/>
        </w:rPr>
        <w:t>الاجتماعي</w:t>
      </w:r>
      <w:r>
        <w:rPr>
          <w:rFonts w:hint="cs"/>
          <w:vertAlign w:val="superscript"/>
          <w:rtl/>
        </w:rPr>
        <w:t>(10)</w:t>
      </w:r>
      <w:r>
        <w:rPr>
          <w:rFonts w:hint="cs"/>
          <w:rtl/>
        </w:rPr>
        <w:t>. وتعد الخطة الاجتماعية للفترة ما بين سنتي 2001 و2003 المعتمدة في شهر نيسان/أبريل 2001 خطة جديرة بالذكر في هذا السياق</w:t>
      </w:r>
      <w:r>
        <w:rPr>
          <w:rFonts w:hint="cs"/>
          <w:vertAlign w:val="superscript"/>
          <w:rtl/>
        </w:rPr>
        <w:t>(11)</w:t>
      </w:r>
      <w:r>
        <w:rPr>
          <w:rFonts w:hint="cs"/>
          <w:rtl/>
        </w:rPr>
        <w:t xml:space="preserve">. إذ تحدد خمسة عناصر ذات أولوية على صعيد السياسة العامة هي: دعم المسؤوليات العائلية وتعزيز حقوق الطفل ومكافحة الفقر ودعم </w:t>
      </w:r>
      <w:r>
        <w:rPr>
          <w:rFonts w:hint="cs"/>
          <w:rtl/>
        </w:rPr>
        <w:t>الأشخاص العاجزين عن رعاية أنفسهم (خاصة ذوي الإعاقات الشديدة) بتقديم خدمات المعونة المنزلية ودعم إدماج الفئات ذات المشاكل الخاصة (مثل المهاجرين ومدمني المخدرات والمراهقين). وتبرز الخطط الوطنية من أجل مكافحة الإقصاء الاجتماعي كل هذه الخصائص التي تميز نظام تخ</w:t>
      </w:r>
      <w:r>
        <w:rPr>
          <w:rFonts w:hint="cs"/>
          <w:rtl/>
        </w:rPr>
        <w:t>طيط السياسات الجديد. وعلى حد تعبير المفوضية، تحتوي الخطط الوطنية من أجل مكافحة الإقصاء الاجتماعي في إيطاليا على "عناصر استراتيجية وطنية يجري تحسينها بحيث تعبر عن الواقع الجديد أو من أجل إضفاء المزيد من الاتساق عليها"</w:t>
      </w:r>
      <w:r>
        <w:rPr>
          <w:rFonts w:hint="cs"/>
          <w:vertAlign w:val="superscript"/>
          <w:rtl/>
        </w:rPr>
        <w:t>(12)</w:t>
      </w:r>
      <w:r>
        <w:rPr>
          <w:rFonts w:hint="cs"/>
          <w:rtl/>
        </w:rPr>
        <w:t xml:space="preserve">. </w:t>
      </w:r>
    </w:p>
    <w:p w:rsidR="00000000" w:rsidRDefault="00A208FF">
      <w:pPr>
        <w:spacing w:line="400" w:lineRule="exact"/>
        <w:jc w:val="both"/>
        <w:rPr>
          <w:rFonts w:hint="cs"/>
          <w:rtl/>
        </w:rPr>
      </w:pPr>
    </w:p>
    <w:p w:rsidR="00000000" w:rsidRDefault="00A208FF">
      <w:pPr>
        <w:spacing w:line="400" w:lineRule="exact"/>
        <w:jc w:val="both"/>
        <w:rPr>
          <w:rFonts w:hint="cs"/>
          <w:rtl/>
        </w:rPr>
      </w:pPr>
    </w:p>
    <w:p w:rsidR="00000000" w:rsidRDefault="00A208FF">
      <w:pPr>
        <w:spacing w:line="400" w:lineRule="exact"/>
        <w:jc w:val="center"/>
        <w:rPr>
          <w:rFonts w:hint="cs"/>
          <w:b/>
          <w:bCs/>
          <w:rtl/>
        </w:rPr>
      </w:pPr>
      <w:r>
        <w:rPr>
          <w:rFonts w:hint="cs"/>
          <w:b/>
          <w:bCs/>
          <w:rtl/>
        </w:rPr>
        <w:t>واو- المادة 10</w:t>
      </w:r>
    </w:p>
    <w:p w:rsidR="00000000" w:rsidRDefault="00A208FF">
      <w:pPr>
        <w:spacing w:line="400" w:lineRule="exact"/>
        <w:jc w:val="center"/>
        <w:rPr>
          <w:rFonts w:hint="cs"/>
          <w:rtl/>
        </w:rPr>
      </w:pPr>
      <w:r>
        <w:rPr>
          <w:rFonts w:hint="cs"/>
          <w:b/>
          <w:bCs/>
          <w:rtl/>
        </w:rPr>
        <w:t>حماية الأسرة ومس</w:t>
      </w:r>
      <w:r>
        <w:rPr>
          <w:rFonts w:hint="cs"/>
          <w:b/>
          <w:bCs/>
          <w:rtl/>
        </w:rPr>
        <w:t>اعدتها</w:t>
      </w:r>
    </w:p>
    <w:p w:rsidR="00000000" w:rsidRDefault="00A208FF">
      <w:pPr>
        <w:spacing w:line="400" w:lineRule="exact"/>
        <w:jc w:val="both"/>
        <w:rPr>
          <w:rFonts w:hint="cs"/>
          <w:rtl/>
        </w:rPr>
      </w:pPr>
      <w:r>
        <w:rPr>
          <w:rFonts w:hint="cs"/>
          <w:rtl/>
        </w:rPr>
        <w:t>151-</w:t>
      </w:r>
      <w:r>
        <w:rPr>
          <w:rFonts w:hint="cs"/>
          <w:rtl/>
        </w:rPr>
        <w:tab/>
        <w:t>اعتمدت في السنوات الأخيرة ثلاثة تدابير جديدة تشمل الخدمات المقدمة إلى الأسر في شكل دعم للوالدين ومنحهم إجازات، وإنشاء صندوق وطني لدعم الأسر التي تستأجر مساكن، وتقديم إعانات للأسر التي تعيل ما لا يقل عن ثلاثة أطفال، ومنحة لدعم الأمومة، وإقرار مخ</w:t>
      </w:r>
      <w:r>
        <w:rPr>
          <w:rFonts w:hint="cs"/>
          <w:rtl/>
        </w:rPr>
        <w:t>طط دخل الاندماج الأدنى (</w:t>
      </w:r>
      <w:r>
        <w:t>Rmi</w:t>
      </w:r>
      <w:r>
        <w:rPr>
          <w:rFonts w:hint="cs"/>
          <w:rtl/>
        </w:rPr>
        <w:t>).</w:t>
      </w:r>
    </w:p>
    <w:p w:rsidR="00000000" w:rsidRDefault="00A208FF">
      <w:pPr>
        <w:spacing w:line="400" w:lineRule="exact"/>
        <w:jc w:val="both"/>
        <w:rPr>
          <w:rFonts w:hint="cs"/>
          <w:rtl/>
        </w:rPr>
      </w:pPr>
      <w:r>
        <w:rPr>
          <w:rFonts w:hint="cs"/>
          <w:rtl/>
        </w:rPr>
        <w:t>152-</w:t>
      </w:r>
      <w:r>
        <w:rPr>
          <w:rFonts w:hint="cs"/>
          <w:rtl/>
        </w:rPr>
        <w:tab/>
        <w:t>وتهدف الإعانات المقدمة إلى الأسر التي تعيل ما لا يقل عن ثلاثة أطفال إلى التخفيف من حدة الفقر في صفوف الأسر الكبيرة، لاسيما تلك المعرضة لخطر الفقر بدرجة عالية كما تشير إليه البيانات المدروسة آنفا. وقد اعتمد هذا الإجراء سنة</w:t>
      </w:r>
      <w:r>
        <w:rPr>
          <w:rFonts w:hint="cs"/>
          <w:rtl/>
        </w:rPr>
        <w:t xml:space="preserve"> 1999 لفائدة الأسر الإيطالية التي تعيل ثلاثة أطفال أو أكثر (دون سن 18 عاما)</w:t>
      </w:r>
      <w:r>
        <w:rPr>
          <w:rFonts w:hint="cs"/>
          <w:vertAlign w:val="superscript"/>
          <w:rtl/>
        </w:rPr>
        <w:t>(13)</w:t>
      </w:r>
      <w:r>
        <w:rPr>
          <w:rFonts w:hint="cs"/>
          <w:rtl/>
        </w:rPr>
        <w:t>. ويقدر المبلغ النقدي المحول لفائدة الأسر المؤلفة من خمسة أفراد سنة 2002 بما يعادل 110 يورو، ويدفع لمدة 13 شهرا مع إمكانية التجديد. ويستند تحديد الوضع المالي للأسرة المؤهلة للاس</w:t>
      </w:r>
      <w:r>
        <w:rPr>
          <w:rFonts w:hint="cs"/>
          <w:rtl/>
        </w:rPr>
        <w:t xml:space="preserve">تفادة من هذا الاستحقاق إلى مؤشر الحالة الاقتصادية في إيطاليا، المعتمد منذ سنة 1998. وقد بلغ الحد الأدنى لتطبيق هذا الإجراء حسب مؤشر الحالة الاقتصادية سنة 2002 ما مقداره 904 19 يورو. واستفاد منه سنة 2000 ما مجموعه 000 377 أسرة (أي ما يعادل 1.7 في المائة من </w:t>
      </w:r>
      <w:r>
        <w:rPr>
          <w:rFonts w:hint="cs"/>
          <w:rtl/>
        </w:rPr>
        <w:t>الأسر الإيطالية). ويتركز المستفيدون بالدرجة الأولى في الأقاليم الجنوبية (ينتمي قرابة 80 في المائة من المستفيدين إلى ستة أقاليم هي: كامبانيا وصقلية وبوليا وكالابريا وبازيليكاتا وسردينيا). وكما ورد في القسم الخاص باتجاهات الفقر، يعود لهذا الإجراء الفضل في خف</w:t>
      </w:r>
      <w:r>
        <w:rPr>
          <w:rFonts w:hint="cs"/>
          <w:rtl/>
        </w:rPr>
        <w:t>ض معدل الفقر بثلاث نقاط مئوية في صفوف أسر الجنوب الكبيرة بين سنتي 1999 و2000.</w:t>
      </w:r>
    </w:p>
    <w:p w:rsidR="00000000" w:rsidRDefault="00A208FF">
      <w:pPr>
        <w:spacing w:line="400" w:lineRule="exact"/>
        <w:jc w:val="both"/>
        <w:rPr>
          <w:rFonts w:hint="cs"/>
          <w:rtl/>
        </w:rPr>
      </w:pPr>
      <w:r>
        <w:rPr>
          <w:rFonts w:hint="cs"/>
          <w:rtl/>
        </w:rPr>
        <w:t>153-</w:t>
      </w:r>
      <w:r>
        <w:rPr>
          <w:rFonts w:hint="cs"/>
          <w:rtl/>
        </w:rPr>
        <w:tab/>
        <w:t>وقد أقر القانون ذاته شيك دعم الأمومة الذي يحق أن تحصل عليه الأمهات غير المستفيدات من بدل الأمومة المتصل بالتأمين. وباستطاعة المواطنين الإيطاليين ومواطني الاتحاد الأوروبي وال</w:t>
      </w:r>
      <w:r>
        <w:rPr>
          <w:rFonts w:hint="cs"/>
          <w:rtl/>
        </w:rPr>
        <w:t>رعايا الأجانب الحاصلين على رخص إقامة في إيطاليا التماس الحصول على هذا الشيك. ولا يمنح هذا الشيك عند إنجاب طفل فحسب، وإنما أيضا في حالات التبني وحالات الحضانة التي تسبق التبني. وقد بلغت قيمة الاستحقاق الشهرية سنة 2002 ما مقداره 265 يورو على امتداد خمسة أشهر</w:t>
      </w:r>
      <w:r>
        <w:rPr>
          <w:rFonts w:hint="cs"/>
          <w:rtl/>
        </w:rPr>
        <w:t xml:space="preserve">. ويتوقف هذا الإجراء على تقييم إمكانيات الأسرة: فقد قدر الحد الأدنى لتطبيق هذا الإجراء على أسرة تتألف من أبوين وطفل حسب مؤشر الحالة الاقتصادية بمبلغ 645 27 يورو. وقد التمس هذا الاستحقاق سنة 2000 ما مجموعه 000 177 أم. </w:t>
      </w:r>
    </w:p>
    <w:p w:rsidR="00000000" w:rsidRDefault="00A208FF">
      <w:pPr>
        <w:spacing w:line="400" w:lineRule="exact"/>
        <w:jc w:val="both"/>
        <w:rPr>
          <w:rFonts w:hint="cs"/>
          <w:rtl/>
        </w:rPr>
      </w:pPr>
      <w:r>
        <w:rPr>
          <w:rFonts w:hint="cs"/>
          <w:rtl/>
        </w:rPr>
        <w:t>154-</w:t>
      </w:r>
      <w:r>
        <w:rPr>
          <w:rFonts w:hint="cs"/>
          <w:rtl/>
        </w:rPr>
        <w:tab/>
        <w:t>ويرد في القسم التالي وصف للنقاط ا</w:t>
      </w:r>
      <w:r>
        <w:rPr>
          <w:rFonts w:hint="cs"/>
          <w:rtl/>
        </w:rPr>
        <w:t xml:space="preserve">لرئيسية الواردة في أهم الأحكام التشريعية. </w:t>
      </w:r>
    </w:p>
    <w:p w:rsidR="00000000" w:rsidRDefault="00A208FF">
      <w:pPr>
        <w:spacing w:line="400" w:lineRule="exact"/>
        <w:jc w:val="both"/>
        <w:rPr>
          <w:rFonts w:hint="cs"/>
          <w:b/>
          <w:bCs/>
          <w:rtl/>
        </w:rPr>
      </w:pPr>
      <w:r>
        <w:rPr>
          <w:rFonts w:hint="cs"/>
          <w:b/>
          <w:bCs/>
          <w:rtl/>
        </w:rPr>
        <w:t xml:space="preserve">المسؤوليات الأسرية </w:t>
      </w:r>
    </w:p>
    <w:p w:rsidR="00000000" w:rsidRDefault="00A208FF">
      <w:pPr>
        <w:spacing w:line="400" w:lineRule="exact"/>
        <w:jc w:val="both"/>
        <w:rPr>
          <w:rFonts w:hint="cs"/>
          <w:i/>
          <w:iCs/>
          <w:rtl/>
        </w:rPr>
      </w:pPr>
      <w:r>
        <w:rPr>
          <w:rFonts w:hint="cs"/>
          <w:i/>
          <w:iCs/>
          <w:rtl/>
        </w:rPr>
        <w:t xml:space="preserve">المرسوم التشريعي 151/2001 - النص الموحد الذي يتضمن الأحكام المتعلقة بالأمومة والأبوة. </w:t>
      </w:r>
    </w:p>
    <w:p w:rsidR="00000000" w:rsidRDefault="00A208FF">
      <w:pPr>
        <w:spacing w:line="400" w:lineRule="exact"/>
        <w:jc w:val="both"/>
        <w:rPr>
          <w:rFonts w:hint="cs"/>
          <w:rtl/>
        </w:rPr>
      </w:pPr>
      <w:r>
        <w:rPr>
          <w:rFonts w:hint="cs"/>
          <w:rtl/>
        </w:rPr>
        <w:t>155-</w:t>
      </w:r>
      <w:r>
        <w:rPr>
          <w:rFonts w:hint="cs"/>
          <w:rtl/>
        </w:rPr>
        <w:tab/>
        <w:t>بغية تشجيع مشاركة كل من الوالدين في المسؤوليات الأسرية، لا سيما تلك المتصلة برعاية الأطفال، أقرت الأح</w:t>
      </w:r>
      <w:r>
        <w:rPr>
          <w:rFonts w:hint="cs"/>
          <w:rtl/>
        </w:rPr>
        <w:t>كام التالية التي تنص على تقديم المساعدة والدعم، أو أعيدت صياغتها على نحو أدق:</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t>إجازة الأمومة/الأبوة، وتمنح لكلا الوالدين إلى أن يبلغ الطفل سن الثامنة، والإجازات التي تمنح في حالة مرض الطفل، وفترات الراحة أو رخص التغيب لأسباب عائلية (تحسب بالساعات)؛</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t>حظ</w:t>
      </w:r>
      <w:r>
        <w:rPr>
          <w:rFonts w:hint="cs"/>
          <w:rtl/>
        </w:rPr>
        <w:t>ر عمل المرأة في نوبات ليلية خلال فترات الحمل وحتى بلوغ الطفل سنة من العمر؛ مع إمكانية الإعفاء من العمل في الليل في حالات عائلية خاصة من قبيل إعالة أطفال دون سن الثالثة أو رعاية أقارب معوقين.</w:t>
      </w:r>
    </w:p>
    <w:p w:rsidR="00000000" w:rsidRDefault="00A208FF">
      <w:pPr>
        <w:spacing w:line="400" w:lineRule="exact"/>
        <w:jc w:val="both"/>
        <w:rPr>
          <w:rFonts w:hint="cs"/>
          <w:rtl/>
        </w:rPr>
      </w:pPr>
      <w:r>
        <w:rPr>
          <w:rFonts w:hint="cs"/>
          <w:rtl/>
        </w:rPr>
        <w:t>156-</w:t>
      </w:r>
      <w:r>
        <w:rPr>
          <w:rFonts w:hint="cs"/>
          <w:rtl/>
        </w:rPr>
        <w:tab/>
        <w:t xml:space="preserve">وقد كان دعم الأسر المسؤولة عن رعاية أقارب معوقين موضع تشديد </w:t>
      </w:r>
      <w:r>
        <w:rPr>
          <w:rFonts w:hint="cs"/>
          <w:rtl/>
        </w:rPr>
        <w:t>خاص. ويتخذ هذا الدعم شكل ترتيبات عمل خاصة مثل منح الإجازات لرعاية الأطفال دون سن الثالثة، والإذن بالتغيب عن العمل مدة ساعات أو أيام وكذلك، حيثما أمكن، النقل إلى مكان عمل لا يبعد عن المنزل كثيرا طيلة الحياة المهنية للوالدين أو الأقارب المسؤولين عن رعاية الط</w:t>
      </w:r>
      <w:r>
        <w:rPr>
          <w:rFonts w:hint="cs"/>
          <w:rtl/>
        </w:rPr>
        <w:t xml:space="preserve">فل. </w:t>
      </w:r>
    </w:p>
    <w:p w:rsidR="00000000" w:rsidRDefault="00A208FF">
      <w:pPr>
        <w:spacing w:line="400" w:lineRule="exact"/>
        <w:jc w:val="both"/>
        <w:rPr>
          <w:rFonts w:hint="cs"/>
          <w:b/>
          <w:bCs/>
          <w:rtl/>
        </w:rPr>
      </w:pPr>
      <w:r>
        <w:rPr>
          <w:rFonts w:hint="cs"/>
          <w:b/>
          <w:bCs/>
          <w:rtl/>
        </w:rPr>
        <w:t xml:space="preserve">أشكال الدعم الاقتصادي </w:t>
      </w:r>
    </w:p>
    <w:p w:rsidR="00000000" w:rsidRDefault="00A208FF">
      <w:pPr>
        <w:spacing w:line="400" w:lineRule="exact"/>
        <w:jc w:val="both"/>
        <w:rPr>
          <w:rFonts w:hint="cs"/>
          <w:rtl/>
        </w:rPr>
      </w:pPr>
      <w:r>
        <w:rPr>
          <w:rFonts w:hint="cs"/>
          <w:rtl/>
        </w:rPr>
        <w:t>157-</w:t>
      </w:r>
      <w:r>
        <w:rPr>
          <w:rFonts w:hint="cs"/>
          <w:rtl/>
        </w:rPr>
        <w:tab/>
        <w:t>تشمل هذه الأشكال ما يلي:</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t>البدل العائلي المقدم للأسر الكبيرة (القانون 448/1998، المادة 65بصيغتها المعدَّلة). يدفع هذا البدل للأسر الإيطالية (وأسر مواطني الاتحاد الأوروبي) التي تضم ما لا يقل عن ثلاثة أطفال لم يبلغوا سن الر</w:t>
      </w:r>
      <w:r>
        <w:rPr>
          <w:rFonts w:hint="cs"/>
          <w:rtl/>
        </w:rPr>
        <w:t>شد، ولا يتجاوز دخلها 204.352 540 38 ليرة إيطالية، أي ما يعادل 904.35 19 يورو. وتبلغ قيمة البدل الشهرية ما مقداره 112.041 214 ليرة، أي ما يعادل 110.58 يورو، ويدفع 13 مرة كل سنة؛</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t>بدل الأمومة (القانون 448/1998، المادة 66). تبلغ قيمة هذا البدل 500 513 ليرة،</w:t>
      </w:r>
      <w:r>
        <w:rPr>
          <w:rFonts w:hint="cs"/>
          <w:rtl/>
        </w:rPr>
        <w:t xml:space="preserve"> أي ما يعادل 265.20 يورو، ويدفع على امتداد خمسة أشهر بمبلغ إجمالي يعادل 500 567 2 ليرة (أي ما يساوي 326.00 1 يورو) للنساء الإيطاليات ورعايا الاتحاد الأوروبي والرعايا من خارج الاتحاد الحاصلات على رخص إقامة في إيطاليا، ولا يعملن ولا يتجاوز دخلهن الأسري</w:t>
      </w:r>
      <w:r>
        <w:rPr>
          <w:rtl/>
        </w:rPr>
        <w:br/>
      </w:r>
      <w:r>
        <w:rPr>
          <w:rFonts w:hint="cs"/>
          <w:rtl/>
        </w:rPr>
        <w:t>061.6</w:t>
      </w:r>
      <w:r>
        <w:rPr>
          <w:rFonts w:hint="cs"/>
          <w:rtl/>
        </w:rPr>
        <w:t xml:space="preserve"> 528 53 ليرة أي ما يعادل 644.94 27 يورو. ويضاعف البدل عند إنجاب توأم؛ </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r>
      <w:r>
        <w:rPr>
          <w:rFonts w:hint="cs"/>
          <w:rtl/>
        </w:rPr>
        <w:tab/>
        <w:t>بدل الأمومة المقدم من المؤسسة الوطنية للضمان الاجتماعي (القانون 448/1999، المادة</w:t>
      </w:r>
      <w:r>
        <w:rPr>
          <w:rtl/>
        </w:rPr>
        <w:br/>
      </w:r>
      <w:r>
        <w:rPr>
          <w:rFonts w:hint="cs"/>
          <w:rtl/>
        </w:rPr>
        <w:t>49-8). وهو بدل بمبلغ 000 000 3 ليرة أي ما يعادل 549.70 1 يورو يدفع لمن سبق لهن العمل من الإيطاليات و</w:t>
      </w:r>
      <w:r>
        <w:rPr>
          <w:rFonts w:hint="cs"/>
          <w:rtl/>
        </w:rPr>
        <w:t>رعايا الاتحاد الأوروبي والرعايا من خارج الاتحاد الحاصلات على رخص إقامة في إيطاليا عند إنجاب طفل أو في حالات الحضانة التي تسبق التبني أو حالات التبني بعد تاريخ 2 تموز/يوليه 2000. ويضاعف البدل عند إنجاب توأم؛</w:t>
      </w:r>
    </w:p>
    <w:p w:rsidR="00000000" w:rsidRDefault="00A208FF">
      <w:pPr>
        <w:tabs>
          <w:tab w:val="left" w:pos="714"/>
        </w:tabs>
        <w:spacing w:line="400" w:lineRule="exact"/>
        <w:ind w:left="1434" w:hanging="1434"/>
        <w:jc w:val="both"/>
        <w:rPr>
          <w:rFonts w:hint="cs"/>
          <w:rtl/>
        </w:rPr>
      </w:pPr>
      <w:r>
        <w:rPr>
          <w:rFonts w:hint="cs"/>
          <w:rtl/>
        </w:rPr>
        <w:tab/>
        <w:t>-</w:t>
      </w:r>
      <w:r>
        <w:rPr>
          <w:rFonts w:hint="cs"/>
          <w:rtl/>
        </w:rPr>
        <w:tab/>
        <w:t>بدل الإدماج الأدنى (المرسوم التشريعي 237/1998)</w:t>
      </w:r>
      <w:r>
        <w:rPr>
          <w:rFonts w:hint="cs"/>
          <w:rtl/>
        </w:rPr>
        <w:t>. يستفيد من هذا البدل من لا دخل لهم أو من لا يتجاوز دخلهم الفردي 000 500 ليرة، أي ما يساوي 258.230 يورو. ويتمثل هذا البدل في الفارق بين الحد الأدنى الأصلي المقدر بمبلغ 000 500 ليرة، والخاضع للمراجعة سنويا، ودخل المستفيد الشهري. وتشترط برامج الإدماج الاجتما</w:t>
      </w:r>
      <w:r>
        <w:rPr>
          <w:rFonts w:hint="cs"/>
          <w:rtl/>
        </w:rPr>
        <w:t xml:space="preserve">عي امتثال الأحداث لقواعد التعليم الإجباري وما يليه من تدريب. </w:t>
      </w:r>
    </w:p>
    <w:p w:rsidR="00000000" w:rsidRDefault="00A208FF">
      <w:pPr>
        <w:spacing w:line="400" w:lineRule="exact"/>
        <w:jc w:val="both"/>
        <w:rPr>
          <w:rFonts w:hint="cs"/>
          <w:b/>
          <w:bCs/>
          <w:rtl/>
        </w:rPr>
      </w:pPr>
      <w:r>
        <w:rPr>
          <w:rFonts w:hint="cs"/>
          <w:b/>
          <w:bCs/>
          <w:rtl/>
        </w:rPr>
        <w:t xml:space="preserve">تعزيز حقوق الطفل والفرص المتاحة له </w:t>
      </w:r>
    </w:p>
    <w:p w:rsidR="00000000" w:rsidRDefault="00A208FF">
      <w:pPr>
        <w:spacing w:line="400" w:lineRule="exact"/>
        <w:jc w:val="both"/>
        <w:rPr>
          <w:rFonts w:hint="cs"/>
          <w:rtl/>
        </w:rPr>
      </w:pPr>
      <w:r>
        <w:rPr>
          <w:rFonts w:hint="cs"/>
          <w:rtl/>
        </w:rPr>
        <w:t>158-</w:t>
      </w:r>
      <w:r>
        <w:rPr>
          <w:rFonts w:hint="cs"/>
          <w:rtl/>
        </w:rPr>
        <w:tab/>
        <w:t>تناول القانون 285/1997 هذه المسألة، إذ نص على تمويل مشاريع ترمي إلى دعم الأسر المعسرة، ومشاريع تهدف إلى مكافحة الفقر والعنف داخل الأسرة وتشجيع إدماج الأح</w:t>
      </w:r>
      <w:r>
        <w:rPr>
          <w:rFonts w:hint="cs"/>
          <w:rtl/>
        </w:rPr>
        <w:t xml:space="preserve">داث على الصعيدين الاجتماعي والتعليمي. </w:t>
      </w:r>
    </w:p>
    <w:p w:rsidR="00000000" w:rsidRDefault="00A208FF">
      <w:pPr>
        <w:spacing w:line="400" w:lineRule="exact"/>
        <w:jc w:val="both"/>
        <w:rPr>
          <w:rFonts w:hint="cs"/>
          <w:b/>
          <w:bCs/>
          <w:rtl/>
        </w:rPr>
      </w:pPr>
      <w:r>
        <w:rPr>
          <w:rFonts w:hint="cs"/>
          <w:b/>
          <w:bCs/>
          <w:rtl/>
        </w:rPr>
        <w:t xml:space="preserve">الخطة الوطنية للإجراءات والخدمات الاجتماعية 2001-2003 </w:t>
      </w:r>
    </w:p>
    <w:p w:rsidR="00000000" w:rsidRDefault="00A208FF">
      <w:pPr>
        <w:spacing w:line="400" w:lineRule="exact"/>
        <w:jc w:val="both"/>
        <w:rPr>
          <w:rFonts w:hint="cs"/>
          <w:rtl/>
        </w:rPr>
      </w:pPr>
      <w:r>
        <w:rPr>
          <w:rFonts w:hint="cs"/>
          <w:rtl/>
        </w:rPr>
        <w:t>159-</w:t>
      </w:r>
      <w:r>
        <w:rPr>
          <w:rFonts w:hint="cs"/>
          <w:rtl/>
        </w:rPr>
        <w:tab/>
        <w:t>تستند هذه الخطة إلى المرسوم الرئاسي المؤرخ 3 أيار/مايو 2001 المنفذ للقانون 328/2000، أي القانون الإطاري المتعلق بالمساعدة الاجتماعية. ويقر نظام الإجراءات وال</w:t>
      </w:r>
      <w:r>
        <w:rPr>
          <w:rFonts w:hint="cs"/>
          <w:rtl/>
        </w:rPr>
        <w:t xml:space="preserve">خدمات الاجتماعية المتكامل سلسلة من التدابير المرنة والمتنوعة لفائدة الأفراد والأسر تقوم على خطط تراعي اختلاف الحالات. وتشمل الأهداف ذات الأولويات دعم وتعزيز المسؤوليات الأسرية وتقديم المساعدة إلى الأحداث. </w:t>
      </w:r>
    </w:p>
    <w:p w:rsidR="00000000" w:rsidRDefault="00A208FF">
      <w:pPr>
        <w:keepNext/>
        <w:spacing w:line="400" w:lineRule="exact"/>
        <w:jc w:val="both"/>
        <w:rPr>
          <w:rFonts w:hint="cs"/>
          <w:b/>
          <w:bCs/>
          <w:rtl/>
        </w:rPr>
      </w:pPr>
      <w:r>
        <w:rPr>
          <w:rFonts w:hint="cs"/>
          <w:b/>
          <w:bCs/>
          <w:rtl/>
        </w:rPr>
        <w:t>جوانب مبتكرة</w:t>
      </w:r>
    </w:p>
    <w:p w:rsidR="00000000" w:rsidRDefault="00A208FF">
      <w:pPr>
        <w:keepNext/>
        <w:spacing w:line="400" w:lineRule="exact"/>
        <w:jc w:val="both"/>
        <w:rPr>
          <w:rFonts w:hint="cs"/>
          <w:rtl/>
        </w:rPr>
      </w:pPr>
      <w:r>
        <w:rPr>
          <w:rFonts w:hint="cs"/>
          <w:rtl/>
        </w:rPr>
        <w:t>160-</w:t>
      </w:r>
      <w:r>
        <w:rPr>
          <w:rFonts w:hint="cs"/>
          <w:rtl/>
        </w:rPr>
        <w:tab/>
        <w:t>تتضمن هذه الجوانب ما يلي:</w:t>
      </w:r>
    </w:p>
    <w:p w:rsidR="00000000" w:rsidRDefault="00A208FF">
      <w:pPr>
        <w:spacing w:line="400" w:lineRule="exact"/>
        <w:jc w:val="both"/>
        <w:rPr>
          <w:rFonts w:hint="cs"/>
          <w:rtl/>
        </w:rPr>
      </w:pPr>
      <w:r>
        <w:rPr>
          <w:rFonts w:hint="cs"/>
          <w:rtl/>
        </w:rPr>
        <w:tab/>
        <w:t>(أ)</w:t>
      </w:r>
      <w:r>
        <w:rPr>
          <w:rFonts w:hint="cs"/>
          <w:rtl/>
        </w:rPr>
        <w:tab/>
        <w:t>ت</w:t>
      </w:r>
      <w:r>
        <w:rPr>
          <w:rFonts w:hint="cs"/>
          <w:rtl/>
        </w:rPr>
        <w:t>عزيز مبدأ تفويض السلطات والتعاضد رأسياً وأفقياً من خلال إشراك الحكومة المركزية والأقاليم والسلطات المحلية إشراكا مباشرا، فضلا عن الهيئات غير الهادفة إلى الربح العاملة في المجال الاجتماعي، والهيئات التعاونية والرابطات وغيرها من المنظمات الاجتماعية والجمعيات</w:t>
      </w:r>
      <w:r>
        <w:rPr>
          <w:rFonts w:hint="cs"/>
          <w:rtl/>
        </w:rPr>
        <w:t xml:space="preserve"> وهيئات إرشاد المواطنين والجمعيات التطوعية والهيئات الدينية العاملة في هذا الميدان؛</w:t>
      </w:r>
    </w:p>
    <w:p w:rsidR="00000000" w:rsidRDefault="00A208FF">
      <w:pPr>
        <w:spacing w:line="400" w:lineRule="exact"/>
        <w:jc w:val="both"/>
        <w:rPr>
          <w:rFonts w:hint="cs"/>
          <w:rtl/>
        </w:rPr>
      </w:pPr>
      <w:r>
        <w:rPr>
          <w:rFonts w:hint="cs"/>
          <w:rtl/>
        </w:rPr>
        <w:tab/>
        <w:t>(ب)</w:t>
      </w:r>
      <w:r>
        <w:rPr>
          <w:rFonts w:hint="cs"/>
          <w:rtl/>
        </w:rPr>
        <w:tab/>
        <w:t>التخلي عن النهج المركزي، بتعزيز المسؤوليات المحلية وقدرات الأسر والجمعيات الأسرية؛</w:t>
      </w:r>
    </w:p>
    <w:p w:rsidR="00000000" w:rsidRDefault="00A208FF">
      <w:pPr>
        <w:spacing w:line="400" w:lineRule="exact"/>
        <w:jc w:val="both"/>
        <w:rPr>
          <w:rFonts w:hint="cs"/>
          <w:rtl/>
        </w:rPr>
      </w:pPr>
      <w:r>
        <w:rPr>
          <w:rFonts w:hint="cs"/>
          <w:rtl/>
        </w:rPr>
        <w:tab/>
        <w:t>(ج)</w:t>
      </w:r>
      <w:r>
        <w:rPr>
          <w:rFonts w:hint="cs"/>
          <w:rtl/>
        </w:rPr>
        <w:tab/>
        <w:t>تنفيذ إجراءات مختلفة تعوض المساعدة التي كانت مصنفة في السابق حسب الفئات، والترك</w:t>
      </w:r>
      <w:r>
        <w:rPr>
          <w:rFonts w:hint="cs"/>
          <w:rtl/>
        </w:rPr>
        <w:t>يز في ذلك على الأفراد والأسر واحتياجاتهم المتغيرة على نحو يعكس مختلف مراحل الحياة؛</w:t>
      </w:r>
    </w:p>
    <w:p w:rsidR="00000000" w:rsidRDefault="00A208FF">
      <w:pPr>
        <w:spacing w:line="400" w:lineRule="exact"/>
        <w:jc w:val="both"/>
        <w:rPr>
          <w:rFonts w:hint="cs"/>
          <w:rtl/>
        </w:rPr>
      </w:pPr>
      <w:r>
        <w:rPr>
          <w:rFonts w:hint="cs"/>
          <w:rtl/>
        </w:rPr>
        <w:tab/>
        <w:t>(د)</w:t>
      </w:r>
      <w:r>
        <w:rPr>
          <w:rFonts w:hint="cs"/>
          <w:rtl/>
        </w:rPr>
        <w:tab/>
        <w:t xml:space="preserve">التخلي عن التحويلات النقدية والتشديد على ضرورة اتخاذ تدابير متكاملة تشمل المنح الاقتصادية وخدمات الشبكات (التدريب والصحة والجانب الاجتماعي؛ وإتاحة أول فرصة عمل؛ ومشاكل </w:t>
      </w:r>
      <w:r>
        <w:rPr>
          <w:rFonts w:hint="cs"/>
          <w:rtl/>
        </w:rPr>
        <w:t>السكن)؛</w:t>
      </w:r>
    </w:p>
    <w:p w:rsidR="00000000" w:rsidRDefault="00A208FF">
      <w:pPr>
        <w:spacing w:line="400" w:lineRule="exact"/>
        <w:jc w:val="both"/>
        <w:rPr>
          <w:rFonts w:hint="cs"/>
          <w:rtl/>
        </w:rPr>
      </w:pPr>
      <w:r>
        <w:rPr>
          <w:rFonts w:hint="cs"/>
          <w:rtl/>
        </w:rPr>
        <w:tab/>
        <w:t>(ه‍)</w:t>
      </w:r>
      <w:r>
        <w:rPr>
          <w:rFonts w:hint="cs"/>
          <w:rtl/>
        </w:rPr>
        <w:tab/>
        <w:t xml:space="preserve">اعتماد نهج مرن يراعي اختلاف الحالات، وسيقتضي ذلك وضع معيار نوعي للسلطات المحلية بغية تحقيق تكافؤ الفرص المتاحة للمواطنين في جميع أقاليم إيطاليا. </w:t>
      </w:r>
    </w:p>
    <w:p w:rsidR="00000000" w:rsidRDefault="00A208FF">
      <w:pPr>
        <w:spacing w:before="220" w:after="220" w:line="380" w:lineRule="exact"/>
        <w:jc w:val="both"/>
        <w:rPr>
          <w:rFonts w:hint="cs"/>
          <w:b/>
          <w:bCs/>
          <w:rtl/>
        </w:rPr>
      </w:pPr>
      <w:r>
        <w:rPr>
          <w:rFonts w:hint="cs"/>
          <w:b/>
          <w:bCs/>
          <w:rtl/>
        </w:rPr>
        <w:t xml:space="preserve">الدعم المالي وخفض الضرائب </w:t>
      </w:r>
    </w:p>
    <w:p w:rsidR="00000000" w:rsidRDefault="00A208FF">
      <w:pPr>
        <w:spacing w:before="220" w:after="220" w:line="380" w:lineRule="exact"/>
        <w:jc w:val="both"/>
        <w:rPr>
          <w:rFonts w:hint="cs"/>
          <w:i/>
          <w:iCs/>
        </w:rPr>
      </w:pPr>
      <w:r>
        <w:rPr>
          <w:rFonts w:hint="cs"/>
          <w:i/>
          <w:iCs/>
          <w:rtl/>
        </w:rPr>
        <w:t>تعديل قانون الضريبة المفروضة على الأشخاص الطبيعيين (الضريبة على الدخل</w:t>
      </w:r>
      <w:r>
        <w:rPr>
          <w:rFonts w:hint="cs"/>
          <w:i/>
          <w:iCs/>
          <w:rtl/>
        </w:rPr>
        <w:t>) بالنسبة للوحدة الأسرية، المادة 2 من القانون 448/2001</w:t>
      </w:r>
    </w:p>
    <w:p w:rsidR="00000000" w:rsidRDefault="00A208FF">
      <w:pPr>
        <w:spacing w:before="220" w:after="220" w:line="380" w:lineRule="exact"/>
        <w:jc w:val="both"/>
        <w:rPr>
          <w:rFonts w:hint="cs"/>
          <w:rtl/>
        </w:rPr>
      </w:pPr>
      <w:r>
        <w:rPr>
          <w:rFonts w:hint="cs"/>
          <w:rtl/>
        </w:rPr>
        <w:t>161-</w:t>
      </w:r>
      <w:r>
        <w:rPr>
          <w:rFonts w:hint="cs"/>
          <w:rtl/>
        </w:rPr>
        <w:tab/>
        <w:t xml:space="preserve">زاد هذا الحكم مقدار المبلغ المخصوم من الضريبة مقابل إعالة الأطفال، بمن فيهم أطفال التبني والحضانة، وذلك بالنسبة إلى الأسر التي لا يتجاوز دخلها 100 مليون ليرة. </w:t>
      </w:r>
    </w:p>
    <w:p w:rsidR="00000000" w:rsidRDefault="00A208FF">
      <w:pPr>
        <w:keepNext/>
        <w:spacing w:before="220" w:after="220" w:line="380" w:lineRule="exact"/>
        <w:jc w:val="both"/>
        <w:rPr>
          <w:rFonts w:hint="cs"/>
          <w:b/>
          <w:bCs/>
          <w:rtl/>
        </w:rPr>
      </w:pPr>
      <w:r>
        <w:rPr>
          <w:rFonts w:hint="cs"/>
          <w:b/>
          <w:bCs/>
          <w:rtl/>
        </w:rPr>
        <w:t xml:space="preserve">الخدمات المقدمة إلى الأطفال الصغار </w:t>
      </w:r>
    </w:p>
    <w:p w:rsidR="00000000" w:rsidRDefault="00A208FF">
      <w:pPr>
        <w:keepNext/>
        <w:spacing w:before="220" w:after="220" w:line="380" w:lineRule="exact"/>
        <w:jc w:val="both"/>
        <w:rPr>
          <w:rFonts w:hint="cs"/>
          <w:i/>
          <w:iCs/>
        </w:rPr>
      </w:pPr>
      <w:r>
        <w:rPr>
          <w:rFonts w:hint="cs"/>
          <w:i/>
          <w:iCs/>
          <w:rtl/>
        </w:rPr>
        <w:t>شبكة مدارس الحضانة البلدية - القانون 1044/1971 بصيغته المعدلة والمكمّلة</w:t>
      </w:r>
    </w:p>
    <w:p w:rsidR="00000000" w:rsidRDefault="00A208FF">
      <w:pPr>
        <w:keepNext/>
        <w:spacing w:before="220" w:after="220" w:line="380" w:lineRule="exact"/>
        <w:jc w:val="both"/>
        <w:rPr>
          <w:rFonts w:hint="cs"/>
          <w:rtl/>
        </w:rPr>
      </w:pPr>
      <w:r>
        <w:rPr>
          <w:rFonts w:hint="cs"/>
          <w:rtl/>
        </w:rPr>
        <w:t>162-</w:t>
      </w:r>
      <w:r>
        <w:rPr>
          <w:rFonts w:hint="cs"/>
          <w:rtl/>
        </w:rPr>
        <w:tab/>
        <w:t>أنشئت شبكة من مدارس الحضانة البلدية للأطفال دون سن الثالثة. إلا أن عدد مدارس الحضانة يظل دون المستوى الكفيل بتلبية احتياجات جميع الأسر التي تطلب هذه الخدمة، ولا يزال الفرق شاسعا ف</w:t>
      </w:r>
      <w:r>
        <w:rPr>
          <w:rFonts w:hint="cs"/>
          <w:rtl/>
        </w:rPr>
        <w:t xml:space="preserve">ي عدد مدارس الحضانة بين أقاليم وسط/شمال البلاد وجنوبها. </w:t>
      </w:r>
    </w:p>
    <w:p w:rsidR="00000000" w:rsidRDefault="00A208FF">
      <w:pPr>
        <w:spacing w:before="220" w:after="220" w:line="380" w:lineRule="exact"/>
        <w:jc w:val="both"/>
        <w:rPr>
          <w:rFonts w:hint="cs"/>
          <w:b/>
          <w:bCs/>
          <w:rtl/>
        </w:rPr>
      </w:pPr>
      <w:r>
        <w:rPr>
          <w:rFonts w:hint="cs"/>
          <w:b/>
          <w:bCs/>
          <w:rtl/>
        </w:rPr>
        <w:t xml:space="preserve">تمويل مدارس الحضانة </w:t>
      </w:r>
    </w:p>
    <w:p w:rsidR="00000000" w:rsidRDefault="00A208FF">
      <w:pPr>
        <w:spacing w:before="220" w:after="220" w:line="380" w:lineRule="exact"/>
        <w:jc w:val="both"/>
        <w:rPr>
          <w:rFonts w:hint="cs"/>
          <w:i/>
          <w:iCs/>
        </w:rPr>
      </w:pPr>
      <w:r>
        <w:rPr>
          <w:rFonts w:hint="cs"/>
          <w:i/>
          <w:iCs/>
          <w:rtl/>
        </w:rPr>
        <w:t>القانون 448/2001 (قانون المالية)، المادة 10</w:t>
      </w:r>
    </w:p>
    <w:p w:rsidR="00000000" w:rsidRDefault="00A208FF">
      <w:pPr>
        <w:spacing w:before="220" w:after="220" w:line="380" w:lineRule="exact"/>
        <w:jc w:val="both"/>
        <w:rPr>
          <w:rFonts w:hint="cs"/>
          <w:rtl/>
        </w:rPr>
      </w:pPr>
      <w:r>
        <w:rPr>
          <w:rFonts w:hint="cs"/>
          <w:rtl/>
        </w:rPr>
        <w:t>163-</w:t>
      </w:r>
      <w:r>
        <w:rPr>
          <w:rFonts w:hint="cs"/>
          <w:rtl/>
        </w:rPr>
        <w:tab/>
        <w:t>أنشأت الوزارة صندوقا لمدارس الحضانة، توزع مخصصاته سنويا بين الأقاليم، بغية إتاحة توفير هذه الخدمة لعدد متنام من الأسر في شتى أرجا</w:t>
      </w:r>
      <w:r>
        <w:rPr>
          <w:rFonts w:hint="cs"/>
          <w:rtl/>
        </w:rPr>
        <w:t>ء البلد.</w:t>
      </w:r>
    </w:p>
    <w:p w:rsidR="00000000" w:rsidRDefault="00A208FF">
      <w:pPr>
        <w:spacing w:before="220" w:after="220" w:line="380" w:lineRule="exact"/>
        <w:jc w:val="both"/>
        <w:rPr>
          <w:rFonts w:hint="cs"/>
          <w:rtl/>
        </w:rPr>
      </w:pPr>
      <w:r>
        <w:rPr>
          <w:rFonts w:hint="cs"/>
          <w:rtl/>
        </w:rPr>
        <w:t>164-</w:t>
      </w:r>
      <w:r>
        <w:rPr>
          <w:rFonts w:hint="cs"/>
          <w:rtl/>
        </w:rPr>
        <w:tab/>
        <w:t xml:space="preserve">وبغية تشجيع التوفيق بين مسؤوليات العمل والأسرة واحتياجات الوالدين العاملين، باستطاعة الإدارات الحكومية والهيئات العامة أن تنشئ "مدارس حضانة مصغرة" داخل مقراتها في حدود مخصصات ميزانيتها العادية. ويمكن خصم تكاليف إدارة مدارس الحضانة المنشأة في </w:t>
      </w:r>
      <w:r>
        <w:rPr>
          <w:rFonts w:hint="cs"/>
          <w:rtl/>
        </w:rPr>
        <w:t xml:space="preserve">أماكن العمل من الضريبة المفروضة على دخل الوالدين وأصحاب العمل وذلك بالقدر الذي تحدده وزارة الاقتصاد والمالية. </w:t>
      </w:r>
    </w:p>
    <w:p w:rsidR="00000000" w:rsidRDefault="00A208FF">
      <w:pPr>
        <w:spacing w:before="220" w:after="220" w:line="380" w:lineRule="exact"/>
        <w:jc w:val="both"/>
        <w:rPr>
          <w:rFonts w:hint="cs"/>
          <w:b/>
          <w:bCs/>
          <w:rtl/>
        </w:rPr>
      </w:pPr>
      <w:r>
        <w:rPr>
          <w:rFonts w:hint="cs"/>
          <w:b/>
          <w:bCs/>
          <w:rtl/>
        </w:rPr>
        <w:t xml:space="preserve">المبادرات الإقليمية </w:t>
      </w:r>
    </w:p>
    <w:p w:rsidR="00000000" w:rsidRDefault="00A208FF">
      <w:pPr>
        <w:spacing w:before="220" w:after="220" w:line="380" w:lineRule="exact"/>
        <w:jc w:val="both"/>
        <w:rPr>
          <w:rFonts w:hint="cs"/>
          <w:rtl/>
        </w:rPr>
      </w:pPr>
      <w:r>
        <w:rPr>
          <w:rFonts w:hint="cs"/>
          <w:rtl/>
        </w:rPr>
        <w:t>165-</w:t>
      </w:r>
      <w:r>
        <w:rPr>
          <w:rFonts w:hint="cs"/>
          <w:rtl/>
        </w:rPr>
        <w:tab/>
        <w:t xml:space="preserve">اعتمدت الأقاليم عددا من القوانين المتعلقة بتدابير حماية الأسرة، بمساهمات مالية من الحكومة المركزية. </w:t>
      </w:r>
    </w:p>
    <w:p w:rsidR="00000000" w:rsidRDefault="00A208FF">
      <w:pPr>
        <w:spacing w:before="220" w:after="220" w:line="380" w:lineRule="exact"/>
        <w:jc w:val="center"/>
        <w:rPr>
          <w:rFonts w:hint="cs"/>
          <w:b/>
          <w:bCs/>
          <w:sz w:val="30"/>
          <w:rtl/>
        </w:rPr>
      </w:pPr>
      <w:r>
        <w:rPr>
          <w:rFonts w:hint="cs"/>
          <w:b/>
          <w:bCs/>
          <w:sz w:val="30"/>
          <w:rtl/>
        </w:rPr>
        <w:t>زاي- المادة 11</w:t>
      </w:r>
    </w:p>
    <w:p w:rsidR="00000000" w:rsidRDefault="00A208FF">
      <w:pPr>
        <w:spacing w:before="220" w:after="220" w:line="380" w:lineRule="exact"/>
        <w:jc w:val="center"/>
        <w:rPr>
          <w:rFonts w:hint="cs"/>
          <w:b/>
          <w:bCs/>
          <w:rtl/>
        </w:rPr>
      </w:pPr>
      <w:r>
        <w:rPr>
          <w:rFonts w:hint="cs"/>
          <w:b/>
          <w:bCs/>
          <w:rtl/>
        </w:rPr>
        <w:t>الت</w:t>
      </w:r>
      <w:r>
        <w:rPr>
          <w:rFonts w:hint="cs"/>
          <w:b/>
          <w:bCs/>
          <w:rtl/>
        </w:rPr>
        <w:t>متع بمستوى معيشي لائق</w:t>
      </w:r>
    </w:p>
    <w:p w:rsidR="00000000" w:rsidRDefault="00A208FF">
      <w:pPr>
        <w:spacing w:before="220" w:after="220" w:line="380" w:lineRule="exact"/>
        <w:jc w:val="both"/>
        <w:rPr>
          <w:rFonts w:hint="cs"/>
          <w:b/>
          <w:bCs/>
          <w:rtl/>
        </w:rPr>
      </w:pPr>
      <w:r>
        <w:rPr>
          <w:rFonts w:hint="cs"/>
          <w:b/>
          <w:bCs/>
          <w:rtl/>
        </w:rPr>
        <w:t>الخطة الإيطالية للإدماج الاجتماعي</w:t>
      </w:r>
    </w:p>
    <w:p w:rsidR="00000000" w:rsidRDefault="00A208FF">
      <w:pPr>
        <w:spacing w:line="400" w:lineRule="exact"/>
        <w:jc w:val="both"/>
        <w:rPr>
          <w:rFonts w:hint="cs"/>
          <w:rtl/>
        </w:rPr>
      </w:pPr>
      <w:r>
        <w:rPr>
          <w:rFonts w:hint="cs"/>
          <w:rtl/>
        </w:rPr>
        <w:t>166-</w:t>
      </w:r>
      <w:r>
        <w:rPr>
          <w:rFonts w:hint="cs"/>
          <w:rtl/>
        </w:rPr>
        <w:tab/>
        <w:t>أقرت الخطة الإيطالية للإدماج الاجتماعي في حزيران/يونيه 2001. وقد انبنت على أساس الأولويات، ومسارات العمل، والتدابير والإجراءات المستمدة من مختلف الخطط الوطنية والقطاعية والإقليمية المعدة للفترة 2</w:t>
      </w:r>
      <w:r>
        <w:rPr>
          <w:rFonts w:hint="cs"/>
          <w:rtl/>
        </w:rPr>
        <w:t>000-2003. وتتعلق العناصر المستعرِضة، التي تلتئم بها الخطة، في المقام الأول، بالنهج المتعدد الأبعاد، والاختلافات الجغرافية، وتوقُّعات التنمية المتكاملة للنظام الاجتماعي، والابتعاد عن النهج القائم على المساعدة في مجال سياسات الإدماج.</w:t>
      </w:r>
    </w:p>
    <w:p w:rsidR="00000000" w:rsidRDefault="00A208FF">
      <w:pPr>
        <w:spacing w:line="400" w:lineRule="exact"/>
        <w:jc w:val="both"/>
        <w:rPr>
          <w:rFonts w:hint="cs"/>
          <w:b/>
          <w:bCs/>
          <w:rtl/>
        </w:rPr>
      </w:pPr>
      <w:r>
        <w:rPr>
          <w:rFonts w:hint="cs"/>
          <w:b/>
          <w:bCs/>
          <w:rtl/>
        </w:rPr>
        <w:t>الطبيعة المتعددة الأبعاد</w:t>
      </w:r>
      <w:r>
        <w:rPr>
          <w:rFonts w:hint="cs"/>
          <w:b/>
          <w:bCs/>
          <w:rtl/>
        </w:rPr>
        <w:t xml:space="preserve"> لسياسات الإدماج</w:t>
      </w:r>
    </w:p>
    <w:p w:rsidR="00000000" w:rsidRDefault="00A208FF">
      <w:pPr>
        <w:spacing w:line="400" w:lineRule="exact"/>
        <w:jc w:val="both"/>
        <w:rPr>
          <w:rFonts w:hint="cs"/>
          <w:rtl/>
        </w:rPr>
      </w:pPr>
      <w:r>
        <w:rPr>
          <w:rFonts w:hint="cs"/>
          <w:rtl/>
        </w:rPr>
        <w:t>167-</w:t>
      </w:r>
      <w:r>
        <w:rPr>
          <w:rFonts w:hint="cs"/>
          <w:rtl/>
        </w:rPr>
        <w:tab/>
        <w:t>إن العوامل الأساسية التي تسهم في شتى أشكال التباين يمكن أن تكون موضوعية وذاتية، مثل عوامل العمر ونوع الجنس والمستوى التعليمي والدخل والاستهلاك والموقف إزاء إيجاد عمل ووضع الحرمان الاجتماعي وغير ذلك، وقد تكون عوامل محلية ترتبط بالمنطقة</w:t>
      </w:r>
      <w:r>
        <w:rPr>
          <w:rFonts w:hint="cs"/>
          <w:rtl/>
        </w:rPr>
        <w:t xml:space="preserve"> (جنوب إيطاليا وبعض المناطق الحضرية في الوسط والشمال في المقام الأول)، بالإضافة إلى كونها قادرة على تيسير أو تعسير الإدماج الاجتماعي. وفي ضوء ما سلف، ولأغراض وضع الخطة، اعتبر الفقر والإقصاء الاجتماعي ظاهرتين معقَّدتين ومتعددتي الأبعاد، تؤثر فيها مجالات الع</w:t>
      </w:r>
      <w:r>
        <w:rPr>
          <w:rFonts w:hint="cs"/>
          <w:rtl/>
        </w:rPr>
        <w:t>مل المتصلة بمجموعة من السياسات واسعة النطاق: السياسات التي يمكن تسميتها سياسات "المساعدة الاجتماعية التقليدية"؛ والحد من الفقر؛ والحماية الاجتماعية الحديثة، وسياسات الإدماج الاجتماعي الثقافي؛ والمبادرات الخاصة بالإرشاد والتدريب والعمالة لفائدة أضعف الفئات؛</w:t>
      </w:r>
      <w:r>
        <w:rPr>
          <w:rFonts w:hint="cs"/>
          <w:rtl/>
        </w:rPr>
        <w:t xml:space="preserve"> وسياسات تطوير الاقتصاد الاجتماعي؛ والسياسات الرامية إلى تنسيق برامج الحياة الأسرية واحتياجاتها؛ وإقامة الشبكات؛ وسياسات الإسكان وتطوير الخدمات الاجتماعية؛ وسياسات الصحة والعدالة والثقافة والرياضة والترفيه؛ وغير ذلك، إلى أن نصل إلى سياسات تطوير المعرفة وتك</w:t>
      </w:r>
      <w:r>
        <w:rPr>
          <w:rFonts w:hint="cs"/>
          <w:rtl/>
        </w:rPr>
        <w:t>نولوجيات المعلومات والاتصالات الجديدة.</w:t>
      </w:r>
    </w:p>
    <w:p w:rsidR="00000000" w:rsidRDefault="00A208FF">
      <w:pPr>
        <w:spacing w:line="400" w:lineRule="exact"/>
        <w:jc w:val="both"/>
        <w:rPr>
          <w:rFonts w:hint="cs"/>
          <w:rtl/>
        </w:rPr>
      </w:pPr>
      <w:r>
        <w:rPr>
          <w:rFonts w:hint="cs"/>
          <w:rtl/>
        </w:rPr>
        <w:t>168-</w:t>
      </w:r>
      <w:r>
        <w:rPr>
          <w:rFonts w:hint="cs"/>
          <w:rtl/>
        </w:rPr>
        <w:tab/>
        <w:t>وعليه، ومجاراة للتحليل الوارد أعلاه، فإن السياسات المنصوص عليها في خطة الحكومة الإيطالية لا تتناول حصراً مسألة "استضعاف الفئات المنخفضة الدخل" وإنما تشمل أيضاً الجانب المتعدد الأبعاد برمته الذي لا يتضمن النفاذ إل</w:t>
      </w:r>
      <w:r>
        <w:rPr>
          <w:rFonts w:hint="cs"/>
          <w:rtl/>
        </w:rPr>
        <w:t>ى سوق العمل فقط، بل الأحكام الرامية إلى مكافحة مختلف أنواع "الحرمان"، بما فيها العقبات التي يمكن أن تحول، منفردة أو مجتمعة، دون المشاركة الكاملة في المجالات التالية:</w:t>
      </w:r>
    </w:p>
    <w:p w:rsidR="00000000" w:rsidRDefault="00A208FF">
      <w:pPr>
        <w:spacing w:line="400" w:lineRule="exact"/>
        <w:jc w:val="both"/>
        <w:rPr>
          <w:rFonts w:hint="cs"/>
          <w:rtl/>
        </w:rPr>
      </w:pPr>
      <w:r>
        <w:rPr>
          <w:rFonts w:hint="cs"/>
          <w:rtl/>
        </w:rPr>
        <w:tab/>
        <w:t>-</w:t>
      </w:r>
      <w:r>
        <w:rPr>
          <w:rFonts w:hint="cs"/>
          <w:rtl/>
        </w:rPr>
        <w:tab/>
        <w:t>دعم الدخل؛</w:t>
      </w:r>
    </w:p>
    <w:p w:rsidR="00000000" w:rsidRDefault="00A208FF">
      <w:pPr>
        <w:spacing w:line="400" w:lineRule="exact"/>
        <w:jc w:val="both"/>
        <w:rPr>
          <w:rFonts w:hint="cs"/>
          <w:rtl/>
        </w:rPr>
      </w:pPr>
      <w:r>
        <w:rPr>
          <w:rFonts w:hint="cs"/>
          <w:rtl/>
        </w:rPr>
        <w:tab/>
        <w:t>-</w:t>
      </w:r>
      <w:r>
        <w:rPr>
          <w:rFonts w:hint="cs"/>
          <w:rtl/>
        </w:rPr>
        <w:tab/>
        <w:t>التعليم والتدريب؛</w:t>
      </w:r>
    </w:p>
    <w:p w:rsidR="00000000" w:rsidRDefault="00A208FF">
      <w:pPr>
        <w:spacing w:line="400" w:lineRule="exact"/>
        <w:jc w:val="both"/>
        <w:rPr>
          <w:rFonts w:hint="cs"/>
          <w:rtl/>
        </w:rPr>
      </w:pPr>
      <w:r>
        <w:rPr>
          <w:rFonts w:hint="cs"/>
          <w:rtl/>
        </w:rPr>
        <w:tab/>
        <w:t>-</w:t>
      </w:r>
      <w:r>
        <w:rPr>
          <w:rFonts w:hint="cs"/>
          <w:rtl/>
        </w:rPr>
        <w:tab/>
        <w:t>البيئة؛</w:t>
      </w:r>
    </w:p>
    <w:p w:rsidR="00000000" w:rsidRDefault="00A208FF">
      <w:pPr>
        <w:spacing w:line="400" w:lineRule="exact"/>
        <w:jc w:val="both"/>
        <w:rPr>
          <w:rFonts w:hint="cs"/>
          <w:rtl/>
        </w:rPr>
      </w:pPr>
      <w:r>
        <w:rPr>
          <w:rFonts w:hint="cs"/>
          <w:rtl/>
        </w:rPr>
        <w:tab/>
        <w:t>-</w:t>
      </w:r>
      <w:r>
        <w:rPr>
          <w:rFonts w:hint="cs"/>
          <w:rtl/>
        </w:rPr>
        <w:tab/>
        <w:t>الإسكان؛</w:t>
      </w:r>
    </w:p>
    <w:p w:rsidR="00000000" w:rsidRDefault="00A208FF">
      <w:pPr>
        <w:spacing w:line="400" w:lineRule="exact"/>
        <w:jc w:val="both"/>
        <w:rPr>
          <w:rFonts w:hint="cs"/>
          <w:rtl/>
        </w:rPr>
      </w:pPr>
      <w:r>
        <w:rPr>
          <w:rFonts w:hint="cs"/>
          <w:rtl/>
        </w:rPr>
        <w:tab/>
        <w:t>-</w:t>
      </w:r>
      <w:r>
        <w:rPr>
          <w:rFonts w:hint="cs"/>
          <w:rtl/>
        </w:rPr>
        <w:tab/>
        <w:t>الثقافة؛</w:t>
      </w:r>
    </w:p>
    <w:p w:rsidR="00000000" w:rsidRDefault="00A208FF">
      <w:pPr>
        <w:spacing w:line="400" w:lineRule="exact"/>
        <w:jc w:val="both"/>
        <w:rPr>
          <w:rFonts w:hint="cs"/>
          <w:rtl/>
        </w:rPr>
      </w:pPr>
      <w:r>
        <w:rPr>
          <w:rFonts w:hint="cs"/>
          <w:rtl/>
        </w:rPr>
        <w:tab/>
        <w:t>-</w:t>
      </w:r>
      <w:r>
        <w:rPr>
          <w:rFonts w:hint="cs"/>
          <w:rtl/>
        </w:rPr>
        <w:tab/>
        <w:t>الحصول على الخدما</w:t>
      </w:r>
      <w:r>
        <w:rPr>
          <w:rFonts w:hint="cs"/>
          <w:rtl/>
        </w:rPr>
        <w:t>ت الاجتماعية؛</w:t>
      </w:r>
    </w:p>
    <w:p w:rsidR="00000000" w:rsidRDefault="00A208FF">
      <w:pPr>
        <w:spacing w:line="400" w:lineRule="exact"/>
        <w:jc w:val="both"/>
        <w:rPr>
          <w:rFonts w:hint="cs"/>
          <w:rtl/>
        </w:rPr>
      </w:pPr>
      <w:r>
        <w:rPr>
          <w:rFonts w:hint="cs"/>
          <w:rtl/>
        </w:rPr>
        <w:tab/>
        <w:t>-</w:t>
      </w:r>
      <w:r>
        <w:rPr>
          <w:rFonts w:hint="cs"/>
          <w:rtl/>
        </w:rPr>
        <w:tab/>
        <w:t>الانتفاع بفرص التدريب والتوظيف؛</w:t>
      </w:r>
    </w:p>
    <w:p w:rsidR="00000000" w:rsidRDefault="00A208FF">
      <w:pPr>
        <w:spacing w:line="400" w:lineRule="exact"/>
        <w:jc w:val="both"/>
        <w:rPr>
          <w:rFonts w:hint="cs"/>
          <w:rtl/>
        </w:rPr>
      </w:pPr>
      <w:r>
        <w:rPr>
          <w:rFonts w:hint="cs"/>
          <w:rtl/>
        </w:rPr>
        <w:tab/>
        <w:t>-</w:t>
      </w:r>
      <w:r>
        <w:rPr>
          <w:rFonts w:hint="cs"/>
          <w:rtl/>
        </w:rPr>
        <w:tab/>
        <w:t>الانتفاع بالتكنولوجيات الجديدة.</w:t>
      </w:r>
    </w:p>
    <w:p w:rsidR="00000000" w:rsidRDefault="00A208FF">
      <w:pPr>
        <w:spacing w:line="400" w:lineRule="exact"/>
        <w:jc w:val="both"/>
        <w:rPr>
          <w:rFonts w:hint="cs"/>
          <w:b/>
          <w:bCs/>
          <w:rtl/>
        </w:rPr>
      </w:pPr>
      <w:r>
        <w:rPr>
          <w:rFonts w:hint="cs"/>
          <w:b/>
          <w:bCs/>
          <w:rtl/>
        </w:rPr>
        <w:t>الاختلافات الجغرافية</w:t>
      </w:r>
    </w:p>
    <w:p w:rsidR="00000000" w:rsidRDefault="00A208FF">
      <w:pPr>
        <w:spacing w:line="400" w:lineRule="exact"/>
        <w:jc w:val="both"/>
        <w:rPr>
          <w:rFonts w:hint="cs"/>
          <w:rtl/>
        </w:rPr>
      </w:pPr>
      <w:r>
        <w:rPr>
          <w:rFonts w:hint="cs"/>
          <w:rtl/>
        </w:rPr>
        <w:t>169-</w:t>
      </w:r>
      <w:r>
        <w:rPr>
          <w:rFonts w:hint="cs"/>
          <w:rtl/>
        </w:rPr>
        <w:tab/>
        <w:t>لقد نما الاقتصاد الإيطالي بمعدلات مختلفة بحسب الظروف الجغرافية. ويتجلى هذا الاختلاف في المقام الأول في مجالي العمالة وتطوير الخدمات الشخصية والجما</w:t>
      </w:r>
      <w:r>
        <w:rPr>
          <w:rFonts w:hint="cs"/>
          <w:rtl/>
        </w:rPr>
        <w:t>عية. وتتعلق أهم عناصر الاختلاف بما يلي:</w:t>
      </w:r>
    </w:p>
    <w:p w:rsidR="00000000" w:rsidRDefault="00A208FF">
      <w:pPr>
        <w:spacing w:line="400" w:lineRule="exact"/>
        <w:ind w:left="1440" w:hanging="720"/>
        <w:jc w:val="both"/>
        <w:rPr>
          <w:rFonts w:hint="cs"/>
          <w:rtl/>
        </w:rPr>
      </w:pPr>
      <w:r>
        <w:rPr>
          <w:rFonts w:hint="cs"/>
          <w:rtl/>
        </w:rPr>
        <w:t>-</w:t>
      </w:r>
      <w:r>
        <w:rPr>
          <w:rFonts w:hint="cs"/>
          <w:rtl/>
        </w:rPr>
        <w:tab/>
        <w:t>تركُّز فرص العمل في مناطق معينة من البلد؛</w:t>
      </w:r>
    </w:p>
    <w:p w:rsidR="00000000" w:rsidRDefault="00A208FF">
      <w:pPr>
        <w:spacing w:line="400" w:lineRule="exact"/>
        <w:ind w:left="1440" w:hanging="720"/>
        <w:jc w:val="both"/>
        <w:rPr>
          <w:rFonts w:hint="cs"/>
          <w:rtl/>
        </w:rPr>
      </w:pPr>
      <w:r>
        <w:rPr>
          <w:rFonts w:hint="cs"/>
          <w:rtl/>
        </w:rPr>
        <w:t>-</w:t>
      </w:r>
      <w:r>
        <w:rPr>
          <w:rFonts w:hint="cs"/>
          <w:rtl/>
        </w:rPr>
        <w:tab/>
        <w:t>التفاوتات بين مختلف شرائح السكان، ابتداء من الفجوة العميقة في فرص الدخول إلى سوق العمل والبقاء فيها، ومروراً بتطوير الخدمات الشخصية وإمكانية الحصول عليها؛</w:t>
      </w:r>
    </w:p>
    <w:p w:rsidR="00000000" w:rsidRDefault="00A208FF">
      <w:pPr>
        <w:spacing w:line="400" w:lineRule="exact"/>
        <w:ind w:left="1440" w:hanging="720"/>
        <w:jc w:val="both"/>
        <w:rPr>
          <w:rFonts w:hint="cs"/>
          <w:rtl/>
        </w:rPr>
      </w:pPr>
      <w:r>
        <w:rPr>
          <w:rFonts w:hint="cs"/>
          <w:rtl/>
        </w:rPr>
        <w:t>-</w:t>
      </w:r>
      <w:r>
        <w:rPr>
          <w:rFonts w:hint="cs"/>
          <w:rtl/>
        </w:rPr>
        <w:tab/>
        <w:t>اختلاف مستويا</w:t>
      </w:r>
      <w:r>
        <w:rPr>
          <w:rFonts w:hint="cs"/>
          <w:rtl/>
        </w:rPr>
        <w:t>ت تركز الفقر (ذلك أن نحو 65 في المائة من الأسر الفقيرة تعيش في جنوب إيطاليا).</w:t>
      </w:r>
    </w:p>
    <w:p w:rsidR="00000000" w:rsidRDefault="00A208FF">
      <w:pPr>
        <w:spacing w:line="400" w:lineRule="exact"/>
        <w:jc w:val="both"/>
        <w:rPr>
          <w:rFonts w:hint="cs"/>
          <w:rtl/>
        </w:rPr>
      </w:pPr>
      <w:r>
        <w:rPr>
          <w:rFonts w:hint="cs"/>
          <w:rtl/>
        </w:rPr>
        <w:t>170-</w:t>
      </w:r>
      <w:r>
        <w:rPr>
          <w:rFonts w:hint="cs"/>
          <w:rtl/>
        </w:rPr>
        <w:tab/>
        <w:t>وفيما يتعلق بالحرمان الاجتماعي، بمفهومه الأوسع، يجب ملاحظة أن مختلف أنحاء البلد تتصف بأنواع محددة من الحرمان تختلف باختلاف المنطقة. كما يمكن أن يكون لنفس نوع الإقصاء الاجتما</w:t>
      </w:r>
      <w:r>
        <w:rPr>
          <w:rFonts w:hint="cs"/>
          <w:rtl/>
        </w:rPr>
        <w:t>عي خصائص مختلفة وأن يشمل فئات اجتماعية متنوعة، من ناحية نوع الجنس، والمستوى التعليمي، والعمر، والشبكات الأسرية لتأمين توفير الخدمات، الاجتماعية منها والثقافية. وتأخذ التحاليل الإحصائية للخطة في الحسبان الاختلافات من حيث نوع الجنس والمستوى التعليمي ومدى إمك</w:t>
      </w:r>
      <w:r>
        <w:rPr>
          <w:rFonts w:hint="cs"/>
          <w:rtl/>
        </w:rPr>
        <w:t xml:space="preserve">انية الحصول على الخدمات، فضلاً عن التباينات النوعية في مستوى الإقصاء. بيد أنها تبرز، علاوة على ذلك وقبل كل شيء، الاختلافات بين المناطق وداخلها، على النحو الذي تبينه الجداول الواردة في هذا التقرير، وهي اختلافات تعتبر عناصر أساسية في تحليل التدابير الملموسة </w:t>
      </w:r>
      <w:r>
        <w:rPr>
          <w:rFonts w:hint="cs"/>
          <w:rtl/>
        </w:rPr>
        <w:t>والتخطيط لها.</w:t>
      </w:r>
    </w:p>
    <w:p w:rsidR="00000000" w:rsidRDefault="00A208FF">
      <w:pPr>
        <w:spacing w:line="400" w:lineRule="exact"/>
        <w:jc w:val="both"/>
        <w:rPr>
          <w:rFonts w:hint="cs"/>
          <w:rtl/>
        </w:rPr>
      </w:pPr>
      <w:r>
        <w:rPr>
          <w:rFonts w:hint="cs"/>
          <w:rtl/>
        </w:rPr>
        <w:t>171-</w:t>
      </w:r>
      <w:r>
        <w:rPr>
          <w:rFonts w:hint="cs"/>
          <w:rtl/>
        </w:rPr>
        <w:tab/>
        <w:t>وفي هذا الصدد، من المهم لإيطاليا أن ترسم سياسة للتنمية الاجتماعية تُصاغ على غرار الخطط الوطنية التشغيلية، والعمل ليس فقط في إطار عملية وضع المعايير ضمن البلدان الأوروبية، وإنما على أساس عملية وضع المعايير فيما بين المناطق.</w:t>
      </w:r>
    </w:p>
    <w:p w:rsidR="00000000" w:rsidRDefault="00A208FF">
      <w:pPr>
        <w:spacing w:line="400" w:lineRule="exact"/>
        <w:jc w:val="both"/>
        <w:rPr>
          <w:rFonts w:hint="cs"/>
          <w:b/>
          <w:bCs/>
          <w:rtl/>
        </w:rPr>
      </w:pPr>
      <w:r>
        <w:rPr>
          <w:rFonts w:hint="cs"/>
          <w:b/>
          <w:bCs/>
          <w:rtl/>
        </w:rPr>
        <w:t>عناصر الفقر ال</w:t>
      </w:r>
      <w:r>
        <w:rPr>
          <w:rFonts w:hint="cs"/>
          <w:b/>
          <w:bCs/>
          <w:rtl/>
        </w:rPr>
        <w:t>نسبية والمطلقة والذاتية المتعلقة بالأوضاع الذاتية والظروف الموضوعية</w:t>
      </w:r>
    </w:p>
    <w:p w:rsidR="00000000" w:rsidRDefault="00A208FF">
      <w:pPr>
        <w:spacing w:line="400" w:lineRule="exact"/>
        <w:jc w:val="both"/>
        <w:rPr>
          <w:rFonts w:hint="cs"/>
          <w:rtl/>
        </w:rPr>
      </w:pPr>
      <w:r>
        <w:rPr>
          <w:rFonts w:hint="cs"/>
          <w:rtl/>
        </w:rPr>
        <w:t>172-</w:t>
      </w:r>
      <w:r>
        <w:rPr>
          <w:rFonts w:hint="cs"/>
          <w:rtl/>
        </w:rPr>
        <w:tab/>
        <w:t xml:space="preserve">توجد في إيطاليا منذ عام 1984 "لجنة التحقيق في قضايا الفقر" (التي تعرف اليوم باسم "لجنة التحقيق في أوضاع الإقصاء الاجتماعي"). واللجنة يعينها رئيس الوزراء وهي مسؤولة عن إجراء دراسات عن </w:t>
      </w:r>
      <w:r>
        <w:rPr>
          <w:rFonts w:hint="cs"/>
          <w:rtl/>
        </w:rPr>
        <w:t xml:space="preserve">أوضاع الفقر والإقصاء الاجتماعي، كما تجري تقييمات وتقدم مقترحات في مجال السياسات العامة. كما تجري، بالتعاون مع مكتب الإحصاء </w:t>
      </w:r>
      <w:r>
        <w:t>ISTAT</w:t>
      </w:r>
      <w:r>
        <w:rPr>
          <w:rFonts w:hint="cs"/>
          <w:rtl/>
        </w:rPr>
        <w:t>، مسحاً في كل سنة لتقدير مدى انتشار الفقر في إيطاليا وكثافته، باستعمال مقياس الفقر النسبي الذي اقترن منذ عام 1993 بمقياس الفقر ا</w:t>
      </w:r>
      <w:r>
        <w:rPr>
          <w:rFonts w:hint="cs"/>
          <w:rtl/>
        </w:rPr>
        <w:t>لمطلق استناداً إلى سلة من السلع والخدمات عرّفت بأنها أساسية. وفي كلتا الحالتين، يُلجأ إلى "مسح الاستهلاك الأسري" الذي يجريه مكتب الإحصاء سنوياً؛ وهذا المسح يأخذ الاستهلاك وليس الدخل في الحسبان.</w:t>
      </w:r>
    </w:p>
    <w:p w:rsidR="00000000" w:rsidRDefault="00A208FF">
      <w:pPr>
        <w:spacing w:line="400" w:lineRule="exact"/>
        <w:jc w:val="both"/>
        <w:rPr>
          <w:rFonts w:hint="cs"/>
          <w:b/>
          <w:bCs/>
          <w:rtl/>
        </w:rPr>
      </w:pPr>
      <w:r>
        <w:rPr>
          <w:rFonts w:hint="cs"/>
          <w:b/>
          <w:bCs/>
          <w:rtl/>
        </w:rPr>
        <w:t>الفقر النسبي</w:t>
      </w:r>
    </w:p>
    <w:p w:rsidR="00000000" w:rsidRDefault="00A208FF">
      <w:pPr>
        <w:spacing w:line="400" w:lineRule="exact"/>
        <w:jc w:val="both"/>
        <w:rPr>
          <w:rFonts w:hint="cs"/>
          <w:rtl/>
        </w:rPr>
      </w:pPr>
      <w:r>
        <w:rPr>
          <w:rFonts w:hint="cs"/>
          <w:rtl/>
        </w:rPr>
        <w:t>173-</w:t>
      </w:r>
      <w:r>
        <w:rPr>
          <w:rFonts w:hint="cs"/>
          <w:rtl/>
        </w:rPr>
        <w:tab/>
        <w:t xml:space="preserve">في عام 1999، كان يعيش حالة الفقر في إيطاليا </w:t>
      </w:r>
      <w:r>
        <w:rPr>
          <w:rFonts w:hint="cs"/>
          <w:rtl/>
        </w:rPr>
        <w:t>000 660 2 أسرة تضم 000 507 7 شخص. وقد صنف 11.9 في المائة من الأسر و13.1 في المائة من الأفراد بأنهم فقراء. والعامل الذي يفسر كون هذه النسبة الأخيرة أعلى هو أن الأسر الفقيرة تضم غالباً عدداً أكبر من الأفراد. أما نسبة الفقر المدقع فبلغت 22.9 في المائة في السن</w:t>
      </w:r>
      <w:r>
        <w:rPr>
          <w:rFonts w:hint="cs"/>
          <w:rtl/>
        </w:rPr>
        <w:t>ة نفسها.</w:t>
      </w:r>
    </w:p>
    <w:p w:rsidR="00000000" w:rsidRDefault="00A208FF">
      <w:pPr>
        <w:spacing w:line="400" w:lineRule="exact"/>
        <w:jc w:val="both"/>
        <w:rPr>
          <w:rFonts w:hint="cs"/>
          <w:rtl/>
        </w:rPr>
      </w:pPr>
      <w:r>
        <w:rPr>
          <w:rFonts w:hint="cs"/>
          <w:rtl/>
        </w:rPr>
        <w:t>174-</w:t>
      </w:r>
      <w:r>
        <w:rPr>
          <w:rFonts w:hint="cs"/>
          <w:rtl/>
        </w:rPr>
        <w:tab/>
        <w:t>والعامل المحدد للفقر في إيطاليا هو اختلال التوازن في السوق بين منطقتي الوسط والشمال من جهة ومنطقة الجنوب من جهة أخرى. ويقطن المنطقتين الأوليين 67.1 في المائة من الأسر الإيطالية و34.1 في المائة من الأسر الفقيرة، في حين يقطن المنطقة الجنوبية 32</w:t>
      </w:r>
      <w:r>
        <w:rPr>
          <w:rFonts w:hint="cs"/>
          <w:rtl/>
        </w:rPr>
        <w:t>.9 في المائة من الأسر و65.9 في المائة من الأسر الفقيرة.</w:t>
      </w:r>
    </w:p>
    <w:p w:rsidR="00000000" w:rsidRDefault="00A208FF">
      <w:pPr>
        <w:spacing w:line="400" w:lineRule="exact"/>
        <w:jc w:val="both"/>
        <w:rPr>
          <w:rFonts w:hint="cs"/>
          <w:rtl/>
        </w:rPr>
      </w:pPr>
      <w:r>
        <w:rPr>
          <w:rFonts w:hint="cs"/>
          <w:rtl/>
        </w:rPr>
        <w:t>175-</w:t>
      </w:r>
      <w:r>
        <w:rPr>
          <w:rFonts w:hint="cs"/>
          <w:rtl/>
        </w:rPr>
        <w:tab/>
        <w:t>وتبين دراسة لخصائص الأسر الفقيرة كيف أن أشد الأسر تعرضاً للخطر هي الأسر الكبيرة (التي يبلغ عدد أفرادها 5 أو أكثر)، حيث تصل نسبة الفقر لديها إلى 22.9 في المائة على الصعيد الوطني.</w:t>
      </w:r>
    </w:p>
    <w:p w:rsidR="00000000" w:rsidRDefault="00A208FF">
      <w:pPr>
        <w:spacing w:line="400" w:lineRule="exact"/>
        <w:jc w:val="both"/>
        <w:rPr>
          <w:rFonts w:hint="cs"/>
          <w:rtl/>
        </w:rPr>
      </w:pPr>
      <w:r>
        <w:rPr>
          <w:rFonts w:hint="cs"/>
          <w:rtl/>
        </w:rPr>
        <w:t>176-</w:t>
      </w:r>
      <w:r>
        <w:rPr>
          <w:rFonts w:hint="cs"/>
          <w:rtl/>
        </w:rPr>
        <w:tab/>
        <w:t xml:space="preserve">ويرتبط وجود </w:t>
      </w:r>
      <w:r>
        <w:rPr>
          <w:rFonts w:hint="cs"/>
          <w:rtl/>
        </w:rPr>
        <w:t>قُصّر في الأسرة بتفاقم الفقر: فالأسر التي يعيش فيها قاصر واحد تمثل 10.8 في المائة؛ والأسر التي يعيش فيها قاصران تمثل 16.4 في المائة؛ والأسر التي يوجد فيها ثلاثة قصر تمثل 27.0 في المائة. وهذا يفسر أيضاً لماذا يبلغ الفقر النسبي لدى القصر (16.2 في المائة) نفس</w:t>
      </w:r>
      <w:r>
        <w:rPr>
          <w:rFonts w:hint="cs"/>
          <w:rtl/>
        </w:rPr>
        <w:t xml:space="preserve"> النسبة التي نجدها لدى المسنين الذين يمثلون  الشريحة الأخرى من السكان المعرضة بشدة لخطر الفقر (16.1 في المائة).</w:t>
      </w:r>
    </w:p>
    <w:p w:rsidR="00000000" w:rsidRDefault="00A208FF">
      <w:pPr>
        <w:spacing w:line="400" w:lineRule="exact"/>
        <w:jc w:val="both"/>
        <w:rPr>
          <w:rFonts w:hint="cs"/>
          <w:rtl/>
        </w:rPr>
      </w:pPr>
      <w:r>
        <w:rPr>
          <w:rFonts w:hint="cs"/>
          <w:rtl/>
        </w:rPr>
        <w:t>177-</w:t>
      </w:r>
      <w:r>
        <w:rPr>
          <w:rFonts w:hint="cs"/>
          <w:rtl/>
        </w:rPr>
        <w:tab/>
        <w:t>وتظهر بعض العناصر المهمة عندما يتعلق الأمر بنوع الأسرة، إذ إن 10.1 في المائة من الأسر المكونة من فرد واحد تصنف كأسر فقيرة، لكن هذه النسبة ت</w:t>
      </w:r>
      <w:r>
        <w:rPr>
          <w:rFonts w:hint="cs"/>
          <w:rtl/>
        </w:rPr>
        <w:t>نخفض إلى 3.2 في المائة متى كان عمر الشخص يقل عن 65 سنة وترتفع مرة أخرى إلى 15.4 في المائة متى كان الشخص أكبر سناً. وحتى في حالة الأزواج، فمتى كان عمر الشخص المتخذ أساساً للمقارنة يقل عن 65 سنة، كانت نسبة الأسر الفقيرة 5.1 في المائة، في حين ترتفع إلى 16.1 ف</w:t>
      </w:r>
      <w:r>
        <w:rPr>
          <w:rFonts w:hint="cs"/>
          <w:rtl/>
        </w:rPr>
        <w:t>ي المائة متى كان عمر الشخص المتخذ أساساً للمقارنة يفوق 65 سنة.</w:t>
      </w:r>
    </w:p>
    <w:p w:rsidR="00000000" w:rsidRDefault="00A208FF">
      <w:pPr>
        <w:spacing w:line="400" w:lineRule="exact"/>
        <w:jc w:val="both"/>
        <w:rPr>
          <w:rFonts w:hint="cs"/>
          <w:rtl/>
        </w:rPr>
      </w:pPr>
      <w:r>
        <w:rPr>
          <w:rFonts w:hint="cs"/>
          <w:rtl/>
        </w:rPr>
        <w:t>178-</w:t>
      </w:r>
      <w:r>
        <w:rPr>
          <w:rFonts w:hint="cs"/>
          <w:rtl/>
        </w:rPr>
        <w:tab/>
        <w:t>وفيما يتعلق بعمر الشخص المتخذ أساساً للمقارنة، فإن خطر التعرض للفقر يظل هو نفسه بالنسبة إلى جميع الفئات العمرية إلى غاية 64 سنة، ويتراوح بين 8.5 في المائة و10.9 في المائة ويرتفع كثيراً حتى</w:t>
      </w:r>
      <w:r>
        <w:rPr>
          <w:rFonts w:hint="cs"/>
          <w:rtl/>
        </w:rPr>
        <w:t xml:space="preserve"> 16.4 في المائة عندما يكون الشخص المعني من المسنين. ومتى كان هذا الشخص امرأة، كانت نسبة تعرض الأسر لخطر الفقر أعلى (12.6 في المائة مقارنة ب‍ 11.7 في المائة). وبالإمكان ملاحظة وجود علاقة واضحة بين المؤهلات التعليمية وانتشار الفقر: فكلما ارتفع مستوى التحصيل </w:t>
      </w:r>
      <w:r>
        <w:rPr>
          <w:rFonts w:hint="cs"/>
          <w:rtl/>
        </w:rPr>
        <w:t>العلمي، انخفض مستوى الفقر.</w:t>
      </w:r>
    </w:p>
    <w:p w:rsidR="00000000" w:rsidRDefault="00A208FF">
      <w:pPr>
        <w:spacing w:line="400" w:lineRule="exact"/>
        <w:jc w:val="both"/>
        <w:rPr>
          <w:rFonts w:hint="cs"/>
          <w:rtl/>
        </w:rPr>
      </w:pPr>
      <w:r>
        <w:rPr>
          <w:rFonts w:hint="cs"/>
          <w:rtl/>
        </w:rPr>
        <w:t>179-</w:t>
      </w:r>
      <w:r>
        <w:rPr>
          <w:rFonts w:hint="cs"/>
          <w:rtl/>
        </w:rPr>
        <w:tab/>
        <w:t>وفيما يتعلق بالوضع المهني أو الوظيفي، فإن أعلى مستويات الفقر توجد في صفوف الأسر التي يكون فيها الشخص المتخذ أساساً للمقارنة عاطلاً عن العمل (28.7 في المائة)؛ ويلاحظ ذلك بوجه خاص في جنوب إيطاليا. أما الأسر التي يكون فيها الشخ</w:t>
      </w:r>
      <w:r>
        <w:rPr>
          <w:rFonts w:hint="cs"/>
          <w:rtl/>
        </w:rPr>
        <w:t>ص المتخذ أساساً للمقارنة متقاعداً فإنها تمثل نسبة عالية هي الأخرى على الصعيد الوطني (13.5 في المائة)، ويلاحظ أن هذا الوضع يسود بشكل حاد في الجنوب أيضاً. وأما الأسر التي يكون فيها الشخص المتخذ أساساً للمقارنة عاملاً، سواء أكان موظفاً أم يعمل لحسابه الخاص، ف</w:t>
      </w:r>
      <w:r>
        <w:rPr>
          <w:rFonts w:hint="cs"/>
          <w:rtl/>
        </w:rPr>
        <w:t>إن النسبة تكون أدنى.</w:t>
      </w:r>
    </w:p>
    <w:p w:rsidR="00000000" w:rsidRDefault="00A208FF">
      <w:pPr>
        <w:spacing w:line="400" w:lineRule="exact"/>
        <w:jc w:val="both"/>
        <w:rPr>
          <w:rFonts w:hint="cs"/>
          <w:b/>
          <w:bCs/>
          <w:rtl/>
        </w:rPr>
      </w:pPr>
      <w:r>
        <w:rPr>
          <w:rFonts w:hint="cs"/>
          <w:b/>
          <w:bCs/>
          <w:rtl/>
        </w:rPr>
        <w:t>الفقر المطلق</w:t>
      </w:r>
    </w:p>
    <w:p w:rsidR="00000000" w:rsidRDefault="00A208FF">
      <w:pPr>
        <w:spacing w:line="400" w:lineRule="exact"/>
        <w:jc w:val="both"/>
        <w:rPr>
          <w:rFonts w:hint="cs"/>
          <w:rtl/>
        </w:rPr>
      </w:pPr>
      <w:r>
        <w:rPr>
          <w:rFonts w:hint="cs"/>
          <w:rtl/>
        </w:rPr>
        <w:t>180-</w:t>
      </w:r>
      <w:r>
        <w:rPr>
          <w:rFonts w:hint="cs"/>
          <w:rtl/>
        </w:rPr>
        <w:tab/>
        <w:t>إن الفقر المطلق - الذي يحدد بالنسبة لنفقات الاستهلاك التي هي أدنى من القيمة النقدية لسلة السلع والخدمات الأساسية - يصيـب نسبة ضئيلة من السكان، لأن العتبة في هذه الحالة تكون منخفضة. ففي عام 1999، كانت نسبة 4.8 في المائ</w:t>
      </w:r>
      <w:r>
        <w:rPr>
          <w:rFonts w:hint="cs"/>
          <w:rtl/>
        </w:rPr>
        <w:t xml:space="preserve">ة من الأسـر الإيطالية تعيش في حـالة من الفقر المطلـق، وهو ما يعادل 000 038 1 شخص، ويمثل ارتفاعاً بما يزيد عن 000 70 شخص مقارنة بعام 1998. ويلاحظ مرة أخرى تركز عدد كبير من المصابين بالفقر المطلق في المناطق الجنوبية من إيطاليا، حيث تبلغ نسبته 11.0 في المائة </w:t>
      </w:r>
      <w:r>
        <w:rPr>
          <w:rFonts w:hint="cs"/>
          <w:rtl/>
        </w:rPr>
        <w:t>مقـارنة بما نسبته 1.4 في المائة في الشمال و2.6 في المائة في وسط البلاد.</w:t>
      </w:r>
    </w:p>
    <w:p w:rsidR="00000000" w:rsidRDefault="00A208FF">
      <w:pPr>
        <w:spacing w:line="400" w:lineRule="exact"/>
        <w:jc w:val="both"/>
        <w:rPr>
          <w:rFonts w:hint="cs"/>
          <w:b/>
          <w:bCs/>
          <w:rtl/>
        </w:rPr>
      </w:pPr>
      <w:r>
        <w:rPr>
          <w:rFonts w:hint="cs"/>
          <w:b/>
          <w:bCs/>
          <w:rtl/>
        </w:rPr>
        <w:t>الحماية الاجتماعية</w:t>
      </w:r>
    </w:p>
    <w:p w:rsidR="00000000" w:rsidRDefault="00A208FF">
      <w:pPr>
        <w:spacing w:line="400" w:lineRule="exact"/>
        <w:jc w:val="both"/>
        <w:rPr>
          <w:rFonts w:hint="cs"/>
          <w:rtl/>
        </w:rPr>
      </w:pPr>
      <w:r>
        <w:rPr>
          <w:rFonts w:hint="cs"/>
          <w:rtl/>
        </w:rPr>
        <w:t>181-</w:t>
      </w:r>
      <w:r>
        <w:rPr>
          <w:rFonts w:hint="cs"/>
          <w:rtl/>
        </w:rPr>
        <w:tab/>
        <w:t>يقوم نظام الحماية الاجتماعية (باستثناء المعاشات)، في مجال توزيع الدخل على المحرومين اقتصادياً، بدور محدود نوعاً ما. فاستناداً إلى بيانات عام 1996، انخفض عدد "ال</w:t>
      </w:r>
      <w:r>
        <w:rPr>
          <w:rFonts w:hint="cs"/>
          <w:rtl/>
        </w:rPr>
        <w:t>فقراء" من 22 في المائة إلى 19 في المائة بفضل تدخل نظام الحماية الاجتماعية (باستثناء المعاشات). وتؤدي المعاشات دوراً مهماً جداً في إعادة توزيع الدخل، وتشمل معاشات كبر السن و"الأقدمية". وتتوقف الأقدمية على سنوات العمل وسجل الاشتراكات. وهناك نحو 10 ملايين متق</w:t>
      </w:r>
      <w:r>
        <w:rPr>
          <w:rFonts w:hint="cs"/>
          <w:rtl/>
        </w:rPr>
        <w:t>اعد يعيشون في 40 في المائة من الأسر الإيطالية حيث يعد ذلك المعاش غالباً مصدر الدخل الرئيسي.</w:t>
      </w:r>
    </w:p>
    <w:p w:rsidR="00000000" w:rsidRDefault="00A208FF">
      <w:pPr>
        <w:spacing w:line="400" w:lineRule="exact"/>
        <w:jc w:val="both"/>
        <w:rPr>
          <w:rFonts w:hint="cs"/>
          <w:rtl/>
        </w:rPr>
      </w:pPr>
      <w:r>
        <w:rPr>
          <w:rFonts w:hint="cs"/>
          <w:rtl/>
        </w:rPr>
        <w:t>182-</w:t>
      </w:r>
      <w:r>
        <w:rPr>
          <w:rFonts w:hint="cs"/>
          <w:rtl/>
        </w:rPr>
        <w:tab/>
        <w:t>وتشمل المعاشات الأخرى في إطار النظام الإيطالي: المعاشات الاجتماعية التي تدفع إلى زهاء 000 800 شخص تتجاوز أعمارهم 65 عاماً وتؤدي دور الدخل الأدنى المضمون للمسني</w:t>
      </w:r>
      <w:r>
        <w:rPr>
          <w:rFonts w:hint="cs"/>
          <w:rtl/>
        </w:rPr>
        <w:t>ن؛ والمبلغ الإضافي الذي يدفع للوصول إلى الحد الأدنى لمعاشات العمال؛ ومعاشات العجز، ومعاشات الحرب. وتوجه المبادرات في هذه المجالات أساساً إلى بعض الفئات بعينها: المسنين والفقراء والنساء اللائي يعلن أطفالاً معوقين، والأسر التي تعول أطفالاً والمواطنين الذين ي</w:t>
      </w:r>
      <w:r>
        <w:rPr>
          <w:rFonts w:hint="cs"/>
          <w:rtl/>
        </w:rPr>
        <w:t>قل دخلهم عن حدِّ الفقر.</w:t>
      </w:r>
    </w:p>
    <w:p w:rsidR="00000000" w:rsidRDefault="00A208FF">
      <w:pPr>
        <w:spacing w:line="400" w:lineRule="exact"/>
        <w:jc w:val="both"/>
        <w:rPr>
          <w:rFonts w:hint="cs"/>
          <w:rtl/>
        </w:rPr>
      </w:pPr>
      <w:r>
        <w:rPr>
          <w:rFonts w:hint="cs"/>
          <w:rtl/>
        </w:rPr>
        <w:t>183-</w:t>
      </w:r>
      <w:r>
        <w:rPr>
          <w:rFonts w:hint="cs"/>
          <w:rtl/>
        </w:rPr>
        <w:tab/>
        <w:t>وتشمل وسائل الحماية الاجتماعية لمكافحة الفقر ما يلي:</w:t>
      </w:r>
    </w:p>
    <w:p w:rsidR="00000000" w:rsidRDefault="00A208FF">
      <w:pPr>
        <w:spacing w:line="400" w:lineRule="exact"/>
        <w:jc w:val="both"/>
        <w:rPr>
          <w:rFonts w:hint="cs"/>
          <w:rtl/>
        </w:rPr>
      </w:pPr>
      <w:r>
        <w:rPr>
          <w:rFonts w:hint="cs"/>
          <w:rtl/>
        </w:rPr>
        <w:tab/>
        <w:t>-</w:t>
      </w:r>
      <w:r>
        <w:rPr>
          <w:rFonts w:hint="cs"/>
          <w:rtl/>
        </w:rPr>
        <w:tab/>
        <w:t>المعاشات الاجتماعية</w:t>
      </w:r>
    </w:p>
    <w:p w:rsidR="00000000" w:rsidRDefault="00A208FF">
      <w:pPr>
        <w:spacing w:line="400" w:lineRule="exact"/>
        <w:jc w:val="both"/>
        <w:rPr>
          <w:rFonts w:hint="cs"/>
          <w:rtl/>
        </w:rPr>
      </w:pPr>
      <w:r>
        <w:rPr>
          <w:rFonts w:hint="cs"/>
          <w:rtl/>
        </w:rPr>
        <w:tab/>
      </w:r>
      <w:r>
        <w:rPr>
          <w:rFonts w:hint="cs"/>
          <w:rtl/>
        </w:rPr>
        <w:tab/>
        <w:t>لفائدة المسنين ذوي الدخل المحدود والذين لا تكفيهم استحقاقات الضمان الاجتماعي؛</w:t>
      </w:r>
    </w:p>
    <w:p w:rsidR="00000000" w:rsidRDefault="00A208FF">
      <w:pPr>
        <w:spacing w:line="400" w:lineRule="exact"/>
        <w:jc w:val="both"/>
        <w:rPr>
          <w:rFonts w:hint="cs"/>
          <w:rtl/>
        </w:rPr>
      </w:pPr>
      <w:r>
        <w:rPr>
          <w:rFonts w:hint="cs"/>
          <w:rtl/>
        </w:rPr>
        <w:tab/>
        <w:t>-</w:t>
      </w:r>
      <w:r>
        <w:rPr>
          <w:rFonts w:hint="cs"/>
          <w:rtl/>
        </w:rPr>
        <w:tab/>
        <w:t>المعاشات التقاعدية الدنيا</w:t>
      </w:r>
    </w:p>
    <w:p w:rsidR="00000000" w:rsidRDefault="00A208FF">
      <w:pPr>
        <w:spacing w:line="400" w:lineRule="exact"/>
        <w:jc w:val="both"/>
        <w:rPr>
          <w:rFonts w:hint="cs"/>
          <w:rtl/>
        </w:rPr>
      </w:pPr>
      <w:r>
        <w:rPr>
          <w:rFonts w:hint="cs"/>
          <w:rtl/>
        </w:rPr>
        <w:tab/>
      </w:r>
      <w:r>
        <w:rPr>
          <w:rFonts w:hint="cs"/>
          <w:rtl/>
        </w:rPr>
        <w:tab/>
        <w:t>لفائدة المتقاعدين الذي سددوا أقساطاً تقل</w:t>
      </w:r>
      <w:r>
        <w:rPr>
          <w:rFonts w:hint="cs"/>
          <w:rtl/>
        </w:rPr>
        <w:t xml:space="preserve"> عن الحد الأدنى؛</w:t>
      </w:r>
    </w:p>
    <w:p w:rsidR="00000000" w:rsidRDefault="00A208FF">
      <w:pPr>
        <w:spacing w:line="400" w:lineRule="exact"/>
        <w:jc w:val="both"/>
        <w:rPr>
          <w:rFonts w:hint="cs"/>
          <w:rtl/>
        </w:rPr>
      </w:pPr>
      <w:r>
        <w:rPr>
          <w:rFonts w:hint="cs"/>
          <w:rtl/>
        </w:rPr>
        <w:tab/>
        <w:t>-</w:t>
      </w:r>
      <w:r>
        <w:rPr>
          <w:rFonts w:hint="cs"/>
          <w:rtl/>
        </w:rPr>
        <w:tab/>
        <w:t>معاشات "العجز عن العمل"</w:t>
      </w:r>
    </w:p>
    <w:p w:rsidR="00000000" w:rsidRDefault="00A208FF">
      <w:pPr>
        <w:spacing w:line="400" w:lineRule="exact"/>
        <w:ind w:left="1400" w:hanging="720"/>
        <w:jc w:val="both"/>
        <w:rPr>
          <w:rFonts w:hint="cs"/>
          <w:rtl/>
        </w:rPr>
      </w:pPr>
      <w:r>
        <w:rPr>
          <w:rFonts w:hint="cs"/>
          <w:rtl/>
        </w:rPr>
        <w:tab/>
      </w:r>
      <w:r>
        <w:rPr>
          <w:rFonts w:hint="cs"/>
          <w:rtl/>
        </w:rPr>
        <w:tab/>
        <w:t>لفائدة الأشخاص الذين يفون بمتطلبات الاشتراك والذين يعانون من عاهات خطيرة ودائمة تمنعهم من العمل؛</w:t>
      </w:r>
    </w:p>
    <w:p w:rsidR="00000000" w:rsidRDefault="00A208FF">
      <w:pPr>
        <w:spacing w:line="400" w:lineRule="exact"/>
        <w:jc w:val="both"/>
        <w:rPr>
          <w:rFonts w:hint="cs"/>
          <w:rtl/>
        </w:rPr>
      </w:pPr>
      <w:r>
        <w:rPr>
          <w:rFonts w:hint="cs"/>
          <w:rtl/>
        </w:rPr>
        <w:tab/>
        <w:t>-</w:t>
      </w:r>
      <w:r>
        <w:rPr>
          <w:rFonts w:hint="cs"/>
          <w:rtl/>
        </w:rPr>
        <w:tab/>
        <w:t>معاشات العجز العادي</w:t>
      </w:r>
    </w:p>
    <w:p w:rsidR="00000000" w:rsidRDefault="00A208FF">
      <w:pPr>
        <w:spacing w:line="400" w:lineRule="exact"/>
        <w:ind w:left="1440" w:hanging="720"/>
        <w:jc w:val="both"/>
        <w:rPr>
          <w:rFonts w:hint="cs"/>
          <w:rtl/>
        </w:rPr>
      </w:pPr>
      <w:r>
        <w:rPr>
          <w:rFonts w:hint="cs"/>
          <w:rtl/>
        </w:rPr>
        <w:tab/>
        <w:t xml:space="preserve">لفائدة الأشخاص الذين يفون بمتطلبات الاشتراك والذين يعانون من عجز يفضي إلى خفض قدرتهم على </w:t>
      </w:r>
      <w:r>
        <w:rPr>
          <w:rFonts w:hint="cs"/>
          <w:rtl/>
        </w:rPr>
        <w:t>العمل بنسبة الثلثين على أقل تقدير؛</w:t>
      </w:r>
    </w:p>
    <w:p w:rsidR="00000000" w:rsidRDefault="00A208FF">
      <w:pPr>
        <w:spacing w:line="400" w:lineRule="exact"/>
        <w:jc w:val="both"/>
        <w:rPr>
          <w:rFonts w:hint="cs"/>
          <w:rtl/>
        </w:rPr>
      </w:pPr>
      <w:r>
        <w:rPr>
          <w:rFonts w:hint="cs"/>
          <w:rtl/>
        </w:rPr>
        <w:tab/>
        <w:t>-</w:t>
      </w:r>
      <w:r>
        <w:rPr>
          <w:rFonts w:hint="cs"/>
          <w:rtl/>
        </w:rPr>
        <w:tab/>
        <w:t>علاوة الأسرة</w:t>
      </w:r>
    </w:p>
    <w:p w:rsidR="00000000" w:rsidRDefault="00A208FF">
      <w:pPr>
        <w:spacing w:line="400" w:lineRule="exact"/>
        <w:ind w:left="1440" w:hanging="720"/>
        <w:jc w:val="both"/>
        <w:rPr>
          <w:rFonts w:hint="cs"/>
          <w:rtl/>
        </w:rPr>
      </w:pPr>
      <w:r>
        <w:rPr>
          <w:rFonts w:hint="cs"/>
          <w:rtl/>
        </w:rPr>
        <w:tab/>
        <w:t>لفائدة العمال والمتقاعدين الذين يشتغلون كعمال موظفين ويعولون أفراد أسرتهم ويفون ببعض المتطلبات المتصلة بالدخل؛</w:t>
      </w:r>
    </w:p>
    <w:p w:rsidR="00000000" w:rsidRDefault="00A208FF">
      <w:pPr>
        <w:spacing w:line="400" w:lineRule="exact"/>
        <w:jc w:val="both"/>
        <w:rPr>
          <w:rFonts w:hint="cs"/>
          <w:rtl/>
        </w:rPr>
      </w:pPr>
      <w:r>
        <w:rPr>
          <w:rFonts w:hint="cs"/>
          <w:rtl/>
        </w:rPr>
        <w:tab/>
        <w:t>-</w:t>
      </w:r>
      <w:r>
        <w:rPr>
          <w:rFonts w:hint="cs"/>
          <w:rtl/>
        </w:rPr>
        <w:tab/>
        <w:t>علاوة الأسرة لصالح العمال الذين يعملون لحسابهم الخاص</w:t>
      </w:r>
    </w:p>
    <w:p w:rsidR="00000000" w:rsidRDefault="00A208FF">
      <w:pPr>
        <w:spacing w:line="400" w:lineRule="exact"/>
        <w:ind w:left="1440" w:hanging="720"/>
        <w:jc w:val="both"/>
        <w:rPr>
          <w:rFonts w:hint="cs"/>
          <w:rtl/>
        </w:rPr>
      </w:pPr>
      <w:r>
        <w:rPr>
          <w:rFonts w:hint="cs"/>
          <w:rtl/>
        </w:rPr>
        <w:tab/>
        <w:t xml:space="preserve">لفائدة العمال الذين يشتركون في نظام </w:t>
      </w:r>
      <w:r>
        <w:rPr>
          <w:rFonts w:hint="cs"/>
          <w:rtl/>
        </w:rPr>
        <w:t>الضمان الوطني للعاملين لحسابهم الخاص والذين يعولون أفراد أسرهم ويفون ببعض المتطلبات المتصلة بالدخل؛</w:t>
      </w:r>
    </w:p>
    <w:p w:rsidR="00000000" w:rsidRDefault="00A208FF">
      <w:pPr>
        <w:spacing w:line="400" w:lineRule="exact"/>
        <w:jc w:val="both"/>
        <w:rPr>
          <w:rFonts w:hint="cs"/>
          <w:rtl/>
        </w:rPr>
      </w:pPr>
      <w:r>
        <w:rPr>
          <w:rFonts w:hint="cs"/>
          <w:rtl/>
        </w:rPr>
        <w:tab/>
        <w:t>-</w:t>
      </w:r>
      <w:r>
        <w:rPr>
          <w:rFonts w:hint="cs"/>
          <w:rtl/>
        </w:rPr>
        <w:tab/>
        <w:t>العلاوات الأسرية</w:t>
      </w:r>
    </w:p>
    <w:p w:rsidR="00000000" w:rsidRDefault="00A208FF">
      <w:pPr>
        <w:spacing w:line="400" w:lineRule="exact"/>
        <w:ind w:left="1440" w:hanging="720"/>
        <w:jc w:val="both"/>
        <w:rPr>
          <w:rFonts w:hint="cs"/>
          <w:rtl/>
        </w:rPr>
      </w:pPr>
      <w:r>
        <w:rPr>
          <w:rFonts w:hint="cs"/>
          <w:rtl/>
        </w:rPr>
        <w:tab/>
        <w:t>لفائدة المزارعين والعمال الزراعيين والمتقاعدين الذين يشتركون في أنظمة خاصة للضمان الوطني والذين يعولون أفراد أسرهم ويفون ببعض المتطلبات</w:t>
      </w:r>
      <w:r>
        <w:rPr>
          <w:rFonts w:hint="cs"/>
          <w:rtl/>
        </w:rPr>
        <w:t xml:space="preserve"> المتصلة بالدخل؛</w:t>
      </w:r>
    </w:p>
    <w:p w:rsidR="00000000" w:rsidRDefault="00A208FF">
      <w:pPr>
        <w:spacing w:line="400" w:lineRule="exact"/>
        <w:jc w:val="both"/>
        <w:rPr>
          <w:rFonts w:hint="cs"/>
          <w:rtl/>
        </w:rPr>
      </w:pPr>
      <w:r>
        <w:rPr>
          <w:rFonts w:hint="cs"/>
          <w:rtl/>
        </w:rPr>
        <w:tab/>
        <w:t>-</w:t>
      </w:r>
      <w:r>
        <w:rPr>
          <w:rFonts w:hint="cs"/>
          <w:rtl/>
        </w:rPr>
        <w:tab/>
        <w:t>الصندوق الوطني لاستئجار السكن</w:t>
      </w:r>
    </w:p>
    <w:p w:rsidR="00000000" w:rsidRDefault="00A208FF">
      <w:pPr>
        <w:spacing w:line="400" w:lineRule="exact"/>
        <w:ind w:left="1440" w:hanging="720"/>
        <w:jc w:val="both"/>
        <w:rPr>
          <w:rFonts w:hint="cs"/>
          <w:rtl/>
        </w:rPr>
      </w:pPr>
      <w:r>
        <w:rPr>
          <w:rFonts w:hint="cs"/>
          <w:rtl/>
        </w:rPr>
        <w:tab/>
        <w:t>لفائدة الأشخاص الذين أبرموا عقوداً لإيجار مساكن والذين يبلغ دخلهم حداً أدنى معيناً أو يقل عن ذلك الحد؛</w:t>
      </w:r>
    </w:p>
    <w:p w:rsidR="00000000" w:rsidRDefault="00A208FF">
      <w:pPr>
        <w:spacing w:line="400" w:lineRule="exact"/>
        <w:jc w:val="both"/>
        <w:rPr>
          <w:rFonts w:hint="cs"/>
          <w:rtl/>
        </w:rPr>
      </w:pPr>
      <w:r>
        <w:rPr>
          <w:rFonts w:hint="cs"/>
          <w:rtl/>
        </w:rPr>
        <w:tab/>
        <w:t>-</w:t>
      </w:r>
      <w:r>
        <w:rPr>
          <w:rFonts w:hint="cs"/>
          <w:rtl/>
        </w:rPr>
        <w:tab/>
        <w:t>خصم الضرائب على الدخل</w:t>
      </w:r>
    </w:p>
    <w:p w:rsidR="00000000" w:rsidRDefault="00A208FF">
      <w:pPr>
        <w:spacing w:line="400" w:lineRule="exact"/>
        <w:ind w:left="1440" w:hanging="720"/>
        <w:jc w:val="both"/>
        <w:rPr>
          <w:rFonts w:hint="cs"/>
          <w:rtl/>
        </w:rPr>
      </w:pPr>
      <w:r>
        <w:rPr>
          <w:rFonts w:hint="cs"/>
          <w:rtl/>
        </w:rPr>
        <w:tab/>
        <w:t xml:space="preserve">لفائدة الأشخاص الذين أبرموا عقوداً لإيجار مساكن والذين يبلغ دخلهم حداً أدنى </w:t>
      </w:r>
      <w:r>
        <w:rPr>
          <w:rFonts w:hint="cs"/>
          <w:rtl/>
        </w:rPr>
        <w:t>معينا أو يقل عن ذلك الحد؛</w:t>
      </w:r>
    </w:p>
    <w:p w:rsidR="00000000" w:rsidRDefault="00A208FF">
      <w:pPr>
        <w:spacing w:line="400" w:lineRule="exact"/>
        <w:jc w:val="both"/>
        <w:rPr>
          <w:rFonts w:hint="cs"/>
          <w:rtl/>
        </w:rPr>
      </w:pPr>
      <w:r>
        <w:rPr>
          <w:rFonts w:hint="cs"/>
          <w:rtl/>
        </w:rPr>
        <w:tab/>
        <w:t>-</w:t>
      </w:r>
      <w:r>
        <w:rPr>
          <w:rFonts w:hint="cs"/>
          <w:rtl/>
        </w:rPr>
        <w:tab/>
        <w:t>علاوات العجز "المدني"</w:t>
      </w:r>
    </w:p>
    <w:p w:rsidR="00000000" w:rsidRDefault="00A208FF">
      <w:pPr>
        <w:spacing w:line="400" w:lineRule="exact"/>
        <w:ind w:left="1440" w:hanging="720"/>
        <w:jc w:val="both"/>
        <w:rPr>
          <w:rFonts w:hint="cs"/>
          <w:rtl/>
        </w:rPr>
      </w:pPr>
      <w:r>
        <w:rPr>
          <w:rFonts w:hint="cs"/>
          <w:rtl/>
        </w:rPr>
        <w:tab/>
        <w:t>لفائدة الأشخاص الذين تبلغ نسبة العجز لديهم 74 في المائة والذين يبلغ دخلهم حداً أدنى معيناً أو يقل عن ذلك الحد؛</w:t>
      </w:r>
    </w:p>
    <w:p w:rsidR="00000000" w:rsidRDefault="00A208FF">
      <w:pPr>
        <w:spacing w:line="400" w:lineRule="exact"/>
        <w:jc w:val="both"/>
        <w:rPr>
          <w:rFonts w:hint="cs"/>
          <w:rtl/>
        </w:rPr>
      </w:pPr>
      <w:r>
        <w:rPr>
          <w:rFonts w:hint="cs"/>
          <w:rtl/>
        </w:rPr>
        <w:tab/>
        <w:t>-</w:t>
      </w:r>
      <w:r>
        <w:rPr>
          <w:rFonts w:hint="cs"/>
          <w:rtl/>
        </w:rPr>
        <w:tab/>
        <w:t>علاوة الأمومة</w:t>
      </w:r>
    </w:p>
    <w:p w:rsidR="00000000" w:rsidRDefault="00A208FF">
      <w:pPr>
        <w:spacing w:line="400" w:lineRule="exact"/>
        <w:ind w:left="1440" w:hanging="720"/>
        <w:jc w:val="both"/>
        <w:rPr>
          <w:rFonts w:hint="cs"/>
          <w:rtl/>
        </w:rPr>
      </w:pPr>
      <w:r>
        <w:rPr>
          <w:rFonts w:hint="cs"/>
          <w:rtl/>
        </w:rPr>
        <w:tab/>
        <w:t>لفائدة الأمهات اللائي لا يحصلن على تعويض الأمومة واللائي يبلغ دخلهن حداً أد</w:t>
      </w:r>
      <w:r>
        <w:rPr>
          <w:rFonts w:hint="cs"/>
          <w:rtl/>
        </w:rPr>
        <w:t>نى معيناً أو يقل عن ذلك الحد؛</w:t>
      </w:r>
    </w:p>
    <w:p w:rsidR="00000000" w:rsidRDefault="00A208FF">
      <w:pPr>
        <w:spacing w:line="400" w:lineRule="exact"/>
        <w:jc w:val="both"/>
        <w:rPr>
          <w:rFonts w:hint="cs"/>
          <w:rtl/>
        </w:rPr>
      </w:pPr>
      <w:r>
        <w:rPr>
          <w:rFonts w:hint="cs"/>
          <w:rtl/>
        </w:rPr>
        <w:tab/>
        <w:t>-</w:t>
      </w:r>
      <w:r>
        <w:rPr>
          <w:rFonts w:hint="cs"/>
          <w:rtl/>
        </w:rPr>
        <w:tab/>
        <w:t>علاوة الأسر التي لا يقل عدد الأطفال فيها عن ثلاثة</w:t>
      </w:r>
    </w:p>
    <w:p w:rsidR="00000000" w:rsidRDefault="00A208FF">
      <w:pPr>
        <w:spacing w:line="400" w:lineRule="exact"/>
        <w:ind w:left="1440" w:hanging="720"/>
        <w:jc w:val="both"/>
        <w:rPr>
          <w:rFonts w:hint="cs"/>
          <w:rtl/>
        </w:rPr>
      </w:pPr>
      <w:r>
        <w:rPr>
          <w:rFonts w:hint="cs"/>
          <w:rtl/>
        </w:rPr>
        <w:tab/>
        <w:t>لفائدة الأسر التي لديها ما لا يقل عن ثلاثة أطفال أحداث ودخل يبلغ حداً أدنى معيناً أو يقل عن ذلك الحد؛</w:t>
      </w:r>
    </w:p>
    <w:p w:rsidR="00000000" w:rsidRDefault="00A208FF">
      <w:pPr>
        <w:spacing w:line="400" w:lineRule="exact"/>
        <w:jc w:val="both"/>
        <w:rPr>
          <w:rFonts w:hint="cs"/>
          <w:rtl/>
        </w:rPr>
      </w:pPr>
      <w:r>
        <w:rPr>
          <w:rFonts w:hint="cs"/>
          <w:rtl/>
        </w:rPr>
        <w:tab/>
        <w:t>-</w:t>
      </w:r>
      <w:r>
        <w:rPr>
          <w:rFonts w:hint="cs"/>
          <w:rtl/>
        </w:rPr>
        <w:tab/>
        <w:t>بدل الإدماج الأدنى (يمنح حالياً على أساس تجريبي في بعض أنحاء البلاد</w:t>
      </w:r>
      <w:r>
        <w:rPr>
          <w:rFonts w:hint="cs"/>
          <w:rtl/>
        </w:rPr>
        <w:t>)</w:t>
      </w:r>
    </w:p>
    <w:p w:rsidR="00000000" w:rsidRDefault="00A208FF">
      <w:pPr>
        <w:spacing w:line="400" w:lineRule="exact"/>
        <w:ind w:left="1440" w:hanging="720"/>
        <w:jc w:val="both"/>
        <w:rPr>
          <w:rFonts w:hint="cs"/>
          <w:rtl/>
        </w:rPr>
      </w:pPr>
      <w:r>
        <w:rPr>
          <w:rFonts w:hint="cs"/>
          <w:rtl/>
        </w:rPr>
        <w:tab/>
        <w:t>لفائدة جميع المواطنين في المناطق المعنية الذين يبلغ دخلهم حداً أدنى معيناً أو يقل عن ذلك الحد.</w:t>
      </w:r>
    </w:p>
    <w:p w:rsidR="00000000" w:rsidRDefault="00A208FF">
      <w:pPr>
        <w:spacing w:line="400" w:lineRule="exact"/>
        <w:jc w:val="both"/>
        <w:rPr>
          <w:rFonts w:hint="cs"/>
          <w:rtl/>
        </w:rPr>
      </w:pPr>
      <w:r>
        <w:rPr>
          <w:rFonts w:hint="cs"/>
          <w:rtl/>
        </w:rPr>
        <w:t>184-</w:t>
      </w:r>
      <w:r>
        <w:rPr>
          <w:rFonts w:hint="cs"/>
          <w:rtl/>
        </w:rPr>
        <w:tab/>
        <w:t>وينبغي أن تضاف إلى هذه النظم الوطنية للحماية أشكال الضمان الأخرى التي تتوفر على الصعيد المحلي لصالح الفئات المحتاجة. ويتضمن ذلك أيضاً الفئات غير المشمولة</w:t>
      </w:r>
      <w:r>
        <w:rPr>
          <w:rFonts w:hint="cs"/>
          <w:rtl/>
        </w:rPr>
        <w:t xml:space="preserve"> بالضمان على الصعيد الوطني.</w:t>
      </w:r>
    </w:p>
    <w:p w:rsidR="00000000" w:rsidRDefault="00A208FF">
      <w:pPr>
        <w:spacing w:line="400" w:lineRule="exact"/>
        <w:jc w:val="both"/>
        <w:rPr>
          <w:rFonts w:hint="cs"/>
          <w:b/>
          <w:bCs/>
          <w:rtl/>
        </w:rPr>
      </w:pPr>
      <w:r>
        <w:rPr>
          <w:rFonts w:hint="cs"/>
          <w:b/>
          <w:bCs/>
          <w:rtl/>
        </w:rPr>
        <w:t>بدل الإدماج الأدنى</w:t>
      </w:r>
    </w:p>
    <w:p w:rsidR="00000000" w:rsidRDefault="00A208FF">
      <w:pPr>
        <w:spacing w:line="400" w:lineRule="exact"/>
        <w:jc w:val="both"/>
        <w:rPr>
          <w:rFonts w:hint="cs"/>
          <w:rtl/>
        </w:rPr>
      </w:pPr>
      <w:r>
        <w:rPr>
          <w:rFonts w:hint="cs"/>
          <w:rtl/>
        </w:rPr>
        <w:t>185-</w:t>
      </w:r>
      <w:r>
        <w:rPr>
          <w:rFonts w:hint="cs"/>
          <w:rtl/>
        </w:rPr>
        <w:tab/>
        <w:t>استحدث المرسوم التشريعي 237/1998 بدل الإدماج الأدنى على أساس تجريبي، وهو "إجراء يرمي إلى مكافحة الفقر والإقصاء الاجتماعي"، كما يستهدف وضع برامج مكيفة بحسب الحالات ودعم الدخل في شكل تحويلات مالية. وبسبب ال</w:t>
      </w:r>
      <w:r>
        <w:rPr>
          <w:rFonts w:hint="cs"/>
          <w:rtl/>
        </w:rPr>
        <w:t>طبيعة التجريبية لهذه العلاوة، فإن تطبيقها محدود من حيث المدة والمناطق المشمولة. فقد جرى التركيز على جنوب إيطاليا، وإن كان نطاق هذا النظام قد توسع (من حيث المدة والمناطق المشمولة أيضاً).</w:t>
      </w:r>
    </w:p>
    <w:p w:rsidR="00000000" w:rsidRDefault="00A208FF">
      <w:pPr>
        <w:spacing w:line="400" w:lineRule="exact"/>
        <w:jc w:val="both"/>
        <w:rPr>
          <w:rFonts w:hint="cs"/>
          <w:rtl/>
        </w:rPr>
      </w:pPr>
      <w:r>
        <w:rPr>
          <w:rFonts w:hint="cs"/>
          <w:rtl/>
        </w:rPr>
        <w:t>186-</w:t>
      </w:r>
      <w:r>
        <w:rPr>
          <w:rFonts w:hint="cs"/>
          <w:rtl/>
        </w:rPr>
        <w:tab/>
        <w:t xml:space="preserve">والهيئات التي تنفَّذ هذا النظام التجريبي هي السلطات البلدية التي </w:t>
      </w:r>
      <w:r>
        <w:rPr>
          <w:rFonts w:hint="cs"/>
          <w:rtl/>
        </w:rPr>
        <w:t xml:space="preserve">تُختار على أساس بعض المعايير، ومنها: مستوى الفقر في مختلف المناطق المحلية؛ ونطاق المنطقة التي يتعين شملها؛ ورغبة السلطات البلدية في المشاركة. وفيما يتعلق بتوفير التمويل لتغطية تكاليف هذا النظام، فقد تقرر أن تغطي السلطات البلدية تكاليف التشغيل وتغطي الدولة </w:t>
      </w:r>
      <w:r>
        <w:rPr>
          <w:rFonts w:hint="cs"/>
          <w:rtl/>
        </w:rPr>
        <w:t>ما لا يقل عن 90 في المائة من تكاليف دعم دخل المستفيدين.</w:t>
      </w:r>
    </w:p>
    <w:p w:rsidR="00000000" w:rsidRDefault="00A208FF">
      <w:pPr>
        <w:spacing w:line="400" w:lineRule="exact"/>
        <w:jc w:val="both"/>
        <w:rPr>
          <w:rFonts w:hint="cs"/>
          <w:rtl/>
        </w:rPr>
      </w:pPr>
      <w:r>
        <w:rPr>
          <w:rFonts w:hint="cs"/>
          <w:rtl/>
        </w:rPr>
        <w:t>187-</w:t>
      </w:r>
      <w:r>
        <w:rPr>
          <w:rFonts w:hint="cs"/>
          <w:rtl/>
        </w:rPr>
        <w:tab/>
        <w:t xml:space="preserve">وقد تمثلت الخطوة التالية في وضع معايير الحصول على بدل الإدماج الأدنى. وتشمل هذه المعايير الإقامة والدخل والممتلكات، وإن كان المرسوم يعترف صراحة بأن المعيار الأولي هو أن يخصص هذا البدل للأسر التي </w:t>
      </w:r>
      <w:r>
        <w:rPr>
          <w:rFonts w:hint="cs"/>
          <w:rtl/>
        </w:rPr>
        <w:t>تعيل أطفالاً أحداثاً أو أفراداً معوقين. ويجب أن يكون دخل المستفيدين أقل من 000 520 ليرة شهرياً (في عام 2000) وألا تكون لديهم ممتلكات عقارية أو شخصية ما عدا سكنهم الذي ينبغي ألا تتجاوز قيمته على أية حال عتبة معينة تحددها السلطة البلدية. وقد استخدم في حساب ع</w:t>
      </w:r>
      <w:r>
        <w:rPr>
          <w:rFonts w:hint="cs"/>
          <w:rtl/>
        </w:rPr>
        <w:t>تبة الدخل سلَّم متدرج يراعي أوضاع الأسر الكبيرة.</w:t>
      </w:r>
    </w:p>
    <w:p w:rsidR="00000000" w:rsidRDefault="00A208FF">
      <w:pPr>
        <w:spacing w:line="400" w:lineRule="exact"/>
        <w:jc w:val="both"/>
        <w:rPr>
          <w:rFonts w:hint="cs"/>
          <w:rtl/>
        </w:rPr>
      </w:pPr>
      <w:r>
        <w:rPr>
          <w:rFonts w:hint="cs"/>
          <w:rtl/>
        </w:rPr>
        <w:t>188-</w:t>
      </w:r>
      <w:r>
        <w:rPr>
          <w:rFonts w:hint="cs"/>
          <w:rtl/>
        </w:rPr>
        <w:tab/>
        <w:t>ويترافق الدخل الإضافي مع "خطط إدماج" مكيَّفة بحسب الحالات تضعها السلطة المحلية لكل مستفيد بغية "التغلب على تهميش الأفراد والأسر بتعزيز قدرات الفرد واستقلاله المالي". ومن المطلوب أن يفي المستفيدون بالتزا</w:t>
      </w:r>
      <w:r>
        <w:rPr>
          <w:rFonts w:hint="cs"/>
          <w:rtl/>
        </w:rPr>
        <w:t>ماتهم الناشئة عن هذه البرامج.</w:t>
      </w:r>
    </w:p>
    <w:p w:rsidR="00000000" w:rsidRDefault="00A208FF">
      <w:pPr>
        <w:spacing w:line="400" w:lineRule="exact"/>
        <w:jc w:val="both"/>
        <w:rPr>
          <w:rFonts w:hint="cs"/>
          <w:rtl/>
        </w:rPr>
      </w:pPr>
      <w:r>
        <w:rPr>
          <w:rFonts w:hint="cs"/>
          <w:rtl/>
        </w:rPr>
        <w:t>189-</w:t>
      </w:r>
      <w:r>
        <w:rPr>
          <w:rFonts w:hint="cs"/>
          <w:rtl/>
        </w:rPr>
        <w:tab/>
        <w:t>وينص القانون 328/2000 (القانون الإطاري لوضع نظام متكامل للإجراءات والخدمات الاجتماعية) على تنفيذ نظام بدل الإدماج الأدنى على الصعيد الوطني بعد فترة الاختبار. غير أن ذلك يتوقف على تقييم نتائج الاختبار.</w:t>
      </w:r>
    </w:p>
    <w:p w:rsidR="00000000" w:rsidRDefault="00A208FF">
      <w:pPr>
        <w:spacing w:line="400" w:lineRule="exact"/>
        <w:jc w:val="both"/>
        <w:rPr>
          <w:rFonts w:hint="cs"/>
          <w:rtl/>
        </w:rPr>
      </w:pPr>
      <w:r>
        <w:rPr>
          <w:rFonts w:hint="cs"/>
          <w:rtl/>
        </w:rPr>
        <w:t>190-</w:t>
      </w:r>
      <w:r>
        <w:rPr>
          <w:rFonts w:hint="cs"/>
          <w:rtl/>
        </w:rPr>
        <w:tab/>
        <w:t>ونص قانون المال</w:t>
      </w:r>
      <w:r>
        <w:rPr>
          <w:rFonts w:hint="cs"/>
          <w:rtl/>
        </w:rPr>
        <w:t>ية لعام 2001 (القانون 388/2000) على توسيع نطاق الاختبار من حيث التغطية زماناً ومكاناً. فقد رصد مبلغ قدره 350 مليار ليرة لعام 2001 و430 مليار ليرة لعام 2002، وسمح للبلديات التسعة والثلاثين التي شاركت في النظام بأن تستمر في الاختبار. كما أن البلديات التي ساه</w:t>
      </w:r>
      <w:r>
        <w:rPr>
          <w:rFonts w:hint="cs"/>
          <w:rtl/>
        </w:rPr>
        <w:t>مت في "العهود الإقليمية" المصادَق عليها حتى 30 حزيران/يونيه 2000 تشارك هي الأخرى سواء وقع عليها الاختيار أو كانت في انتظار ذلك عملاً بالمرسوم التشريعي 237.</w:t>
      </w:r>
    </w:p>
    <w:p w:rsidR="00000000" w:rsidRDefault="00A208FF">
      <w:pPr>
        <w:spacing w:line="400" w:lineRule="exact"/>
        <w:jc w:val="both"/>
        <w:rPr>
          <w:rFonts w:hint="cs"/>
          <w:b/>
          <w:bCs/>
          <w:rtl/>
        </w:rPr>
      </w:pPr>
      <w:r>
        <w:rPr>
          <w:rFonts w:hint="cs"/>
          <w:b/>
          <w:bCs/>
          <w:rtl/>
        </w:rPr>
        <w:t>الحق في الحصول على غذاء كاف</w:t>
      </w:r>
    </w:p>
    <w:p w:rsidR="00000000" w:rsidRDefault="00A208FF">
      <w:pPr>
        <w:spacing w:line="400" w:lineRule="exact"/>
        <w:jc w:val="both"/>
        <w:rPr>
          <w:rFonts w:hint="cs"/>
          <w:rtl/>
        </w:rPr>
      </w:pPr>
      <w:r>
        <w:rPr>
          <w:rFonts w:hint="cs"/>
          <w:rtl/>
        </w:rPr>
        <w:t>191-</w:t>
      </w:r>
      <w:r>
        <w:rPr>
          <w:rFonts w:hint="cs"/>
          <w:rtl/>
        </w:rPr>
        <w:tab/>
        <w:t>يتصل موضوع سلامة الأغذية بعدد من القطاعات المختلفة ويؤثر في مصالح أ</w:t>
      </w:r>
      <w:r>
        <w:rPr>
          <w:rFonts w:hint="cs"/>
          <w:rtl/>
        </w:rPr>
        <w:t xml:space="preserve">كثر من فئة. وهناك حق ثابت لجميع المواطنين، بصفتهم مستهلكين، في الحصول على منتجات تتقيد بقواعد النظافة والأمن الصحي من أجل حماية الصحة، حسبما تنص عليه وتكفله المادة 32 من الدستور الإيطالي. وبجانب ذلك، ينبغي تذكر أن الأزمات التي وقعت مؤخراً (ولا سيما اكتشاف </w:t>
      </w:r>
      <w:r>
        <w:rPr>
          <w:rFonts w:hint="cs"/>
          <w:rtl/>
        </w:rPr>
        <w:t>مرض جنون البقر، الذي تفشى في الاتحاد الأوروبي برمته) قد زعزعت ثقة الجمهور في قدرة صناعة الأغذية والسلطات العامة على ضمان سلامة الأغذية. وكانت النتيجة المباشرة لهذا الوضع أن أصبحت السلامة أهم مكونات الغذاء في نظر المستهلكين. لكن السلامة الغذائية ليست أهم هو</w:t>
      </w:r>
      <w:r>
        <w:rPr>
          <w:rFonts w:hint="cs"/>
          <w:rtl/>
        </w:rPr>
        <w:t>اجس المستهلك فحسب، بل إن المصنعين ومختلف المشتغلين في قطاع الأغذية يشعرون بالحاجة إلى توفير منتجات غذائية سليمة فعلاً نظراً إلى الدور الأساسي لهذا العامل في نظام الإنتاج الحديث.</w:t>
      </w:r>
    </w:p>
    <w:p w:rsidR="00000000" w:rsidRDefault="00A208FF">
      <w:pPr>
        <w:spacing w:line="400" w:lineRule="exact"/>
        <w:jc w:val="both"/>
        <w:rPr>
          <w:rFonts w:hint="cs"/>
          <w:rtl/>
        </w:rPr>
      </w:pPr>
      <w:r>
        <w:rPr>
          <w:rFonts w:hint="cs"/>
          <w:rtl/>
        </w:rPr>
        <w:t>192-</w:t>
      </w:r>
      <w:r>
        <w:rPr>
          <w:rFonts w:hint="cs"/>
          <w:rtl/>
        </w:rPr>
        <w:tab/>
        <w:t>ثم إنه ينبغي النظر إلى ظهور قضية السلامة الغذائية باعتباره يتيح فرصة ذهبي</w:t>
      </w:r>
      <w:r>
        <w:rPr>
          <w:rFonts w:hint="cs"/>
          <w:rtl/>
        </w:rPr>
        <w:t>ة لزيادة النضج العام لنظام الإنتاج. ومن العوامل ذات الأهمية الحاسمة في هذا النوع من العمل العلاقة بين الكيانات العامة والمتعهدين الخاصين في هذا القطاع. وإن عملية تحديد الكيانات العامة لمجموعة من القواعد المعدة لمراقبة السلامة، تكون ملزمة لجميع المتعهدين في</w:t>
      </w:r>
      <w:r>
        <w:rPr>
          <w:rFonts w:hint="cs"/>
          <w:rtl/>
        </w:rPr>
        <w:t xml:space="preserve"> النظام، ينبغي أن تقترن بإعداد مجموعة من الوسائل الإضافية والمنفصلة وقواعد طوعية تحدد إجراءات الإنتاج المسخرة لبلوغ الهدف الإضافي المتمثل في عرض منتجات جيدة. ويجب اعتبار الجودة النتيجة النهائية لعدد من العناصر المختلفة التي تشمل الأخلاقيات والشواغل الاجتما</w:t>
      </w:r>
      <w:r>
        <w:rPr>
          <w:rFonts w:hint="cs"/>
          <w:rtl/>
        </w:rPr>
        <w:t>عية والثقافة والبيئة والاقتصاد، وهي مجموعة من الاعتبارات التي تعطي شكلاً ملموساً للحق المنصوص عليه في المادة 11 من العهد الدولي الخاص بالحقوق الاقتصادية والاجتماعية والثقافية.</w:t>
      </w:r>
    </w:p>
    <w:p w:rsidR="00000000" w:rsidRDefault="00A208FF">
      <w:pPr>
        <w:spacing w:line="400" w:lineRule="exact"/>
        <w:jc w:val="both"/>
        <w:rPr>
          <w:rFonts w:hint="cs"/>
          <w:rtl/>
        </w:rPr>
      </w:pPr>
      <w:r>
        <w:rPr>
          <w:rFonts w:hint="cs"/>
          <w:rtl/>
        </w:rPr>
        <w:t>193-</w:t>
      </w:r>
      <w:r>
        <w:rPr>
          <w:rFonts w:hint="cs"/>
          <w:rtl/>
        </w:rPr>
        <w:tab/>
        <w:t>وفي حالة إيطاليا، أفضى هذا النهج إلى اختيار المجلس الوطني لشؤون الاقتصاد وا</w:t>
      </w:r>
      <w:r>
        <w:rPr>
          <w:rFonts w:hint="cs"/>
          <w:rtl/>
        </w:rPr>
        <w:t>لعمل بصفته المكان المؤسسي الخاص بالترويج للاتفاقات الطوعية التي تتوصل إليها مختلف الجمعيات المهنية المعنية بصناعة الأغذية والتوقيع عليها ورصد تنفيذها بغية ضمان جودة عمليات الإنتاج وشفافيتها في عدد من قطاعات السلع. وينبغي الإعلام بنتائج هذه المبادرات عن طري</w:t>
      </w:r>
      <w:r>
        <w:rPr>
          <w:rFonts w:hint="cs"/>
          <w:rtl/>
        </w:rPr>
        <w:t>ق وسائط الإعلام المناسبة.</w:t>
      </w:r>
    </w:p>
    <w:p w:rsidR="00000000" w:rsidRDefault="00A208FF">
      <w:pPr>
        <w:spacing w:line="400" w:lineRule="exact"/>
        <w:jc w:val="both"/>
        <w:rPr>
          <w:rFonts w:hint="cs"/>
          <w:rtl/>
        </w:rPr>
      </w:pPr>
      <w:r>
        <w:rPr>
          <w:rFonts w:hint="cs"/>
          <w:rtl/>
        </w:rPr>
        <w:t>194-</w:t>
      </w:r>
      <w:r>
        <w:rPr>
          <w:rFonts w:hint="cs"/>
          <w:rtl/>
        </w:rPr>
        <w:tab/>
        <w:t>ولبلوغ هذه الغاية، وقعت المنظمات التي تمثل قطاع الأعمال والعمل المستقل في إطار المجلس الوطني لشؤون الاقتصاد والعمل مع هذا المجلس نفسه، في عام 2001، "إعلان نوايا" تعهدت فيه بتوقيع "اتفاقات طوعية في قطاع الصناعة". وعقب هذه المب</w:t>
      </w:r>
      <w:r>
        <w:rPr>
          <w:rFonts w:hint="cs"/>
          <w:rtl/>
        </w:rPr>
        <w:t>ادرة المتخذة في إطار المجلس الوطني، عقدت أربعة اجتماعات مائدة مستديرة لعدد من فروع القطاعات الصناعية (وهي، في الوقت الراهن، منتجات السمك، واللبن ومشتقاته، والفواكه والخضروات واللحوم الطازجة، لكن اتُّفق على أنه من الممكن الاتفاق لاحقاً على إضافة قطاعات أخرى</w:t>
      </w:r>
      <w:r>
        <w:rPr>
          <w:rFonts w:hint="cs"/>
          <w:rtl/>
        </w:rPr>
        <w:t>) بغية إعداد مشاريع الاتفاقات الطوعية التي سبقت الإشارة إليها. ومن النتائج الأخرى لهذه المبادرة التفاوض بشأن عقد اتفاق طوعي بعنوان "الميثاق الوطني للسلامة والجودة الغذائية" الذي يتوقع أن يقدم مبادئ توجيهية عامة للاتفاقات الإطارية التي أعدت مشاريعها في آحاد</w:t>
      </w:r>
      <w:r>
        <w:rPr>
          <w:rFonts w:hint="cs"/>
          <w:rtl/>
        </w:rPr>
        <w:t xml:space="preserve"> القطاعات بغية ضمان إمكانية تعقب/معاودة تعقب المنتجات "من الحقل والبحر إلى مائدة الطعام".</w:t>
      </w:r>
    </w:p>
    <w:p w:rsidR="00000000" w:rsidRDefault="00A208FF">
      <w:pPr>
        <w:spacing w:line="400" w:lineRule="exact"/>
        <w:jc w:val="both"/>
        <w:rPr>
          <w:rFonts w:hint="cs"/>
          <w:b/>
          <w:bCs/>
          <w:rtl/>
        </w:rPr>
      </w:pPr>
      <w:r>
        <w:rPr>
          <w:rFonts w:hint="cs"/>
          <w:b/>
          <w:bCs/>
          <w:rtl/>
        </w:rPr>
        <w:t>الحق في سكن لائق</w:t>
      </w:r>
    </w:p>
    <w:p w:rsidR="00000000" w:rsidRDefault="00A208FF">
      <w:pPr>
        <w:spacing w:line="400" w:lineRule="exact"/>
        <w:jc w:val="both"/>
        <w:rPr>
          <w:rFonts w:hint="cs"/>
          <w:i/>
          <w:iCs/>
          <w:rtl/>
        </w:rPr>
      </w:pPr>
      <w:r>
        <w:rPr>
          <w:rFonts w:hint="cs"/>
          <w:i/>
          <w:iCs/>
          <w:rtl/>
        </w:rPr>
        <w:t>المساكن</w:t>
      </w:r>
    </w:p>
    <w:p w:rsidR="00000000" w:rsidRDefault="00A208FF">
      <w:pPr>
        <w:spacing w:line="400" w:lineRule="exact"/>
        <w:jc w:val="both"/>
        <w:rPr>
          <w:rFonts w:hint="cs"/>
          <w:rtl/>
        </w:rPr>
      </w:pPr>
      <w:r>
        <w:rPr>
          <w:rFonts w:hint="cs"/>
          <w:rtl/>
        </w:rPr>
        <w:t>195-</w:t>
      </w:r>
      <w:r>
        <w:rPr>
          <w:rFonts w:hint="cs"/>
          <w:rtl/>
        </w:rPr>
        <w:tab/>
        <w:t xml:space="preserve">كان أكثر من ثلثي الأسر الإيطالية في عام 1999 أسراً تملك مساكنها. وتنتشر ملكية المساكن نسبياً أكثر ما تنتشر في البلدات الصغيرة (حيث يوجد </w:t>
      </w:r>
      <w:r>
        <w:rPr>
          <w:rFonts w:hint="cs"/>
          <w:rtl/>
        </w:rPr>
        <w:t>أكثر من 70 في المائة من المالكين في البلديات التي يقل عدد سكانها عن 000 10 نسمة). أما في المناطق الحضرية الكبرى، فإن 57.3 في المائة من الأسر تملك مسكنها الرئيسي. وقد زادت نسبة الأسر التي تعتبر أن تكاليف سكنها مرتفعة للغاية من 52.4 في المائة في عام 1995 إلى</w:t>
      </w:r>
      <w:r>
        <w:rPr>
          <w:rFonts w:hint="cs"/>
          <w:rtl/>
        </w:rPr>
        <w:t xml:space="preserve"> 58.5 في المائة في عام 1999. وتكمن أخطر مشكلة سكنية في نوعية إمدادات مياه الشرب وانتظامها، إذ إن 46.2 في المائة من الأسر تتخوف من شرب مياه الصنابير وأبلَغ 14.9 في المائة منها عن انقطاع في إمدادات المياه.</w:t>
      </w:r>
    </w:p>
    <w:p w:rsidR="00000000" w:rsidRDefault="00A208FF">
      <w:pPr>
        <w:spacing w:line="400" w:lineRule="exact"/>
        <w:jc w:val="both"/>
        <w:rPr>
          <w:rFonts w:hint="cs"/>
          <w:i/>
          <w:iCs/>
          <w:rtl/>
        </w:rPr>
      </w:pPr>
      <w:r>
        <w:rPr>
          <w:rFonts w:hint="cs"/>
          <w:i/>
          <w:iCs/>
          <w:rtl/>
        </w:rPr>
        <w:t>المشردون</w:t>
      </w:r>
    </w:p>
    <w:p w:rsidR="00000000" w:rsidRDefault="00A208FF">
      <w:pPr>
        <w:spacing w:line="400" w:lineRule="exact"/>
        <w:jc w:val="both"/>
        <w:rPr>
          <w:rFonts w:hint="cs"/>
          <w:rtl/>
        </w:rPr>
      </w:pPr>
      <w:r>
        <w:rPr>
          <w:rFonts w:hint="cs"/>
          <w:rtl/>
        </w:rPr>
        <w:t>196-</w:t>
      </w:r>
      <w:r>
        <w:rPr>
          <w:rFonts w:hint="cs"/>
          <w:rtl/>
        </w:rPr>
        <w:tab/>
        <w:t>إن الخصائص المميزة لهذا الوضع هي عدم ت</w:t>
      </w:r>
      <w:r>
        <w:rPr>
          <w:rFonts w:hint="cs"/>
          <w:rtl/>
        </w:rPr>
        <w:t>وفر سكن بشكل مستقر ومنتظم، والطبيعة المتعددة الأبعاد لأشكال التهميش التي يعيشها المشردون. وهذا يعني أن المشردين يعانون في المقام الأول من عدم توفر مكان يعيشون فيه، وأن وضعهم يتميز بمجموعة من عوامل الضعف الاجتماعي (اعتماد الجسم على المخدرات وغياب العلاقات ا</w:t>
      </w:r>
      <w:r>
        <w:rPr>
          <w:rFonts w:hint="cs"/>
          <w:rtl/>
        </w:rPr>
        <w:t>لاجتماعية والمشاكل النفسانية) التي هي نتيجة لتجارب حياتية سلبية (العنف والسجن والاعتداءات والإهمال).</w:t>
      </w:r>
    </w:p>
    <w:p w:rsidR="00000000" w:rsidRDefault="00A208FF">
      <w:pPr>
        <w:spacing w:line="400" w:lineRule="exact"/>
        <w:jc w:val="both"/>
        <w:rPr>
          <w:rFonts w:hint="cs"/>
          <w:rtl/>
        </w:rPr>
      </w:pPr>
      <w:r>
        <w:rPr>
          <w:rFonts w:hint="cs"/>
          <w:rtl/>
        </w:rPr>
        <w:t>197-</w:t>
      </w:r>
      <w:r>
        <w:rPr>
          <w:rFonts w:hint="cs"/>
          <w:rtl/>
        </w:rPr>
        <w:tab/>
        <w:t>ومن الصعب للغاية تقدير عدد المشردين. وقد حاولت لجنة التحقيق في مشكلة الإقصاء الاجتماعي لأول مرة تقدير حجم هذه الظاهرة من خلال دراسة مخصصة أجريت في عام</w:t>
      </w:r>
      <w:r>
        <w:rPr>
          <w:rFonts w:hint="cs"/>
          <w:rtl/>
        </w:rPr>
        <w:t xml:space="preserve"> 2000، وكان العدد هو 000 17 شخص في جميع أنحاء البلاد. ومعظم المشردين (80 في المائة) هم من الذكور من ذوي الأعمار المتوسطة (54 في المائة منهم تتراوح أعمارهم بين 28 و47 سنة)؛ ولا يبلغ عدد الإيطاليين منهم سوى النصف. وقد كان معظم المشردين يعيشون هذا الوضع لمدة </w:t>
      </w:r>
      <w:r>
        <w:rPr>
          <w:rFonts w:hint="cs"/>
          <w:rtl/>
        </w:rPr>
        <w:t>ثلاث سنوات أو أقل، لكن 12.1 في المائة يعيشون في العراء منذ أكثر من 10 سنوات.</w:t>
      </w:r>
    </w:p>
    <w:p w:rsidR="00000000" w:rsidRDefault="00A208FF">
      <w:pPr>
        <w:spacing w:line="400" w:lineRule="exact"/>
        <w:jc w:val="both"/>
        <w:rPr>
          <w:rFonts w:hint="cs"/>
          <w:i/>
          <w:iCs/>
          <w:rtl/>
        </w:rPr>
      </w:pPr>
      <w:r>
        <w:rPr>
          <w:rFonts w:hint="cs"/>
          <w:i/>
          <w:iCs/>
          <w:rtl/>
        </w:rPr>
        <w:t>تدابير دعم الحصول على السكن</w:t>
      </w:r>
    </w:p>
    <w:p w:rsidR="00000000" w:rsidRDefault="00A208FF">
      <w:pPr>
        <w:spacing w:line="400" w:lineRule="exact"/>
        <w:jc w:val="both"/>
        <w:rPr>
          <w:rFonts w:hint="cs"/>
          <w:rtl/>
        </w:rPr>
      </w:pPr>
      <w:r>
        <w:rPr>
          <w:rFonts w:hint="cs"/>
          <w:rtl/>
        </w:rPr>
        <w:t>198-</w:t>
      </w:r>
      <w:r>
        <w:rPr>
          <w:rFonts w:hint="cs"/>
          <w:rtl/>
        </w:rPr>
        <w:tab/>
        <w:t xml:space="preserve">إن 70 في المائة من السكان في إيطاليا يملكون مساكنهم ويعيشون فيها. بيد أن امتلاك سكن أو القدرة على استئجار سكن لا يزالان يشكلان مشكلة لبعض الشرائح </w:t>
      </w:r>
      <w:r>
        <w:rPr>
          <w:rFonts w:hint="cs"/>
          <w:rtl/>
        </w:rPr>
        <w:t>من السكان المنخفضي الدخل وللشباب الذين يعتزمون مغادرة بيوتهم لتكوين أسرة. ففي السنوات الأخيرة، أقر 37 إجراء لتقديم المساعدة في مجال استئجار المساكن وشرائها وتجديدها. وفي الوقت ذاته، خفض العبء الضريبي على ملكية السكن "الأول" (أي مكان الإقامة). وهناك قانون م</w:t>
      </w:r>
      <w:r>
        <w:rPr>
          <w:rFonts w:hint="cs"/>
          <w:rtl/>
        </w:rPr>
        <w:t>عروض على البرلمان يرمي إلى منح حوافز للأزواج الشباب أو الأسر التي تعيش في كنف أحد الوالدين ممن يرغبون في استئجار بيت أو شرائه. وتعتبر مكافحة الإقصاء الاجتماعي والفقر في إيطاليا عاملاً رئيسياً في تشجيع التقدم الاقتصادي وتطوير العمالة.</w:t>
      </w:r>
    </w:p>
    <w:p w:rsidR="00000000" w:rsidRDefault="00A208FF">
      <w:pPr>
        <w:spacing w:line="400" w:lineRule="exact"/>
        <w:jc w:val="both"/>
        <w:rPr>
          <w:rFonts w:hint="cs"/>
          <w:b/>
          <w:bCs/>
          <w:rtl/>
        </w:rPr>
      </w:pPr>
      <w:r>
        <w:rPr>
          <w:rFonts w:hint="cs"/>
          <w:b/>
          <w:bCs/>
          <w:rtl/>
        </w:rPr>
        <w:t>الأثر الديمغرافي</w:t>
      </w:r>
    </w:p>
    <w:p w:rsidR="00000000" w:rsidRDefault="00A208FF">
      <w:pPr>
        <w:spacing w:line="400" w:lineRule="exact"/>
        <w:jc w:val="both"/>
        <w:rPr>
          <w:rFonts w:hint="cs"/>
          <w:i/>
          <w:iCs/>
          <w:rtl/>
        </w:rPr>
      </w:pPr>
      <w:r>
        <w:rPr>
          <w:rFonts w:hint="cs"/>
          <w:i/>
          <w:iCs/>
          <w:rtl/>
        </w:rPr>
        <w:t>الاخت</w:t>
      </w:r>
      <w:r>
        <w:rPr>
          <w:rFonts w:hint="cs"/>
          <w:i/>
          <w:iCs/>
          <w:rtl/>
        </w:rPr>
        <w:t>لافات بين الجنسين</w:t>
      </w:r>
    </w:p>
    <w:p w:rsidR="00000000" w:rsidRDefault="00A208FF">
      <w:pPr>
        <w:spacing w:line="400" w:lineRule="exact"/>
        <w:jc w:val="both"/>
        <w:rPr>
          <w:rFonts w:hint="cs"/>
          <w:rtl/>
        </w:rPr>
      </w:pPr>
      <w:r>
        <w:rPr>
          <w:rFonts w:hint="cs"/>
          <w:rtl/>
        </w:rPr>
        <w:t>199-</w:t>
      </w:r>
      <w:r>
        <w:rPr>
          <w:rFonts w:hint="cs"/>
          <w:rtl/>
        </w:rPr>
        <w:tab/>
        <w:t>تعد تزايد كل من معدل نشاط النساء ومعدل توظيفهن مؤشرين على الضغط المتزايد على سوق العمل من بعض الفئات مثل المتزوجات، والنساء اللائي عدن إلى سوق العمل بعد فترة رعاية أطفالهن أو بسبب نوع من الغياب الاضطراري، والمهاجرات، وكلهن كان تمثيله</w:t>
      </w:r>
      <w:r>
        <w:rPr>
          <w:rFonts w:hint="cs"/>
          <w:rtl/>
        </w:rPr>
        <w:t>ن في سوق العمل ناقصاً حتى السنوات العشر الماضية. وعلى الرغم من حضور المرأة المتزايد، فإن بنية المشاركة في النظام الاقتصادي لا تزال تتسم بتمييز بين الجنسين، عمودياً وأفقياً، في مجال التوظيف. وتعد العوامل الجغرافية ذات تأثير كبير على دخول المرأة إلى سوق العم</w:t>
      </w:r>
      <w:r>
        <w:rPr>
          <w:rFonts w:hint="cs"/>
          <w:rtl/>
        </w:rPr>
        <w:t>ل، وتزيد من الصعوبات التي تواجهها مقارنة بالرجل.</w:t>
      </w:r>
    </w:p>
    <w:p w:rsidR="00000000" w:rsidRDefault="00A208FF">
      <w:pPr>
        <w:spacing w:line="400" w:lineRule="exact"/>
        <w:jc w:val="both"/>
        <w:rPr>
          <w:rFonts w:hint="cs"/>
          <w:rtl/>
        </w:rPr>
      </w:pPr>
      <w:r>
        <w:rPr>
          <w:rFonts w:hint="cs"/>
          <w:rtl/>
        </w:rPr>
        <w:t>200-</w:t>
      </w:r>
      <w:r>
        <w:rPr>
          <w:rFonts w:hint="cs"/>
          <w:rtl/>
        </w:rPr>
        <w:tab/>
        <w:t>وتتميز سوق العمل في المناطق الجنوبية من إيطاليا بمعدل بطالة مرتفع، إذ يبلغ معدل نشاط المرأة نحو النصف مقارنة بنشاط الرجل؛ وانعدام الشفافية في مجال التوظيف وآلياته بسبب نقص الخدمات الموجهة إلى الباحثين ع</w:t>
      </w:r>
      <w:r>
        <w:rPr>
          <w:rFonts w:hint="cs"/>
          <w:rtl/>
        </w:rPr>
        <w:t>ن العمل؛ وانتشار التهميش وقلة الاستعانة بالموارد البشرية؛ واستمرار وجود تفاوت كبير على مستوى الأجور؛ وضعف تمثيل المرأة في المناصب العليا؛ والحضور المهيمن للمرأة في سوق العمل "غير الرسمية".</w:t>
      </w:r>
    </w:p>
    <w:p w:rsidR="00000000" w:rsidRDefault="00A208FF">
      <w:pPr>
        <w:spacing w:line="400" w:lineRule="exact"/>
        <w:jc w:val="both"/>
        <w:rPr>
          <w:rFonts w:hint="cs"/>
          <w:rtl/>
        </w:rPr>
      </w:pPr>
      <w:r>
        <w:rPr>
          <w:rFonts w:hint="cs"/>
          <w:rtl/>
        </w:rPr>
        <w:t>201-</w:t>
      </w:r>
      <w:r>
        <w:rPr>
          <w:rFonts w:hint="cs"/>
          <w:rtl/>
        </w:rPr>
        <w:tab/>
        <w:t>لكن الطبيعة "المؤقتة" عادة لعمل المرأة تتلاشى تدريجياً. ففي ال</w:t>
      </w:r>
      <w:r>
        <w:rPr>
          <w:rFonts w:hint="cs"/>
          <w:rtl/>
        </w:rPr>
        <w:t xml:space="preserve">عقد المنصرم، كانت معدلات نشاط النساء اللواتي لديهن أطفال في ارتفاع مستمر. بيد أن هذا الارتفاع لم يقترن بتوزيع عادل للمسؤوليات الأسرية. فالمهام التي تؤدى دون أجر في هذا السياق تقع على عاتق المرأة وحدها تقريباً، حيث تزيد ساعات عملها، بأجر أو بدون أجر، بنسبة </w:t>
      </w:r>
      <w:r>
        <w:rPr>
          <w:rFonts w:hint="cs"/>
          <w:rtl/>
        </w:rPr>
        <w:t>متوسطة قدرها 28 في المائة مقارنة بالرجل. وهناك نحو 35.2 في المائة من الرجال العاملين لا يخصصون أي ساعة للمهام الأسرية. ومن هنا يمكن أن نستنتج أن النساء اللواتي يعملن في وظائفهن بالإضافة إلى دورهن الأسري يلتمسن من نوع الوظائف التي يخترنها ما يتيح لهن أقصى ق</w:t>
      </w:r>
      <w:r>
        <w:rPr>
          <w:rFonts w:hint="cs"/>
          <w:rtl/>
        </w:rPr>
        <w:t>در من المرونة ليتمكنَّ من تنظيم أوقات عملهن وإدارتها. وفي جنوب إيطاليا أيضاً، ترتفع نسبة عمل النساء في وظائف لا تقوم على التفرغ حيث تبلغ هذه النسبة 11.3 في المائة مقارنة بنسبة 14.8 في المائة في وسط البلاد وشمالها. وقد شجع وجود أشكال مختلفة من العقود، مثل ع</w:t>
      </w:r>
      <w:r>
        <w:rPr>
          <w:rFonts w:hint="cs"/>
          <w:rtl/>
        </w:rPr>
        <w:t>قود العمل غير المتفرغ، على حدوث زيادة في العمالة النسائية في القطاع العام وقطاع الخدمات الشخصية.</w:t>
      </w:r>
    </w:p>
    <w:p w:rsidR="00000000" w:rsidRDefault="00A208FF">
      <w:pPr>
        <w:spacing w:line="400" w:lineRule="exact"/>
        <w:jc w:val="both"/>
        <w:rPr>
          <w:rFonts w:hint="cs"/>
          <w:rtl/>
        </w:rPr>
      </w:pPr>
      <w:r>
        <w:rPr>
          <w:rFonts w:hint="cs"/>
          <w:rtl/>
        </w:rPr>
        <w:t>202-</w:t>
      </w:r>
      <w:r>
        <w:rPr>
          <w:rFonts w:hint="cs"/>
          <w:rtl/>
        </w:rPr>
        <w:tab/>
        <w:t>وتظل مسألة التوفيق بين المسؤوليات الأسرية ونوع العمل تمثل مشكلة رئيسية. وتعد المسؤوليات الأسرية أهم سبب لترك المرأة عملها. وحتى إن أخذنا جيل الشباب وحده (</w:t>
      </w:r>
      <w:r>
        <w:rPr>
          <w:rFonts w:hint="cs"/>
          <w:rtl/>
        </w:rPr>
        <w:t>الذين تتراوح أعمارهم بين 25 و34 سنة)، أمكننا تقدير نسبة النساء اللائي لديهن طفلان واللائي توقفن عن العمل مؤقتاً أو تركنه كنتيجة مباشرة لولادة الطفل الأول أو الثاني بأكثر من الربع. وتكفي ملاحظة أن نحو 57.7 في المائة من النساء العاملات اللائي لهن أطفال تتراو</w:t>
      </w:r>
      <w:r>
        <w:rPr>
          <w:rFonts w:hint="cs"/>
          <w:rtl/>
        </w:rPr>
        <w:t>ح أعمارهم بين 3 سنوات و13 سنة يشتغلن 60 ساعة أو أكثر في الأسبوع، موزَّعةً بين العمل المنـزلي والعمل مقابل أجر، مقارنة ب‍ 21.9 في المائة من الرجال الذين يعيشون نفس الظروف. والمرأة هي التي تقع على عاتقها أساساً مسؤولية الرعاية، بما في ذلك خارج نطاق أسرتها. ف</w:t>
      </w:r>
      <w:r>
        <w:rPr>
          <w:rFonts w:hint="cs"/>
          <w:rtl/>
        </w:rPr>
        <w:t xml:space="preserve">في عام 1998، كان ربع النساء، مقارنة بخمس الرجال، يقدمن على الأقل نوعاً من العون الطوعي دون الحصول على أجر (مساعدة المسنين أو الأطفال، المساعدة في حل المشاكل الصحية وملازمة الآخرين لرعايتهم، وغير ذلك) لصالح أشخاص ليسوا من أفراد أسرهن، وقد بلغ مجموع الساعات </w:t>
      </w:r>
      <w:r>
        <w:rPr>
          <w:rFonts w:hint="cs"/>
          <w:rtl/>
        </w:rPr>
        <w:t>التي أنفقت في ذلك 000 000 849 2 ساعة في تلك السنة. وكان ثلثا عدد الساعات المنفقة في المساعدة نتيجة التزام النساء بتلك المهام.</w:t>
      </w:r>
    </w:p>
    <w:p w:rsidR="00000000" w:rsidRDefault="00A208FF">
      <w:pPr>
        <w:spacing w:line="400" w:lineRule="exact"/>
        <w:jc w:val="both"/>
        <w:rPr>
          <w:rFonts w:hint="cs"/>
          <w:b/>
          <w:bCs/>
          <w:rtl/>
        </w:rPr>
      </w:pPr>
      <w:r>
        <w:rPr>
          <w:rFonts w:hint="cs"/>
          <w:b/>
          <w:bCs/>
          <w:rtl/>
        </w:rPr>
        <w:t>البعد عن سوق العمل</w:t>
      </w:r>
    </w:p>
    <w:p w:rsidR="00000000" w:rsidRDefault="00A208FF">
      <w:pPr>
        <w:spacing w:line="400" w:lineRule="exact"/>
        <w:jc w:val="both"/>
        <w:rPr>
          <w:rFonts w:hint="cs"/>
          <w:rtl/>
        </w:rPr>
      </w:pPr>
      <w:r>
        <w:rPr>
          <w:rFonts w:hint="cs"/>
          <w:rtl/>
        </w:rPr>
        <w:t>203-</w:t>
      </w:r>
      <w:r>
        <w:rPr>
          <w:rFonts w:hint="cs"/>
          <w:rtl/>
        </w:rPr>
        <w:tab/>
        <w:t>يقترن البعد عن سوق العمل بأوضاع مادية من الحرمان الاقتصادي. ويتجسد ذلك، من حيث انعدام المساواة، في وجود تب</w:t>
      </w:r>
      <w:r>
        <w:rPr>
          <w:rFonts w:hint="cs"/>
          <w:rtl/>
        </w:rPr>
        <w:t>اينات واضحة بين من يستطيعون دخول سوق العمل والبقاء فيها ومن يصعب عليهم فعل ذلك أو الذين يظلون على الهامش.</w:t>
      </w:r>
    </w:p>
    <w:p w:rsidR="00000000" w:rsidRDefault="00A208FF">
      <w:pPr>
        <w:spacing w:line="400" w:lineRule="exact"/>
        <w:jc w:val="both"/>
        <w:rPr>
          <w:rFonts w:hint="cs"/>
          <w:rtl/>
        </w:rPr>
      </w:pPr>
      <w:r>
        <w:rPr>
          <w:rFonts w:hint="cs"/>
          <w:rtl/>
        </w:rPr>
        <w:t>204-</w:t>
      </w:r>
      <w:r>
        <w:rPr>
          <w:rFonts w:hint="cs"/>
          <w:rtl/>
        </w:rPr>
        <w:tab/>
        <w:t>وتضاف إلى عدم التكافؤ في الحصول على فرص العمل، الذي يمكن عزوه إلى الأصل الجغرافي للشخص، مجموعة من عوامل التباين المسؤولة بدرجات مختلفة عن استبعاد</w:t>
      </w:r>
      <w:r>
        <w:rPr>
          <w:rFonts w:hint="cs"/>
          <w:rtl/>
        </w:rPr>
        <w:t xml:space="preserve"> بعض الفئات الاجتماعية من سوق العمل. وهناك عوامل موضوعية - مثل نوع الجنس والعمر- تقترن بمجموعة كبيرة من العوامل الذاتية والاجتماعية، مثل المستوى التعليمي ووجود نوع من الحرمان الاجتماعي وغير ذلك، وهي عوامل تحدد، بتشكيلاتها المختلفة، درجة مقاومة سوق العمل لد</w:t>
      </w:r>
      <w:r>
        <w:rPr>
          <w:rFonts w:hint="cs"/>
          <w:rtl/>
        </w:rPr>
        <w:t>خول فئات معينة من الناس. وبالتالي، فإن ما يحدد البعد عن سوق العمل هو تراكم مجموعات مختلفة من عوامل التفاوت التي تبلغ ذروتها عندما يكون هناك نوع من أنواع الحرمان الاجتماعي، كما هي حالة المعوقين ومدمني المخدرات والسجناء والمهاجرين وغيرهم ممن تضع عليهم سوق ال</w:t>
      </w:r>
      <w:r>
        <w:rPr>
          <w:rFonts w:hint="cs"/>
          <w:rtl/>
        </w:rPr>
        <w:t>عمل وأوساط العمل أكبر ضغط.</w:t>
      </w:r>
    </w:p>
    <w:p w:rsidR="00000000" w:rsidRDefault="00A208FF">
      <w:pPr>
        <w:spacing w:line="400" w:lineRule="exact"/>
        <w:jc w:val="both"/>
        <w:rPr>
          <w:rFonts w:hint="cs"/>
          <w:rtl/>
        </w:rPr>
      </w:pPr>
      <w:r>
        <w:rPr>
          <w:rFonts w:hint="cs"/>
          <w:b/>
          <w:bCs/>
          <w:rtl/>
        </w:rPr>
        <w:t>الاستفادة من شبكة الخدمات</w:t>
      </w:r>
    </w:p>
    <w:p w:rsidR="00000000" w:rsidRDefault="00A208FF">
      <w:pPr>
        <w:spacing w:line="400" w:lineRule="exact"/>
        <w:jc w:val="both"/>
        <w:rPr>
          <w:rFonts w:hint="cs"/>
          <w:i/>
          <w:iCs/>
          <w:rtl/>
        </w:rPr>
      </w:pPr>
      <w:r>
        <w:rPr>
          <w:rFonts w:hint="cs"/>
          <w:i/>
          <w:iCs/>
          <w:rtl/>
        </w:rPr>
        <w:t>خدمات الرعاية والمساعدة الاجتماعية</w:t>
      </w:r>
    </w:p>
    <w:p w:rsidR="00000000" w:rsidRDefault="00A208FF">
      <w:pPr>
        <w:spacing w:line="400" w:lineRule="exact"/>
        <w:jc w:val="both"/>
        <w:rPr>
          <w:rFonts w:hint="cs"/>
          <w:rtl/>
        </w:rPr>
      </w:pPr>
      <w:r>
        <w:rPr>
          <w:rFonts w:hint="cs"/>
          <w:rtl/>
        </w:rPr>
        <w:t>205-</w:t>
      </w:r>
      <w:r>
        <w:rPr>
          <w:rFonts w:hint="cs"/>
          <w:rtl/>
        </w:rPr>
        <w:tab/>
        <w:t>وضع تخطيط جديد بعيد المدى لدولة الرفاه في إيطاليا في السنوات الأخيرة. ويشمل ذلك إصلاح نظام المعاشات التقاعدية ونظام خدمات الرعاية الصحية وتطوير التنظيم الإداري الا</w:t>
      </w:r>
      <w:r>
        <w:rPr>
          <w:rFonts w:hint="cs"/>
          <w:rtl/>
        </w:rPr>
        <w:t xml:space="preserve">تحادي وإجراء تجارب استحدثت في إطارها أدوات مبتكرة في مجال السياسة الاجتماعية. وقد زادت مجموعة الخدمات المقدمة لجميع فئات المستفيدين. وكانت هذه الزيادة أوضح في حالة مدمني الخمر والمخدرات (فقد تضاعف تقريباً عدد الخدمات بين عامي 1991 و1997)؛ وفي حالة السجناء </w:t>
      </w:r>
      <w:r>
        <w:rPr>
          <w:rFonts w:hint="cs"/>
          <w:rtl/>
        </w:rPr>
        <w:t>والأشخاص المحكوم عليهم سابقاً والمهاجرين والمصابين بأمراض عقلية، وكذا المعوقين (69 في المائة من السلطات البلدية توفر لهم الدعم والمساعدة في مجال التعليم، و63.4 في المائة توفر خدمات النقـل المدرسي، و60.4 في المائة توفر خدمات المساعدة المنـزلية).</w:t>
      </w:r>
    </w:p>
    <w:p w:rsidR="00000000" w:rsidRDefault="00A208FF">
      <w:pPr>
        <w:spacing w:line="400" w:lineRule="exact"/>
        <w:jc w:val="both"/>
        <w:rPr>
          <w:rFonts w:hint="cs"/>
          <w:rtl/>
        </w:rPr>
      </w:pPr>
      <w:r>
        <w:rPr>
          <w:rFonts w:hint="cs"/>
          <w:rtl/>
        </w:rPr>
        <w:t>206-</w:t>
      </w:r>
      <w:r>
        <w:rPr>
          <w:rFonts w:hint="cs"/>
          <w:rtl/>
        </w:rPr>
        <w:tab/>
        <w:t xml:space="preserve">وأوسع </w:t>
      </w:r>
      <w:r>
        <w:rPr>
          <w:rFonts w:hint="cs"/>
          <w:rtl/>
        </w:rPr>
        <w:t>الخدمات المتاحة انتشاراً هي المساعدة المقدمة إلى المسنين والعون المنـزلي للمسنين اللذين يقدمان على التوالي في 84 في المائة و73.2 في المائة من البلديات؛ ودور المسنين (60.4 في المائة - 36.3 في المائة)، ومراكز المساعدة الاجتماعية (58.7 في المائة - 28.5 في الم</w:t>
      </w:r>
      <w:r>
        <w:rPr>
          <w:rFonts w:hint="cs"/>
          <w:rtl/>
        </w:rPr>
        <w:t>ائة) والوجبات المدرسية (88.1 في المائة - 72.5 في المائة) من البلديات، وتليها خدمات النقل (83.2 في المائة) ودور الحضانة (22.8 في المائة). وفي إيطاليا، لا يُلحق بمدارس الحضانة سوى 000 140 طفل (وثلثهم يلتحقون بدور حضانة خاصة). ويمثل هذا العدد 6 في المائة من ا</w:t>
      </w:r>
      <w:r>
        <w:rPr>
          <w:rFonts w:hint="cs"/>
          <w:rtl/>
        </w:rPr>
        <w:t>لأطفال الذين تقل أعمارهم عن سنتين، وهي نسبة تدل على أن رعاية الأطفال تتم داخل الشبكة الأسرية أو من خلال الخدمات الخاصة التي تقدم مقابل رسوم. وعلى أية حال، فهناك حاجة إلى اتخاذ إجراءات إضافية في هذا المجال.</w:t>
      </w:r>
    </w:p>
    <w:p w:rsidR="00000000" w:rsidRDefault="00A208FF">
      <w:pPr>
        <w:spacing w:line="400" w:lineRule="exact"/>
        <w:jc w:val="both"/>
        <w:rPr>
          <w:rFonts w:hint="cs"/>
          <w:rtl/>
        </w:rPr>
      </w:pPr>
      <w:r>
        <w:rPr>
          <w:rFonts w:hint="cs"/>
          <w:rtl/>
        </w:rPr>
        <w:t>207-</w:t>
      </w:r>
      <w:r>
        <w:rPr>
          <w:rFonts w:hint="cs"/>
          <w:rtl/>
        </w:rPr>
        <w:tab/>
        <w:t>وفيما يتعلق بمدارس الحضانة وخدمات التعليم للأ</w:t>
      </w:r>
      <w:r>
        <w:rPr>
          <w:rFonts w:hint="cs"/>
          <w:rtl/>
        </w:rPr>
        <w:t xml:space="preserve">طفال الذين لم يبلغوا سن الدراسة والأطفال في سن الدراسة، لا يزال هناك نقص في الهياكل في البلدات الصغيرة والقرى (وقلما توجد دور حضانة في البلدات التي يقل عدد سكانها عن 000 5 نسمة). كما أن هنالك فجوة جغرافية جلية بين وسط إيطاليا وشمالها من جهة وجنوبها من جهة </w:t>
      </w:r>
      <w:r>
        <w:rPr>
          <w:rFonts w:hint="cs"/>
          <w:rtl/>
        </w:rPr>
        <w:t>أخرى، مع تقلص الفارق فقط في المدن والبلْدات الكبرى. ويكتسي هذا اللجوء إلى شبكات المساعدة غير الرسمية والخدمات المقدمة مقابل رسوم أهمية كبيرة هنا أيضاً.</w:t>
      </w:r>
    </w:p>
    <w:p w:rsidR="00000000" w:rsidRDefault="00A208FF">
      <w:pPr>
        <w:spacing w:line="400" w:lineRule="exact"/>
        <w:jc w:val="both"/>
        <w:rPr>
          <w:rFonts w:hint="cs"/>
          <w:i/>
          <w:iCs/>
          <w:rtl/>
        </w:rPr>
      </w:pPr>
      <w:r>
        <w:rPr>
          <w:rFonts w:hint="cs"/>
          <w:i/>
          <w:iCs/>
          <w:rtl/>
        </w:rPr>
        <w:t>خدمات الاتصالات</w:t>
      </w:r>
    </w:p>
    <w:p w:rsidR="00000000" w:rsidRDefault="00A208FF">
      <w:pPr>
        <w:spacing w:line="400" w:lineRule="exact"/>
        <w:jc w:val="both"/>
        <w:rPr>
          <w:rFonts w:hint="cs"/>
          <w:rtl/>
        </w:rPr>
      </w:pPr>
      <w:r>
        <w:rPr>
          <w:rFonts w:hint="cs"/>
          <w:rtl/>
        </w:rPr>
        <w:t>208-</w:t>
      </w:r>
      <w:r>
        <w:rPr>
          <w:rFonts w:hint="cs"/>
          <w:rtl/>
        </w:rPr>
        <w:tab/>
        <w:t>تنفيذاً لتوجيهات الاتحاد الأوروبي في قطاع الاتصالات، عرف التشريع الإيطالي مفهوم "ال</w:t>
      </w:r>
      <w:r>
        <w:rPr>
          <w:rFonts w:hint="cs"/>
          <w:rtl/>
        </w:rPr>
        <w:t xml:space="preserve">خدمة الشاملة" التي تتعلق، استناداً إلى المادة 3، بالوصلات الأساسية التي يحتاجها المستعمل العادي للنفاذ إلى خدمات الاتصالات تلك. ومن المزمع وضع ترتيبات خاصة من حيث تكاليف التشغيل والتوصيل، وتلقي خدمات الطوارئ مجاناً. وتكفل الأحكام التشريعية أن تكون الخدمات </w:t>
      </w:r>
      <w:r>
        <w:rPr>
          <w:rFonts w:hint="cs"/>
          <w:rtl/>
        </w:rPr>
        <w:t>التي تعتبر شاملة متاحة بأسعار ميسَّرة للجميع، كلٍّ بحسب المنطقة الجغرافية التي ينتمي إليها، بصرف النظر عن موقعهم المحدد، ومع مراعاة الظروف المحددة السائدة في إيطاليا. وقد وضعت شروط خاصة بالمستعملين في المناطق الريفية (من حيث التكاليف) والمستعملين الذين ينت</w:t>
      </w:r>
      <w:r>
        <w:rPr>
          <w:rFonts w:hint="cs"/>
          <w:rtl/>
        </w:rPr>
        <w:t>مون إلى فئات ضعيفة مثل المسنين والمعوقين وغيرهم ممن يحتاجون إلى خدمات اجتماعية خاصة. ومع أن بإمكان معظم السكان الاستفادة من مرافق الاتصالات الأساسية، فإن هناك بعض الفئات التي لا تزال على الهامش. ففي حين أن 5.7 في المائة فقط من الأسر على الصعيد الوطني لا تت</w:t>
      </w:r>
      <w:r>
        <w:rPr>
          <w:rFonts w:hint="cs"/>
          <w:rtl/>
        </w:rPr>
        <w:t>وفر لها وصلات هاتفية (الهواتف الثابتة أو المحمولة)، فإن هذه النسبة تصل إلى 10 في المائة في كامبانيا وكالابريا وصقلية.</w:t>
      </w:r>
    </w:p>
    <w:p w:rsidR="00000000" w:rsidRDefault="00A208FF">
      <w:pPr>
        <w:spacing w:line="400" w:lineRule="exact"/>
        <w:jc w:val="both"/>
        <w:rPr>
          <w:rFonts w:hint="cs"/>
          <w:rtl/>
        </w:rPr>
      </w:pPr>
      <w:r>
        <w:rPr>
          <w:rFonts w:hint="cs"/>
          <w:b/>
          <w:bCs/>
          <w:rtl/>
        </w:rPr>
        <w:t>السلع والخدمات من أجل الرفاه ورغد العيش</w:t>
      </w:r>
    </w:p>
    <w:p w:rsidR="00000000" w:rsidRDefault="00A208FF">
      <w:pPr>
        <w:spacing w:line="400" w:lineRule="exact"/>
        <w:jc w:val="both"/>
        <w:rPr>
          <w:rFonts w:hint="cs"/>
          <w:i/>
          <w:iCs/>
          <w:rtl/>
        </w:rPr>
      </w:pPr>
      <w:r>
        <w:rPr>
          <w:rFonts w:hint="cs"/>
          <w:i/>
          <w:iCs/>
          <w:rtl/>
        </w:rPr>
        <w:t>السلع الاستهلاكية</w:t>
      </w:r>
    </w:p>
    <w:p w:rsidR="00000000" w:rsidRDefault="00A208FF">
      <w:pPr>
        <w:spacing w:line="400" w:lineRule="exact"/>
        <w:jc w:val="both"/>
        <w:rPr>
          <w:rFonts w:hint="cs"/>
          <w:rtl/>
        </w:rPr>
      </w:pPr>
      <w:r>
        <w:rPr>
          <w:rFonts w:hint="cs"/>
          <w:rtl/>
        </w:rPr>
        <w:t>209-</w:t>
      </w:r>
      <w:r>
        <w:rPr>
          <w:rFonts w:hint="cs"/>
          <w:rtl/>
        </w:rPr>
        <w:tab/>
        <w:t xml:space="preserve">تحصل نسبة عالية من الأسر على أهم الخدمات والسلع الاستهلاكية. ففي عام 1999، </w:t>
      </w:r>
      <w:r>
        <w:rPr>
          <w:rFonts w:hint="cs"/>
          <w:rtl/>
        </w:rPr>
        <w:t>كان 96.1 في المائة من الإيطاليين يملكون غسالة آلية و96.4 في المائة أجهزة تلفزة بالألوان و78 في المائة سيارة واحدة على الأقل (ويملك 32.3 في المائة سيارتين أو أكثر). كما تنتشر ملكية مسجلات الفيديو (63.7 في المائة) وأجهزة شديدة الدقة في نقل الأصوات" (</w:t>
      </w:r>
      <w:r>
        <w:t>Hi-Fi</w:t>
      </w:r>
      <w:r>
        <w:rPr>
          <w:rFonts w:hint="cs"/>
          <w:rtl/>
        </w:rPr>
        <w:t>) (</w:t>
      </w:r>
      <w:r>
        <w:rPr>
          <w:rFonts w:hint="cs"/>
          <w:rtl/>
        </w:rPr>
        <w:t>50.1 في المائة)، في حين أن أسرة واحدة من بين كل خمس أسر تملك آلة تصوير بالفيديو. وشهدت الفترة الممتدة من عام 1997 إلى عام 1999 زيادة في نسبة امتلاك الهواتف المحمولة (من 27.3 في المائة إلى 55.9 في المائة) ومسجلات المكالمات (من 12.4 في المائة إلى 14.5 في الم</w:t>
      </w:r>
      <w:r>
        <w:rPr>
          <w:rFonts w:hint="cs"/>
          <w:rtl/>
        </w:rPr>
        <w:t xml:space="preserve">ائة، وأجهزة الفاكس (من 3.8 في المائة إلى 6 في المائة). وفي عام 1999، كان 20.9 في المائة من الأسر تملك حاسوباً شخصياً، مقارنة ب‍ 16.7 في المائة في عام 1997. كما أن الاشتراك في الإنترنت سجل ارتفاعاً حاداً، من 3.5 في المائة إلى 7.6 في المائة في الفترة نفسها. </w:t>
      </w:r>
      <w:r>
        <w:rPr>
          <w:rFonts w:hint="cs"/>
          <w:rtl/>
        </w:rPr>
        <w:t>لكن نسبة الأسر الإيطالية التي لا تتوفر لها على الأقل إحدى السلع والخدمات الأساسية للحياة اليومية (مياه الشرب والماء الحار والمرحاض والكهرباء والثلاجة والغسالة الآلية) تبلغ 6 في المائة، وهي نسبة لا يستهان بها، لا سيما إذا لاحظنا أن هذه النسبة تبلغ 11 في الم</w:t>
      </w:r>
      <w:r>
        <w:rPr>
          <w:rFonts w:hint="cs"/>
          <w:rtl/>
        </w:rPr>
        <w:t>ائة في كالابريا وصقلية وسردينيا.</w:t>
      </w:r>
    </w:p>
    <w:p w:rsidR="00000000" w:rsidRDefault="00A208FF">
      <w:pPr>
        <w:spacing w:line="400" w:lineRule="exact"/>
        <w:jc w:val="both"/>
        <w:rPr>
          <w:rFonts w:hint="cs"/>
          <w:b/>
          <w:bCs/>
          <w:rtl/>
        </w:rPr>
      </w:pPr>
      <w:r>
        <w:rPr>
          <w:rFonts w:hint="cs"/>
          <w:b/>
          <w:bCs/>
          <w:rtl/>
        </w:rPr>
        <w:t>الاحتياجات الاجتماعية لفئات محددة</w:t>
      </w:r>
    </w:p>
    <w:p w:rsidR="00000000" w:rsidRDefault="00A208FF">
      <w:pPr>
        <w:spacing w:line="400" w:lineRule="exact"/>
        <w:jc w:val="both"/>
        <w:rPr>
          <w:rFonts w:hint="cs"/>
          <w:rtl/>
        </w:rPr>
      </w:pPr>
      <w:r>
        <w:rPr>
          <w:rFonts w:hint="cs"/>
          <w:rtl/>
        </w:rPr>
        <w:t>210-</w:t>
      </w:r>
      <w:r>
        <w:rPr>
          <w:rFonts w:hint="cs"/>
          <w:rtl/>
        </w:rPr>
        <w:tab/>
        <w:t>تظهر لدى بعض الناس احتياجات اجتماعية تؤدي إذا لم تلبّ إلى حالات من الإقصاء الاجتماعي. ومن أولئك الناس بوجه خاص المعوقون والمهاجرون ومدمنو المخدرات والمصابون بأمراض عقلية. ولكل ناحية من</w:t>
      </w:r>
      <w:r>
        <w:rPr>
          <w:rFonts w:hint="cs"/>
          <w:rtl/>
        </w:rPr>
        <w:t xml:space="preserve"> أنحاء البلاد نصيب من المواطنين المحرومين، لكن أنواع الحرمان تختلف باختلاف المنطقة، كما هي حال المهاجرين، مثلاً، الذين يوجدون بأعداد كبيرة في الشمال والوسط. ويمكن ملاحظة الاتجاه نفسه لدى المدمنين الذين يوجدون أكثر ما يوجدون في وسط البلاد وشمالها.</w:t>
      </w:r>
    </w:p>
    <w:p w:rsidR="00000000" w:rsidRDefault="00A208FF">
      <w:pPr>
        <w:spacing w:line="400" w:lineRule="exact"/>
        <w:jc w:val="both"/>
        <w:rPr>
          <w:rFonts w:hint="cs"/>
          <w:b/>
          <w:bCs/>
          <w:rtl/>
        </w:rPr>
      </w:pPr>
      <w:r>
        <w:rPr>
          <w:rFonts w:hint="cs"/>
          <w:b/>
          <w:bCs/>
          <w:rtl/>
        </w:rPr>
        <w:t>المسنون غ</w:t>
      </w:r>
      <w:r>
        <w:rPr>
          <w:rFonts w:hint="cs"/>
          <w:b/>
          <w:bCs/>
          <w:rtl/>
        </w:rPr>
        <w:t>ير المكتفين ذاتيا</w:t>
      </w:r>
    </w:p>
    <w:p w:rsidR="00000000" w:rsidRDefault="00A208FF">
      <w:pPr>
        <w:spacing w:line="400" w:lineRule="exact"/>
        <w:jc w:val="both"/>
        <w:rPr>
          <w:rFonts w:hint="cs"/>
          <w:rtl/>
        </w:rPr>
      </w:pPr>
      <w:r>
        <w:rPr>
          <w:rFonts w:hint="cs"/>
          <w:rtl/>
        </w:rPr>
        <w:t>211-</w:t>
      </w:r>
      <w:r>
        <w:rPr>
          <w:rFonts w:hint="cs"/>
          <w:rtl/>
        </w:rPr>
        <w:tab/>
        <w:t>إن ارتفاع متوسط العمر المتوقع، وتزايد عدد المسنين بين السكان، وتغير البنية الأسرية، هي عوامل تقتضي أن يكون هناك نظام للرعاية ملائم للمسنين وقادر على الانتفاع بالموارد التي يمثلونها، وقادر في الوقت نفسه على تلبية احتياجاتهم من خلال تط</w:t>
      </w:r>
      <w:r>
        <w:rPr>
          <w:rFonts w:hint="cs"/>
          <w:rtl/>
        </w:rPr>
        <w:t>وير الخدمات الاجتماعية والصحية، مع التركيز بوجه خاص على المسنين غير المكتفين ذاتياً. وهناك نحو 7.4 في المائة من الأسر التي تضم فرداً مسناً، في حين أن أكثر من 2.6 مليون شخص ممن تتجاوز أعمارهم 65 سنة يعيشون بمفردهم. وبعض هؤلاء الأشخاص يحتاجون إلى مساعدة وخدم</w:t>
      </w:r>
      <w:r>
        <w:rPr>
          <w:rFonts w:hint="cs"/>
          <w:rtl/>
        </w:rPr>
        <w:t>ات منـزلية، فضلاً عن الدعم في شكل مساعدة منـزلية وتدابير الوقاية والرعاية وإعادة التأهيل.</w:t>
      </w:r>
    </w:p>
    <w:p w:rsidR="00000000" w:rsidRDefault="00A208FF">
      <w:pPr>
        <w:spacing w:line="400" w:lineRule="exact"/>
        <w:jc w:val="both"/>
        <w:rPr>
          <w:rFonts w:hint="cs"/>
          <w:b/>
          <w:bCs/>
          <w:rtl/>
        </w:rPr>
      </w:pPr>
      <w:r>
        <w:rPr>
          <w:rFonts w:hint="cs"/>
          <w:b/>
          <w:bCs/>
          <w:rtl/>
        </w:rPr>
        <w:t>المعوقون</w:t>
      </w:r>
    </w:p>
    <w:p w:rsidR="00000000" w:rsidRDefault="00A208FF">
      <w:pPr>
        <w:spacing w:line="400" w:lineRule="exact"/>
        <w:jc w:val="both"/>
        <w:rPr>
          <w:rFonts w:hint="cs"/>
          <w:rtl/>
        </w:rPr>
      </w:pPr>
      <w:r>
        <w:rPr>
          <w:rFonts w:hint="cs"/>
          <w:rtl/>
        </w:rPr>
        <w:t>212-</w:t>
      </w:r>
      <w:r>
        <w:rPr>
          <w:rFonts w:hint="cs"/>
          <w:rtl/>
        </w:rPr>
        <w:tab/>
        <w:t>يعيش في إيطاليا 000 686 2 معوق (وهو عدد يمثل 5 في المائة من السكان الذين تبلغ أعمارهم 6 سنوات أو أكثر)، ويعيش 000 754 شخص منهم وحيدين. وتبلغ نسبة المعوق</w:t>
      </w:r>
      <w:r>
        <w:rPr>
          <w:rFonts w:hint="cs"/>
          <w:rtl/>
        </w:rPr>
        <w:t>ين الذين تقل أعمارهم عن 65 سنة 26.7 في المائة، والذين تتراوح أعمارهم بين 65 و74 سنة 20 في المائة والذين تتجاوز أعمارهم 75 سنة 53.3 في المائة على الأقل. وهناك نحو 000 30 شخص يعانون إعاقات شديدة. وتتعلق هذه الأرقام بنسبة كبيرة من السكان، ولهؤلاء الأشخاص تطلع</w:t>
      </w:r>
      <w:r>
        <w:rPr>
          <w:rFonts w:hint="cs"/>
          <w:rtl/>
        </w:rPr>
        <w:t>ات واحتياجات خاصة تؤدي إن لم تلبّ إلى ظهور أوضاع من التهميش والإقصاء الاجتماعي. وتشمل تلك الاحتياجات التعليم والتدريب والتوظيف في سوق العمل والسكن والرياضة والسياحة والاستجمام والحصول على المعلومات والخدمات التي توفر العون والمساعدة للأفراد والأسر.</w:t>
      </w:r>
    </w:p>
    <w:p w:rsidR="00000000" w:rsidRDefault="00A208FF">
      <w:pPr>
        <w:spacing w:line="400" w:lineRule="exact"/>
        <w:jc w:val="both"/>
        <w:rPr>
          <w:rFonts w:hint="cs"/>
          <w:rtl/>
        </w:rPr>
      </w:pPr>
      <w:r>
        <w:rPr>
          <w:rFonts w:hint="cs"/>
          <w:rtl/>
        </w:rPr>
        <w:t>213-</w:t>
      </w:r>
      <w:r>
        <w:rPr>
          <w:rFonts w:hint="cs"/>
          <w:rtl/>
        </w:rPr>
        <w:tab/>
        <w:t>وق</w:t>
      </w:r>
      <w:r>
        <w:rPr>
          <w:rFonts w:hint="cs"/>
          <w:rtl/>
        </w:rPr>
        <w:t>د كانت المؤسسات العامة ومؤسسات المجتمع المدني، خلال العقود القليلة المنقضية، في إيطاليا وغيرها من البلدان،  تركز تركيزاً متزايداً على المعوقين واحتياجاتهم، وهو عامل أفضى إلى تحسن أوضاعهم من حيث الصحة والاستقلالية والإدماج في المجتمع تحسناً كبيراً. كما زادت</w:t>
      </w:r>
      <w:r>
        <w:rPr>
          <w:rFonts w:hint="cs"/>
          <w:rtl/>
        </w:rPr>
        <w:t xml:space="preserve"> الاستجابة لمسألة الإعاقة كمّاً ونوعاً في جميع السياقات الاجتماعية. وقد تم التحول من السياسات التي تشمل تلقي الرعاية المؤسسية والمساعدة إلى السياسات التي تشتمل على توفير الفرص والممارسات الجيدة، مع تزايد الوعي بالمسؤوليات والاضطلاع بها من قبل المؤسسات والج</w:t>
      </w:r>
      <w:r>
        <w:rPr>
          <w:rFonts w:hint="cs"/>
          <w:rtl/>
        </w:rPr>
        <w:t>معيات التطوعية والعاملين في المجال الاجتماعي من القطاع الخاص.</w:t>
      </w:r>
    </w:p>
    <w:p w:rsidR="00000000" w:rsidRDefault="00A208FF">
      <w:pPr>
        <w:spacing w:line="400" w:lineRule="exact"/>
        <w:jc w:val="both"/>
        <w:rPr>
          <w:rFonts w:hint="cs"/>
          <w:rtl/>
        </w:rPr>
      </w:pPr>
      <w:r>
        <w:rPr>
          <w:rFonts w:hint="cs"/>
          <w:rtl/>
        </w:rPr>
        <w:t>214-</w:t>
      </w:r>
      <w:r>
        <w:rPr>
          <w:rFonts w:hint="cs"/>
          <w:rtl/>
        </w:rPr>
        <w:tab/>
        <w:t>وقد أسهمت خيارات بلدنا في مجال السياسة الاجتماعية، مع الامتثال التام للمبادئ التي أقرتها الهيئات الدولية، في التحسن العام في نوعية حياة المعوقين وإدماجهم في الشبكات التعليمية والتوظيفية وال</w:t>
      </w:r>
      <w:r>
        <w:rPr>
          <w:rFonts w:hint="cs"/>
          <w:rtl/>
        </w:rPr>
        <w:t>اجتماعية.</w:t>
      </w:r>
    </w:p>
    <w:p w:rsidR="00000000" w:rsidRDefault="00A208FF">
      <w:pPr>
        <w:spacing w:line="400" w:lineRule="exact"/>
        <w:jc w:val="both"/>
        <w:rPr>
          <w:rFonts w:hint="cs"/>
          <w:rtl/>
        </w:rPr>
      </w:pPr>
      <w:r>
        <w:rPr>
          <w:rFonts w:hint="cs"/>
          <w:rtl/>
        </w:rPr>
        <w:t>215-</w:t>
      </w:r>
      <w:r>
        <w:rPr>
          <w:rFonts w:hint="cs"/>
          <w:rtl/>
        </w:rPr>
        <w:tab/>
        <w:t>وقد أقر البرلمان قبل عشر سنوات القانون الذي لا يزال التشريع الإيطالي يستند إليه في هذا المجال، وهو القانون 104/1992- القانون الإطاري لمساعدة المعوقين وإدماجهم اجتماعياً ودعم حقوقهم. وينص هذا القانون على بعض المبادئ ويعترف بحقوق المواطنة ويحد</w:t>
      </w:r>
      <w:r>
        <w:rPr>
          <w:rFonts w:hint="cs"/>
          <w:rtl/>
        </w:rPr>
        <w:t>د الإجراءات التي ينبغي اتخاذها، كما ينص على توفير خدمات من شأنها تشجيع استقلالية المعوقين ومشاركتهم. كما ينص على وسائل وترتيبات عملية لدعم أسر المعوقين واستقلاليتهم، مع إيلاء اعتبار خاص لمن كان منهم يعاني ظروفاً صعبة خاصة. ومن العوامل التي أُفردت بصفتها اس</w:t>
      </w:r>
      <w:r>
        <w:rPr>
          <w:rFonts w:hint="cs"/>
          <w:rtl/>
        </w:rPr>
        <w:t>تراتيجيات ذات أولوية لبلوغ الأهداف المحددة التنسيق والتعاون فيما بين المؤسسات بشأن المسؤوليات المتزايدة للسلطات المحلية، بالإضافة إلى الاعتراف بالدور الفعال الذي يمكن أن تقوم به الأسر ومشاركة الجمعيات التطوعية. وقد أفضى تطبيق هذا القانون إلى إحراز تقدم سري</w:t>
      </w:r>
      <w:r>
        <w:rPr>
          <w:rFonts w:hint="cs"/>
          <w:rtl/>
        </w:rPr>
        <w:t>ع صوب الاعتراف الكامل بحقوق المعوقين المدنية. بيد أن هذه العملية كانت شديدة التعقُّد وانطوت على روابط متعددة الأوجه بين احتياجات الأفراد واستجابات الشبكات الخدمية، التي تنتظر اليوم المزيد من الاستجابات الملائمة لمسايرة التطورات التي نشهدها.</w:t>
      </w:r>
    </w:p>
    <w:p w:rsidR="00000000" w:rsidRDefault="00A208FF">
      <w:pPr>
        <w:spacing w:line="400" w:lineRule="exact"/>
        <w:jc w:val="both"/>
        <w:rPr>
          <w:rFonts w:hint="cs"/>
          <w:rtl/>
        </w:rPr>
      </w:pPr>
      <w:r>
        <w:rPr>
          <w:rFonts w:hint="cs"/>
          <w:rtl/>
        </w:rPr>
        <w:t>216-</w:t>
      </w:r>
      <w:r>
        <w:rPr>
          <w:rFonts w:hint="cs"/>
          <w:rtl/>
        </w:rPr>
        <w:tab/>
        <w:t>وقد سمح لن</w:t>
      </w:r>
      <w:r>
        <w:rPr>
          <w:rFonts w:hint="cs"/>
          <w:rtl/>
        </w:rPr>
        <w:t>ا التقدم المحرز حتى الآن بتحقيق أهداف هامة في مجالات عديدة، لكن لا يزال يتوجب بذل المزيد من الجهود من النواحي الثقافية والتشريعية والإدارية والعملية. ولا يمكن لتحديد وتنفيذ السياسات التي تركز بشكل أكبر على العلاقة بين الصحة والعجز أن يهملا المفاهيم والمعاي</w:t>
      </w:r>
      <w:r>
        <w:rPr>
          <w:rFonts w:hint="cs"/>
          <w:rtl/>
        </w:rPr>
        <w:t>ير الثقافية المشتركة والثابتة علمياً أيضاً. ولرسم سياسات اجتماعية وصحية مرضية في مجال حالات العجز، نحتاج إلى تجاوز الالتباس الثقافي الذي لا يزال قائماً، فضلاً عن النُّهج المتخصصة والقطاعية، والبدء بالتركيز على الفرد واحتياجاته وحقوقه. وعلينا أن نتحول من ال</w:t>
      </w:r>
      <w:r>
        <w:rPr>
          <w:rFonts w:hint="cs"/>
          <w:rtl/>
        </w:rPr>
        <w:t>تركيز على المرض، ومواصفاته المحددة، إلى التركيز على الشخص، وصعوباته وموارده وإمكاناته المحددة. وعلى مدى سنوات، كانت إحدى القضايا البالغة الأهمية في مجال السياسة الاجتماعية الخاصة بالمعوقين هي إعادة النظر في معايير الإعاقة.</w:t>
      </w:r>
    </w:p>
    <w:p w:rsidR="00000000" w:rsidRDefault="00A208FF">
      <w:pPr>
        <w:spacing w:line="400" w:lineRule="exact"/>
        <w:jc w:val="both"/>
        <w:rPr>
          <w:rFonts w:hint="cs"/>
          <w:rtl/>
        </w:rPr>
      </w:pPr>
      <w:r>
        <w:rPr>
          <w:rFonts w:hint="cs"/>
          <w:rtl/>
        </w:rPr>
        <w:t>217-</w:t>
      </w:r>
      <w:r>
        <w:rPr>
          <w:rFonts w:hint="cs"/>
          <w:rtl/>
        </w:rPr>
        <w:tab/>
        <w:t>وتنص المادة 24 من القانون 32</w:t>
      </w:r>
      <w:r>
        <w:rPr>
          <w:rFonts w:hint="cs"/>
          <w:rtl/>
        </w:rPr>
        <w:t>8/2000 - "القانون الإطاري لإنجاز نظام متكامل من الإجراءات والخدمات الاجتماعية" - على تخويل بعض السلطات إلى الحكومة لإعادة النظر في العلاوات المدفوعة إلى المقعدين والمكفوفين والصم والبكم.</w:t>
      </w:r>
    </w:p>
    <w:p w:rsidR="00000000" w:rsidRDefault="00A208FF">
      <w:pPr>
        <w:spacing w:line="400" w:lineRule="exact"/>
        <w:jc w:val="both"/>
        <w:rPr>
          <w:rFonts w:hint="cs"/>
          <w:rtl/>
        </w:rPr>
      </w:pPr>
      <w:r>
        <w:rPr>
          <w:rFonts w:hint="cs"/>
          <w:rtl/>
        </w:rPr>
        <w:t>218-</w:t>
      </w:r>
      <w:r>
        <w:rPr>
          <w:rFonts w:hint="cs"/>
          <w:rtl/>
        </w:rPr>
        <w:tab/>
        <w:t>ومن العوامل الحاسمة المميِّزة لحالة السياسات المعنية بالمعوقين ف</w:t>
      </w:r>
      <w:r>
        <w:rPr>
          <w:rFonts w:hint="cs"/>
          <w:rtl/>
        </w:rPr>
        <w:t>ي البلاد ما يتمثل في النهج المختلف المنتهج في مجال تخطيط وتنفيذ المبادرات الاجتماعية وخدمات الرعاية الاجتماعية والصحية. والقوانين التي تتضمن أهدافاً مبتكرة لا تطبق بالكامل دائماً، ولا شيء يضمن تلقي المستفيدين المحتملين الخدمات المنصوص عليها.</w:t>
      </w:r>
    </w:p>
    <w:p w:rsidR="00000000" w:rsidRDefault="00A208FF">
      <w:pPr>
        <w:spacing w:line="400" w:lineRule="exact"/>
        <w:jc w:val="both"/>
        <w:rPr>
          <w:rFonts w:hint="cs"/>
          <w:rtl/>
        </w:rPr>
      </w:pPr>
      <w:r>
        <w:rPr>
          <w:rFonts w:hint="cs"/>
          <w:rtl/>
        </w:rPr>
        <w:t>219-</w:t>
      </w:r>
      <w:r>
        <w:rPr>
          <w:rFonts w:hint="cs"/>
          <w:rtl/>
        </w:rPr>
        <w:tab/>
        <w:t>وتقوم الس</w:t>
      </w:r>
      <w:r>
        <w:rPr>
          <w:rFonts w:hint="cs"/>
          <w:rtl/>
        </w:rPr>
        <w:t>لطات المحلية بدور حاسم في تخطيط وتنفيذ السياسات الخاصة بالمعوقين. كما خُولت أداء دور أفعل في تعزيز الحوار البناء والتعاون الفعال مع المنظمات التطوعية والعاملين في المجال الاجتماعي في القطاع الخاص والمجتمع المدني. وقد أدى هذا إلى إقرار المرسوم الوزاري 470/2</w:t>
      </w:r>
      <w:r>
        <w:rPr>
          <w:rFonts w:hint="cs"/>
          <w:rtl/>
        </w:rPr>
        <w:t>001 الذي يتضمن لوائح تتعلق بوضع معايير وترتيبات لمنح وتوفير التمويل للمبادرات لصالح المصابين بإعاقات شديدة والذين لا يتلقون مساعدة من الأسرة. وتنص هذه القواعد على تحويل الموارد ذات الصلة إلى الأقاليم التي يطلب إليها إصدار أحكام تكفل تمويل الهيئات غير المست</w:t>
      </w:r>
      <w:r>
        <w:rPr>
          <w:rFonts w:hint="cs"/>
          <w:rtl/>
        </w:rPr>
        <w:t>هدفة للربح التي تسعى إلى تطوير الهياكل الإقليمية لمساعدة المصابين بإعاقات شديدة والذين لم تعد لهم أسرة تقدم لهم يد المساعدة.</w:t>
      </w:r>
    </w:p>
    <w:p w:rsidR="00000000" w:rsidRDefault="00A208FF">
      <w:pPr>
        <w:spacing w:line="400" w:lineRule="exact"/>
        <w:jc w:val="both"/>
        <w:rPr>
          <w:rFonts w:hint="cs"/>
          <w:rtl/>
        </w:rPr>
      </w:pPr>
      <w:r>
        <w:rPr>
          <w:rFonts w:hint="cs"/>
          <w:rtl/>
        </w:rPr>
        <w:t>220-</w:t>
      </w:r>
      <w:r>
        <w:rPr>
          <w:rFonts w:hint="cs"/>
          <w:rtl/>
        </w:rPr>
        <w:tab/>
        <w:t>وتواصل الدولة تعزيز وتنسيق السياسات الاجتماعية والصحية، كما ستواصل توفير المساعدة الاقتصادية للتأكد من أن الإجراءات المبتكرة ا</w:t>
      </w:r>
      <w:r>
        <w:rPr>
          <w:rFonts w:hint="cs"/>
          <w:rtl/>
        </w:rPr>
        <w:t>لتي أدخلت قادرة على التطور تماماً.</w:t>
      </w:r>
    </w:p>
    <w:p w:rsidR="00000000" w:rsidRDefault="00A208FF">
      <w:pPr>
        <w:spacing w:line="400" w:lineRule="exact"/>
        <w:jc w:val="both"/>
        <w:rPr>
          <w:rFonts w:hint="cs"/>
          <w:b/>
          <w:bCs/>
          <w:rtl/>
        </w:rPr>
      </w:pPr>
      <w:r>
        <w:rPr>
          <w:rFonts w:hint="cs"/>
          <w:b/>
          <w:bCs/>
          <w:rtl/>
        </w:rPr>
        <w:t>القانون 284/1997 والقانون 162/1998: مبادرات لفائدة المكفوفين والمصابين بإعاقات شديدة</w:t>
      </w:r>
    </w:p>
    <w:p w:rsidR="00000000" w:rsidRDefault="00A208FF">
      <w:pPr>
        <w:spacing w:line="400" w:lineRule="exact"/>
        <w:jc w:val="both"/>
        <w:rPr>
          <w:rFonts w:hint="cs"/>
          <w:rtl/>
        </w:rPr>
      </w:pPr>
      <w:r>
        <w:rPr>
          <w:rFonts w:hint="cs"/>
          <w:rtl/>
        </w:rPr>
        <w:t>221-</w:t>
      </w:r>
      <w:r>
        <w:rPr>
          <w:rFonts w:hint="cs"/>
          <w:rtl/>
        </w:rPr>
        <w:tab/>
        <w:t>في عام 2001، استكملت الإجراءات الرامية إلى التنفيذ الكامل للبرامج والمشاريع التجريبية المتعددة السنوات التي ينص عليها حكمان تشريعيا</w:t>
      </w:r>
      <w:r>
        <w:rPr>
          <w:rFonts w:hint="cs"/>
          <w:rtl/>
        </w:rPr>
        <w:t>ن (هما: القانون 284/1997 والقانون 162/1998)، فيما يتعلق فقط بالسنتين الماليتين 1999 و2000. وتشمل المشاريع التي قدم لها التمويل مشاريع تجريبية لفائدة المكفوفين المصابين بإعاقات شديدة وتبرعاً لصالح "الاتحاد الوطني لمعاهد المكفوفين" فضلاً عن تمويل مشاريع تجري</w:t>
      </w:r>
      <w:r>
        <w:rPr>
          <w:rFonts w:hint="cs"/>
          <w:rtl/>
        </w:rPr>
        <w:t>بية لفائدة المصابين بإعاقات أخرى شديدة. ومنذ عام 2001، وُجِّهت جميع الموارد المخصصة لتلك الأغراض عن طريق "الصندوق الوطني للسياسات الاجتماعية" الذي يوزعها سنوياً بموجب مرسوم وزاري على الأقاليم وعلى مقاطعتي ترينتو وبولزانو المستقلتين ذاتياً.</w:t>
      </w:r>
    </w:p>
    <w:p w:rsidR="00000000" w:rsidRDefault="00A208FF">
      <w:pPr>
        <w:spacing w:line="400" w:lineRule="exact"/>
        <w:jc w:val="both"/>
        <w:rPr>
          <w:rFonts w:hint="cs"/>
          <w:i/>
          <w:iCs/>
          <w:rtl/>
        </w:rPr>
      </w:pPr>
      <w:r>
        <w:rPr>
          <w:rFonts w:hint="cs"/>
          <w:i/>
          <w:iCs/>
          <w:rtl/>
        </w:rPr>
        <w:t>موقع "المعوقين ب</w:t>
      </w:r>
      <w:r>
        <w:rPr>
          <w:rFonts w:hint="cs"/>
          <w:i/>
          <w:iCs/>
          <w:rtl/>
        </w:rPr>
        <w:t>الأرقام" (</w:t>
      </w:r>
      <w:r>
        <w:rPr>
          <w:i/>
          <w:iCs/>
        </w:rPr>
        <w:t>handicapincifre</w:t>
      </w:r>
      <w:r>
        <w:rPr>
          <w:rFonts w:hint="cs"/>
          <w:i/>
          <w:iCs/>
          <w:rtl/>
        </w:rPr>
        <w:t>) على شبكة الإنترنت</w:t>
      </w:r>
    </w:p>
    <w:p w:rsidR="00000000" w:rsidRDefault="00A208FF">
      <w:pPr>
        <w:spacing w:line="400" w:lineRule="exact"/>
        <w:jc w:val="both"/>
        <w:rPr>
          <w:rFonts w:hint="cs"/>
          <w:rtl/>
        </w:rPr>
      </w:pPr>
      <w:r>
        <w:rPr>
          <w:rFonts w:hint="cs"/>
          <w:rtl/>
        </w:rPr>
        <w:t>222-</w:t>
      </w:r>
      <w:r>
        <w:rPr>
          <w:rFonts w:hint="cs"/>
          <w:rtl/>
        </w:rPr>
        <w:tab/>
        <w:t>أُبرم اتفاق مع المعهد الوطني للإحصاءات (</w:t>
      </w:r>
      <w:r>
        <w:t>ISTAT</w:t>
      </w:r>
      <w:r>
        <w:rPr>
          <w:rFonts w:hint="cs"/>
          <w:rtl/>
        </w:rPr>
        <w:t>) بموجب أحكام القانون 162/1998 التي تنص على تشجيع إجراء مسوح إحصائية بشأن حالات العجز، وذلك من أجل إنشاء نظام معلومات عن هذا الموضوع. ويرمي المشروع إلى أن يُفرَغ</w:t>
      </w:r>
      <w:r>
        <w:rPr>
          <w:rFonts w:hint="cs"/>
          <w:rtl/>
        </w:rPr>
        <w:t xml:space="preserve"> في أقرب وقت ممكن من وضع نظام متكامل لمصادر المعلومات عن حالات العجز يستند إلى مجموعة من الوسائل والأساليب والإجراءات التي تهدف إلى اقتناء البيانات المطلوبة، على مختلف المستويات الجغرافية والإدارية، لتحليل احتياجات المعوقين وظروفهم الاجتماعية والصحية؛ والت</w:t>
      </w:r>
      <w:r>
        <w:rPr>
          <w:rFonts w:hint="cs"/>
          <w:rtl/>
        </w:rPr>
        <w:t>خطيط للخدمات المقدمة وتنفيذها وتقييمها؛ ورصد حجم وفعالية المبادرات التي تنفذها مختلف الجهات المؤسسية الفاعلة. وفي عام 2001، أنشئ موقع "المعوقين بالأرقام" (</w:t>
      </w:r>
      <w:r>
        <w:t>handicapincifre</w:t>
      </w:r>
      <w:r>
        <w:rPr>
          <w:rFonts w:hint="cs"/>
          <w:rtl/>
        </w:rPr>
        <w:t>) على شبكة الإنترنت؛ ويمكن الاطلاع على محتويات الموقع من خلال موقع وزارة العمل والسياس</w:t>
      </w:r>
      <w:r>
        <w:rPr>
          <w:rFonts w:hint="cs"/>
          <w:rtl/>
        </w:rPr>
        <w:t>ات الاجتماعية "</w:t>
      </w:r>
      <w:r>
        <w:t>www.minwelfare.it</w:t>
      </w:r>
      <w:r>
        <w:rPr>
          <w:rFonts w:hint="cs"/>
          <w:rtl/>
        </w:rPr>
        <w:t>".</w:t>
      </w:r>
    </w:p>
    <w:p w:rsidR="00000000" w:rsidRDefault="00A208FF">
      <w:pPr>
        <w:spacing w:line="400" w:lineRule="exact"/>
        <w:jc w:val="both"/>
        <w:rPr>
          <w:rFonts w:hint="cs"/>
          <w:rtl/>
        </w:rPr>
      </w:pPr>
      <w:r>
        <w:rPr>
          <w:rFonts w:hint="cs"/>
          <w:rtl/>
        </w:rPr>
        <w:t>223-</w:t>
      </w:r>
      <w:r>
        <w:rPr>
          <w:rFonts w:hint="cs"/>
          <w:rtl/>
        </w:rPr>
        <w:tab/>
        <w:t>ويتضمن موقع "المعوقين بالأرقام" بيانات عن المعوقين في إيطاليا وعن جوانب حالات الإعاقة مستمدة من مصادر المعلومات المتاحة حالياً على الصعيد الوطني (المسوح التي قام بها المعهد الوطني للإحصاءات، والمحفوظات ونظم المعلومات</w:t>
      </w:r>
      <w:r>
        <w:rPr>
          <w:rFonts w:hint="cs"/>
          <w:rtl/>
        </w:rPr>
        <w:t xml:space="preserve"> لدى الوزارات والهيئات الحكومية) أو التي طُورت انطلاقاً منها. وبإمكان المعوقين الاستفادة من هذه المعلومات والاطلاع على الجداول التي وضعت لهذه الأغراض خصيصاً. ويجري تحديث المعلومات المتاحة على الموقع باستمرار بمحتويات تتعلق بقضايا أخرى مثل القطاع الثالث، وا</w:t>
      </w:r>
      <w:r>
        <w:rPr>
          <w:rFonts w:hint="cs"/>
          <w:rtl/>
        </w:rPr>
        <w:t>لخدمات الاجتماعية الصحية، وحالات العجز الدائم الناجمة عن الإصابات أثناء العمل أو أثناء ممارسة الرياضة، والإدماج في المدرسة والجامعة. والموقع ليس مجرد منتَج من منتجات "نظام المعلومات عن حالات العجز"، كما كان يعتبر في البداية، وإنما هو أداة رئيسية لنشر معلوم</w:t>
      </w:r>
      <w:r>
        <w:rPr>
          <w:rFonts w:hint="cs"/>
          <w:rtl/>
        </w:rPr>
        <w:t>ات دقيقة عن مشاكل العجز.</w:t>
      </w:r>
    </w:p>
    <w:p w:rsidR="00000000" w:rsidRDefault="00A208FF">
      <w:pPr>
        <w:spacing w:line="400" w:lineRule="exact"/>
        <w:jc w:val="both"/>
        <w:rPr>
          <w:rFonts w:hint="cs"/>
          <w:b/>
          <w:bCs/>
          <w:rtl/>
        </w:rPr>
      </w:pPr>
      <w:r>
        <w:rPr>
          <w:rFonts w:hint="cs"/>
          <w:b/>
          <w:bCs/>
          <w:rtl/>
        </w:rPr>
        <w:t>القانون 328/2000: مبادرات الرعاية الاجتماعية الصحية وأحكام للتنفيذ</w:t>
      </w:r>
    </w:p>
    <w:p w:rsidR="00000000" w:rsidRDefault="00A208FF">
      <w:pPr>
        <w:spacing w:line="400" w:lineRule="exact"/>
        <w:jc w:val="both"/>
        <w:rPr>
          <w:rFonts w:hint="cs"/>
          <w:rtl/>
        </w:rPr>
      </w:pPr>
      <w:r>
        <w:rPr>
          <w:rFonts w:hint="cs"/>
          <w:rtl/>
        </w:rPr>
        <w:t>224-</w:t>
      </w:r>
      <w:r>
        <w:rPr>
          <w:rFonts w:hint="cs"/>
          <w:rtl/>
        </w:rPr>
        <w:tab/>
        <w:t>صدرت أحكام بشأن خدمات الرعاية الاجتماعية الصحية وأحكام لتنفيذ القانون 328/2000، و"القانون الإطاري لوضع نظام متكامل للإجراءات والخدمات الاجتماعية" الذي يركز تحد</w:t>
      </w:r>
      <w:r>
        <w:rPr>
          <w:rFonts w:hint="cs"/>
          <w:rtl/>
        </w:rPr>
        <w:t>يداً على مشاكل العجز. كما صدر مرسوم يشتمل على مبادئ توجيهية وعلى تنسيق الخدمات الاجتماعية الصحية. ويحدد المرسوم مختلف أنواع الخدمات، مفرقاً بين الخدمات الصحية ذات الأهمية الاجتماعية الكبيرة، والخدمات الاجتماعية ذات الأهمية الصحية الكبيرة، والخدمات الاجتماع</w:t>
      </w:r>
      <w:r>
        <w:rPr>
          <w:rFonts w:hint="cs"/>
          <w:rtl/>
        </w:rPr>
        <w:t>ية - الصحية المتكاملة إلى حد كبير مع النظام الصحي. ويشير المرسوم إلى ما ينبغي للوكالات الصحية المحلية تغطيته من حيث التحويلات والتكلفة، وما ينبغي للسلطات البلدية تغطيته. ويتضمن المرسوم مرفقاً يبين مختلف الخدمات ومعايير التمويل فيما يتعلق بمجالات التدخل، بم</w:t>
      </w:r>
      <w:r>
        <w:rPr>
          <w:rFonts w:hint="cs"/>
          <w:rtl/>
        </w:rPr>
        <w:t>ا فيها ما يخص حالات العجز.</w:t>
      </w:r>
    </w:p>
    <w:p w:rsidR="00000000" w:rsidRDefault="00A208FF">
      <w:pPr>
        <w:spacing w:line="400" w:lineRule="exact"/>
        <w:jc w:val="both"/>
        <w:rPr>
          <w:rFonts w:hint="cs"/>
          <w:rtl/>
        </w:rPr>
      </w:pPr>
      <w:r>
        <w:rPr>
          <w:rFonts w:hint="cs"/>
          <w:rtl/>
        </w:rPr>
        <w:t>225-</w:t>
      </w:r>
      <w:r>
        <w:rPr>
          <w:rFonts w:hint="cs"/>
          <w:rtl/>
        </w:rPr>
        <w:tab/>
        <w:t>ومن الأحكام الصادرة أيضاً "الخطة الوطنية للعمل الاجتماعي والخدمات الاجتماعية للفترة 2001-2003" التي تبين معايير تخطيط الخدمات الاجتماعية، وتحدد الأهداف ذات الأولوية، وتقدم توصيات لإقامة نظام متكامل للعمل الاجتماعي والخدمات ا</w:t>
      </w:r>
      <w:r>
        <w:rPr>
          <w:rFonts w:hint="cs"/>
          <w:rtl/>
        </w:rPr>
        <w:t>لاجتماعية. كما تبين الترتيبات والوسائل الرامية إلى رصد وتقييم العمليات القائمة والنتائج المحققة. وتشمل الأهداف ذات الأولوية التي حددتها "الخطة الاجتماعية الوطنية" دعم ذوي المسؤوليات الأسرية والمسنين غير المكتفين ذاتيا والمصابين بإعاقات شديدة.</w:t>
      </w:r>
    </w:p>
    <w:p w:rsidR="00000000" w:rsidRDefault="00A208FF">
      <w:pPr>
        <w:spacing w:line="400" w:lineRule="exact"/>
        <w:jc w:val="both"/>
        <w:rPr>
          <w:rFonts w:hint="cs"/>
          <w:rtl/>
        </w:rPr>
      </w:pPr>
      <w:r>
        <w:rPr>
          <w:rFonts w:hint="cs"/>
          <w:rtl/>
        </w:rPr>
        <w:t>226-</w:t>
      </w:r>
      <w:r>
        <w:rPr>
          <w:rFonts w:hint="cs"/>
          <w:rtl/>
        </w:rPr>
        <w:tab/>
        <w:t>وقد صدرت</w:t>
      </w:r>
      <w:r>
        <w:rPr>
          <w:rFonts w:hint="cs"/>
          <w:rtl/>
        </w:rPr>
        <w:t xml:space="preserve"> لائحة بشأن "الحد الأدنى من المتطلبات الهيكلية والتنظيمية للترخيص لخدمات وهياكل الإقامة والإقامة الجزئية عملاً بالمادة 11 من القانون 328/2000" (المرسوم 308/2001)، الذي توضع من خلاله الحدود الدنيا من المتطلبات الهيكلية والتنظيمية من أجل الترخيص لمراكز الإقا</w:t>
      </w:r>
      <w:r>
        <w:rPr>
          <w:rFonts w:hint="cs"/>
          <w:rtl/>
        </w:rPr>
        <w:t>مة اليومية ومراكز الإقامة الأخرى، العاملة منها أو التي أنشئت مؤخراً. ومن بين الخدمات المقدمة الخدمات الموجهة إلى المعوقين من حيث المساعدة الاجتماعية أو المبادرات الصحية الاجتماعية الرامية إلى الحفاظ على الاستقلالية الشخصية أو استرجاعها ودعم الأسر، فضلاً عن</w:t>
      </w:r>
      <w:r>
        <w:rPr>
          <w:rFonts w:hint="cs"/>
          <w:rtl/>
        </w:rPr>
        <w:t xml:space="preserve"> الخدمات الموجهة إلى الأطفال والمسنين والمصابين بالإيدز والأشخاص الذين يعانون مشاكل نفسانية اجتماعية.</w:t>
      </w:r>
    </w:p>
    <w:p w:rsidR="00000000" w:rsidRDefault="00A208FF">
      <w:pPr>
        <w:spacing w:line="400" w:lineRule="exact"/>
        <w:jc w:val="both"/>
        <w:rPr>
          <w:rFonts w:hint="cs"/>
          <w:rtl/>
        </w:rPr>
      </w:pPr>
      <w:r>
        <w:rPr>
          <w:rFonts w:hint="cs"/>
          <w:rtl/>
        </w:rPr>
        <w:t>227-</w:t>
      </w:r>
      <w:r>
        <w:rPr>
          <w:rFonts w:hint="cs"/>
          <w:rtl/>
        </w:rPr>
        <w:tab/>
        <w:t>وفيما يتعلق بمختلف المشاكل، نفذت الأحكام الصادرة عملاً بالمادة 81 من القانون 388 الصادر في 23 كانون الأول/ديسمبر 2000. وتنص تلك الأحكام على تخصيص 100</w:t>
      </w:r>
      <w:r>
        <w:rPr>
          <w:rFonts w:hint="cs"/>
          <w:rtl/>
        </w:rPr>
        <w:t xml:space="preserve"> مليار ليرة من الموارد المالية لكي تضع الجمعيات التطوعية وغيرها من الهيئات غير المستهدفة للربح برنامجاً من المبادرات الرامية إلى توفير الرعاية والمساعدة للمصابين بإعاقات شديدة والذين لا يتلقون دعماً أسرياً.  وسيُقسم ما نسبته 20 في المائة من هذا التمويل بال</w:t>
      </w:r>
      <w:r>
        <w:rPr>
          <w:rFonts w:hint="cs"/>
          <w:rtl/>
        </w:rPr>
        <w:t>تساوي فيما بين جميع الأقاليم والمقاطعات المستقلة ذاتياً، ويُقسم ما نسبته 80 في المائة بالتناسب بين السكان المقيمين. واستناداً إلى اللوائح، يمكن انطباق ما يلي على الأقاليم لأغراض التمويل: المنظمات غير المستهدفة للربح وذات الفائدة الاجتماعية، والتعاونيات، وا</w:t>
      </w:r>
      <w:r>
        <w:rPr>
          <w:rFonts w:hint="cs"/>
          <w:rtl/>
        </w:rPr>
        <w:t>لمنظمات التطوعية، والجمعيات الاجتماعية، والمؤسسات وهيئات المواطنين الاستشارية، وغير ذلك من الجهات العاملة في القطاع الاجتماعي الخاص.</w:t>
      </w:r>
    </w:p>
    <w:p w:rsidR="00000000" w:rsidRDefault="00A208FF">
      <w:pPr>
        <w:spacing w:line="400" w:lineRule="exact"/>
        <w:jc w:val="both"/>
        <w:rPr>
          <w:rFonts w:hint="cs"/>
          <w:rtl/>
        </w:rPr>
      </w:pPr>
      <w:r>
        <w:rPr>
          <w:rFonts w:hint="cs"/>
          <w:rtl/>
        </w:rPr>
        <w:t>228-</w:t>
      </w:r>
      <w:r>
        <w:rPr>
          <w:rFonts w:hint="cs"/>
          <w:rtl/>
        </w:rPr>
        <w:tab/>
        <w:t xml:space="preserve">وستضع الأقاليم معايير اختيار المشاريع التي ستتلقى التمويل الذي يمكن استعماله في شراء المباني أو تجديدها أو استئجارها، </w:t>
      </w:r>
      <w:r>
        <w:rPr>
          <w:rFonts w:hint="cs"/>
          <w:rtl/>
        </w:rPr>
        <w:t>أو اقتناء المعدات، أو استهلال مبادرات خاصة بتقديم المساعدة والاستمرار في تلك المبادرات لمدة سنة. ويجب أن تكون المراكز "صغيرة الحجم" بغية ضمان استقبال المعوقين وإدماجهم في وسط "شبيه بالأسرة" والتقيد بمتطلبات النظافة للمساكن العادية. ويجب الانتهاء من الأنشطة</w:t>
      </w:r>
      <w:r>
        <w:rPr>
          <w:rFonts w:hint="cs"/>
          <w:rtl/>
        </w:rPr>
        <w:t xml:space="preserve"> التي حصلت على التمويل في غضون عامين من دفع التبرع. ويبلغ التبرع لكل مشروع 000 032 1 يورو (أي ملياري ليرة).</w:t>
      </w:r>
    </w:p>
    <w:p w:rsidR="00000000" w:rsidRDefault="00A208FF">
      <w:pPr>
        <w:spacing w:line="400" w:lineRule="exact"/>
        <w:jc w:val="both"/>
        <w:rPr>
          <w:rFonts w:hint="cs"/>
          <w:b/>
          <w:bCs/>
          <w:rtl/>
        </w:rPr>
      </w:pPr>
      <w:r>
        <w:rPr>
          <w:rFonts w:hint="cs"/>
          <w:b/>
          <w:bCs/>
          <w:rtl/>
        </w:rPr>
        <w:t>أحكام إضافية تتعلق بوضع ترتيبات خاصة وبمنح الإجازات للوالدين العاملين الذين يقدمون الرعاية إلى المصابين بإعاقات شديدة</w:t>
      </w:r>
    </w:p>
    <w:p w:rsidR="00000000" w:rsidRDefault="00A208FF">
      <w:pPr>
        <w:spacing w:line="380" w:lineRule="exact"/>
        <w:jc w:val="both"/>
        <w:rPr>
          <w:rFonts w:hint="cs"/>
          <w:rtl/>
        </w:rPr>
      </w:pPr>
      <w:r>
        <w:rPr>
          <w:rFonts w:hint="cs"/>
          <w:rtl/>
        </w:rPr>
        <w:t>229-</w:t>
      </w:r>
      <w:r>
        <w:rPr>
          <w:rFonts w:hint="cs"/>
          <w:rtl/>
        </w:rPr>
        <w:tab/>
        <w:t>إن المرسوم التشريعي 151/2</w:t>
      </w:r>
      <w:r>
        <w:rPr>
          <w:rFonts w:hint="cs"/>
          <w:rtl/>
        </w:rPr>
        <w:t>001 - وهو النص الموحد الذي يتضمن أحكاماً تشريعية تتعلق بحماية ودعم الأمومة والأبوة - يضيف لوائح أخرى إلى اللوائح القائمة التي تحكم منح الإجازات للأشخاص الذين يرعون أفراد أسر المعوقين وإجازات التغيب عن العمل المدفوعة الأجر. وتنص الفقرة 6 من المادة 42 من الم</w:t>
      </w:r>
      <w:r>
        <w:rPr>
          <w:rFonts w:hint="cs"/>
          <w:rtl/>
        </w:rPr>
        <w:t>رسوم التشريعي المتعلقة بفترات الراحة والتغيب عن العمل لأغراض رعاية الأطفال المصابين بإعاقات شديدة على أهلية الاستفادة من هذه الاستحقاقات إذا كان الوالد الآخر لا يحق لـه الحصول عليها.</w:t>
      </w:r>
    </w:p>
    <w:p w:rsidR="00000000" w:rsidRDefault="00A208FF">
      <w:pPr>
        <w:spacing w:before="0" w:after="0" w:line="380" w:lineRule="exact"/>
        <w:jc w:val="both"/>
        <w:rPr>
          <w:rFonts w:hint="cs"/>
          <w:b/>
          <w:bCs/>
          <w:rtl/>
        </w:rPr>
      </w:pPr>
      <w:r>
        <w:rPr>
          <w:rFonts w:hint="cs"/>
          <w:b/>
          <w:bCs/>
          <w:rtl/>
        </w:rPr>
        <w:t>المعاشات الاجتماعية وأحكام أخرى ينص عليها القانون 488/2001</w:t>
      </w:r>
    </w:p>
    <w:p w:rsidR="00000000" w:rsidRDefault="00A208FF">
      <w:pPr>
        <w:spacing w:before="0" w:after="0" w:line="380" w:lineRule="exact"/>
        <w:jc w:val="both"/>
        <w:rPr>
          <w:rFonts w:hint="cs"/>
          <w:b/>
          <w:bCs/>
          <w:rtl/>
        </w:rPr>
      </w:pPr>
      <w:r>
        <w:rPr>
          <w:rFonts w:hint="cs"/>
          <w:b/>
          <w:bCs/>
          <w:rtl/>
        </w:rPr>
        <w:t>(قانون المالية</w:t>
      </w:r>
      <w:r>
        <w:rPr>
          <w:rFonts w:hint="cs"/>
          <w:b/>
          <w:bCs/>
          <w:rtl/>
        </w:rPr>
        <w:t xml:space="preserve"> لعام 2002)</w:t>
      </w:r>
    </w:p>
    <w:p w:rsidR="00000000" w:rsidRDefault="00A208FF">
      <w:pPr>
        <w:spacing w:line="380" w:lineRule="exact"/>
        <w:jc w:val="both"/>
        <w:rPr>
          <w:rFonts w:hint="cs"/>
          <w:rtl/>
        </w:rPr>
      </w:pPr>
      <w:r>
        <w:rPr>
          <w:rFonts w:hint="cs"/>
          <w:rtl/>
        </w:rPr>
        <w:t>230-</w:t>
      </w:r>
      <w:r>
        <w:rPr>
          <w:rFonts w:hint="cs"/>
          <w:rtl/>
        </w:rPr>
        <w:tab/>
        <w:t xml:space="preserve">ينص القانون 488/2001 الذي يتضمن أحكاماً بشأن ميزانية الدولة السنوية والمتعددة السنوات على أن المستفيدين من المعاشات التي تقل عن 516 يورو والذين تتجاوز أعمارهم 70 سنة ويقل دخلهم الشخصي عن 713.98 6 يورو، ما عدا أي دخل مستمد من سكنهم، يحصلون </w:t>
      </w:r>
      <w:r>
        <w:rPr>
          <w:rFonts w:hint="cs"/>
          <w:rtl/>
        </w:rPr>
        <w:t>اعتباراً من 1 كانون الثاني/يناير 2002 على زيادة تبلغ بمعاشاتهم ذلك المستوى. ومتى كان المستفيد متزوجاً، لزم ألا يتجاوز دخل الزوجين 713.98 6 يورو علاوة على المبلغ السنوي الذي يحصلان عليه من خلال المعاشات الاجتماعية. وينص القانون 488/2001 على أن الزيادة إلى 5</w:t>
      </w:r>
      <w:r>
        <w:rPr>
          <w:rFonts w:hint="cs"/>
          <w:rtl/>
        </w:rPr>
        <w:t>16.89 يورو ينبغي أن تدفع أيضاً للمصابين بعجز كلي والصم - البكم والمكفوفين. ويبلغ حد الإيرادات الشخصية الأقصى القدر ذاته (أي  713.98 6 يورو) والعمر الأقصى 60 عاماً.</w:t>
      </w:r>
    </w:p>
    <w:p w:rsidR="00000000" w:rsidRDefault="00A208FF">
      <w:pPr>
        <w:spacing w:line="380" w:lineRule="exact"/>
        <w:jc w:val="both"/>
        <w:rPr>
          <w:rFonts w:hint="cs"/>
          <w:rtl/>
        </w:rPr>
      </w:pPr>
      <w:r>
        <w:rPr>
          <w:rFonts w:hint="cs"/>
          <w:rtl/>
        </w:rPr>
        <w:t>231-</w:t>
      </w:r>
      <w:r>
        <w:rPr>
          <w:rFonts w:hint="cs"/>
          <w:rtl/>
        </w:rPr>
        <w:tab/>
        <w:t>وفيما يخص التخفيض الضريبي بسبب وجود أطفال معالين، فإن المبلغ المخصوم على كل طفل معوق هو</w:t>
      </w:r>
      <w:r>
        <w:rPr>
          <w:rFonts w:hint="cs"/>
          <w:rtl/>
        </w:rPr>
        <w:t xml:space="preserve"> 774.69 يورو.</w:t>
      </w:r>
    </w:p>
    <w:p w:rsidR="00000000" w:rsidRDefault="00A208FF">
      <w:pPr>
        <w:spacing w:line="380" w:lineRule="exact"/>
        <w:jc w:val="both"/>
        <w:rPr>
          <w:rFonts w:hint="cs"/>
          <w:rtl/>
        </w:rPr>
      </w:pPr>
      <w:r>
        <w:rPr>
          <w:rFonts w:hint="cs"/>
          <w:rtl/>
        </w:rPr>
        <w:t>232-</w:t>
      </w:r>
      <w:r>
        <w:rPr>
          <w:rFonts w:hint="cs"/>
          <w:rtl/>
        </w:rPr>
        <w:tab/>
        <w:t xml:space="preserve">كما ينص قانون المالية لعام 2002 على إمكانية خصم 19 في المائة من التكاليف المتكبدة لتوفير خدمات الترجمة للصم - البكم. وتطبيقاً للفقرة 3 من المادة 80 من القانون 388/2000 (قانون المالية لعام 2001)، يمكن للعمال الصم - البكم والعمال المعوقين </w:t>
      </w:r>
      <w:r>
        <w:rPr>
          <w:rFonts w:hint="cs"/>
          <w:rtl/>
        </w:rPr>
        <w:t>بنسبة تتجاوز 74 في المائة أن يحصلوا، بناء على طلبهم، ابتداءً من 1 كانون الثاني/يناير 2002، على الاعتراف بفترة اشتراكات إسمية في نظام التأمين الوطني تبلغ شهرين عن كل سنة عملوا فيها فعلياً، إلى غاية خمس سنوات.</w:t>
      </w:r>
    </w:p>
    <w:p w:rsidR="00000000" w:rsidRDefault="00A208FF">
      <w:pPr>
        <w:spacing w:line="380" w:lineRule="exact"/>
        <w:jc w:val="both"/>
        <w:rPr>
          <w:rFonts w:hint="cs"/>
          <w:b/>
          <w:bCs/>
          <w:rtl/>
        </w:rPr>
      </w:pPr>
      <w:r>
        <w:rPr>
          <w:rFonts w:hint="cs"/>
          <w:b/>
          <w:bCs/>
          <w:rtl/>
        </w:rPr>
        <w:t>الأنشطة والمبادرات الجارية</w:t>
      </w:r>
    </w:p>
    <w:p w:rsidR="00000000" w:rsidRDefault="00A208FF">
      <w:pPr>
        <w:spacing w:line="380" w:lineRule="exact"/>
        <w:jc w:val="both"/>
        <w:rPr>
          <w:rFonts w:hint="cs"/>
          <w:rtl/>
        </w:rPr>
      </w:pPr>
      <w:r>
        <w:rPr>
          <w:rFonts w:hint="cs"/>
          <w:rtl/>
        </w:rPr>
        <w:t>233-</w:t>
      </w:r>
      <w:r>
        <w:rPr>
          <w:rFonts w:hint="cs"/>
          <w:rtl/>
        </w:rPr>
        <w:tab/>
        <w:t>تشمل مختلف المبا</w:t>
      </w:r>
      <w:r>
        <w:rPr>
          <w:rFonts w:hint="cs"/>
          <w:rtl/>
        </w:rPr>
        <w:t>درات التي تتخذها الحكومة، ضمن ما تشمله، خدمات الاتصال الهاتفي المجاني التي توفرها وزارة العمل والسياسات الاجتماعية (رقم الهاتف: 840002244) وتوفر خدمات استشارية وغيرها من الخدمات لفائدة الجمهور والهيئات المحلية والجمعيات والجهات الخاصة العاملة في المجال الا</w:t>
      </w:r>
      <w:r>
        <w:rPr>
          <w:rFonts w:hint="cs"/>
          <w:rtl/>
        </w:rPr>
        <w:t>جتماعي والأسر والأفراد.</w:t>
      </w:r>
    </w:p>
    <w:p w:rsidR="00000000" w:rsidRDefault="00A208FF">
      <w:pPr>
        <w:spacing w:line="380" w:lineRule="exact"/>
        <w:jc w:val="both"/>
        <w:rPr>
          <w:rFonts w:hint="cs"/>
          <w:rtl/>
        </w:rPr>
      </w:pPr>
      <w:r>
        <w:rPr>
          <w:rFonts w:hint="cs"/>
          <w:rtl/>
        </w:rPr>
        <w:t>234-</w:t>
      </w:r>
      <w:r>
        <w:rPr>
          <w:rFonts w:hint="cs"/>
          <w:rtl/>
        </w:rPr>
        <w:tab/>
        <w:t>وفيما يتعلق بالجوانب المتصلة بالعمالة تحديداً وحماية تكافؤ الفرص أمام المعوقين، تجدر الإشارة إلى الأنشطة والمبادرات التنظيمية التالية:</w:t>
      </w:r>
    </w:p>
    <w:tbl>
      <w:tblPr>
        <w:bidiVisual/>
        <w:tblW w:w="0" w:type="auto"/>
        <w:tblBorders>
          <w:insideH w:val="single" w:sz="4" w:space="0" w:color="auto"/>
          <w:insideV w:val="single" w:sz="4" w:space="0" w:color="auto"/>
        </w:tblBorders>
        <w:tblLook w:val="0000" w:firstRow="0" w:lastRow="0" w:firstColumn="0" w:lastColumn="0" w:noHBand="0" w:noVBand="0"/>
      </w:tblPr>
      <w:tblGrid>
        <w:gridCol w:w="9570"/>
      </w:tblGrid>
      <w:tr w:rsidR="00A208FF" w:rsidTr="00A208FF">
        <w:tblPrEx>
          <w:tblCellMar>
            <w:top w:w="0" w:type="dxa"/>
            <w:bottom w:w="0" w:type="dxa"/>
          </w:tblCellMar>
        </w:tblPrEx>
        <w:tc>
          <w:tcPr>
            <w:tcW w:w="9570" w:type="dxa"/>
          </w:tcPr>
          <w:p w:rsidR="00000000" w:rsidRDefault="00A208FF">
            <w:pPr>
              <w:spacing w:line="380" w:lineRule="exact"/>
              <w:jc w:val="both"/>
              <w:rPr>
                <w:rFonts w:hint="cs"/>
                <w:b/>
                <w:bCs/>
                <w:rtl/>
              </w:rPr>
            </w:pPr>
            <w:r>
              <w:rPr>
                <w:rFonts w:hint="cs"/>
                <w:b/>
                <w:bCs/>
                <w:rtl/>
              </w:rPr>
              <w:t>الأحكام والإجراءات</w:t>
            </w:r>
          </w:p>
          <w:p w:rsidR="00000000" w:rsidRDefault="00A208FF">
            <w:pPr>
              <w:spacing w:line="380" w:lineRule="exact"/>
              <w:jc w:val="both"/>
              <w:rPr>
                <w:rFonts w:hint="cs"/>
                <w:rtl/>
              </w:rPr>
            </w:pPr>
            <w:r>
              <w:rPr>
                <w:rtl/>
              </w:rPr>
              <w:tab/>
            </w:r>
            <w:r>
              <w:rPr>
                <w:rFonts w:hint="cs"/>
                <w:rtl/>
              </w:rPr>
              <w:t>صدرت الأحكام التالية تنفيذاً للقانون 68/1999 الذي يتضمن "الأحكام الناظمة</w:t>
            </w:r>
            <w:r>
              <w:rPr>
                <w:rFonts w:hint="cs"/>
                <w:rtl/>
              </w:rPr>
              <w:t xml:space="preserve"> لحق المعوقين في العمل":</w:t>
            </w:r>
          </w:p>
          <w:p w:rsidR="00000000" w:rsidRDefault="00A208FF">
            <w:pPr>
              <w:spacing w:line="380" w:lineRule="exact"/>
              <w:ind w:left="1440" w:hanging="720"/>
              <w:jc w:val="both"/>
              <w:rPr>
                <w:rFonts w:hint="cs"/>
                <w:rtl/>
              </w:rPr>
            </w:pPr>
            <w:r>
              <w:rPr>
                <w:rFonts w:hint="cs"/>
                <w:rtl/>
              </w:rPr>
              <w:t>-</w:t>
            </w:r>
            <w:r>
              <w:rPr>
                <w:rtl/>
              </w:rPr>
              <w:tab/>
            </w:r>
            <w:r>
              <w:rPr>
                <w:rFonts w:hint="cs"/>
                <w:rtl/>
              </w:rPr>
              <w:t>اتفاق بين وزارة العمل والسياسات الاجتماعية، والأقاليم ومقاطعتي ترينتو وبولزانو المستقلتين ذاتياً، والمجتمعات الجبلية، والبلديات، لتحديد الشروط؛</w:t>
            </w:r>
          </w:p>
          <w:p w:rsidR="00000000" w:rsidRDefault="00A208FF">
            <w:pPr>
              <w:spacing w:line="380" w:lineRule="exact"/>
              <w:ind w:left="1440" w:hanging="720"/>
              <w:jc w:val="both"/>
              <w:rPr>
                <w:rFonts w:hint="cs"/>
                <w:rtl/>
              </w:rPr>
            </w:pPr>
            <w:r>
              <w:rPr>
                <w:rFonts w:hint="cs"/>
                <w:rtl/>
              </w:rPr>
              <w:t>-</w:t>
            </w:r>
            <w:r>
              <w:rPr>
                <w:rtl/>
              </w:rPr>
              <w:tab/>
            </w:r>
            <w:r>
              <w:rPr>
                <w:rFonts w:hint="cs"/>
                <w:rtl/>
              </w:rPr>
              <w:t>مشروع قانون تموز/يوليه 2001 الذي يتضمن "توزيع الموارد المالية للصندوق الخاص بحق الم</w:t>
            </w:r>
            <w:r>
              <w:rPr>
                <w:rFonts w:hint="cs"/>
                <w:rtl/>
              </w:rPr>
              <w:t>عوقين في العمل بين الأقاليم، وهو الصندوق الذي أنشئ بموجب الفقرة 4 من المادة 13 من القانون 68/1999 - العام 2001".</w:t>
            </w:r>
          </w:p>
          <w:p w:rsidR="00000000" w:rsidRDefault="00A208FF">
            <w:pPr>
              <w:spacing w:line="380" w:lineRule="exact"/>
              <w:jc w:val="both"/>
              <w:rPr>
                <w:rFonts w:hint="cs"/>
                <w:b/>
                <w:bCs/>
                <w:rtl/>
              </w:rPr>
            </w:pPr>
            <w:r>
              <w:rPr>
                <w:rFonts w:hint="cs"/>
                <w:b/>
                <w:bCs/>
                <w:rtl/>
              </w:rPr>
              <w:t>التعميمات</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مذكرة 11 تشرين الأول/أكتوبر 2001</w:t>
            </w:r>
            <w:r>
              <w:rPr>
                <w:rFonts w:hint="cs"/>
                <w:rtl/>
              </w:rPr>
              <w:t xml:space="preserve"> بشأن "التشغيل الإجباري". القانون 68/1999 - طلب التعويض الجغرافي والإعفاء الجزئي؛</w:t>
            </w:r>
          </w:p>
          <w:p w:rsidR="00000000" w:rsidRDefault="00A208FF">
            <w:pPr>
              <w:spacing w:line="380" w:lineRule="exact"/>
              <w:ind w:left="1440" w:hanging="720"/>
              <w:jc w:val="both"/>
              <w:rPr>
                <w:rFonts w:hint="cs"/>
                <w:rtl/>
              </w:rPr>
            </w:pPr>
            <w:r>
              <w:rPr>
                <w:rFonts w:hint="cs"/>
                <w:rtl/>
              </w:rPr>
              <w:t>-</w:t>
            </w:r>
            <w:r>
              <w:rPr>
                <w:rtl/>
              </w:rPr>
              <w:tab/>
            </w:r>
            <w:r>
              <w:rPr>
                <w:rFonts w:hint="cs"/>
                <w:spacing w:val="4"/>
                <w:u w:val="single"/>
                <w:rtl/>
              </w:rPr>
              <w:t xml:space="preserve">مذكرة 10 تشرين </w:t>
            </w:r>
            <w:r>
              <w:rPr>
                <w:rFonts w:hint="cs"/>
                <w:spacing w:val="4"/>
                <w:u w:val="single"/>
                <w:rtl/>
              </w:rPr>
              <w:t>الأول/أكتوبر 2001</w:t>
            </w:r>
            <w:r>
              <w:rPr>
                <w:rFonts w:hint="cs"/>
                <w:spacing w:val="4"/>
                <w:rtl/>
              </w:rPr>
              <w:t xml:space="preserve"> بشأن "الرد على مسألة الشروط -القانون 68/1999،</w:t>
            </w:r>
            <w:r>
              <w:rPr>
                <w:rFonts w:hint="cs"/>
                <w:rtl/>
              </w:rPr>
              <w:t xml:space="preserve"> المادة 11-2"؛</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التعميم رقم 77 الصادر في 6 آب/أغسطس 2001</w:t>
            </w:r>
            <w:r>
              <w:rPr>
                <w:rFonts w:hint="cs"/>
                <w:rtl/>
              </w:rPr>
              <w:t xml:space="preserve"> بشأن "التشغيل الإجباري". الشركات التي تقدم خدمات التنظيف والخدمات المتكاملة؛</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مذكرة 20 تموز/يوليه 2001</w:t>
            </w:r>
            <w:r>
              <w:rPr>
                <w:rFonts w:hint="cs"/>
                <w:rtl/>
              </w:rPr>
              <w:t xml:space="preserve"> بشأن "القانون 68/1999، المادة 4</w:t>
            </w:r>
            <w:r>
              <w:rPr>
                <w:rFonts w:hint="cs"/>
                <w:rtl/>
              </w:rPr>
              <w:t xml:space="preserve"> - "مؤسسات الأمن الخاص"؛</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التعميم رقم 66 الصادر في 10 تموز/يوليه 2001</w:t>
            </w:r>
            <w:r>
              <w:rPr>
                <w:rFonts w:hint="cs"/>
                <w:rtl/>
              </w:rPr>
              <w:t xml:space="preserve"> بشأن "التشغيل الإجباري. التوجيه العملي فيما يخص الفحوص الطبية ويدل على عدم الأهلية للعمل"؛</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التعميم الصادر في 28 أيار/مايو 2001</w:t>
            </w:r>
            <w:r>
              <w:rPr>
                <w:rFonts w:hint="cs"/>
                <w:rtl/>
              </w:rPr>
              <w:t xml:space="preserve"> بشأن "القانون 113/1985 - التشغيل الإلزامي للمكفوفين في م</w:t>
            </w:r>
            <w:r>
              <w:rPr>
                <w:rFonts w:hint="cs"/>
                <w:rtl/>
              </w:rPr>
              <w:t>راكز الاتصالات الهاتفية"؛</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مذكـرة 8 أيار/مايو 2001</w:t>
            </w:r>
            <w:r>
              <w:rPr>
                <w:rFonts w:hint="cs"/>
                <w:rtl/>
              </w:rPr>
              <w:t xml:space="preserve"> بشأن "المرسـوم التشريعي 468/1997، المادة 2- القانون 68/1999، المادة 6. تكوين اللجان المعنية بتوظيف المعوقين"؛</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مذكرة 23 نيسان/أبريل 2001</w:t>
            </w:r>
            <w:r>
              <w:rPr>
                <w:rFonts w:hint="cs"/>
                <w:rtl/>
              </w:rPr>
              <w:t xml:space="preserve"> بشأن "المرسوم التشريعي 468/1997، المادة 6-2 - القانون 68/1999، الم</w:t>
            </w:r>
            <w:r>
              <w:rPr>
                <w:rFonts w:hint="cs"/>
                <w:rtl/>
              </w:rPr>
              <w:t>ادة 6. تكوين اللجان المعنية بتوظيف المعوقين"؛</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مذكرة 23 نيسان/أبريل 2001</w:t>
            </w:r>
            <w:r>
              <w:rPr>
                <w:rFonts w:hint="cs"/>
                <w:rtl/>
              </w:rPr>
              <w:t xml:space="preserve"> بشأن "اللائحة رقم 357/2000. الإعفاء الجزئي. ردود على المسائل المتعلقة بالترجمة"؛</w:t>
            </w:r>
          </w:p>
          <w:p w:rsidR="00000000" w:rsidRDefault="00A208FF">
            <w:pPr>
              <w:spacing w:line="380" w:lineRule="exact"/>
              <w:ind w:left="1440" w:hanging="720"/>
              <w:jc w:val="both"/>
              <w:rPr>
                <w:rFonts w:hint="cs"/>
                <w:rtl/>
              </w:rPr>
            </w:pPr>
            <w:r>
              <w:rPr>
                <w:rFonts w:hint="cs"/>
                <w:spacing w:val="4"/>
                <w:rtl/>
              </w:rPr>
              <w:t>-</w:t>
            </w:r>
            <w:r>
              <w:rPr>
                <w:spacing w:val="4"/>
                <w:rtl/>
              </w:rPr>
              <w:tab/>
            </w:r>
            <w:r>
              <w:rPr>
                <w:rFonts w:hint="cs"/>
                <w:spacing w:val="4"/>
                <w:u w:val="single"/>
                <w:rtl/>
              </w:rPr>
              <w:t>مذكرة 3 نيسان/أبريل 2001</w:t>
            </w:r>
            <w:r>
              <w:rPr>
                <w:rFonts w:hint="cs"/>
                <w:spacing w:val="4"/>
                <w:rtl/>
              </w:rPr>
              <w:t xml:space="preserve"> بشأن "القانون 68/1999 - المادة 5-3 - الإعفاءات الجزئية -</w:t>
            </w:r>
            <w:r>
              <w:rPr>
                <w:rFonts w:hint="cs"/>
                <w:rtl/>
              </w:rPr>
              <w:t xml:space="preserve"> أصحاب العمل الذين</w:t>
            </w:r>
            <w:r>
              <w:rPr>
                <w:rFonts w:hint="cs"/>
                <w:rtl/>
              </w:rPr>
              <w:t xml:space="preserve"> يستخدمون عدداً من الموظفين يتراوح بين 15 و35"؛</w:t>
            </w:r>
          </w:p>
          <w:p w:rsidR="00000000" w:rsidRDefault="00A208FF">
            <w:pPr>
              <w:spacing w:line="380" w:lineRule="exact"/>
              <w:ind w:left="1440" w:hanging="720"/>
              <w:jc w:val="both"/>
              <w:rPr>
                <w:rFonts w:hint="cs"/>
                <w:rtl/>
              </w:rPr>
            </w:pPr>
            <w:r>
              <w:rPr>
                <w:rFonts w:hint="cs"/>
                <w:rtl/>
              </w:rPr>
              <w:t>-</w:t>
            </w:r>
            <w:r>
              <w:rPr>
                <w:rtl/>
              </w:rPr>
              <w:tab/>
            </w:r>
            <w:r>
              <w:rPr>
                <w:rFonts w:hint="cs"/>
                <w:u w:val="single"/>
                <w:rtl/>
              </w:rPr>
              <w:t xml:space="preserve">التعميم رقم 23 المؤرخ 16 شباط/فبراير 2001 </w:t>
            </w:r>
            <w:r>
              <w:rPr>
                <w:rFonts w:hint="cs"/>
                <w:rtl/>
              </w:rPr>
              <w:t>بشأن "الأحكام الخاصة بحق المعوقين في العمل (القانون 68/1999) والحكم المتعلق بالتنفيذ (المرسوم الرئاسي 333/2000): جوانب تتعلق بالعقوبات. توضيحات تشغيلية"؛</w:t>
            </w:r>
          </w:p>
          <w:p w:rsidR="00000000" w:rsidRDefault="00A208FF">
            <w:pPr>
              <w:spacing w:line="380" w:lineRule="exact"/>
              <w:ind w:left="1440" w:hanging="720"/>
              <w:jc w:val="both"/>
              <w:rPr>
                <w:rStyle w:val="FootnoteReference"/>
                <w:rFonts w:hint="cs"/>
                <w:bCs w:val="0"/>
                <w:vertAlign w:val="baseline"/>
                <w:rtl/>
              </w:rPr>
            </w:pPr>
            <w:r>
              <w:rPr>
                <w:rFonts w:hint="cs"/>
                <w:rtl/>
              </w:rPr>
              <w:t>-</w:t>
            </w:r>
            <w:r>
              <w:rPr>
                <w:rtl/>
              </w:rPr>
              <w:tab/>
            </w:r>
            <w:r>
              <w:rPr>
                <w:rFonts w:hint="cs"/>
                <w:u w:val="single"/>
                <w:rtl/>
              </w:rPr>
              <w:t xml:space="preserve">التعميم </w:t>
            </w:r>
            <w:r>
              <w:rPr>
                <w:rFonts w:hint="cs"/>
                <w:u w:val="single"/>
                <w:rtl/>
              </w:rPr>
              <w:t>المؤرخ 22 شباط/فبراير 2001</w:t>
            </w:r>
            <w:r>
              <w:rPr>
                <w:rFonts w:hint="cs"/>
                <w:rtl/>
              </w:rPr>
              <w:t xml:space="preserve"> بشأن "القانون 68/1999. الشرطة البلدية. حساب النصيب الاحتياطي".</w:t>
            </w:r>
          </w:p>
        </w:tc>
      </w:tr>
    </w:tbl>
    <w:p w:rsidR="00000000" w:rsidRDefault="00A208FF">
      <w:pPr>
        <w:spacing w:line="400" w:lineRule="exact"/>
        <w:jc w:val="both"/>
        <w:rPr>
          <w:rFonts w:hint="cs"/>
          <w:b/>
          <w:bCs/>
          <w:rtl/>
        </w:rPr>
      </w:pPr>
      <w:r>
        <w:rPr>
          <w:rFonts w:hint="cs"/>
          <w:b/>
          <w:bCs/>
          <w:rtl/>
        </w:rPr>
        <w:t>الصندوق الخاص بحق المعوقين في العمل</w:t>
      </w:r>
    </w:p>
    <w:p w:rsidR="00000000" w:rsidRDefault="00A208FF">
      <w:pPr>
        <w:spacing w:line="400" w:lineRule="exact"/>
        <w:jc w:val="both"/>
        <w:rPr>
          <w:rFonts w:hint="cs"/>
          <w:rtl/>
        </w:rPr>
      </w:pPr>
      <w:r>
        <w:rPr>
          <w:rFonts w:hint="cs"/>
          <w:rtl/>
        </w:rPr>
        <w:t>235-</w:t>
      </w:r>
      <w:r>
        <w:rPr>
          <w:rFonts w:hint="cs"/>
          <w:rtl/>
        </w:rPr>
        <w:tab/>
        <w:t xml:space="preserve">تنص الفقرة 4 من المادة 13 من القانون 68/1999 على إنشاء صندوق خاص بحق المعوقين في العمل. وتبلغ موارده 60 مليار ليرة تتقاسمها </w:t>
      </w:r>
      <w:r>
        <w:rPr>
          <w:rFonts w:hint="cs"/>
          <w:rtl/>
        </w:rPr>
        <w:t>الأقاليم بحلول 1 آذار/مارس من كل سنة. وبلغ عدد العمال المعوقين الذين استخدِموا من خلال برامج للتوظيف محددة الهدف التي خُوّل أرباب العمل بموجبها الحصول على إعفاءات كلية أو جزئية من دفع اشتراكات التأمين الاجتماعي 697 1 شخصاً.</w:t>
      </w:r>
    </w:p>
    <w:p w:rsidR="00000000" w:rsidRDefault="00A208FF">
      <w:pPr>
        <w:spacing w:line="400" w:lineRule="exact"/>
        <w:jc w:val="both"/>
        <w:rPr>
          <w:rFonts w:hint="cs"/>
          <w:b/>
          <w:bCs/>
          <w:rtl/>
        </w:rPr>
      </w:pPr>
      <w:r>
        <w:rPr>
          <w:rFonts w:hint="cs"/>
          <w:b/>
          <w:bCs/>
          <w:rtl/>
        </w:rPr>
        <w:t>الإدماج في العمل</w:t>
      </w:r>
    </w:p>
    <w:p w:rsidR="00000000" w:rsidRDefault="00A208FF">
      <w:pPr>
        <w:spacing w:line="400" w:lineRule="exact"/>
        <w:jc w:val="both"/>
        <w:rPr>
          <w:rFonts w:hint="cs"/>
          <w:rtl/>
        </w:rPr>
      </w:pPr>
      <w:r>
        <w:rPr>
          <w:rFonts w:hint="cs"/>
          <w:rtl/>
        </w:rPr>
        <w:t>236-</w:t>
      </w:r>
      <w:r>
        <w:rPr>
          <w:rFonts w:hint="cs"/>
          <w:rtl/>
        </w:rPr>
        <w:tab/>
        <w:t>تنفيذاً لل</w:t>
      </w:r>
      <w:r>
        <w:rPr>
          <w:rFonts w:hint="cs"/>
          <w:rtl/>
        </w:rPr>
        <w:t>مادة 19 من القانون 104/1992، تجدر الإشارة إلى أن عدد الموظفين المعوقين الذين استخدِموا عملاً بالتشريع الجديد بشأن التوظيف المحدد الهدف (القانون 68/1999) بلغ 908 40 أشخاص في 31 كانون الأول/ديمسببر 2001. ولاستيفاء الموضوع، تجدر الإشارة أيضاً إلى أن دراسات اس</w:t>
      </w:r>
      <w:r>
        <w:rPr>
          <w:rFonts w:hint="cs"/>
          <w:rtl/>
        </w:rPr>
        <w:t>تقصائية سنوية تجرى على الصعيد الإقليمي فيما يتعلق ببيانات الوضع الوظيفي للعمال الذين ينتمون إلى الفئات المحمية.</w:t>
      </w:r>
    </w:p>
    <w:p w:rsidR="00000000" w:rsidRDefault="00A208FF">
      <w:pPr>
        <w:spacing w:line="400" w:lineRule="exact"/>
        <w:jc w:val="both"/>
        <w:rPr>
          <w:rFonts w:hint="cs"/>
          <w:b/>
          <w:bCs/>
          <w:rtl/>
        </w:rPr>
      </w:pPr>
      <w:r>
        <w:rPr>
          <w:rFonts w:hint="cs"/>
          <w:b/>
          <w:bCs/>
          <w:rtl/>
        </w:rPr>
        <w:t>مبادرات الاتحاد الأوروبي</w:t>
      </w:r>
    </w:p>
    <w:p w:rsidR="00000000" w:rsidRDefault="00A208FF">
      <w:pPr>
        <w:spacing w:line="400" w:lineRule="exact"/>
        <w:jc w:val="both"/>
        <w:rPr>
          <w:rFonts w:hint="cs"/>
          <w:rtl/>
        </w:rPr>
      </w:pPr>
      <w:r>
        <w:rPr>
          <w:rFonts w:hint="cs"/>
          <w:rtl/>
        </w:rPr>
        <w:t>237-</w:t>
      </w:r>
      <w:r>
        <w:rPr>
          <w:rFonts w:hint="cs"/>
          <w:rtl/>
        </w:rPr>
        <w:tab/>
        <w:t>شاركت حكومة إيطاليا في مشروع بحثي يتناول السياسات الرامية إلى تقديم الدعم إلى المعوقين الذين هم في سن العمل وإدماج</w:t>
      </w:r>
      <w:r>
        <w:rPr>
          <w:rFonts w:hint="cs"/>
          <w:rtl/>
        </w:rPr>
        <w:t xml:space="preserve">هم. وقد شُجعت القيام بذلك البحث منظمة التعاون الاقتصادي والاجتماعي. ويهدف البحث إلى إجراء دراسة مقارنة للسياسات الفاعلة الموجهة نحو المعوقين والتي تضعها البلدان المشاركة في المشروع. وفي نهاية الدراسة، حررت وثيقة ختامية ستعرض في سنة 2003، وهي السنة الدولية </w:t>
      </w:r>
      <w:r>
        <w:rPr>
          <w:rFonts w:hint="cs"/>
          <w:rtl/>
        </w:rPr>
        <w:t>للمعوقين.</w:t>
      </w:r>
    </w:p>
    <w:p w:rsidR="00000000" w:rsidRDefault="00A208FF">
      <w:pPr>
        <w:spacing w:line="400" w:lineRule="exact"/>
        <w:jc w:val="both"/>
        <w:rPr>
          <w:rFonts w:hint="cs"/>
          <w:b/>
          <w:bCs/>
          <w:rtl/>
        </w:rPr>
      </w:pPr>
      <w:r>
        <w:rPr>
          <w:rFonts w:hint="cs"/>
          <w:b/>
          <w:bCs/>
          <w:rtl/>
        </w:rPr>
        <w:t>البيانات الإحصائية</w:t>
      </w:r>
    </w:p>
    <w:p w:rsidR="00000000" w:rsidRDefault="00A208FF">
      <w:pPr>
        <w:spacing w:line="400" w:lineRule="exact"/>
        <w:jc w:val="both"/>
        <w:rPr>
          <w:rFonts w:hint="cs"/>
          <w:rtl/>
        </w:rPr>
      </w:pPr>
      <w:r>
        <w:rPr>
          <w:rFonts w:hint="cs"/>
          <w:rtl/>
        </w:rPr>
        <w:t>238-</w:t>
      </w:r>
      <w:r>
        <w:rPr>
          <w:rFonts w:hint="cs"/>
          <w:rtl/>
        </w:rPr>
        <w:tab/>
        <w:t xml:space="preserve">يجري إعداد دراسات لاستحداث باب في موقع وزارة العمل والسياسات الاجتماعية </w:t>
      </w:r>
      <w:r>
        <w:rPr>
          <w:u w:val="single"/>
        </w:rPr>
        <w:t>www.minwelfare.it</w:t>
      </w:r>
      <w:r>
        <w:rPr>
          <w:rFonts w:hint="cs"/>
          <w:rtl/>
        </w:rPr>
        <w:t>. ومما يسمح بالحصول على البيانات الإحصائية المتعلقة بالمجالات ذات الأهمية القصوى بالنسبة إلى التشريع الجديد الخاص بالتوظيف المحدد اله</w:t>
      </w:r>
      <w:r>
        <w:rPr>
          <w:rFonts w:hint="cs"/>
          <w:rtl/>
        </w:rPr>
        <w:t>دف، مع الإشارة بوجه خاص إلى التغيرات الجارية التي تؤثر في حالات الإعاقة والمعوقين نتيجة دخول التشريع المذكور حيز التنفيذ، مع مراعاة الحاجة إلى التحديد النوعي والكمي للمعايير المرجعية المتعلقة بالوضع الوظيفي للعمال المعوقين.</w:t>
      </w:r>
    </w:p>
    <w:p w:rsidR="00000000" w:rsidRDefault="00A208FF">
      <w:pPr>
        <w:spacing w:line="400" w:lineRule="exact"/>
        <w:jc w:val="both"/>
        <w:rPr>
          <w:rFonts w:hint="cs"/>
          <w:b/>
          <w:bCs/>
          <w:rtl/>
        </w:rPr>
      </w:pPr>
      <w:r>
        <w:rPr>
          <w:rFonts w:hint="cs"/>
          <w:b/>
          <w:bCs/>
          <w:rtl/>
        </w:rPr>
        <w:t>ملاحظات ومقترحات</w:t>
      </w:r>
    </w:p>
    <w:p w:rsidR="00000000" w:rsidRDefault="00A208FF">
      <w:pPr>
        <w:spacing w:line="400" w:lineRule="exact"/>
        <w:jc w:val="both"/>
        <w:rPr>
          <w:rFonts w:hint="cs"/>
          <w:rtl/>
        </w:rPr>
      </w:pPr>
      <w:r>
        <w:rPr>
          <w:rFonts w:hint="cs"/>
          <w:rtl/>
        </w:rPr>
        <w:t>239-</w:t>
      </w:r>
      <w:r>
        <w:rPr>
          <w:rFonts w:hint="cs"/>
          <w:rtl/>
        </w:rPr>
        <w:tab/>
        <w:t>في ضوء الإ</w:t>
      </w:r>
      <w:r>
        <w:rPr>
          <w:rFonts w:hint="cs"/>
          <w:rtl/>
        </w:rPr>
        <w:t>طار التشريعي الجديد في مجال التوظيف المحدد الهدف، ومع مراعاة الأحكام الخاصة باللامركزية الإدارية لخدمات التوظيف والتقدم التكنولوجي الهائل المحرز في قطاع الاتصالات، سيجري إدخال التعديلات اللازمة على القانون 113/1985 فيما يتعلق بمشغلي مقاسم تحويل الاتصالات ا</w:t>
      </w:r>
      <w:r>
        <w:rPr>
          <w:rFonts w:hint="cs"/>
          <w:rtl/>
        </w:rPr>
        <w:t>لهاتفية من المكفوفين، بغية تحديث الأحكام وتطبيقها بطريقة أنجع لتلبية احتياجات سوق العمل الحالية. وفي هذا الصدد، ينبغي دراسة وتحليل أهم العوامل التي تظهر في إطار السياق المشار إليه أعلاه الذي يجب أن يستمر فيه تطبيق القانون 113/1985. وسيتواصل تحديد تلك العوا</w:t>
      </w:r>
      <w:r>
        <w:rPr>
          <w:rFonts w:hint="cs"/>
          <w:rtl/>
        </w:rPr>
        <w:t>مل مع أهم الجمعيات التي تمثل المكفوفين ومع الهيئات المؤسسية المحلية. وسيشير ذلك الاستعراض إلى ما يلي:</w:t>
      </w:r>
    </w:p>
    <w:p w:rsidR="00000000" w:rsidRDefault="00A208FF">
      <w:pPr>
        <w:spacing w:line="400" w:lineRule="exact"/>
        <w:ind w:left="1440" w:hanging="720"/>
        <w:jc w:val="both"/>
        <w:rPr>
          <w:rFonts w:hint="cs"/>
          <w:rtl/>
        </w:rPr>
      </w:pPr>
      <w:r>
        <w:rPr>
          <w:rFonts w:hint="cs"/>
          <w:rtl/>
        </w:rPr>
        <w:t>-</w:t>
      </w:r>
      <w:r>
        <w:rPr>
          <w:rFonts w:hint="cs"/>
          <w:rtl/>
        </w:rPr>
        <w:tab/>
        <w:t>إعادة تحديد الاختصاصات في مجال تسجيل مشغلي مقاسم تحويل الاتصالات الهاتفية في السجل المهني الوطني وفروعه المحلية؛</w:t>
      </w:r>
    </w:p>
    <w:p w:rsidR="00000000" w:rsidRDefault="00A208FF">
      <w:pPr>
        <w:spacing w:line="400" w:lineRule="exact"/>
        <w:ind w:left="1440" w:hanging="720"/>
        <w:jc w:val="both"/>
        <w:rPr>
          <w:rFonts w:hint="cs"/>
          <w:rtl/>
        </w:rPr>
      </w:pPr>
      <w:r>
        <w:rPr>
          <w:rFonts w:hint="cs"/>
          <w:rtl/>
        </w:rPr>
        <w:t>-</w:t>
      </w:r>
      <w:r>
        <w:rPr>
          <w:rFonts w:hint="cs"/>
          <w:rtl/>
        </w:rPr>
        <w:tab/>
        <w:t>استعراض تكوين المجالس الإقليمية المخت</w:t>
      </w:r>
      <w:r>
        <w:rPr>
          <w:rFonts w:hint="cs"/>
          <w:rtl/>
        </w:rPr>
        <w:t xml:space="preserve">صة في اختبار مشغلي مقاسم تحول الاتصالات الهاتفية، وذلك أيضاً بقصد الاعتراف بالمؤهلات الجديدة المعادلة المنصوص عليها في المرسوم الوزاري الصادر في 10 كانون الثاني/يناير 2000 والمنشور في </w:t>
      </w:r>
      <w:r>
        <w:rPr>
          <w:rFonts w:hint="cs"/>
          <w:i/>
          <w:iCs/>
          <w:rtl/>
        </w:rPr>
        <w:t>الجريدة الرسمية</w:t>
      </w:r>
      <w:r>
        <w:rPr>
          <w:rFonts w:hint="cs"/>
          <w:rtl/>
        </w:rPr>
        <w:t xml:space="preserve"> (رقم 37 بتاريخ 15 شباط/فبراير 2000)؛</w:t>
      </w:r>
    </w:p>
    <w:p w:rsidR="00000000" w:rsidRDefault="00A208FF">
      <w:pPr>
        <w:spacing w:line="400" w:lineRule="exact"/>
        <w:ind w:left="1440" w:hanging="720"/>
        <w:jc w:val="both"/>
        <w:rPr>
          <w:rFonts w:hint="cs"/>
          <w:rtl/>
        </w:rPr>
      </w:pPr>
      <w:r>
        <w:rPr>
          <w:rFonts w:hint="cs"/>
          <w:rtl/>
        </w:rPr>
        <w:t>-</w:t>
      </w:r>
      <w:r>
        <w:rPr>
          <w:rFonts w:hint="cs"/>
          <w:rtl/>
        </w:rPr>
        <w:tab/>
        <w:t>استعراض معايير تح</w:t>
      </w:r>
      <w:r>
        <w:rPr>
          <w:rFonts w:hint="cs"/>
          <w:rtl/>
        </w:rPr>
        <w:t>ديد شروط التوظيف بعد أن لم تعد شركة تيليكوم (</w:t>
      </w:r>
      <w:r>
        <w:t>Telecom</w:t>
      </w:r>
      <w:r>
        <w:rPr>
          <w:rFonts w:hint="cs"/>
          <w:rtl/>
        </w:rPr>
        <w:t>) تحتكر هذا القطاع، نتيجة لتحرير سوق الاتصالات الهاتفية، ولأنها لم تعد متعهد الخدمات الهاتفية الوحيد.</w:t>
      </w:r>
    </w:p>
    <w:p w:rsidR="00000000" w:rsidRDefault="00A208FF">
      <w:pPr>
        <w:spacing w:line="400" w:lineRule="exact"/>
        <w:jc w:val="both"/>
        <w:rPr>
          <w:rFonts w:hint="cs"/>
          <w:rtl/>
        </w:rPr>
      </w:pPr>
      <w:r>
        <w:rPr>
          <w:rFonts w:hint="cs"/>
          <w:rtl/>
        </w:rPr>
        <w:t>240-</w:t>
      </w:r>
      <w:r>
        <w:rPr>
          <w:rFonts w:hint="cs"/>
          <w:rtl/>
        </w:rPr>
        <w:tab/>
        <w:t>ولكي تكون للأحكام الخاصة بالتوظيف الإلزامي للمكفوفين أكثر اتساقاً ومنهجي، فسيلزم اتخاذ تدابير مشا</w:t>
      </w:r>
      <w:r>
        <w:rPr>
          <w:rFonts w:hint="cs"/>
          <w:rtl/>
        </w:rPr>
        <w:t>بهة تتناسب مع القانون 686/1961 الذي يحكم توظيف المكفوفين الذين يمارسون مهنة التدليك أو العلاج الطبيعي بواسطة التدليك.</w:t>
      </w:r>
    </w:p>
    <w:p w:rsidR="00000000" w:rsidRDefault="00A208FF">
      <w:pPr>
        <w:spacing w:line="400" w:lineRule="exact"/>
        <w:jc w:val="both"/>
        <w:rPr>
          <w:rFonts w:hint="cs"/>
          <w:b/>
          <w:bCs/>
          <w:rtl/>
        </w:rPr>
      </w:pPr>
      <w:r>
        <w:rPr>
          <w:rFonts w:hint="cs"/>
          <w:b/>
          <w:bCs/>
          <w:rtl/>
        </w:rPr>
        <w:t>حالة التقدم المحرز في القوانين الإقليمية لتطبيق القانون 68/1999 الذي يتضمن "الأحكام الخاصة بحق المعوقين في العمل"</w:t>
      </w:r>
    </w:p>
    <w:p w:rsidR="00000000" w:rsidRDefault="00A208FF">
      <w:pPr>
        <w:spacing w:line="400" w:lineRule="exact"/>
        <w:jc w:val="both"/>
        <w:rPr>
          <w:rFonts w:hint="cs"/>
          <w:rtl/>
        </w:rPr>
      </w:pPr>
      <w:r>
        <w:rPr>
          <w:rFonts w:hint="cs"/>
          <w:rtl/>
        </w:rPr>
        <w:t>241-</w:t>
      </w:r>
      <w:r>
        <w:rPr>
          <w:rFonts w:hint="cs"/>
          <w:rtl/>
        </w:rPr>
        <w:tab/>
        <w:t>إن عملية الإصلاح ال</w:t>
      </w:r>
      <w:r>
        <w:rPr>
          <w:rFonts w:hint="cs"/>
          <w:rtl/>
        </w:rPr>
        <w:t>جديدة المتعلقة بحق المعوقين في العمل لا تبين الإطار التشريعي المرجعي المبتكر والمتنوع فحسب، مقارنة بالإطار السابق، وإنما تشمل أيضاً اتخاذ الإدارات الإقليمية لتدابير تتمثل في إنشاء هياكل مؤسسية محلية جديدة لإدارة إجراءات التوظيف المحدد الهدف، مع مراعاة أحكا</w:t>
      </w:r>
      <w:r>
        <w:rPr>
          <w:rFonts w:hint="cs"/>
          <w:rtl/>
        </w:rPr>
        <w:t>م المرسوم التشريعي 469/1997 المتعلقة باللامركزية الإدارية. وفي هذا المضمار، تقوم هذه الإدارة بنشاط رصد مستمر (يرد ملخصه في الجدول المرفق) للتقدم المحرز في الأحكام التشريعية التي يتعين على الهيئات المؤسسية في الأقاليم والمقاطعات إصدارها عملاً بالقانون 68/19</w:t>
      </w:r>
      <w:r>
        <w:rPr>
          <w:rFonts w:hint="cs"/>
          <w:rtl/>
        </w:rPr>
        <w:t>99.</w:t>
      </w:r>
    </w:p>
    <w:p w:rsidR="00000000" w:rsidRDefault="00A208FF">
      <w:pPr>
        <w:spacing w:line="400" w:lineRule="exact"/>
        <w:jc w:val="both"/>
        <w:rPr>
          <w:rFonts w:hint="cs"/>
          <w:b/>
          <w:bCs/>
          <w:rtl/>
        </w:rPr>
      </w:pPr>
    </w:p>
    <w:p w:rsidR="00000000" w:rsidRDefault="00A208FF">
      <w:pPr>
        <w:spacing w:line="400" w:lineRule="exact"/>
        <w:jc w:val="both"/>
        <w:rPr>
          <w:rFonts w:hint="cs"/>
          <w:b/>
          <w:bCs/>
          <w:rtl/>
        </w:rPr>
      </w:pPr>
      <w:r>
        <w:rPr>
          <w:rFonts w:hint="cs"/>
          <w:b/>
          <w:bCs/>
          <w:rtl/>
        </w:rPr>
        <w:t>الموارد الوطنية والمحلية</w:t>
      </w:r>
    </w:p>
    <w:p w:rsidR="00000000" w:rsidRDefault="00A208FF">
      <w:pPr>
        <w:spacing w:line="400" w:lineRule="exact"/>
        <w:jc w:val="both"/>
        <w:rPr>
          <w:rFonts w:hint="cs"/>
          <w:rtl/>
        </w:rPr>
      </w:pPr>
      <w:r>
        <w:rPr>
          <w:rFonts w:hint="cs"/>
          <w:rtl/>
        </w:rPr>
        <w:t>242-</w:t>
      </w:r>
      <w:r>
        <w:rPr>
          <w:rFonts w:hint="cs"/>
          <w:rtl/>
        </w:rPr>
        <w:tab/>
        <w:t>ازدادت النفقات الاجتماعية خلال الفترة 1995-1999 بنحو 1 في المائة بالنسبة للناتج المحلي الإجمالي، مع تسجيل ارتفاع طفيف في المعاشات وزيادة قليلة في النفقات الصحية. أما المبالغ المصروفة على الرعاية الاجتماعية، التي ظلت ثابتة</w:t>
      </w:r>
      <w:r>
        <w:rPr>
          <w:rFonts w:hint="cs"/>
          <w:rtl/>
        </w:rPr>
        <w:t xml:space="preserve"> نسبياً في العقد الماضي، فقد شهدت زيادة حادة بين عامي 2000 و2002. وقد حدثت تغيرات كبيرة في نمط الإنفاق داخل هذه الفئة: فقد سجل ارتفاع في بنود الإنفاق الوثيقة الصلة بالمساعدة مقابل انخفاض في التحويلات المالية. ومن المتوقع أن تسجل تلك البنود مزيداً من الارتف</w:t>
      </w:r>
      <w:r>
        <w:rPr>
          <w:rFonts w:hint="cs"/>
          <w:rtl/>
        </w:rPr>
        <w:t>اع بعد دخول القانون الإطاري بشأن المساعدة الاجتماعية حيز التنفيذ.</w:t>
      </w:r>
    </w:p>
    <w:p w:rsidR="00000000" w:rsidRDefault="00A208FF">
      <w:pPr>
        <w:spacing w:line="400" w:lineRule="exact"/>
        <w:jc w:val="both"/>
        <w:rPr>
          <w:rFonts w:hint="cs"/>
          <w:rtl/>
        </w:rPr>
      </w:pPr>
      <w:r>
        <w:rPr>
          <w:rFonts w:hint="cs"/>
          <w:rtl/>
        </w:rPr>
        <w:t>243-</w:t>
      </w:r>
      <w:r>
        <w:rPr>
          <w:rFonts w:hint="cs"/>
          <w:rtl/>
        </w:rPr>
        <w:tab/>
        <w:t>ومنذ عام 1996، كان الإنفاق الإجمالي مستقراً أساساً مقابل الناتج المحلي الإجمالي فيما يتعلق بكل قطاع من القطاعات الثلاثة موضع النظر (الصحة والتأمين الاجتماعي والمساعدة)، وهو يقل عن متوسط</w:t>
      </w:r>
      <w:r>
        <w:rPr>
          <w:rFonts w:hint="cs"/>
          <w:rtl/>
        </w:rPr>
        <w:t xml:space="preserve"> الاتحاد الأوروبي ببضع نقاط. ويعود نصيب الأسد إلى التأمين الاجتماعي الذي يمثل 70 في المائة من الفئة كلها بسبب المعاشات التي تمتص تقريباً مجمل ما ينفق على التأمين الاجتماعي. وهذه السمة تمثل أوضح شذوذ عن نظام الحماية الاجتماعية الإيطالي، وهي تبين وجود خلل وا</w:t>
      </w:r>
      <w:r>
        <w:rPr>
          <w:rFonts w:hint="cs"/>
          <w:rtl/>
        </w:rPr>
        <w:t>ضح لصالح الإنفاق على المعاشات، على حساب الإنفاق على المساعدة الاجتماعية (التي تشمل تقديم المساعدة إلى الأسر والمسنين، ودعم الدخل، وسياسات الإسكان، وسياسات الإدماج الاجتماعي). وفي حين أن الإنفاق النسبي على الرعاية الاجتماعية ظل على ما هو عليه عملياً خلال ال</w:t>
      </w:r>
      <w:r>
        <w:rPr>
          <w:rFonts w:hint="cs"/>
          <w:rtl/>
        </w:rPr>
        <w:t>سنوات الخمس محل النظر، فقد كانت هناك بعض التغيرات في الوزن النسبي للعناصر المكونة لـه. ويعزى ذلك أولاً إلى الزيادة في حجم الإعانات الاجتماعية والمعاشات للمواطنين الإيطاليين المقيمين الذين تتجاوز أعمارهم 65 سنة وليس لديهم أي دخل. وهو يعزى ثانياً إلى أن مجمو</w:t>
      </w:r>
      <w:r>
        <w:rPr>
          <w:rFonts w:hint="cs"/>
          <w:rtl/>
        </w:rPr>
        <w:t>عة من الإجراءات المتعلقة بصندوق الطفولة والمراهقة، وبدل الإدماج الأدنى، وعلاوة الأمومة، وعلاوة الأسر التي تعيل ثلاثة أطفال، قد دخلت تدريجياً حيز التنفيذ، اعتباراً من عام 1999، في حين أننا سجلنا أيضاً انخفاضاً في الأهمية النسبية لتحويل الأموال في شكل معاشات</w:t>
      </w:r>
      <w:r>
        <w:rPr>
          <w:rFonts w:hint="cs"/>
          <w:rtl/>
        </w:rPr>
        <w:t xml:space="preserve"> المحاربين والمعاشات المخصصة للمعوقين المدنيين (التي بلغت 66 في المائة مما أنفق على الرعاية الاجتماعية في عام 1995). وفي الوقت ذاته، لاحظنا إدراج عناوين فرعية للإنفاق تركزت بصفة مباشرة على المساعدة الاجتماعية. ومن المتوقع أن يتصاعد هذا الاتجاه في المستقبل </w:t>
      </w:r>
      <w:r>
        <w:rPr>
          <w:rFonts w:hint="cs"/>
          <w:rtl/>
        </w:rPr>
        <w:t>نتيجة الدخول الكامل للأحكام المتعلقة بإجازة الأبوين والقانون الإطاري لوضع نظام متكامل للإجراءات والخدمات الاجتماعية حيز التنفيذ.</w:t>
      </w:r>
    </w:p>
    <w:p w:rsidR="00000000" w:rsidRDefault="00A208FF">
      <w:pPr>
        <w:spacing w:line="400" w:lineRule="exact"/>
        <w:jc w:val="both"/>
        <w:rPr>
          <w:rFonts w:hint="cs"/>
          <w:rtl/>
        </w:rPr>
      </w:pPr>
      <w:r>
        <w:rPr>
          <w:rFonts w:hint="cs"/>
          <w:rtl/>
        </w:rPr>
        <w:t>244-</w:t>
      </w:r>
      <w:r>
        <w:rPr>
          <w:rFonts w:hint="cs"/>
          <w:rtl/>
        </w:rPr>
        <w:tab/>
        <w:t>وقد ظل الإنفاق على المساعدة التي تقدمها السلطات المحلية في شكل خدمات - لفائدة الأطفال والمسنين أساساً - بدلاً من تحويل الأ</w:t>
      </w:r>
      <w:r>
        <w:rPr>
          <w:rFonts w:hint="cs"/>
          <w:rtl/>
        </w:rPr>
        <w:t xml:space="preserve">موال، على ما هو عليه تقريباً. وإذا أخذنا القيم المطلقة، فإن مجموع الإنفاق على المساعدة قد بلغ 000 34 مليار ليرة في عام 2000. وقد اتخذ نحو خمس هذا المبلغ شكل تحويلات على الصعيد المحلي، وإن كان التوصل لهذا المبلغ قد تم بصفة غير مباشرة، ذلك لأنه ينبغي أيضاًَ </w:t>
      </w:r>
      <w:r>
        <w:rPr>
          <w:rFonts w:hint="cs"/>
          <w:rtl/>
        </w:rPr>
        <w:t>مراعاة  المدفوعات المخصصة التي تقدمها السلطات البلدية والتي تدرج في أحيان كثيرة ضمن بنود إنفاق أخرى ويصعب تحديد كميتها بدقة.</w:t>
      </w:r>
    </w:p>
    <w:p w:rsidR="00000000" w:rsidRDefault="00A208FF">
      <w:pPr>
        <w:spacing w:line="400" w:lineRule="exact"/>
        <w:jc w:val="both"/>
        <w:rPr>
          <w:rFonts w:hint="cs"/>
          <w:rtl/>
        </w:rPr>
      </w:pPr>
      <w:r>
        <w:rPr>
          <w:rFonts w:hint="cs"/>
          <w:rtl/>
        </w:rPr>
        <w:t>245-</w:t>
      </w:r>
      <w:r>
        <w:rPr>
          <w:rFonts w:hint="cs"/>
          <w:rtl/>
        </w:rPr>
        <w:tab/>
        <w:t xml:space="preserve">ويبين الوضع من ناحية الإنفاق على الفرد وجود خلل كبير على الصعيد الإقليمي؛ وتبين الدراسات أن مستويات الإنفاق على الفرد يمكن أن </w:t>
      </w:r>
      <w:r>
        <w:rPr>
          <w:rFonts w:hint="cs"/>
          <w:rtl/>
        </w:rPr>
        <w:t>تبلغ في مقاطعات الشمال أربعة أضعاف مستويات الإنفاق في بعض مناطق الجنوب الإيطالي. ويعزى ذلك أساساً إلى "هوامش المناورة" في بعض المناطق الشمالية في استعمال الموارد المحوَّلة من الحكومة المركزية، والتي تستخدم في شكل خدمات إضافية تقدم إلى فئات خاصة من المحرومي</w:t>
      </w:r>
      <w:r>
        <w:rPr>
          <w:rFonts w:hint="cs"/>
          <w:rtl/>
        </w:rPr>
        <w:t>ن اجتماعياً (مثل المسنين غير القادرين على الاعتماد على الذات). ومتى وضعنا في الحسبان الاتجاه الحالي في الإنفاق الاجتماعي، فإن هذه الاختلالات لا تنم عن أي انخفاض؛ والواقع أن الإنفاق الاجتماعي كان لا يصب في أغلب الأحيان في مصلحة المناطق والمقاطعات الأكثر تخل</w:t>
      </w:r>
      <w:r>
        <w:rPr>
          <w:rFonts w:hint="cs"/>
          <w:rtl/>
        </w:rPr>
        <w:t>فاً عن الركب.</w:t>
      </w:r>
    </w:p>
    <w:p w:rsidR="00000000" w:rsidRDefault="00A208FF">
      <w:pPr>
        <w:spacing w:line="400" w:lineRule="exact"/>
        <w:jc w:val="both"/>
        <w:rPr>
          <w:rFonts w:hint="cs"/>
          <w:b/>
          <w:bCs/>
          <w:rtl/>
        </w:rPr>
      </w:pPr>
      <w:r>
        <w:rPr>
          <w:rFonts w:hint="cs"/>
          <w:b/>
          <w:bCs/>
          <w:rtl/>
        </w:rPr>
        <w:t>الموارد في القطاع غير الربحي</w:t>
      </w:r>
    </w:p>
    <w:p w:rsidR="00000000" w:rsidRDefault="00A208FF">
      <w:pPr>
        <w:spacing w:line="400" w:lineRule="exact"/>
        <w:jc w:val="both"/>
        <w:rPr>
          <w:rFonts w:hint="cs"/>
          <w:rtl/>
        </w:rPr>
      </w:pPr>
      <w:r>
        <w:rPr>
          <w:rFonts w:hint="cs"/>
          <w:rtl/>
        </w:rPr>
        <w:t>246-</w:t>
      </w:r>
      <w:r>
        <w:rPr>
          <w:rFonts w:hint="cs"/>
          <w:rtl/>
        </w:rPr>
        <w:tab/>
        <w:t>لا بد من إضافة فئات كبيرة من التحويلات النقدية والتحويلات في شكل الخدمات المكافئة إلى التحويلات المدرجة في إطار الحسابات العامة. ويتعلق ذلك أساساً باشتراكات المؤسسات المصرفية والتبرعات والخدمات التي يوفرها ال</w:t>
      </w:r>
      <w:r>
        <w:rPr>
          <w:rFonts w:hint="cs"/>
          <w:rtl/>
        </w:rPr>
        <w:t>قطاع الثالث.</w:t>
      </w:r>
    </w:p>
    <w:p w:rsidR="00000000" w:rsidRDefault="00A208FF">
      <w:pPr>
        <w:spacing w:line="400" w:lineRule="exact"/>
        <w:jc w:val="both"/>
        <w:rPr>
          <w:rFonts w:hint="cs"/>
          <w:rtl/>
        </w:rPr>
      </w:pPr>
      <w:r>
        <w:rPr>
          <w:rFonts w:hint="cs"/>
          <w:rtl/>
        </w:rPr>
        <w:t>247-</w:t>
      </w:r>
      <w:r>
        <w:rPr>
          <w:rFonts w:hint="cs"/>
          <w:rtl/>
        </w:rPr>
        <w:tab/>
        <w:t>وتقدم البيانات التالية في هذا المجال مؤشرات واضحة للغاية:</w:t>
      </w:r>
    </w:p>
    <w:p w:rsidR="00000000" w:rsidRDefault="00A208FF">
      <w:pPr>
        <w:spacing w:line="400" w:lineRule="exact"/>
        <w:ind w:left="1440" w:hanging="720"/>
        <w:jc w:val="both"/>
        <w:rPr>
          <w:rFonts w:hint="cs"/>
          <w:rtl/>
        </w:rPr>
      </w:pPr>
      <w:r>
        <w:rPr>
          <w:rFonts w:hint="cs"/>
          <w:rtl/>
        </w:rPr>
        <w:t>-</w:t>
      </w:r>
      <w:r>
        <w:rPr>
          <w:rFonts w:hint="cs"/>
          <w:rtl/>
        </w:rPr>
        <w:tab/>
        <w:t>ارتفع إجمالي عائدات المنظمات التطوعية من 306 1 مليارات ليرة في عام 1997 إلى 840 1 مليار ليرة في عام 1999 (أي بزيادة قدرها 40.9 في المائة)؛ وقد تزايد اللجوء إلى التمويل من مصادر ا</w:t>
      </w:r>
      <w:r>
        <w:rPr>
          <w:rFonts w:hint="cs"/>
          <w:rtl/>
        </w:rPr>
        <w:t>لقطاع الخاص، حصراً أو في الغالب، فيما يتعلق بالمشاريع العامة (يلجأ 60 في المائة تقريباً من تلك المنظمات إلى استخدام هذا النوع من الإيرادات، في حين أن 8 في المائة منها تعتمد على التمويل من القطاع العام فقط).</w:t>
      </w:r>
    </w:p>
    <w:p w:rsidR="00000000" w:rsidRDefault="00A208FF">
      <w:pPr>
        <w:spacing w:line="400" w:lineRule="exact"/>
        <w:ind w:left="1440" w:hanging="720"/>
        <w:jc w:val="both"/>
        <w:rPr>
          <w:rFonts w:hint="cs"/>
          <w:rtl/>
        </w:rPr>
      </w:pPr>
      <w:r>
        <w:rPr>
          <w:rFonts w:hint="cs"/>
          <w:rtl/>
        </w:rPr>
        <w:t>-</w:t>
      </w:r>
      <w:r>
        <w:rPr>
          <w:rFonts w:hint="cs"/>
          <w:rtl/>
        </w:rPr>
        <w:tab/>
        <w:t>قدر مجموع التبرعات لصالح المبادرات المفيدة اجتم</w:t>
      </w:r>
      <w:r>
        <w:rPr>
          <w:rFonts w:hint="cs"/>
          <w:rtl/>
        </w:rPr>
        <w:t>اعياً والمنظمات التطوعية بنحو 000 2 مليار ليرة؛</w:t>
      </w:r>
    </w:p>
    <w:p w:rsidR="00000000" w:rsidRDefault="00A208FF">
      <w:pPr>
        <w:spacing w:line="400" w:lineRule="exact"/>
        <w:ind w:left="1440" w:hanging="720"/>
        <w:jc w:val="both"/>
        <w:rPr>
          <w:rFonts w:hint="cs"/>
          <w:rtl/>
        </w:rPr>
      </w:pPr>
      <w:r>
        <w:rPr>
          <w:rFonts w:hint="cs"/>
          <w:rtl/>
        </w:rPr>
        <w:t>-</w:t>
      </w:r>
      <w:r>
        <w:rPr>
          <w:rFonts w:hint="cs"/>
          <w:rtl/>
        </w:rPr>
        <w:tab/>
        <w:t>إن مجموع التحويلات من المؤسسات المصرفية من أجل تمويل الأنشطة المفيدة اجتماعياً، ولا سيما مراكز الخدمات الموجهة إلى القطاع التطوعي، آخذ في الارتفاع.</w:t>
      </w:r>
    </w:p>
    <w:p w:rsidR="00000000" w:rsidRDefault="00A208FF">
      <w:pPr>
        <w:spacing w:line="400" w:lineRule="exact"/>
        <w:jc w:val="both"/>
        <w:rPr>
          <w:rFonts w:hint="cs"/>
          <w:rtl/>
        </w:rPr>
      </w:pPr>
      <w:r>
        <w:rPr>
          <w:rFonts w:hint="cs"/>
          <w:rtl/>
        </w:rPr>
        <w:t>248-</w:t>
      </w:r>
      <w:r>
        <w:rPr>
          <w:rFonts w:hint="cs"/>
          <w:rtl/>
        </w:rPr>
        <w:tab/>
        <w:t>وينبغي عدم التقليل من أهمية مساهمة القطاع الثالث الإج</w:t>
      </w:r>
      <w:r>
        <w:rPr>
          <w:rFonts w:hint="cs"/>
          <w:rtl/>
        </w:rPr>
        <w:t xml:space="preserve">مالية، إذ إن دراسة أجريت مؤخراً قدرت العدد الإجمالي للموظفين في هذا القطاع ب‍ 000 750 (أي 3.5 في المائة من مجموع الموظفين في عام 1998، و5.1 في المائة من الموظفين في قطاع الخدمات)، وقُدّر رقم الأعمال بنحو 000 75 مليار ليرة أو 2.7 في المائة من الناتج المحلي </w:t>
      </w:r>
      <w:r>
        <w:rPr>
          <w:rFonts w:hint="cs"/>
          <w:rtl/>
        </w:rPr>
        <w:t>الإجمالي في عام 1998.</w:t>
      </w:r>
    </w:p>
    <w:p w:rsidR="00000000" w:rsidRDefault="00A208FF">
      <w:pPr>
        <w:spacing w:line="400" w:lineRule="exact"/>
        <w:jc w:val="both"/>
        <w:rPr>
          <w:rFonts w:hint="cs"/>
          <w:rtl/>
        </w:rPr>
      </w:pPr>
      <w:r>
        <w:rPr>
          <w:rFonts w:hint="cs"/>
          <w:rtl/>
        </w:rPr>
        <w:t>249-</w:t>
      </w:r>
      <w:r>
        <w:rPr>
          <w:rFonts w:hint="cs"/>
          <w:rtl/>
        </w:rPr>
        <w:tab/>
        <w:t xml:space="preserve">فإذا أخذت هذه الأرقام مجتمعة، فإنها تشير إلى طريقة جديدة في تخطيط الموارد المالية؛ وقد أصبح من الضرورة القصوى إجراء اختبارات تشمل آليات "المؤسسة المجتمعية" التي تنطوي على تخصيص موارد متأتية من القطاع الخاص بغرض دخول المتعهدين من </w:t>
      </w:r>
      <w:r>
        <w:rPr>
          <w:rFonts w:hint="cs"/>
          <w:rtl/>
        </w:rPr>
        <w:t>القطاعين العام والخاص، على نحو متضافر، في عملية تفاوضية على الصعيد المحلي. وينبغي أن يكون البعد المحلي هو الهدف من المبادرات والمنبع الذي تنهل منه. ومن المهم الإشارة هنا إلى الدور الذي تؤديه في إيطاليا "الشركات الاجتماعية" التي مثلت ركيزة يستند إليها في إع</w:t>
      </w:r>
      <w:r>
        <w:rPr>
          <w:rFonts w:hint="cs"/>
          <w:rtl/>
        </w:rPr>
        <w:t>ادة صياغة نظام الرعاية الاجتماعية بغية استنهاض المتعهدين وتعزيز مهاراتهم وابتكار مبادرات جديدة.</w:t>
      </w:r>
    </w:p>
    <w:p w:rsidR="00000000" w:rsidRDefault="00A208FF">
      <w:pPr>
        <w:spacing w:line="400" w:lineRule="exact"/>
        <w:jc w:val="both"/>
        <w:rPr>
          <w:rFonts w:hint="cs"/>
          <w:rtl/>
        </w:rPr>
      </w:pPr>
      <w:r>
        <w:rPr>
          <w:rFonts w:hint="cs"/>
          <w:rtl/>
        </w:rPr>
        <w:t>250-</w:t>
      </w:r>
      <w:r>
        <w:rPr>
          <w:rFonts w:hint="cs"/>
          <w:rtl/>
        </w:rPr>
        <w:tab/>
        <w:t>ويمكن للجماعات التي تعمل في القطاع الثالث أن تضم جهودها إلى جهود تلك الشركات على نحو مثمر للنهوض بالبرامج الاجتماعية وتحديد الإطار النظري الجديد الذي ينطوي</w:t>
      </w:r>
      <w:r>
        <w:rPr>
          <w:rFonts w:hint="cs"/>
          <w:rtl/>
        </w:rPr>
        <w:t xml:space="preserve"> على تطوير الأفكار والتكنولوجيات والاستثمار في الأجل الطويل. ويوفر التطور الأخير في آليات التخطيط الإقليمية حقلاً جديداً وواعداً لتطوير الاستقلالية الوظيفية في القطاع الاجتماعي أيضاً. فقد شهدت السنوات القليلة الماضية مطالبة بقدر أكبر من الاستقلالية في عملي</w:t>
      </w:r>
      <w:r>
        <w:rPr>
          <w:rFonts w:hint="cs"/>
          <w:rtl/>
        </w:rPr>
        <w:t>ة اتخاذ القرارات استناداً إلى تحديث شامل للنظام؛ والاستقلالية الوظيفية تخص الهيئات التي تتحمل مسؤولية تطوير الوظائف التي يُتوقع أن تتوفر فيها الاستقلالية في أداء بعض المهام وتحمل مسؤوليات جديدة تتعلق بالمجال العام (مثل المؤسسات المصرفية والمراكز الصحية الم</w:t>
      </w:r>
      <w:r>
        <w:rPr>
          <w:rFonts w:hint="cs"/>
          <w:rtl/>
        </w:rPr>
        <w:t>حلية والمراكز التعليمية المستقلة الجديدة).</w:t>
      </w:r>
    </w:p>
    <w:p w:rsidR="00000000" w:rsidRDefault="00A208FF">
      <w:pPr>
        <w:spacing w:line="400" w:lineRule="exact"/>
        <w:jc w:val="center"/>
        <w:rPr>
          <w:rFonts w:hint="cs"/>
          <w:b/>
          <w:bCs/>
          <w:sz w:val="30"/>
          <w:rtl/>
        </w:rPr>
      </w:pPr>
      <w:r>
        <w:rPr>
          <w:rFonts w:hint="cs"/>
          <w:b/>
          <w:bCs/>
          <w:sz w:val="30"/>
          <w:rtl/>
        </w:rPr>
        <w:t>حاء - المادة 12</w:t>
      </w:r>
    </w:p>
    <w:p w:rsidR="00000000" w:rsidRDefault="00A208FF">
      <w:pPr>
        <w:spacing w:line="400" w:lineRule="exact"/>
        <w:jc w:val="center"/>
        <w:rPr>
          <w:rFonts w:hint="cs"/>
          <w:b/>
          <w:bCs/>
          <w:rtl/>
        </w:rPr>
      </w:pPr>
      <w:r>
        <w:rPr>
          <w:rFonts w:hint="cs"/>
          <w:b/>
          <w:bCs/>
          <w:rtl/>
        </w:rPr>
        <w:t>الصحة البدنية والعقلية</w:t>
      </w:r>
    </w:p>
    <w:p w:rsidR="00000000" w:rsidRDefault="00A208FF">
      <w:pPr>
        <w:spacing w:line="400" w:lineRule="exact"/>
        <w:jc w:val="both"/>
        <w:rPr>
          <w:rFonts w:hint="cs"/>
          <w:rtl/>
        </w:rPr>
      </w:pPr>
      <w:r>
        <w:rPr>
          <w:rFonts w:hint="cs"/>
          <w:rtl/>
        </w:rPr>
        <w:t>251-</w:t>
      </w:r>
      <w:r>
        <w:rPr>
          <w:rFonts w:hint="cs"/>
          <w:rtl/>
        </w:rPr>
        <w:tab/>
        <w:t xml:space="preserve">بلغ نصيب الفرد من الإنفاق العام على الصحة في عام 1998 أعلى مستوياتـه في إقليم ترينتينو ألتو أديغ (000 350 2) ليرة وأدناها في بوغليا (000 712 1) ليرة. وبلغ مجموع الأسرّة </w:t>
      </w:r>
      <w:r>
        <w:rPr>
          <w:rFonts w:hint="cs"/>
          <w:rtl/>
        </w:rPr>
        <w:t>المتاحة في المستشفيات العامة ودور رعاية المسنين المرتبطة بها 453 33 سريراً في عام 1998، أي أنه كان هناك 5.4 أسرّة لكل ألف نسمة في المناطق الشمالية من إيطاليا و5.7 في الوسط و4.9 في الجنوب.</w:t>
      </w:r>
    </w:p>
    <w:p w:rsidR="00000000" w:rsidRDefault="00A208FF">
      <w:pPr>
        <w:spacing w:line="400" w:lineRule="exact"/>
        <w:jc w:val="center"/>
        <w:rPr>
          <w:rFonts w:hint="cs"/>
          <w:b/>
          <w:bCs/>
          <w:sz w:val="30"/>
          <w:rtl/>
        </w:rPr>
      </w:pPr>
      <w:r>
        <w:rPr>
          <w:rFonts w:hint="cs"/>
          <w:b/>
          <w:bCs/>
          <w:sz w:val="30"/>
          <w:rtl/>
        </w:rPr>
        <w:t>طاء - المادة 13</w:t>
      </w:r>
    </w:p>
    <w:p w:rsidR="00000000" w:rsidRDefault="00A208FF">
      <w:pPr>
        <w:spacing w:line="400" w:lineRule="exact"/>
        <w:jc w:val="center"/>
        <w:rPr>
          <w:rFonts w:hint="cs"/>
          <w:b/>
          <w:bCs/>
          <w:sz w:val="30"/>
          <w:rtl/>
        </w:rPr>
      </w:pPr>
      <w:r>
        <w:rPr>
          <w:rFonts w:hint="cs"/>
          <w:b/>
          <w:bCs/>
          <w:sz w:val="30"/>
          <w:rtl/>
        </w:rPr>
        <w:t>التعليم</w:t>
      </w:r>
    </w:p>
    <w:p w:rsidR="00000000" w:rsidRDefault="00A208FF">
      <w:pPr>
        <w:spacing w:line="400" w:lineRule="exact"/>
        <w:jc w:val="both"/>
        <w:rPr>
          <w:rFonts w:hint="cs"/>
          <w:b/>
          <w:bCs/>
          <w:rtl/>
        </w:rPr>
      </w:pPr>
      <w:r>
        <w:rPr>
          <w:rFonts w:hint="cs"/>
          <w:b/>
          <w:bCs/>
          <w:rtl/>
        </w:rPr>
        <w:t>الحق في التعليم</w:t>
      </w:r>
    </w:p>
    <w:p w:rsidR="00000000" w:rsidRDefault="00A208FF">
      <w:pPr>
        <w:spacing w:line="400" w:lineRule="exact"/>
        <w:jc w:val="both"/>
        <w:rPr>
          <w:rFonts w:hint="cs"/>
          <w:rtl/>
        </w:rPr>
      </w:pPr>
      <w:r>
        <w:rPr>
          <w:rFonts w:hint="cs"/>
          <w:rtl/>
        </w:rPr>
        <w:t>252-</w:t>
      </w:r>
      <w:r>
        <w:rPr>
          <w:rFonts w:hint="cs"/>
          <w:rtl/>
        </w:rPr>
        <w:tab/>
        <w:t>أصبح التعليم الأساسي في</w:t>
      </w:r>
      <w:r>
        <w:rPr>
          <w:rFonts w:hint="cs"/>
          <w:rtl/>
        </w:rPr>
        <w:t xml:space="preserve"> أواخر التسعينات حقيقة واقعة بالنسبة إلى كل سكان إيطاليا تقريباً. والواقع أن 95 في المائة من صغار الأطفال دون سن الدراسة الابتدائية يتلقون نوعاً من التعليم والرعاية، ونحو 100 في المائة من الأطفال الذين تتراوح أعمارهم بين 6 سنوات و14 سنة يتلقون التعليم الرس</w:t>
      </w:r>
      <w:r>
        <w:rPr>
          <w:rFonts w:hint="cs"/>
          <w:rtl/>
        </w:rPr>
        <w:t>مي في المدارس الابتدائية والإعدادية. وهذا التعميم للتعليم الأساسي هو أهم نتائج سياسة التعليم المتبعة على مدى العقود الماضية. وقد ركزت سياسة التعليم الأساسي خلال التسعينات على ثلاثة أهداف رئيسية أهمها مكافحة الرسوب المدرسي، ولا سيما ظاهرة الانقطاع عن الدراس</w:t>
      </w:r>
      <w:r>
        <w:rPr>
          <w:rFonts w:hint="cs"/>
          <w:rtl/>
        </w:rPr>
        <w:t>ة.</w:t>
      </w:r>
    </w:p>
    <w:p w:rsidR="00000000" w:rsidRDefault="00A208FF">
      <w:pPr>
        <w:spacing w:line="400" w:lineRule="exact"/>
        <w:jc w:val="both"/>
        <w:rPr>
          <w:rFonts w:hint="cs"/>
          <w:rtl/>
        </w:rPr>
      </w:pPr>
      <w:r>
        <w:rPr>
          <w:rFonts w:hint="cs"/>
          <w:rtl/>
        </w:rPr>
        <w:t>253-</w:t>
      </w:r>
      <w:r>
        <w:rPr>
          <w:rFonts w:hint="cs"/>
          <w:rtl/>
        </w:rPr>
        <w:tab/>
        <w:t>وفي ما يتعلق بصغار الأطفال الذين تقل أعمارهم عن 3 سنوات، فإن القانون رقم 285 المؤرخ 28 آب/أغسطس 1997 قد أضاف إلى دور الحضانة أنواعاً أخرى من الخدمات الاجتماعية التعليمية التي يمكن تنظيمها وتوفيرها من قبل الأسر نفسها وكذلك الجمعيات والمجموعات الخاصة</w:t>
      </w:r>
      <w:r>
        <w:rPr>
          <w:rFonts w:hint="cs"/>
          <w:rtl/>
        </w:rPr>
        <w:t>. هذه المبادرات تحظى بدعم مالي حكومي في إطار صندوق وطني خاص للطفولة. وبحلول عام 2000، تلقى كل الأطفال تقريباً ممن تتراوح أعمارهم بين 3 و5 سنوات التعليم في المرحلة دون الابتدائية أو في مراكز الرعاية (بنسبة 95.1 في المائة في عام 1998)، ومن المتوقع أن يتم الت</w:t>
      </w:r>
      <w:r>
        <w:rPr>
          <w:rFonts w:hint="cs"/>
          <w:rtl/>
        </w:rPr>
        <w:t>حكم بالكامل تقريباً في معدل الانقطاع عن الدراسة في المدارس الابتدائية والإعدادية. وفي عام 1999، مددت سن التعليم الإلزامي إلى 15 سنة، أي لمدة 9 سنوات (القانون رقم 9 الصادر في 20 كانون الثاني/يناير 1999). وفي الوقت ذاته، صدر قانون يتعلق بالتدريب المهني والتم</w:t>
      </w:r>
      <w:r>
        <w:rPr>
          <w:rFonts w:hint="cs"/>
          <w:rtl/>
        </w:rPr>
        <w:t>رس المهنيين الإلزاميين حتى سن 18 بالنسبة إلى التلاميذ الذين لن يواصلوا التعليم الرسمي بعد الانتهاء من التعليم الإلزامي (القانون رقم 144 المؤرخ 17 أيار/مايو 1999).</w:t>
      </w:r>
    </w:p>
    <w:p w:rsidR="00000000" w:rsidRDefault="00A208FF">
      <w:pPr>
        <w:spacing w:line="400" w:lineRule="exact"/>
        <w:jc w:val="center"/>
        <w:rPr>
          <w:rFonts w:hint="cs"/>
          <w:b/>
          <w:bCs/>
          <w:rtl/>
        </w:rPr>
      </w:pPr>
      <w:r>
        <w:rPr>
          <w:rFonts w:hint="cs"/>
          <w:b/>
          <w:bCs/>
          <w:rtl/>
        </w:rPr>
        <w:t>تحسين نوعية التعليم على جميع المستويات</w:t>
      </w:r>
    </w:p>
    <w:p w:rsidR="00000000" w:rsidRDefault="00A208FF">
      <w:pPr>
        <w:spacing w:line="400" w:lineRule="exact"/>
        <w:jc w:val="both"/>
        <w:rPr>
          <w:rFonts w:hint="cs"/>
          <w:rtl/>
        </w:rPr>
      </w:pPr>
      <w:r>
        <w:rPr>
          <w:rFonts w:hint="cs"/>
          <w:rtl/>
        </w:rPr>
        <w:t>254-</w:t>
      </w:r>
      <w:r>
        <w:rPr>
          <w:rFonts w:hint="cs"/>
          <w:rtl/>
        </w:rPr>
        <w:tab/>
        <w:t xml:space="preserve">تجري متابعة هذه المسألة ذات الأولوية من خلال عدد </w:t>
      </w:r>
      <w:r>
        <w:rPr>
          <w:rFonts w:hint="cs"/>
          <w:rtl/>
        </w:rPr>
        <w:t>من المبادرات التي ترد موجزة أدناه.</w:t>
      </w:r>
    </w:p>
    <w:p w:rsidR="00000000" w:rsidRDefault="00A208FF">
      <w:pPr>
        <w:spacing w:line="400" w:lineRule="exact"/>
        <w:jc w:val="both"/>
        <w:rPr>
          <w:rFonts w:hint="cs"/>
          <w:b/>
          <w:bCs/>
          <w:rtl/>
        </w:rPr>
      </w:pPr>
      <w:r>
        <w:rPr>
          <w:rFonts w:hint="cs"/>
          <w:b/>
          <w:bCs/>
          <w:rtl/>
        </w:rPr>
        <w:t>إصلاح الهيكل المدرسي والمناهج الدراسية</w:t>
      </w:r>
    </w:p>
    <w:p w:rsidR="00000000" w:rsidRDefault="00A208FF">
      <w:pPr>
        <w:spacing w:line="400" w:lineRule="exact"/>
        <w:jc w:val="both"/>
        <w:rPr>
          <w:rFonts w:hint="cs"/>
          <w:rtl/>
        </w:rPr>
      </w:pPr>
      <w:r>
        <w:rPr>
          <w:rFonts w:hint="cs"/>
          <w:rtl/>
        </w:rPr>
        <w:t>255-</w:t>
      </w:r>
      <w:r>
        <w:rPr>
          <w:rFonts w:hint="cs"/>
          <w:rtl/>
        </w:rPr>
        <w:tab/>
        <w:t>نص القانون رقم 59 المؤرخ 5 آذار/مارس 1997 على مبدأ استقلالية المدرسة. ويمنح القانون الوضع القانوني لكل مؤسسة تعليمية تتمتع بالاستقلالية التعليمية والتنظيمية. وقد دخل حيز التنفيذ</w:t>
      </w:r>
      <w:r>
        <w:rPr>
          <w:rFonts w:hint="cs"/>
          <w:rtl/>
        </w:rPr>
        <w:t xml:space="preserve"> مع اللوائح التي صدرت في آذار/مارس 1999. ويتلخص الهدف الرئيسي من الاستقلالية المدرسية في توفير مرونة أكبر وتكييف المناهج الدراسية بحسب احتياجات المجتمعات المحلية. وفي هذا الإطار، فإن المؤسسات التعليمية تتفاعل بعضها مع بعض ومع السلطات المحلية وتسعى إلى الرب</w:t>
      </w:r>
      <w:r>
        <w:rPr>
          <w:rFonts w:hint="cs"/>
          <w:rtl/>
        </w:rPr>
        <w:t>ط بشكل وثيق بين احتياجات الأفراد وإمكاناتهم من جهة والأهداف الوطنية للنظام التعليمي من جهة أخرى.</w:t>
      </w:r>
    </w:p>
    <w:p w:rsidR="00000000" w:rsidRDefault="00A208FF">
      <w:pPr>
        <w:spacing w:line="400" w:lineRule="exact"/>
        <w:jc w:val="both"/>
        <w:rPr>
          <w:rFonts w:hint="cs"/>
          <w:rtl/>
        </w:rPr>
      </w:pPr>
      <w:r>
        <w:rPr>
          <w:rFonts w:hint="cs"/>
          <w:rtl/>
        </w:rPr>
        <w:t>256-</w:t>
      </w:r>
      <w:r>
        <w:rPr>
          <w:rFonts w:hint="cs"/>
          <w:rtl/>
        </w:rPr>
        <w:tab/>
        <w:t>ومن المتوقع أن تعمد الحكومة الجديدة التي تمخضت عنها انتخابات حزيران/يونيه 2001 إلى إدخال تغيير جذري على عملية إصلاح المراحل التعليمية التي وافق عليها البر</w:t>
      </w:r>
      <w:r>
        <w:rPr>
          <w:rFonts w:hint="cs"/>
          <w:rtl/>
        </w:rPr>
        <w:t>لمان السابق في شباط/فبراير 2000 (مرحلة للتعليم الأساسي لمدة سبع سنوات تعقبها مرحلة للتعليم الثانوي لمدة خمس سنوات). وسيبقي مشروع الإصلاح الجديد على الهيكل القديم الذي يقوم على مرحلة من خمس سنوات بالنسبة إلى الابتدائي وثلاث سنوات بالنسبة إلى الإعدادي، مع تخ</w:t>
      </w:r>
      <w:r>
        <w:rPr>
          <w:rFonts w:hint="cs"/>
          <w:rtl/>
        </w:rPr>
        <w:t>فيض مدة المرحلة الثانوية من خمس إلى أربع سنوات واعتماد نظام يستوجب الاختيار بين التعليم العادي والتعليم المهني عند بلوغ سن الرابعة عشرة.</w:t>
      </w:r>
    </w:p>
    <w:p w:rsidR="00000000" w:rsidRDefault="00A208FF">
      <w:pPr>
        <w:spacing w:line="400" w:lineRule="exact"/>
        <w:jc w:val="both"/>
        <w:rPr>
          <w:rFonts w:hint="cs"/>
          <w:b/>
          <w:bCs/>
          <w:rtl/>
        </w:rPr>
      </w:pPr>
      <w:r>
        <w:rPr>
          <w:rFonts w:hint="cs"/>
          <w:b/>
          <w:bCs/>
          <w:rtl/>
        </w:rPr>
        <w:t>وضع مخطط جديد لتدريب المعلمين</w:t>
      </w:r>
    </w:p>
    <w:p w:rsidR="00000000" w:rsidRDefault="00A208FF">
      <w:pPr>
        <w:spacing w:line="400" w:lineRule="exact"/>
        <w:jc w:val="both"/>
        <w:rPr>
          <w:rFonts w:hint="cs"/>
          <w:rtl/>
        </w:rPr>
      </w:pPr>
      <w:r>
        <w:rPr>
          <w:rFonts w:hint="cs"/>
          <w:rtl/>
        </w:rPr>
        <w:t>257-</w:t>
      </w:r>
      <w:r>
        <w:rPr>
          <w:rFonts w:hint="cs"/>
          <w:rtl/>
        </w:rPr>
        <w:tab/>
        <w:t>لقد وضع نظام جديد لتدريب المعلمين الذين يدرسون في المرحلة ما قبل الابتدائية والمرحلة</w:t>
      </w:r>
      <w:r>
        <w:rPr>
          <w:rFonts w:hint="cs"/>
          <w:rtl/>
        </w:rPr>
        <w:t xml:space="preserve"> الابتدائية، ونفذ ذلك النظام منذ السنة الدراسية 1998 عملاً بمرسوم رئيس الجمهورية رقم 471 المؤرخ 31 تموز/يوليه 1996 والمرسوم المشترك بين الوزارات الذي صدر في 10 آذار/مارس 1997. وبموجب هذين المرسومين، يتعين على معلمي المرحلة ما قبل الابتدائية والمرحلة الابتد</w:t>
      </w:r>
      <w:r>
        <w:rPr>
          <w:rFonts w:hint="cs"/>
          <w:rtl/>
        </w:rPr>
        <w:t>ائية أن يتابعوا دروساً جامعية محددة لمدة أربع سنوات. وينص التشريع ذاته على مبدأ جديد بالنسبة إلى تدريب المعلمين في المدارس الثانوية أيضاً وهو أن على المعلمين الذين سيوظفون مستقبلاً حضور دروس لمدة سنتين، بعد حصولهم على شهادة جامعية في التخصص الذي يرغبون  ال</w:t>
      </w:r>
      <w:r>
        <w:rPr>
          <w:rFonts w:hint="cs"/>
          <w:rtl/>
        </w:rPr>
        <w:t>تدريس فيه، وذلك للحصول على شهادة تخصص في إطار الدراسات العليا التي تتوج بالحصول على شهادة تؤهلهم للمشاركة في المسابقات العامة ليصبحوا معلمين كاملي الحقوق في المدارس العامة.</w:t>
      </w:r>
    </w:p>
    <w:p w:rsidR="00000000" w:rsidRDefault="00A208FF">
      <w:pPr>
        <w:spacing w:line="400" w:lineRule="exact"/>
        <w:jc w:val="both"/>
        <w:rPr>
          <w:rFonts w:hint="cs"/>
          <w:rtl/>
        </w:rPr>
      </w:pPr>
      <w:r>
        <w:rPr>
          <w:rFonts w:hint="cs"/>
          <w:rtl/>
        </w:rPr>
        <w:t>258-</w:t>
      </w:r>
      <w:r>
        <w:rPr>
          <w:rFonts w:hint="cs"/>
          <w:rtl/>
        </w:rPr>
        <w:tab/>
        <w:t>أطلق في عام 1998 برنامج وطني يُسمى برنامج "المراكز الإقليمية الدائمة". ويرمي ه</w:t>
      </w:r>
      <w:r>
        <w:rPr>
          <w:rFonts w:hint="cs"/>
          <w:rtl/>
        </w:rPr>
        <w:t>ذا البرنامج إلى إفساح المجال أمام الأميين من الكبار لتلقي التعليم الأساسي وتحسين معلوماتهم ومهاراتهم وكفاءاتهم الأساسية.</w:t>
      </w:r>
    </w:p>
    <w:p w:rsidR="00000000" w:rsidRDefault="00A208FF">
      <w:pPr>
        <w:spacing w:line="400" w:lineRule="exact"/>
        <w:jc w:val="both"/>
        <w:rPr>
          <w:rFonts w:hint="cs"/>
          <w:b/>
          <w:bCs/>
          <w:rtl/>
        </w:rPr>
      </w:pPr>
      <w:r>
        <w:rPr>
          <w:rFonts w:hint="cs"/>
          <w:b/>
          <w:bCs/>
          <w:rtl/>
        </w:rPr>
        <w:t>الاستثمار في التعليم</w:t>
      </w:r>
    </w:p>
    <w:p w:rsidR="00000000" w:rsidRDefault="00A208FF">
      <w:pPr>
        <w:spacing w:line="400" w:lineRule="exact"/>
        <w:jc w:val="both"/>
        <w:rPr>
          <w:rFonts w:hint="cs"/>
          <w:rtl/>
        </w:rPr>
      </w:pPr>
      <w:r>
        <w:rPr>
          <w:rFonts w:hint="cs"/>
          <w:rtl/>
        </w:rPr>
        <w:t>259-</w:t>
      </w:r>
      <w:r>
        <w:rPr>
          <w:rFonts w:hint="cs"/>
          <w:rtl/>
        </w:rPr>
        <w:tab/>
        <w:t>وقد تأثر نظام التعليم الإيطالي في التسعينات تأثراً شديداً بعدد من العوامل من بينها النمو السكاني والتنمية الا</w:t>
      </w:r>
      <w:r>
        <w:rPr>
          <w:rFonts w:hint="cs"/>
          <w:rtl/>
        </w:rPr>
        <w:t>قتصادية اللذان يؤثران تأثيراً كبيراً في السياسة التعليمية.</w:t>
      </w:r>
    </w:p>
    <w:p w:rsidR="00000000" w:rsidRDefault="00A208FF">
      <w:pPr>
        <w:spacing w:line="400" w:lineRule="exact"/>
        <w:jc w:val="both"/>
        <w:rPr>
          <w:rFonts w:hint="cs"/>
          <w:rtl/>
        </w:rPr>
      </w:pPr>
      <w:r>
        <w:rPr>
          <w:rFonts w:hint="cs"/>
          <w:rtl/>
        </w:rPr>
        <w:t>260-</w:t>
      </w:r>
      <w:r>
        <w:rPr>
          <w:rFonts w:hint="cs"/>
          <w:rtl/>
        </w:rPr>
        <w:tab/>
        <w:t xml:space="preserve">وقد أصبح الأثر الذي يحدثه انخفاض معدل الولادة على النظام الدراسي جلياً خلال فترة التسعينات مع حدوث انخفاض واضح في عدد صغار السن ضمن السكان، ولا سيما في سن ما قبل المرحلة الابتدائية والمرحلتين </w:t>
      </w:r>
      <w:r>
        <w:rPr>
          <w:rFonts w:hint="cs"/>
          <w:rtl/>
        </w:rPr>
        <w:t xml:space="preserve">الابتدائية والإعدادية. وهذا الاتجاه لم يتوقف بعد بالنظر إلى أن معدل الخصوبة استمر في الانخفاض خلال العقد، إذ بلغ 1.19 في عام 1999. </w:t>
      </w:r>
      <w:r>
        <w:rPr>
          <w:rFonts w:hint="cs"/>
          <w:spacing w:val="2"/>
          <w:rtl/>
        </w:rPr>
        <w:t xml:space="preserve">وهذا الانخفاض الكبير في عدد التلاميذ تشهده جميع المستويات التعليمية، ولا سيما المستوى الابتدائي الإلزامي (- 8.3 </w:t>
      </w:r>
      <w:r>
        <w:rPr>
          <w:rFonts w:hint="cs"/>
          <w:rtl/>
        </w:rPr>
        <w:t xml:space="preserve">في المائة من </w:t>
      </w:r>
      <w:r>
        <w:rPr>
          <w:rFonts w:hint="cs"/>
          <w:rtl/>
        </w:rPr>
        <w:t>السنـة الدراسيـة 1990-1991 إلى السنـة الدراسيـة 1997-1998) والمستوى الإعدادي (- 20.1 في المائة في الفترة نفسها). وبموازاة انخفاض عدد التلاميذ، انخفض أيضاً عدد المدارس والفصول الدراسية والمعلمين انخفاضاً شديداً. فقد انخفض عدد المدارس بنسبة 14.7 في المائة بي</w:t>
      </w:r>
      <w:r>
        <w:rPr>
          <w:rFonts w:hint="cs"/>
          <w:rtl/>
        </w:rPr>
        <w:t>ن عام 1990 وعام 1998 في حين انخفض عدد الفصول الدراسية بنسبة  16 في المائة وعدد المعلمين بنسبة 6.6 في المائة. كما أن هذا الانخفاض التدريجي في عدد المدارس والفصول الدراسية والمعلمين يرتبط أيضاً بالسياسة الحالية التي حددها المرسوم الوزاري الصادر في 24 تموز/يو</w:t>
      </w:r>
      <w:r>
        <w:rPr>
          <w:rFonts w:hint="cs"/>
          <w:rtl/>
        </w:rPr>
        <w:t>ليه 1998 والذي يرمي إلى "ترشيد" الشبكة الدراسية بتجميع المدارس الصغرى مما يؤدي إلى ارتفاع نسبة التلاميذ إلى الفصل الواحد وانخفاض عدد المعلمين تبعاً لذلك.</w:t>
      </w:r>
    </w:p>
    <w:p w:rsidR="00000000" w:rsidRDefault="00A208FF">
      <w:pPr>
        <w:spacing w:line="400" w:lineRule="exact"/>
        <w:jc w:val="both"/>
        <w:rPr>
          <w:rFonts w:hint="cs"/>
          <w:rtl/>
        </w:rPr>
      </w:pPr>
      <w:r>
        <w:rPr>
          <w:rFonts w:hint="cs"/>
          <w:rtl/>
        </w:rPr>
        <w:t>261-</w:t>
      </w:r>
      <w:r>
        <w:rPr>
          <w:rFonts w:hint="cs"/>
          <w:rtl/>
        </w:rPr>
        <w:tab/>
        <w:t>وقد تغيرت بنية الإنفاق العام على التعليم خلال العقد الحالي بسبب التغيرات المشار إليها أعلاه والتي</w:t>
      </w:r>
      <w:r>
        <w:rPr>
          <w:rFonts w:hint="cs"/>
          <w:rtl/>
        </w:rPr>
        <w:t xml:space="preserve"> لوحظت فيما يتصل بأعداد التلاميذ في المدارس. فتشييد المدارس، على سبيل المثال، هو أحد البنود التي اختفت عملياً من الميزانية واستعيض عنه بإعادة هيكلة المباني القائمة وتكييفها وتجديد المستلزمات والمعدات المدرسية وتوفير تكنولوجيا المعلومات والاتصالات وإغناء ال</w:t>
      </w:r>
      <w:r>
        <w:rPr>
          <w:rFonts w:hint="cs"/>
          <w:rtl/>
        </w:rPr>
        <w:t>مكتبات المدرسية وغير ذلك. وأخيراً، يحدث تغيير كبير في نسبة الإنفاق على المعلمين وغير المعلمين ونسبـة النفقـات الجاريـة الأخرى على مستوى التعليم الابتدائي والثانوي (94.6 في المائة بالنسبة إلى الموظفين في عام 1992 مقابل 5.4 في المائة بالنسبة إلى النفقات الجا</w:t>
      </w:r>
      <w:r>
        <w:rPr>
          <w:rFonts w:hint="cs"/>
          <w:rtl/>
        </w:rPr>
        <w:t>رية الأخرى، بينما كانت هذه النسبة تبلغ 89 في المائة و11 في المائة على التوالي في عام 1998). وهذا يعني أن نسبة أكبر من الموارد قد خُصصّت للأنشطة غير المتصلة بالناهج الدراسية مثل تدريب المعلمين أثناء العمل، والتجارب، والمواد التعليمية والمعدات وغير ذلك.</w:t>
      </w:r>
    </w:p>
    <w:p w:rsidR="00000000" w:rsidRDefault="00A208FF">
      <w:pPr>
        <w:spacing w:line="400" w:lineRule="exact"/>
        <w:jc w:val="both"/>
        <w:rPr>
          <w:rFonts w:hint="cs"/>
          <w:rtl/>
        </w:rPr>
      </w:pPr>
      <w:r>
        <w:rPr>
          <w:rFonts w:hint="cs"/>
          <w:rtl/>
        </w:rPr>
        <w:t>262-</w:t>
      </w:r>
      <w:r>
        <w:rPr>
          <w:rFonts w:hint="cs"/>
          <w:rtl/>
        </w:rPr>
        <w:tab/>
        <w:t>وفي ما يتعلق بالكتب المدرسية، فقد رصد مرسوم صادر عن رئيس مجلس الوزراء (27 آب/أغسطس 1999) 200 مليار ليرة (أي نحو 000 000 100 يورو) للسنة الدراسية 1999-2000 في شكل إعانة للأسر الفقيرة التي يقل دخلها السنوي عن 000 000 30 ليرة (نحو 000 15 يورو). وتهدف هذه الإ</w:t>
      </w:r>
      <w:r>
        <w:rPr>
          <w:rFonts w:hint="cs"/>
          <w:rtl/>
        </w:rPr>
        <w:t>عانة إلى مساعدة الأسر الفقيرة على شراء الكتب المدرسية لأطفالها المنخرطين في التعليم الإلزامي الإعدادي والسنة الأولى من التعليم الثانوي (وعادة ما توفر الكتب المدرسية مجاناً لتلاميذ المرحلة الابتدائية).</w:t>
      </w:r>
    </w:p>
    <w:p w:rsidR="00000000" w:rsidRDefault="00A208FF">
      <w:pPr>
        <w:spacing w:line="400" w:lineRule="exact"/>
        <w:jc w:val="center"/>
        <w:rPr>
          <w:b/>
          <w:bCs/>
          <w:rtl/>
        </w:rPr>
      </w:pPr>
      <w:r>
        <w:rPr>
          <w:rFonts w:hint="cs"/>
          <w:rtl/>
        </w:rPr>
        <w:t>ا</w:t>
      </w:r>
      <w:r>
        <w:rPr>
          <w:rFonts w:hint="cs"/>
          <w:b/>
          <w:bCs/>
          <w:rtl/>
        </w:rPr>
        <w:t>لجدول 2</w:t>
      </w:r>
      <w:r>
        <w:rPr>
          <w:b/>
          <w:bCs/>
          <w:rtl/>
        </w:rPr>
        <w:br/>
      </w:r>
      <w:r>
        <w:rPr>
          <w:rFonts w:hint="cs"/>
          <w:b/>
          <w:bCs/>
          <w:rtl/>
        </w:rPr>
        <w:t>الميزانية الوطنية - الإنفاق العام على التعليم</w:t>
      </w:r>
      <w:r>
        <w:rPr>
          <w:b/>
          <w:bCs/>
          <w:rtl/>
        </w:rPr>
        <w:br/>
      </w:r>
      <w:r>
        <w:rPr>
          <w:b/>
          <w:bCs/>
          <w:rtl/>
        </w:rPr>
        <w:t>(الميزانية العمومية المجمعة، 1990-1997)</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A208FF" w:rsidTr="00A208FF">
        <w:tblPrEx>
          <w:tblCellMar>
            <w:top w:w="0" w:type="dxa"/>
            <w:bottom w:w="0" w:type="dxa"/>
          </w:tblCellMar>
        </w:tblPrEx>
        <w:tc>
          <w:tcPr>
            <w:tcW w:w="2392"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السنة</w:t>
            </w:r>
          </w:p>
        </w:tc>
        <w:tc>
          <w:tcPr>
            <w:tcW w:w="2392"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الإنفاق العام على التعليم (بمليارات الليرات)</w:t>
            </w:r>
          </w:p>
        </w:tc>
        <w:tc>
          <w:tcPr>
            <w:tcW w:w="2393" w:type="dxa"/>
            <w:tcBorders>
              <w:bottom w:val="single" w:sz="4" w:space="0" w:color="auto"/>
            </w:tcBorders>
            <w:vAlign w:val="bottom"/>
          </w:tcPr>
          <w:p w:rsidR="00A208FF" w:rsidRDefault="00A208FF">
            <w:pPr>
              <w:spacing w:before="0" w:after="0" w:line="400" w:lineRule="exact"/>
              <w:jc w:val="center"/>
              <w:rPr>
                <w:rFonts w:hint="cs"/>
                <w:rtl/>
              </w:rPr>
            </w:pPr>
            <w:r>
              <w:rPr>
                <w:rFonts w:hint="cs"/>
                <w:rtl/>
              </w:rPr>
              <w:t>الميزانية الوطنية</w:t>
            </w:r>
          </w:p>
          <w:p w:rsidR="00A208FF" w:rsidRDefault="00A208FF">
            <w:pPr>
              <w:spacing w:before="0" w:after="0" w:line="400" w:lineRule="exact"/>
              <w:jc w:val="center"/>
              <w:rPr>
                <w:rStyle w:val="FootnoteReference"/>
                <w:rFonts w:hint="cs"/>
                <w:bCs w:val="0"/>
                <w:szCs w:val="30"/>
                <w:vertAlign w:val="baseline"/>
              </w:rPr>
            </w:pPr>
            <w:r>
              <w:rPr>
                <w:rFonts w:hint="cs"/>
                <w:rtl/>
              </w:rPr>
              <w:t>(بمليارات الليرات)</w:t>
            </w:r>
          </w:p>
        </w:tc>
        <w:tc>
          <w:tcPr>
            <w:tcW w:w="2393"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الإنفاق كنسبة مئوية من الناتج القومي الإجمالي</w:t>
            </w:r>
          </w:p>
        </w:tc>
      </w:tr>
      <w:tr w:rsidR="00A208FF" w:rsidTr="00A208FF">
        <w:tblPrEx>
          <w:tblCellMar>
            <w:top w:w="0" w:type="dxa"/>
            <w:bottom w:w="0" w:type="dxa"/>
          </w:tblCellMar>
        </w:tblPrEx>
        <w:tc>
          <w:tcPr>
            <w:tcW w:w="2392" w:type="dxa"/>
            <w:tcBorders>
              <w:bottom w:val="nil"/>
            </w:tcBorders>
          </w:tcPr>
          <w:p w:rsidR="00A208FF" w:rsidRDefault="00A208FF">
            <w:pPr>
              <w:spacing w:before="0" w:after="0" w:line="400" w:lineRule="exact"/>
              <w:jc w:val="center"/>
              <w:rPr>
                <w:rStyle w:val="FootnoteReference"/>
                <w:bCs w:val="0"/>
                <w:szCs w:val="30"/>
                <w:vertAlign w:val="baseline"/>
              </w:rPr>
            </w:pPr>
            <w:r>
              <w:rPr>
                <w:rFonts w:hint="cs"/>
                <w:rtl/>
              </w:rPr>
              <w:t>1990</w:t>
            </w:r>
          </w:p>
        </w:tc>
        <w:tc>
          <w:tcPr>
            <w:tcW w:w="2392" w:type="dxa"/>
            <w:tcBorders>
              <w:bottom w:val="nil"/>
            </w:tcBorders>
          </w:tcPr>
          <w:p w:rsidR="00A208FF" w:rsidRDefault="00A208FF">
            <w:pPr>
              <w:spacing w:before="0" w:after="0" w:line="400" w:lineRule="exact"/>
              <w:ind w:firstLine="377"/>
              <w:jc w:val="both"/>
              <w:rPr>
                <w:rStyle w:val="FootnoteReference"/>
                <w:rFonts w:hint="cs"/>
                <w:bCs w:val="0"/>
                <w:szCs w:val="30"/>
                <w:vertAlign w:val="baseline"/>
              </w:rPr>
            </w:pPr>
            <w:r>
              <w:rPr>
                <w:rFonts w:hint="cs"/>
                <w:rtl/>
              </w:rPr>
              <w:t>860 358 64</w:t>
            </w:r>
          </w:p>
        </w:tc>
        <w:tc>
          <w:tcPr>
            <w:tcW w:w="2393" w:type="dxa"/>
            <w:tcBorders>
              <w:bottom w:val="nil"/>
            </w:tcBorders>
          </w:tcPr>
          <w:p w:rsidR="00A208FF" w:rsidRDefault="00A208FF">
            <w:pPr>
              <w:spacing w:before="0" w:after="0" w:line="400" w:lineRule="exact"/>
              <w:ind w:firstLine="104"/>
              <w:jc w:val="both"/>
              <w:rPr>
                <w:rStyle w:val="FootnoteReference"/>
                <w:rFonts w:hint="cs"/>
                <w:bCs w:val="0"/>
                <w:szCs w:val="30"/>
                <w:vertAlign w:val="baseline"/>
              </w:rPr>
            </w:pPr>
            <w:r>
              <w:rPr>
                <w:rFonts w:hint="cs"/>
                <w:rtl/>
              </w:rPr>
              <w:t>000 438 300 1</w:t>
            </w:r>
          </w:p>
        </w:tc>
        <w:tc>
          <w:tcPr>
            <w:tcW w:w="2393" w:type="dxa"/>
            <w:tcBorders>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4.95</w:t>
            </w:r>
          </w:p>
        </w:tc>
      </w:tr>
      <w:tr w:rsidR="00A208FF" w:rsidTr="00A208FF">
        <w:tblPrEx>
          <w:tblCellMar>
            <w:top w:w="0" w:type="dxa"/>
            <w:bottom w:w="0" w:type="dxa"/>
          </w:tblCellMar>
        </w:tblPrEx>
        <w:tc>
          <w:tcPr>
            <w:tcW w:w="2392"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1994</w:t>
            </w:r>
          </w:p>
        </w:tc>
        <w:tc>
          <w:tcPr>
            <w:tcW w:w="2392" w:type="dxa"/>
            <w:tcBorders>
              <w:top w:val="nil"/>
              <w:bottom w:val="nil"/>
            </w:tcBorders>
          </w:tcPr>
          <w:p w:rsidR="00A208FF" w:rsidRDefault="00A208FF">
            <w:pPr>
              <w:spacing w:before="0" w:after="0" w:line="400" w:lineRule="exact"/>
              <w:ind w:firstLine="377"/>
              <w:jc w:val="both"/>
              <w:rPr>
                <w:rStyle w:val="FootnoteReference"/>
                <w:rFonts w:hint="cs"/>
                <w:bCs w:val="0"/>
                <w:szCs w:val="30"/>
                <w:vertAlign w:val="baseline"/>
              </w:rPr>
            </w:pPr>
            <w:r>
              <w:rPr>
                <w:rFonts w:hint="cs"/>
                <w:rtl/>
              </w:rPr>
              <w:t>613 650 78</w:t>
            </w:r>
          </w:p>
        </w:tc>
        <w:tc>
          <w:tcPr>
            <w:tcW w:w="2393" w:type="dxa"/>
            <w:tcBorders>
              <w:top w:val="nil"/>
              <w:bottom w:val="nil"/>
            </w:tcBorders>
          </w:tcPr>
          <w:p w:rsidR="00A208FF" w:rsidRDefault="00A208FF">
            <w:pPr>
              <w:spacing w:before="0" w:after="0" w:line="400" w:lineRule="exact"/>
              <w:ind w:firstLine="104"/>
              <w:jc w:val="both"/>
              <w:rPr>
                <w:rStyle w:val="FootnoteReference"/>
                <w:rFonts w:hint="cs"/>
                <w:bCs w:val="0"/>
                <w:szCs w:val="30"/>
                <w:vertAlign w:val="baseline"/>
              </w:rPr>
            </w:pPr>
            <w:r>
              <w:rPr>
                <w:rFonts w:hint="cs"/>
                <w:rtl/>
              </w:rPr>
              <w:t>000 445 621 1</w:t>
            </w:r>
          </w:p>
        </w:tc>
        <w:tc>
          <w:tcPr>
            <w:tcW w:w="2393"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4.85</w:t>
            </w:r>
          </w:p>
        </w:tc>
      </w:tr>
      <w:tr w:rsidR="00A208FF" w:rsidTr="00A208FF">
        <w:tblPrEx>
          <w:tblCellMar>
            <w:top w:w="0" w:type="dxa"/>
            <w:bottom w:w="0" w:type="dxa"/>
          </w:tblCellMar>
        </w:tblPrEx>
        <w:tc>
          <w:tcPr>
            <w:tcW w:w="2392"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1995</w:t>
            </w:r>
          </w:p>
        </w:tc>
        <w:tc>
          <w:tcPr>
            <w:tcW w:w="2392" w:type="dxa"/>
            <w:tcBorders>
              <w:top w:val="nil"/>
              <w:bottom w:val="nil"/>
            </w:tcBorders>
          </w:tcPr>
          <w:p w:rsidR="00A208FF" w:rsidRDefault="00A208FF">
            <w:pPr>
              <w:spacing w:before="0" w:after="0" w:line="400" w:lineRule="exact"/>
              <w:ind w:firstLine="377"/>
              <w:jc w:val="both"/>
              <w:rPr>
                <w:rStyle w:val="FootnoteReference"/>
                <w:rFonts w:hint="cs"/>
                <w:bCs w:val="0"/>
                <w:szCs w:val="30"/>
                <w:vertAlign w:val="baseline"/>
              </w:rPr>
            </w:pPr>
            <w:r>
              <w:rPr>
                <w:rFonts w:hint="cs"/>
                <w:rtl/>
              </w:rPr>
              <w:t>706 710 82</w:t>
            </w:r>
          </w:p>
        </w:tc>
        <w:tc>
          <w:tcPr>
            <w:tcW w:w="2393" w:type="dxa"/>
            <w:tcBorders>
              <w:top w:val="nil"/>
              <w:bottom w:val="nil"/>
            </w:tcBorders>
          </w:tcPr>
          <w:p w:rsidR="00A208FF" w:rsidRDefault="00A208FF">
            <w:pPr>
              <w:spacing w:before="0" w:after="0" w:line="400" w:lineRule="exact"/>
              <w:ind w:firstLine="104"/>
              <w:jc w:val="both"/>
              <w:rPr>
                <w:rStyle w:val="FootnoteReference"/>
                <w:rFonts w:hint="cs"/>
                <w:bCs w:val="0"/>
                <w:szCs w:val="30"/>
                <w:vertAlign w:val="baseline"/>
              </w:rPr>
            </w:pPr>
            <w:r>
              <w:rPr>
                <w:rFonts w:hint="cs"/>
                <w:rtl/>
              </w:rPr>
              <w:t>000 933 756 1</w:t>
            </w:r>
          </w:p>
        </w:tc>
        <w:tc>
          <w:tcPr>
            <w:tcW w:w="2393"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4.71</w:t>
            </w:r>
          </w:p>
        </w:tc>
      </w:tr>
      <w:tr w:rsidR="00A208FF" w:rsidTr="00A208FF">
        <w:tblPrEx>
          <w:tblCellMar>
            <w:top w:w="0" w:type="dxa"/>
            <w:bottom w:w="0" w:type="dxa"/>
          </w:tblCellMar>
        </w:tblPrEx>
        <w:tc>
          <w:tcPr>
            <w:tcW w:w="2392" w:type="dxa"/>
            <w:tcBorders>
              <w:top w:val="nil"/>
              <w:bottom w:val="nil"/>
            </w:tcBorders>
          </w:tcPr>
          <w:p w:rsidR="00A208FF" w:rsidRDefault="00A208FF">
            <w:pPr>
              <w:spacing w:before="0" w:after="0" w:line="400" w:lineRule="exact"/>
              <w:jc w:val="center"/>
              <w:rPr>
                <w:rFonts w:hint="cs"/>
                <w:rtl/>
              </w:rPr>
            </w:pPr>
            <w:r>
              <w:rPr>
                <w:rFonts w:hint="cs"/>
                <w:rtl/>
              </w:rPr>
              <w:t>1996</w:t>
            </w:r>
          </w:p>
        </w:tc>
        <w:tc>
          <w:tcPr>
            <w:tcW w:w="2392" w:type="dxa"/>
            <w:tcBorders>
              <w:top w:val="nil"/>
              <w:bottom w:val="nil"/>
            </w:tcBorders>
          </w:tcPr>
          <w:p w:rsidR="00A208FF" w:rsidRDefault="00A208FF">
            <w:pPr>
              <w:spacing w:before="0" w:after="0" w:line="400" w:lineRule="exact"/>
              <w:ind w:firstLine="377"/>
              <w:jc w:val="both"/>
              <w:rPr>
                <w:rStyle w:val="FootnoteReference"/>
                <w:rFonts w:hint="cs"/>
                <w:bCs w:val="0"/>
                <w:szCs w:val="30"/>
                <w:vertAlign w:val="baseline"/>
              </w:rPr>
            </w:pPr>
            <w:r>
              <w:rPr>
                <w:rFonts w:hint="cs"/>
                <w:rtl/>
              </w:rPr>
              <w:t>554 148 90</w:t>
            </w:r>
          </w:p>
        </w:tc>
        <w:tc>
          <w:tcPr>
            <w:tcW w:w="2393" w:type="dxa"/>
            <w:tcBorders>
              <w:top w:val="nil"/>
              <w:bottom w:val="nil"/>
            </w:tcBorders>
          </w:tcPr>
          <w:p w:rsidR="00A208FF" w:rsidRDefault="00A208FF">
            <w:pPr>
              <w:spacing w:before="0" w:after="0" w:line="400" w:lineRule="exact"/>
              <w:ind w:firstLine="104"/>
              <w:jc w:val="both"/>
              <w:rPr>
                <w:rStyle w:val="FootnoteReference"/>
                <w:rFonts w:hint="cs"/>
                <w:bCs w:val="0"/>
                <w:szCs w:val="30"/>
                <w:vertAlign w:val="baseline"/>
              </w:rPr>
            </w:pPr>
            <w:r>
              <w:rPr>
                <w:rFonts w:hint="cs"/>
                <w:rtl/>
              </w:rPr>
              <w:t>000 022 896 1</w:t>
            </w:r>
          </w:p>
        </w:tc>
        <w:tc>
          <w:tcPr>
            <w:tcW w:w="2393"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4.75</w:t>
            </w:r>
          </w:p>
        </w:tc>
      </w:tr>
      <w:tr w:rsidR="00A208FF" w:rsidTr="00A208FF">
        <w:tblPrEx>
          <w:tblCellMar>
            <w:top w:w="0" w:type="dxa"/>
            <w:bottom w:w="0" w:type="dxa"/>
          </w:tblCellMar>
        </w:tblPrEx>
        <w:tc>
          <w:tcPr>
            <w:tcW w:w="2392" w:type="dxa"/>
            <w:tcBorders>
              <w:top w:val="nil"/>
              <w:bottom w:val="nil"/>
            </w:tcBorders>
          </w:tcPr>
          <w:p w:rsidR="00A208FF" w:rsidRDefault="00A208FF">
            <w:pPr>
              <w:spacing w:before="0" w:after="0" w:line="400" w:lineRule="exact"/>
              <w:jc w:val="center"/>
              <w:rPr>
                <w:rFonts w:hint="cs"/>
                <w:rtl/>
              </w:rPr>
            </w:pPr>
            <w:r>
              <w:rPr>
                <w:rFonts w:hint="cs"/>
                <w:rtl/>
              </w:rPr>
              <w:t>1997</w:t>
            </w:r>
          </w:p>
        </w:tc>
        <w:tc>
          <w:tcPr>
            <w:tcW w:w="2392" w:type="dxa"/>
            <w:tcBorders>
              <w:top w:val="nil"/>
              <w:bottom w:val="nil"/>
            </w:tcBorders>
          </w:tcPr>
          <w:p w:rsidR="00A208FF" w:rsidRDefault="00A208FF">
            <w:pPr>
              <w:spacing w:before="0" w:after="0" w:line="400" w:lineRule="exact"/>
              <w:ind w:firstLine="377"/>
              <w:jc w:val="both"/>
              <w:rPr>
                <w:rStyle w:val="FootnoteReference"/>
                <w:rFonts w:hint="cs"/>
                <w:bCs w:val="0"/>
                <w:szCs w:val="30"/>
                <w:vertAlign w:val="baseline"/>
                <w:rtl/>
              </w:rPr>
            </w:pPr>
            <w:r>
              <w:rPr>
                <w:rFonts w:hint="cs"/>
                <w:rtl/>
              </w:rPr>
              <w:t>823 721 90</w:t>
            </w:r>
          </w:p>
        </w:tc>
        <w:tc>
          <w:tcPr>
            <w:tcW w:w="2393" w:type="dxa"/>
            <w:tcBorders>
              <w:top w:val="nil"/>
              <w:bottom w:val="nil"/>
            </w:tcBorders>
          </w:tcPr>
          <w:p w:rsidR="00A208FF" w:rsidRDefault="00A208FF">
            <w:pPr>
              <w:spacing w:before="0" w:after="0" w:line="400" w:lineRule="exact"/>
              <w:ind w:firstLine="104"/>
              <w:jc w:val="both"/>
              <w:rPr>
                <w:rStyle w:val="FootnoteReference"/>
                <w:rFonts w:hint="cs"/>
                <w:bCs w:val="0"/>
                <w:szCs w:val="30"/>
                <w:vertAlign w:val="baseline"/>
              </w:rPr>
            </w:pPr>
            <w:r>
              <w:rPr>
                <w:rFonts w:hint="cs"/>
                <w:rtl/>
              </w:rPr>
              <w:t>000 380 034 2</w:t>
            </w:r>
          </w:p>
        </w:tc>
        <w:tc>
          <w:tcPr>
            <w:tcW w:w="2393"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4.46</w:t>
            </w:r>
          </w:p>
        </w:tc>
      </w:tr>
      <w:tr w:rsidR="00A208FF" w:rsidTr="00A208FF">
        <w:tblPrEx>
          <w:tblCellMar>
            <w:top w:w="0" w:type="dxa"/>
            <w:bottom w:w="0" w:type="dxa"/>
          </w:tblCellMar>
        </w:tblPrEx>
        <w:tc>
          <w:tcPr>
            <w:tcW w:w="2392" w:type="dxa"/>
            <w:tcBorders>
              <w:top w:val="nil"/>
            </w:tcBorders>
          </w:tcPr>
          <w:p w:rsidR="00A208FF" w:rsidRDefault="00A208FF">
            <w:pPr>
              <w:spacing w:before="0" w:after="0" w:line="400" w:lineRule="exact"/>
              <w:jc w:val="center"/>
              <w:rPr>
                <w:rtl/>
              </w:rPr>
            </w:pPr>
            <w:r>
              <w:rPr>
                <w:rFonts w:hint="cs"/>
                <w:rtl/>
              </w:rPr>
              <w:t>2000</w:t>
            </w:r>
          </w:p>
        </w:tc>
        <w:tc>
          <w:tcPr>
            <w:tcW w:w="2392" w:type="dxa"/>
            <w:tcBorders>
              <w:top w:val="nil"/>
            </w:tcBorders>
          </w:tcPr>
          <w:p w:rsidR="00A208FF" w:rsidRDefault="00A208FF">
            <w:pPr>
              <w:spacing w:before="0" w:after="0" w:line="400" w:lineRule="exact"/>
              <w:ind w:firstLine="377"/>
              <w:jc w:val="both"/>
              <w:rPr>
                <w:rStyle w:val="FootnoteReference"/>
                <w:rFonts w:hint="cs"/>
                <w:bCs w:val="0"/>
                <w:szCs w:val="30"/>
                <w:vertAlign w:val="baseline"/>
              </w:rPr>
            </w:pPr>
            <w:r>
              <w:rPr>
                <w:rFonts w:hint="cs"/>
                <w:rtl/>
              </w:rPr>
              <w:t>741 015 63</w:t>
            </w:r>
          </w:p>
        </w:tc>
        <w:tc>
          <w:tcPr>
            <w:tcW w:w="2393" w:type="dxa"/>
            <w:tcBorders>
              <w:top w:val="nil"/>
            </w:tcBorders>
          </w:tcPr>
          <w:p w:rsidR="00A208FF" w:rsidRDefault="00A208FF">
            <w:pPr>
              <w:spacing w:before="0" w:after="0" w:line="400" w:lineRule="exact"/>
              <w:ind w:firstLine="377"/>
              <w:jc w:val="center"/>
              <w:rPr>
                <w:rStyle w:val="FootnoteReference"/>
                <w:rFonts w:hint="cs"/>
                <w:bCs w:val="0"/>
                <w:szCs w:val="30"/>
                <w:vertAlign w:val="baseline"/>
              </w:rPr>
            </w:pPr>
            <w:r>
              <w:rPr>
                <w:rFonts w:hint="cs"/>
                <w:rtl/>
              </w:rPr>
              <w:t>-</w:t>
            </w:r>
          </w:p>
        </w:tc>
        <w:tc>
          <w:tcPr>
            <w:tcW w:w="2393" w:type="dxa"/>
            <w:tcBorders>
              <w:top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w:t>
            </w:r>
          </w:p>
        </w:tc>
      </w:tr>
    </w:tbl>
    <w:p w:rsidR="00000000" w:rsidRDefault="00A208FF">
      <w:pPr>
        <w:spacing w:line="400" w:lineRule="exact"/>
        <w:jc w:val="both"/>
        <w:rPr>
          <w:rFonts w:hint="cs"/>
          <w:rtl/>
        </w:rPr>
      </w:pPr>
      <w:r>
        <w:rPr>
          <w:rFonts w:hint="cs"/>
          <w:i/>
          <w:iCs/>
          <w:rtl/>
        </w:rPr>
        <w:t>المصدر</w:t>
      </w:r>
      <w:r>
        <w:rPr>
          <w:rFonts w:hint="cs"/>
          <w:rtl/>
        </w:rPr>
        <w:t xml:space="preserve">: </w:t>
      </w:r>
      <w:r>
        <w:rPr>
          <w:i/>
          <w:iCs/>
        </w:rPr>
        <w:t>MPI - Ufficio SISTAN</w:t>
      </w:r>
      <w:r>
        <w:rPr>
          <w:rFonts w:hint="cs"/>
          <w:rtl/>
        </w:rPr>
        <w:t>.</w:t>
      </w:r>
    </w:p>
    <w:p w:rsidR="00000000" w:rsidRDefault="00A208FF">
      <w:pPr>
        <w:spacing w:line="400" w:lineRule="exact"/>
        <w:jc w:val="both"/>
        <w:rPr>
          <w:b/>
          <w:bCs/>
          <w:rtl/>
        </w:rPr>
      </w:pPr>
      <w:r>
        <w:rPr>
          <w:rFonts w:hint="cs"/>
          <w:b/>
          <w:bCs/>
          <w:rtl/>
        </w:rPr>
        <w:t>الحق في التعليم</w:t>
      </w:r>
    </w:p>
    <w:p w:rsidR="00000000" w:rsidRDefault="00A208FF">
      <w:pPr>
        <w:spacing w:line="400" w:lineRule="exact"/>
        <w:jc w:val="both"/>
        <w:rPr>
          <w:rFonts w:hint="cs"/>
          <w:rtl/>
        </w:rPr>
      </w:pPr>
      <w:r>
        <w:rPr>
          <w:rFonts w:hint="cs"/>
          <w:rtl/>
        </w:rPr>
        <w:t>263-</w:t>
      </w:r>
      <w:r>
        <w:rPr>
          <w:rFonts w:hint="cs"/>
          <w:rtl/>
        </w:rPr>
        <w:tab/>
        <w:t>بالنظر إلى عدم انقضاء الفترة الزمنية المحددة لتسجيل النفقات نهائياً، فإن البيانات الم</w:t>
      </w:r>
      <w:r>
        <w:rPr>
          <w:rFonts w:hint="cs"/>
          <w:rtl/>
        </w:rPr>
        <w:t xml:space="preserve">الية الموحدة لعامي 1998 و1999 لم تتوفر بعد. ولا يمكن مقارنة حسابات عام 2000 مباشرة بالمعطيات الواردة في البيانات المالية الموحدة. ومن أسباب ذلك ما يتمثل في تغير طريقة حساب مختلف البنود. بيد أن المعطيات تبين أن الإنفاق على التعليم هو البند الأعلى، بالأرقام </w:t>
      </w:r>
      <w:r>
        <w:rPr>
          <w:rFonts w:hint="cs"/>
          <w:rtl/>
        </w:rPr>
        <w:t>المطلقة، من بين البنود المدرجة في ميزانية الدولة، إذ بلغ ما نسبته 8.72 في المائة من المجموع و46.7 في المائة من مجموع ميزانية الحكومة المركزية (الوزارات)، مقارنة بما نسبته 3.4  في المائة</w:t>
      </w:r>
      <w:r>
        <w:rPr>
          <w:rtl/>
        </w:rPr>
        <w:br/>
      </w:r>
      <w:r>
        <w:rPr>
          <w:rFonts w:hint="cs"/>
          <w:rtl/>
        </w:rPr>
        <w:t>و18.22 في المائة على التوالي في حالة وزارة الدفاع التي تأتي في المرتبة</w:t>
      </w:r>
      <w:r>
        <w:rPr>
          <w:rFonts w:hint="cs"/>
          <w:rtl/>
        </w:rPr>
        <w:t xml:space="preserve"> الثانية من الناحية الكمية.</w:t>
      </w:r>
    </w:p>
    <w:p w:rsidR="00000000" w:rsidRDefault="00A208FF">
      <w:pPr>
        <w:spacing w:line="400" w:lineRule="exact"/>
        <w:jc w:val="both"/>
        <w:rPr>
          <w:rFonts w:hint="cs"/>
          <w:rtl/>
        </w:rPr>
      </w:pPr>
      <w:r>
        <w:rPr>
          <w:rFonts w:hint="cs"/>
          <w:rtl/>
        </w:rPr>
        <w:t>264-</w:t>
      </w:r>
      <w:r>
        <w:rPr>
          <w:rFonts w:hint="cs"/>
          <w:rtl/>
        </w:rPr>
        <w:tab/>
        <w:t>ويشمل الإنفاق العام على التعليم أيضاً الموارد التي تخصصها السلطات المحلية للتعليم والتدريب، على النحو الوارد في الجدول التالي.</w:t>
      </w:r>
    </w:p>
    <w:p w:rsidR="00000000" w:rsidRDefault="00A208FF">
      <w:pPr>
        <w:spacing w:line="400" w:lineRule="exact"/>
        <w:jc w:val="both"/>
        <w:rPr>
          <w:rFonts w:hint="cs"/>
          <w:rtl/>
        </w:rPr>
      </w:pPr>
    </w:p>
    <w:p w:rsidR="00000000" w:rsidRDefault="00A208FF">
      <w:pPr>
        <w:spacing w:line="400" w:lineRule="exact"/>
        <w:jc w:val="both"/>
        <w:rPr>
          <w:rFonts w:hint="cs"/>
          <w:rtl/>
        </w:rPr>
      </w:pPr>
    </w:p>
    <w:p w:rsidR="00000000" w:rsidRDefault="00A208FF">
      <w:pPr>
        <w:spacing w:line="400" w:lineRule="exact"/>
        <w:jc w:val="center"/>
        <w:rPr>
          <w:b/>
          <w:bCs/>
          <w:rtl/>
        </w:rPr>
      </w:pPr>
      <w:r>
        <w:rPr>
          <w:rFonts w:hint="cs"/>
          <w:b/>
          <w:bCs/>
          <w:rtl/>
        </w:rPr>
        <w:t>الجدول 3</w:t>
      </w:r>
      <w:r>
        <w:rPr>
          <w:b/>
          <w:bCs/>
          <w:rtl/>
        </w:rPr>
        <w:br/>
      </w:r>
      <w:r>
        <w:rPr>
          <w:rFonts w:hint="cs"/>
          <w:b/>
          <w:bCs/>
          <w:rtl/>
        </w:rPr>
        <w:t>الإنفاق العام على التعليم، 1993-1997</w:t>
      </w:r>
      <w:r>
        <w:rPr>
          <w:b/>
          <w:bCs/>
          <w:rtl/>
        </w:rPr>
        <w:br/>
        <w:t>(بمليارات الليرات)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3"/>
        <w:gridCol w:w="1357"/>
        <w:gridCol w:w="1204"/>
        <w:gridCol w:w="1358"/>
        <w:gridCol w:w="1274"/>
        <w:gridCol w:w="1284"/>
      </w:tblGrid>
      <w:tr w:rsidR="00A208FF" w:rsidTr="00A208FF">
        <w:tblPrEx>
          <w:tblCellMar>
            <w:top w:w="0" w:type="dxa"/>
            <w:bottom w:w="0" w:type="dxa"/>
          </w:tblCellMar>
        </w:tblPrEx>
        <w:tc>
          <w:tcPr>
            <w:tcW w:w="3093" w:type="dxa"/>
            <w:tcBorders>
              <w:bottom w:val="single" w:sz="4" w:space="0" w:color="auto"/>
            </w:tcBorders>
          </w:tcPr>
          <w:p w:rsidR="00A208FF" w:rsidRDefault="00A208FF">
            <w:pPr>
              <w:spacing w:before="0" w:after="0" w:line="400" w:lineRule="exact"/>
              <w:jc w:val="both"/>
              <w:rPr>
                <w:rFonts w:hint="cs"/>
                <w:szCs w:val="28"/>
              </w:rPr>
            </w:pPr>
            <w:r>
              <w:rPr>
                <w:rFonts w:hint="cs"/>
                <w:szCs w:val="28"/>
                <w:rtl/>
              </w:rPr>
              <w:t>الإدارات المحلية</w:t>
            </w:r>
          </w:p>
        </w:tc>
        <w:tc>
          <w:tcPr>
            <w:tcW w:w="1357" w:type="dxa"/>
            <w:tcBorders>
              <w:bottom w:val="single" w:sz="4" w:space="0" w:color="auto"/>
            </w:tcBorders>
          </w:tcPr>
          <w:p w:rsidR="00A208FF" w:rsidRDefault="00A208FF">
            <w:pPr>
              <w:spacing w:before="0" w:after="0" w:line="400" w:lineRule="exact"/>
              <w:jc w:val="center"/>
              <w:rPr>
                <w:rFonts w:hint="cs"/>
                <w:szCs w:val="28"/>
              </w:rPr>
            </w:pPr>
            <w:r>
              <w:rPr>
                <w:rFonts w:hint="cs"/>
                <w:szCs w:val="28"/>
                <w:rtl/>
              </w:rPr>
              <w:t>1993</w:t>
            </w:r>
          </w:p>
        </w:tc>
        <w:tc>
          <w:tcPr>
            <w:tcW w:w="1204" w:type="dxa"/>
            <w:tcBorders>
              <w:bottom w:val="single" w:sz="4" w:space="0" w:color="auto"/>
            </w:tcBorders>
          </w:tcPr>
          <w:p w:rsidR="00A208FF" w:rsidRDefault="00A208FF">
            <w:pPr>
              <w:spacing w:before="0" w:after="0" w:line="400" w:lineRule="exact"/>
              <w:jc w:val="center"/>
              <w:rPr>
                <w:rFonts w:hint="cs"/>
                <w:szCs w:val="28"/>
              </w:rPr>
            </w:pPr>
            <w:r>
              <w:rPr>
                <w:rFonts w:hint="cs"/>
                <w:szCs w:val="28"/>
                <w:rtl/>
              </w:rPr>
              <w:t>1994</w:t>
            </w:r>
          </w:p>
        </w:tc>
        <w:tc>
          <w:tcPr>
            <w:tcW w:w="1358" w:type="dxa"/>
            <w:tcBorders>
              <w:bottom w:val="single" w:sz="4" w:space="0" w:color="auto"/>
            </w:tcBorders>
          </w:tcPr>
          <w:p w:rsidR="00A208FF" w:rsidRDefault="00A208FF">
            <w:pPr>
              <w:spacing w:before="0" w:after="0" w:line="400" w:lineRule="exact"/>
              <w:jc w:val="center"/>
              <w:rPr>
                <w:rFonts w:hint="cs"/>
                <w:szCs w:val="28"/>
              </w:rPr>
            </w:pPr>
            <w:r>
              <w:rPr>
                <w:rFonts w:hint="cs"/>
                <w:szCs w:val="28"/>
                <w:rtl/>
              </w:rPr>
              <w:t>1995</w:t>
            </w:r>
          </w:p>
        </w:tc>
        <w:tc>
          <w:tcPr>
            <w:tcW w:w="1274" w:type="dxa"/>
            <w:tcBorders>
              <w:bottom w:val="single" w:sz="4" w:space="0" w:color="auto"/>
            </w:tcBorders>
          </w:tcPr>
          <w:p w:rsidR="00A208FF" w:rsidRDefault="00A208FF">
            <w:pPr>
              <w:spacing w:before="0" w:after="0" w:line="400" w:lineRule="exact"/>
              <w:jc w:val="center"/>
              <w:rPr>
                <w:rFonts w:hint="cs"/>
                <w:szCs w:val="28"/>
              </w:rPr>
            </w:pPr>
            <w:r>
              <w:rPr>
                <w:rFonts w:hint="cs"/>
                <w:szCs w:val="28"/>
                <w:rtl/>
              </w:rPr>
              <w:t>1996</w:t>
            </w:r>
          </w:p>
        </w:tc>
        <w:tc>
          <w:tcPr>
            <w:tcW w:w="1284" w:type="dxa"/>
            <w:tcBorders>
              <w:bottom w:val="single" w:sz="4" w:space="0" w:color="auto"/>
            </w:tcBorders>
          </w:tcPr>
          <w:p w:rsidR="00A208FF" w:rsidRDefault="00A208FF">
            <w:pPr>
              <w:spacing w:before="0" w:after="0" w:line="400" w:lineRule="exact"/>
              <w:jc w:val="center"/>
              <w:rPr>
                <w:rFonts w:hint="cs"/>
                <w:szCs w:val="28"/>
              </w:rPr>
            </w:pPr>
            <w:r>
              <w:rPr>
                <w:rFonts w:hint="cs"/>
                <w:szCs w:val="28"/>
                <w:rtl/>
              </w:rPr>
              <w:t>1997</w:t>
            </w:r>
          </w:p>
        </w:tc>
      </w:tr>
      <w:tr w:rsidR="00A208FF" w:rsidTr="00A208FF">
        <w:tblPrEx>
          <w:tblCellMar>
            <w:top w:w="0" w:type="dxa"/>
            <w:bottom w:w="0" w:type="dxa"/>
          </w:tblCellMar>
        </w:tblPrEx>
        <w:tc>
          <w:tcPr>
            <w:tcW w:w="3093" w:type="dxa"/>
            <w:tcBorders>
              <w:bottom w:val="nil"/>
            </w:tcBorders>
          </w:tcPr>
          <w:p w:rsidR="00A208FF" w:rsidRDefault="00A208FF">
            <w:pPr>
              <w:spacing w:before="0" w:after="0" w:line="400" w:lineRule="exact"/>
              <w:jc w:val="both"/>
              <w:rPr>
                <w:rFonts w:hint="cs"/>
                <w:szCs w:val="28"/>
              </w:rPr>
            </w:pPr>
            <w:r>
              <w:rPr>
                <w:rFonts w:hint="cs"/>
                <w:szCs w:val="28"/>
                <w:rtl/>
              </w:rPr>
              <w:t>الأقاليم والمقاطعات المستقلة ذاتياً</w:t>
            </w:r>
          </w:p>
        </w:tc>
        <w:tc>
          <w:tcPr>
            <w:tcW w:w="1357" w:type="dxa"/>
            <w:tcBorders>
              <w:bottom w:val="nil"/>
            </w:tcBorders>
          </w:tcPr>
          <w:p w:rsidR="00A208FF" w:rsidRDefault="00A208FF">
            <w:pPr>
              <w:spacing w:before="0" w:after="0" w:line="400" w:lineRule="exact"/>
              <w:jc w:val="both"/>
              <w:rPr>
                <w:rFonts w:hint="cs"/>
                <w:szCs w:val="28"/>
              </w:rPr>
            </w:pPr>
            <w:r>
              <w:rPr>
                <w:rFonts w:hint="cs"/>
                <w:szCs w:val="28"/>
                <w:rtl/>
              </w:rPr>
              <w:t>353.1 4</w:t>
            </w:r>
          </w:p>
        </w:tc>
        <w:tc>
          <w:tcPr>
            <w:tcW w:w="1204" w:type="dxa"/>
            <w:tcBorders>
              <w:bottom w:val="nil"/>
            </w:tcBorders>
          </w:tcPr>
          <w:p w:rsidR="00A208FF" w:rsidRDefault="00A208FF">
            <w:pPr>
              <w:spacing w:before="0" w:after="0" w:line="400" w:lineRule="exact"/>
              <w:jc w:val="both"/>
              <w:rPr>
                <w:rFonts w:hint="cs"/>
                <w:szCs w:val="28"/>
              </w:rPr>
            </w:pPr>
            <w:r>
              <w:rPr>
                <w:rFonts w:hint="cs"/>
                <w:szCs w:val="28"/>
                <w:rtl/>
              </w:rPr>
              <w:t>483.8 4</w:t>
            </w:r>
          </w:p>
        </w:tc>
        <w:tc>
          <w:tcPr>
            <w:tcW w:w="1358" w:type="dxa"/>
            <w:tcBorders>
              <w:bottom w:val="nil"/>
            </w:tcBorders>
          </w:tcPr>
          <w:p w:rsidR="00A208FF" w:rsidRDefault="00A208FF">
            <w:pPr>
              <w:spacing w:before="0" w:after="0" w:line="400" w:lineRule="exact"/>
              <w:jc w:val="both"/>
              <w:rPr>
                <w:rFonts w:hint="cs"/>
                <w:szCs w:val="28"/>
              </w:rPr>
            </w:pPr>
            <w:r>
              <w:rPr>
                <w:rFonts w:hint="cs"/>
                <w:szCs w:val="28"/>
                <w:rtl/>
              </w:rPr>
              <w:t>880.7 3</w:t>
            </w:r>
          </w:p>
        </w:tc>
        <w:tc>
          <w:tcPr>
            <w:tcW w:w="1274" w:type="dxa"/>
            <w:tcBorders>
              <w:bottom w:val="nil"/>
            </w:tcBorders>
          </w:tcPr>
          <w:p w:rsidR="00A208FF" w:rsidRDefault="00A208FF">
            <w:pPr>
              <w:spacing w:before="0" w:after="0" w:line="400" w:lineRule="exact"/>
              <w:jc w:val="both"/>
              <w:rPr>
                <w:rFonts w:hint="cs"/>
                <w:szCs w:val="28"/>
              </w:rPr>
            </w:pPr>
            <w:r>
              <w:rPr>
                <w:rFonts w:hint="cs"/>
                <w:szCs w:val="28"/>
                <w:rtl/>
              </w:rPr>
              <w:t>814.7 4</w:t>
            </w:r>
          </w:p>
        </w:tc>
        <w:tc>
          <w:tcPr>
            <w:tcW w:w="1284" w:type="dxa"/>
            <w:tcBorders>
              <w:bottom w:val="nil"/>
            </w:tcBorders>
          </w:tcPr>
          <w:p w:rsidR="00A208FF" w:rsidRDefault="00A208FF">
            <w:pPr>
              <w:spacing w:before="0" w:after="0" w:line="400" w:lineRule="exact"/>
              <w:jc w:val="both"/>
              <w:rPr>
                <w:rFonts w:hint="cs"/>
                <w:szCs w:val="28"/>
              </w:rPr>
            </w:pPr>
            <w:r>
              <w:rPr>
                <w:rFonts w:hint="cs"/>
                <w:szCs w:val="28"/>
                <w:rtl/>
              </w:rPr>
              <w:t>225.2 5</w:t>
            </w:r>
          </w:p>
        </w:tc>
      </w:tr>
      <w:tr w:rsidR="00A208FF" w:rsidTr="00A208FF">
        <w:tblPrEx>
          <w:tblCellMar>
            <w:top w:w="0" w:type="dxa"/>
            <w:bottom w:w="0" w:type="dxa"/>
          </w:tblCellMar>
        </w:tblPrEx>
        <w:tc>
          <w:tcPr>
            <w:tcW w:w="3093" w:type="dxa"/>
            <w:tcBorders>
              <w:top w:val="nil"/>
              <w:bottom w:val="nil"/>
            </w:tcBorders>
          </w:tcPr>
          <w:p w:rsidR="00A208FF" w:rsidRDefault="00A208FF">
            <w:pPr>
              <w:spacing w:before="0" w:after="0" w:line="400" w:lineRule="exact"/>
              <w:jc w:val="both"/>
              <w:rPr>
                <w:rFonts w:hint="cs"/>
                <w:szCs w:val="28"/>
              </w:rPr>
            </w:pPr>
            <w:r>
              <w:rPr>
                <w:rFonts w:hint="cs"/>
                <w:szCs w:val="28"/>
                <w:rtl/>
              </w:rPr>
              <w:t>المقاطعات</w:t>
            </w:r>
          </w:p>
        </w:tc>
        <w:tc>
          <w:tcPr>
            <w:tcW w:w="1357" w:type="dxa"/>
            <w:tcBorders>
              <w:top w:val="nil"/>
              <w:bottom w:val="nil"/>
            </w:tcBorders>
          </w:tcPr>
          <w:p w:rsidR="00A208FF" w:rsidRDefault="00A208FF">
            <w:pPr>
              <w:spacing w:before="0" w:after="0" w:line="400" w:lineRule="exact"/>
              <w:jc w:val="both"/>
              <w:rPr>
                <w:rFonts w:hint="cs"/>
                <w:szCs w:val="28"/>
              </w:rPr>
            </w:pPr>
            <w:r>
              <w:rPr>
                <w:rFonts w:hint="cs"/>
                <w:szCs w:val="28"/>
                <w:rtl/>
              </w:rPr>
              <w:t>162.1 3</w:t>
            </w:r>
          </w:p>
        </w:tc>
        <w:tc>
          <w:tcPr>
            <w:tcW w:w="1204" w:type="dxa"/>
            <w:tcBorders>
              <w:top w:val="nil"/>
              <w:bottom w:val="nil"/>
            </w:tcBorders>
          </w:tcPr>
          <w:p w:rsidR="00A208FF" w:rsidRDefault="00A208FF">
            <w:pPr>
              <w:spacing w:before="0" w:after="0" w:line="400" w:lineRule="exact"/>
              <w:jc w:val="both"/>
              <w:rPr>
                <w:rFonts w:hint="cs"/>
                <w:szCs w:val="28"/>
              </w:rPr>
            </w:pPr>
            <w:r>
              <w:rPr>
                <w:rFonts w:hint="cs"/>
                <w:szCs w:val="28"/>
                <w:rtl/>
              </w:rPr>
              <w:t>298.1 3</w:t>
            </w:r>
          </w:p>
        </w:tc>
        <w:tc>
          <w:tcPr>
            <w:tcW w:w="1358" w:type="dxa"/>
            <w:tcBorders>
              <w:top w:val="nil"/>
              <w:bottom w:val="nil"/>
            </w:tcBorders>
          </w:tcPr>
          <w:p w:rsidR="00A208FF" w:rsidRDefault="00A208FF">
            <w:pPr>
              <w:spacing w:before="0" w:after="0" w:line="400" w:lineRule="exact"/>
              <w:jc w:val="both"/>
              <w:rPr>
                <w:rFonts w:hint="cs"/>
                <w:szCs w:val="28"/>
              </w:rPr>
            </w:pPr>
            <w:r>
              <w:rPr>
                <w:rFonts w:hint="cs"/>
                <w:szCs w:val="28"/>
                <w:rtl/>
              </w:rPr>
              <w:t>223.9 23</w:t>
            </w:r>
          </w:p>
        </w:tc>
        <w:tc>
          <w:tcPr>
            <w:tcW w:w="1274" w:type="dxa"/>
            <w:tcBorders>
              <w:top w:val="nil"/>
              <w:bottom w:val="nil"/>
            </w:tcBorders>
          </w:tcPr>
          <w:p w:rsidR="00A208FF" w:rsidRDefault="00A208FF">
            <w:pPr>
              <w:spacing w:before="0" w:after="0" w:line="400" w:lineRule="exact"/>
              <w:jc w:val="both"/>
              <w:rPr>
                <w:rFonts w:hint="cs"/>
                <w:szCs w:val="28"/>
              </w:rPr>
            </w:pPr>
            <w:r>
              <w:rPr>
                <w:rFonts w:hint="cs"/>
                <w:szCs w:val="28"/>
                <w:rtl/>
              </w:rPr>
              <w:t>251.3 2</w:t>
            </w:r>
          </w:p>
        </w:tc>
        <w:tc>
          <w:tcPr>
            <w:tcW w:w="1284" w:type="dxa"/>
            <w:tcBorders>
              <w:top w:val="nil"/>
              <w:bottom w:val="nil"/>
            </w:tcBorders>
          </w:tcPr>
          <w:p w:rsidR="00A208FF" w:rsidRDefault="00A208FF">
            <w:pPr>
              <w:spacing w:before="0" w:after="0" w:line="400" w:lineRule="exact"/>
              <w:jc w:val="both"/>
              <w:rPr>
                <w:rFonts w:hint="cs"/>
                <w:szCs w:val="28"/>
              </w:rPr>
            </w:pPr>
            <w:r>
              <w:rPr>
                <w:rFonts w:hint="cs"/>
                <w:szCs w:val="28"/>
                <w:rtl/>
              </w:rPr>
              <w:t>789.7 3</w:t>
            </w:r>
          </w:p>
        </w:tc>
      </w:tr>
      <w:tr w:rsidR="00A208FF" w:rsidTr="00A208FF">
        <w:tblPrEx>
          <w:tblCellMar>
            <w:top w:w="0" w:type="dxa"/>
            <w:bottom w:w="0" w:type="dxa"/>
          </w:tblCellMar>
        </w:tblPrEx>
        <w:tc>
          <w:tcPr>
            <w:tcW w:w="3093" w:type="dxa"/>
            <w:tcBorders>
              <w:top w:val="nil"/>
            </w:tcBorders>
          </w:tcPr>
          <w:p w:rsidR="00A208FF" w:rsidRDefault="00A208FF">
            <w:pPr>
              <w:spacing w:before="0" w:after="0" w:line="400" w:lineRule="exact"/>
              <w:jc w:val="both"/>
              <w:rPr>
                <w:rFonts w:hint="cs"/>
                <w:szCs w:val="28"/>
              </w:rPr>
            </w:pPr>
            <w:r>
              <w:rPr>
                <w:rFonts w:hint="cs"/>
                <w:szCs w:val="28"/>
                <w:rtl/>
              </w:rPr>
              <w:t>الكوميونات</w:t>
            </w:r>
          </w:p>
        </w:tc>
        <w:tc>
          <w:tcPr>
            <w:tcW w:w="1357" w:type="dxa"/>
            <w:tcBorders>
              <w:top w:val="nil"/>
            </w:tcBorders>
          </w:tcPr>
          <w:p w:rsidR="00A208FF" w:rsidRDefault="00A208FF">
            <w:pPr>
              <w:spacing w:before="0" w:after="0" w:line="400" w:lineRule="exact"/>
              <w:jc w:val="both"/>
              <w:rPr>
                <w:rFonts w:hint="cs"/>
                <w:szCs w:val="28"/>
              </w:rPr>
            </w:pPr>
            <w:r>
              <w:rPr>
                <w:rFonts w:hint="cs"/>
                <w:szCs w:val="28"/>
                <w:rtl/>
              </w:rPr>
              <w:t>618.0 12</w:t>
            </w:r>
          </w:p>
        </w:tc>
        <w:tc>
          <w:tcPr>
            <w:tcW w:w="1204" w:type="dxa"/>
            <w:tcBorders>
              <w:top w:val="nil"/>
            </w:tcBorders>
          </w:tcPr>
          <w:p w:rsidR="00A208FF" w:rsidRDefault="00A208FF">
            <w:pPr>
              <w:spacing w:before="0" w:after="0" w:line="400" w:lineRule="exact"/>
              <w:jc w:val="both"/>
              <w:rPr>
                <w:rFonts w:hint="cs"/>
                <w:szCs w:val="28"/>
              </w:rPr>
            </w:pPr>
            <w:r>
              <w:rPr>
                <w:rFonts w:hint="cs"/>
                <w:szCs w:val="28"/>
                <w:rtl/>
              </w:rPr>
              <w:t>024.4 13</w:t>
            </w:r>
          </w:p>
        </w:tc>
        <w:tc>
          <w:tcPr>
            <w:tcW w:w="1358" w:type="dxa"/>
            <w:tcBorders>
              <w:top w:val="nil"/>
            </w:tcBorders>
          </w:tcPr>
          <w:p w:rsidR="00A208FF" w:rsidRDefault="00A208FF">
            <w:pPr>
              <w:spacing w:before="0" w:after="0" w:line="400" w:lineRule="exact"/>
              <w:jc w:val="both"/>
              <w:rPr>
                <w:rFonts w:hint="cs"/>
                <w:szCs w:val="28"/>
              </w:rPr>
            </w:pPr>
            <w:r>
              <w:rPr>
                <w:rFonts w:hint="cs"/>
                <w:szCs w:val="28"/>
                <w:rtl/>
              </w:rPr>
              <w:t>045.2 13</w:t>
            </w:r>
          </w:p>
        </w:tc>
        <w:tc>
          <w:tcPr>
            <w:tcW w:w="1274" w:type="dxa"/>
            <w:tcBorders>
              <w:top w:val="nil"/>
            </w:tcBorders>
          </w:tcPr>
          <w:p w:rsidR="00A208FF" w:rsidRDefault="00A208FF">
            <w:pPr>
              <w:spacing w:before="0" w:after="0" w:line="400" w:lineRule="exact"/>
              <w:jc w:val="both"/>
              <w:rPr>
                <w:rFonts w:hint="cs"/>
                <w:szCs w:val="28"/>
              </w:rPr>
            </w:pPr>
            <w:r>
              <w:rPr>
                <w:rFonts w:hint="cs"/>
                <w:szCs w:val="28"/>
                <w:rtl/>
              </w:rPr>
              <w:t>268.0 13</w:t>
            </w:r>
          </w:p>
        </w:tc>
        <w:tc>
          <w:tcPr>
            <w:tcW w:w="1284" w:type="dxa"/>
            <w:tcBorders>
              <w:top w:val="nil"/>
            </w:tcBorders>
          </w:tcPr>
          <w:p w:rsidR="00A208FF" w:rsidRDefault="00A208FF">
            <w:pPr>
              <w:spacing w:before="0" w:after="0" w:line="400" w:lineRule="exact"/>
              <w:jc w:val="both"/>
              <w:rPr>
                <w:rFonts w:hint="cs"/>
                <w:szCs w:val="28"/>
              </w:rPr>
            </w:pPr>
            <w:r>
              <w:rPr>
                <w:rFonts w:hint="cs"/>
                <w:szCs w:val="28"/>
                <w:rtl/>
              </w:rPr>
              <w:t>071.8 15</w:t>
            </w:r>
          </w:p>
        </w:tc>
      </w:tr>
      <w:tr w:rsidR="00A208FF" w:rsidTr="00A208FF">
        <w:tblPrEx>
          <w:tblCellMar>
            <w:top w:w="0" w:type="dxa"/>
            <w:bottom w:w="0" w:type="dxa"/>
          </w:tblCellMar>
        </w:tblPrEx>
        <w:tc>
          <w:tcPr>
            <w:tcW w:w="3093" w:type="dxa"/>
          </w:tcPr>
          <w:p w:rsidR="00A208FF" w:rsidRDefault="00A208FF">
            <w:pPr>
              <w:spacing w:before="0" w:after="0" w:line="400" w:lineRule="exact"/>
              <w:jc w:val="center"/>
              <w:rPr>
                <w:rFonts w:hint="cs"/>
                <w:szCs w:val="28"/>
              </w:rPr>
            </w:pPr>
            <w:r>
              <w:rPr>
                <w:rFonts w:hint="cs"/>
                <w:szCs w:val="28"/>
                <w:rtl/>
              </w:rPr>
              <w:t>المجاميع</w:t>
            </w:r>
          </w:p>
        </w:tc>
        <w:tc>
          <w:tcPr>
            <w:tcW w:w="1357" w:type="dxa"/>
          </w:tcPr>
          <w:p w:rsidR="00A208FF" w:rsidRDefault="00A208FF">
            <w:pPr>
              <w:spacing w:before="0" w:after="0" w:line="400" w:lineRule="exact"/>
              <w:jc w:val="both"/>
              <w:rPr>
                <w:rFonts w:hint="cs"/>
                <w:szCs w:val="28"/>
              </w:rPr>
            </w:pPr>
            <w:r>
              <w:rPr>
                <w:rFonts w:hint="cs"/>
                <w:szCs w:val="28"/>
                <w:rtl/>
              </w:rPr>
              <w:t>133.2 20</w:t>
            </w:r>
          </w:p>
        </w:tc>
        <w:tc>
          <w:tcPr>
            <w:tcW w:w="1204" w:type="dxa"/>
          </w:tcPr>
          <w:p w:rsidR="00A208FF" w:rsidRDefault="00A208FF">
            <w:pPr>
              <w:spacing w:before="0" w:after="0" w:line="400" w:lineRule="exact"/>
              <w:jc w:val="both"/>
              <w:rPr>
                <w:rFonts w:hint="cs"/>
                <w:szCs w:val="28"/>
              </w:rPr>
            </w:pPr>
            <w:r>
              <w:rPr>
                <w:rFonts w:hint="cs"/>
                <w:szCs w:val="28"/>
                <w:rtl/>
              </w:rPr>
              <w:t>806.3 20</w:t>
            </w:r>
          </w:p>
        </w:tc>
        <w:tc>
          <w:tcPr>
            <w:tcW w:w="1358" w:type="dxa"/>
          </w:tcPr>
          <w:p w:rsidR="00A208FF" w:rsidRDefault="00A208FF">
            <w:pPr>
              <w:spacing w:before="0" w:after="0" w:line="400" w:lineRule="exact"/>
              <w:jc w:val="both"/>
              <w:rPr>
                <w:rFonts w:hint="cs"/>
                <w:szCs w:val="28"/>
              </w:rPr>
            </w:pPr>
            <w:r>
              <w:rPr>
                <w:rFonts w:hint="cs"/>
                <w:szCs w:val="28"/>
                <w:rtl/>
              </w:rPr>
              <w:t>149.8 20</w:t>
            </w:r>
          </w:p>
        </w:tc>
        <w:tc>
          <w:tcPr>
            <w:tcW w:w="1274" w:type="dxa"/>
          </w:tcPr>
          <w:p w:rsidR="00A208FF" w:rsidRDefault="00A208FF">
            <w:pPr>
              <w:spacing w:before="0" w:after="0" w:line="400" w:lineRule="exact"/>
              <w:jc w:val="both"/>
              <w:rPr>
                <w:rFonts w:hint="cs"/>
                <w:szCs w:val="28"/>
              </w:rPr>
            </w:pPr>
            <w:r>
              <w:rPr>
                <w:rFonts w:hint="cs"/>
                <w:szCs w:val="28"/>
                <w:rtl/>
              </w:rPr>
              <w:t>334.0 21</w:t>
            </w:r>
          </w:p>
        </w:tc>
        <w:tc>
          <w:tcPr>
            <w:tcW w:w="1284" w:type="dxa"/>
          </w:tcPr>
          <w:p w:rsidR="00A208FF" w:rsidRDefault="00A208FF">
            <w:pPr>
              <w:spacing w:before="0" w:after="0" w:line="400" w:lineRule="exact"/>
              <w:jc w:val="both"/>
              <w:rPr>
                <w:rFonts w:hint="cs"/>
                <w:szCs w:val="28"/>
              </w:rPr>
            </w:pPr>
            <w:r>
              <w:rPr>
                <w:rFonts w:hint="cs"/>
                <w:szCs w:val="28"/>
                <w:rtl/>
              </w:rPr>
              <w:t>086.7 24</w:t>
            </w:r>
          </w:p>
        </w:tc>
      </w:tr>
    </w:tbl>
    <w:p w:rsidR="00000000" w:rsidRDefault="00A208FF">
      <w:pPr>
        <w:spacing w:line="400" w:lineRule="exact"/>
        <w:jc w:val="both"/>
        <w:rPr>
          <w:i/>
          <w:iCs/>
          <w:rtl/>
        </w:rPr>
      </w:pPr>
      <w:r>
        <w:rPr>
          <w:rFonts w:hint="cs"/>
          <w:i/>
          <w:iCs/>
          <w:rtl/>
        </w:rPr>
        <w:t>ا</w:t>
      </w:r>
      <w:r>
        <w:rPr>
          <w:rFonts w:hint="cs"/>
          <w:i/>
          <w:iCs/>
          <w:rtl/>
        </w:rPr>
        <w:t xml:space="preserve">لمصدر: </w:t>
      </w:r>
      <w:r>
        <w:rPr>
          <w:i/>
          <w:iCs/>
        </w:rPr>
        <w:t>Elaborazione MPI su Censis - Rapporto 1999</w:t>
      </w:r>
      <w:r>
        <w:rPr>
          <w:rFonts w:hint="cs"/>
          <w:i/>
          <w:iCs/>
          <w:rtl/>
        </w:rPr>
        <w:t>.</w:t>
      </w:r>
    </w:p>
    <w:p w:rsidR="00000000" w:rsidRDefault="00A208FF">
      <w:pPr>
        <w:spacing w:line="400" w:lineRule="exact"/>
        <w:jc w:val="center"/>
        <w:rPr>
          <w:rFonts w:hint="cs"/>
          <w:b/>
          <w:bCs/>
          <w:rtl/>
        </w:rPr>
      </w:pPr>
      <w:r>
        <w:rPr>
          <w:rFonts w:hint="cs"/>
          <w:b/>
          <w:bCs/>
          <w:rtl/>
        </w:rPr>
        <w:t>الجدول 4</w:t>
      </w:r>
    </w:p>
    <w:p w:rsidR="00000000" w:rsidRDefault="00A208FF">
      <w:pPr>
        <w:spacing w:line="400" w:lineRule="exact"/>
        <w:jc w:val="center"/>
        <w:rPr>
          <w:rFonts w:hint="cs"/>
          <w:b/>
          <w:bCs/>
          <w:rtl/>
        </w:rPr>
      </w:pPr>
      <w:r>
        <w:rPr>
          <w:rFonts w:hint="cs"/>
          <w:b/>
          <w:bCs/>
          <w:rtl/>
        </w:rPr>
        <w:t>التلاميذ المسجلون في المدرسة بحسب المستوى الدراسي ونوع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4"/>
        <w:gridCol w:w="2127"/>
        <w:gridCol w:w="1255"/>
        <w:gridCol w:w="1307"/>
        <w:gridCol w:w="1264"/>
        <w:gridCol w:w="1304"/>
      </w:tblGrid>
      <w:tr w:rsidR="00A208FF" w:rsidTr="00A208FF">
        <w:tblPrEx>
          <w:tblCellMar>
            <w:top w:w="0" w:type="dxa"/>
            <w:bottom w:w="0" w:type="dxa"/>
          </w:tblCellMar>
        </w:tblPrEx>
        <w:trPr>
          <w:jc w:val="center"/>
        </w:trPr>
        <w:tc>
          <w:tcPr>
            <w:tcW w:w="2164" w:type="dxa"/>
            <w:tcBorders>
              <w:bottom w:val="single" w:sz="4" w:space="0" w:color="auto"/>
            </w:tcBorders>
          </w:tcPr>
          <w:p w:rsidR="00A208FF" w:rsidRDefault="00A208FF">
            <w:pPr>
              <w:spacing w:before="0" w:after="0" w:line="420" w:lineRule="exact"/>
              <w:jc w:val="center"/>
              <w:rPr>
                <w:rFonts w:hint="cs"/>
                <w:sz w:val="26"/>
                <w:szCs w:val="26"/>
              </w:rPr>
            </w:pPr>
            <w:r>
              <w:rPr>
                <w:rFonts w:hint="cs"/>
                <w:sz w:val="26"/>
                <w:szCs w:val="26"/>
                <w:rtl/>
              </w:rPr>
              <w:t>المدارس</w:t>
            </w:r>
          </w:p>
        </w:tc>
        <w:tc>
          <w:tcPr>
            <w:tcW w:w="2127" w:type="dxa"/>
            <w:tcBorders>
              <w:bottom w:val="single" w:sz="4" w:space="0" w:color="auto"/>
            </w:tcBorders>
          </w:tcPr>
          <w:p w:rsidR="00A208FF" w:rsidRDefault="00A208FF">
            <w:pPr>
              <w:spacing w:before="0" w:after="0" w:line="420" w:lineRule="exact"/>
              <w:jc w:val="both"/>
              <w:rPr>
                <w:rFonts w:hint="cs"/>
                <w:sz w:val="26"/>
                <w:szCs w:val="26"/>
              </w:rPr>
            </w:pPr>
          </w:p>
        </w:tc>
        <w:tc>
          <w:tcPr>
            <w:tcW w:w="1255" w:type="dxa"/>
            <w:tcBorders>
              <w:bottom w:val="single" w:sz="4" w:space="0" w:color="auto"/>
            </w:tcBorders>
          </w:tcPr>
          <w:p w:rsidR="00A208FF" w:rsidRDefault="00A208FF">
            <w:pPr>
              <w:spacing w:before="0" w:after="0" w:line="420" w:lineRule="exact"/>
              <w:jc w:val="center"/>
              <w:rPr>
                <w:rFonts w:hint="cs"/>
                <w:sz w:val="26"/>
                <w:szCs w:val="26"/>
              </w:rPr>
            </w:pPr>
            <w:r>
              <w:rPr>
                <w:rFonts w:hint="cs"/>
                <w:sz w:val="26"/>
                <w:szCs w:val="26"/>
                <w:rtl/>
              </w:rPr>
              <w:t>1990-1991</w:t>
            </w:r>
          </w:p>
        </w:tc>
        <w:tc>
          <w:tcPr>
            <w:tcW w:w="1307" w:type="dxa"/>
            <w:tcBorders>
              <w:bottom w:val="single" w:sz="4" w:space="0" w:color="auto"/>
            </w:tcBorders>
          </w:tcPr>
          <w:p w:rsidR="00A208FF" w:rsidRDefault="00A208FF">
            <w:pPr>
              <w:spacing w:before="0" w:after="0" w:line="420" w:lineRule="exact"/>
              <w:jc w:val="center"/>
              <w:rPr>
                <w:rFonts w:hint="cs"/>
                <w:sz w:val="26"/>
                <w:szCs w:val="26"/>
              </w:rPr>
            </w:pPr>
            <w:r>
              <w:rPr>
                <w:rFonts w:hint="cs"/>
                <w:sz w:val="26"/>
                <w:szCs w:val="26"/>
                <w:rtl/>
              </w:rPr>
              <w:t>1995-1996</w:t>
            </w:r>
          </w:p>
        </w:tc>
        <w:tc>
          <w:tcPr>
            <w:tcW w:w="1264" w:type="dxa"/>
            <w:tcBorders>
              <w:bottom w:val="single" w:sz="4" w:space="0" w:color="auto"/>
            </w:tcBorders>
          </w:tcPr>
          <w:p w:rsidR="00A208FF" w:rsidRDefault="00A208FF">
            <w:pPr>
              <w:spacing w:before="0" w:after="0" w:line="420" w:lineRule="exact"/>
              <w:jc w:val="center"/>
              <w:rPr>
                <w:rFonts w:hint="cs"/>
                <w:sz w:val="26"/>
                <w:szCs w:val="26"/>
              </w:rPr>
            </w:pPr>
            <w:r>
              <w:rPr>
                <w:rFonts w:hint="cs"/>
                <w:sz w:val="26"/>
                <w:szCs w:val="26"/>
                <w:rtl/>
              </w:rPr>
              <w:t>1997-1998</w:t>
            </w:r>
          </w:p>
        </w:tc>
        <w:tc>
          <w:tcPr>
            <w:tcW w:w="1304" w:type="dxa"/>
            <w:tcBorders>
              <w:bottom w:val="single" w:sz="4" w:space="0" w:color="auto"/>
            </w:tcBorders>
          </w:tcPr>
          <w:p w:rsidR="00A208FF" w:rsidRDefault="00A208FF">
            <w:pPr>
              <w:spacing w:before="0" w:after="0" w:line="420" w:lineRule="exact"/>
              <w:jc w:val="center"/>
              <w:rPr>
                <w:rFonts w:hint="cs"/>
                <w:sz w:val="26"/>
                <w:szCs w:val="26"/>
              </w:rPr>
            </w:pPr>
            <w:r>
              <w:rPr>
                <w:rFonts w:hint="cs"/>
                <w:sz w:val="26"/>
                <w:szCs w:val="26"/>
                <w:rtl/>
              </w:rPr>
              <w:t>1999-2000*</w:t>
            </w:r>
          </w:p>
        </w:tc>
      </w:tr>
      <w:tr w:rsidR="00A208FF" w:rsidTr="00A208FF">
        <w:tblPrEx>
          <w:tblCellMar>
            <w:top w:w="0" w:type="dxa"/>
            <w:bottom w:w="0" w:type="dxa"/>
          </w:tblCellMar>
        </w:tblPrEx>
        <w:trPr>
          <w:jc w:val="center"/>
        </w:trPr>
        <w:tc>
          <w:tcPr>
            <w:tcW w:w="2164" w:type="dxa"/>
            <w:tcBorders>
              <w:bottom w:val="nil"/>
            </w:tcBorders>
          </w:tcPr>
          <w:p w:rsidR="00A208FF" w:rsidRDefault="00A208FF">
            <w:pPr>
              <w:spacing w:before="0" w:after="0" w:line="420" w:lineRule="exact"/>
              <w:jc w:val="both"/>
              <w:rPr>
                <w:rFonts w:hint="cs"/>
                <w:sz w:val="26"/>
                <w:szCs w:val="26"/>
              </w:rPr>
            </w:pPr>
            <w:r>
              <w:rPr>
                <w:rFonts w:hint="cs"/>
                <w:sz w:val="26"/>
                <w:szCs w:val="26"/>
                <w:rtl/>
              </w:rPr>
              <w:t>المدارس ما قبل الابتدائية</w:t>
            </w:r>
          </w:p>
        </w:tc>
        <w:tc>
          <w:tcPr>
            <w:tcW w:w="2127" w:type="dxa"/>
            <w:tcBorders>
              <w:bottom w:val="nil"/>
            </w:tcBorders>
          </w:tcPr>
          <w:p w:rsidR="00A208FF" w:rsidRDefault="00A208FF">
            <w:pPr>
              <w:spacing w:before="0" w:after="0" w:line="420" w:lineRule="exact"/>
              <w:jc w:val="both"/>
              <w:rPr>
                <w:sz w:val="26"/>
                <w:szCs w:val="26"/>
                <w:rtl/>
              </w:rPr>
            </w:pPr>
            <w:r>
              <w:rPr>
                <w:rFonts w:hint="cs"/>
                <w:sz w:val="26"/>
                <w:szCs w:val="26"/>
                <w:rtl/>
              </w:rPr>
              <w:t>ذكور وإناث</w:t>
            </w:r>
          </w:p>
          <w:p w:rsidR="00A208FF" w:rsidRDefault="00A208FF">
            <w:pPr>
              <w:spacing w:before="0" w:after="0" w:line="420" w:lineRule="exact"/>
              <w:jc w:val="both"/>
              <w:rPr>
                <w:rFonts w:hint="cs"/>
                <w:sz w:val="26"/>
                <w:szCs w:val="26"/>
                <w:rtl/>
              </w:rPr>
            </w:pPr>
            <w:r>
              <w:rPr>
                <w:rFonts w:hint="cs"/>
                <w:sz w:val="26"/>
                <w:szCs w:val="26"/>
                <w:rtl/>
              </w:rPr>
              <w:t>إناث</w:t>
            </w:r>
          </w:p>
          <w:p w:rsidR="00A208FF" w:rsidRDefault="00A208FF">
            <w:pPr>
              <w:spacing w:before="0" w:after="0" w:line="420" w:lineRule="exact"/>
              <w:jc w:val="both"/>
              <w:rPr>
                <w:rFonts w:hint="cs"/>
                <w:sz w:val="26"/>
                <w:szCs w:val="26"/>
              </w:rPr>
            </w:pPr>
            <w:r>
              <w:rPr>
                <w:rFonts w:hint="cs"/>
                <w:sz w:val="26"/>
                <w:szCs w:val="26"/>
                <w:rtl/>
              </w:rPr>
              <w:t>النسبة المئوية للإناث</w:t>
            </w:r>
          </w:p>
        </w:tc>
        <w:tc>
          <w:tcPr>
            <w:tcW w:w="1255" w:type="dxa"/>
            <w:tcBorders>
              <w:bottom w:val="nil"/>
            </w:tcBorders>
          </w:tcPr>
          <w:p w:rsidR="00A208FF" w:rsidRDefault="00A208FF">
            <w:pPr>
              <w:spacing w:before="0" w:after="0" w:line="420" w:lineRule="exact"/>
              <w:jc w:val="both"/>
              <w:rPr>
                <w:rFonts w:hint="cs"/>
                <w:sz w:val="26"/>
                <w:szCs w:val="26"/>
                <w:rtl/>
              </w:rPr>
            </w:pPr>
            <w:r>
              <w:rPr>
                <w:rFonts w:hint="cs"/>
                <w:sz w:val="26"/>
                <w:szCs w:val="26"/>
                <w:rtl/>
              </w:rPr>
              <w:t>234 575 1</w:t>
            </w:r>
          </w:p>
          <w:p w:rsidR="00A208FF" w:rsidRDefault="00A208FF">
            <w:pPr>
              <w:spacing w:before="0" w:after="0" w:line="420" w:lineRule="exact"/>
              <w:jc w:val="both"/>
              <w:rPr>
                <w:rFonts w:hint="cs"/>
                <w:sz w:val="26"/>
                <w:szCs w:val="26"/>
                <w:rtl/>
              </w:rPr>
            </w:pPr>
            <w:r>
              <w:rPr>
                <w:rFonts w:hint="cs"/>
                <w:sz w:val="26"/>
                <w:szCs w:val="26"/>
                <w:rtl/>
              </w:rPr>
              <w:t>832 788</w:t>
            </w:r>
          </w:p>
          <w:p w:rsidR="00A208FF" w:rsidRDefault="00A208FF">
            <w:pPr>
              <w:spacing w:before="0" w:after="0" w:line="420" w:lineRule="exact"/>
              <w:jc w:val="both"/>
              <w:rPr>
                <w:rFonts w:hint="cs"/>
                <w:sz w:val="26"/>
                <w:szCs w:val="26"/>
              </w:rPr>
            </w:pPr>
            <w:r>
              <w:rPr>
                <w:rFonts w:hint="cs"/>
                <w:sz w:val="26"/>
                <w:szCs w:val="26"/>
                <w:rtl/>
              </w:rPr>
              <w:t>48.8</w:t>
            </w:r>
          </w:p>
        </w:tc>
        <w:tc>
          <w:tcPr>
            <w:tcW w:w="1307" w:type="dxa"/>
            <w:tcBorders>
              <w:bottom w:val="nil"/>
            </w:tcBorders>
          </w:tcPr>
          <w:p w:rsidR="00A208FF" w:rsidRDefault="00A208FF">
            <w:pPr>
              <w:spacing w:before="0" w:after="0" w:line="420" w:lineRule="exact"/>
              <w:jc w:val="both"/>
              <w:rPr>
                <w:rFonts w:hint="cs"/>
                <w:sz w:val="26"/>
                <w:szCs w:val="26"/>
                <w:rtl/>
              </w:rPr>
            </w:pPr>
            <w:r>
              <w:rPr>
                <w:rFonts w:hint="cs"/>
                <w:sz w:val="26"/>
                <w:szCs w:val="26"/>
                <w:rtl/>
              </w:rPr>
              <w:t>020 582 1</w:t>
            </w:r>
          </w:p>
          <w:p w:rsidR="00A208FF" w:rsidRDefault="00A208FF">
            <w:pPr>
              <w:spacing w:before="0" w:after="0" w:line="420" w:lineRule="exact"/>
              <w:jc w:val="both"/>
              <w:rPr>
                <w:rFonts w:hint="cs"/>
                <w:sz w:val="26"/>
                <w:szCs w:val="26"/>
                <w:rtl/>
              </w:rPr>
            </w:pPr>
            <w:r>
              <w:rPr>
                <w:rFonts w:hint="cs"/>
                <w:sz w:val="26"/>
                <w:szCs w:val="26"/>
                <w:rtl/>
              </w:rPr>
              <w:t>931 757</w:t>
            </w:r>
          </w:p>
          <w:p w:rsidR="00A208FF" w:rsidRDefault="00A208FF">
            <w:pPr>
              <w:spacing w:before="0" w:after="0" w:line="420" w:lineRule="exact"/>
              <w:jc w:val="both"/>
              <w:rPr>
                <w:rFonts w:hint="cs"/>
                <w:sz w:val="26"/>
                <w:szCs w:val="26"/>
              </w:rPr>
            </w:pPr>
            <w:r>
              <w:rPr>
                <w:rFonts w:hint="cs"/>
                <w:sz w:val="26"/>
                <w:szCs w:val="26"/>
                <w:rtl/>
              </w:rPr>
              <w:t>47.9</w:t>
            </w:r>
          </w:p>
        </w:tc>
        <w:tc>
          <w:tcPr>
            <w:tcW w:w="1264" w:type="dxa"/>
            <w:tcBorders>
              <w:bottom w:val="nil"/>
            </w:tcBorders>
          </w:tcPr>
          <w:p w:rsidR="00A208FF" w:rsidRDefault="00A208FF">
            <w:pPr>
              <w:spacing w:before="0" w:after="0" w:line="420" w:lineRule="exact"/>
              <w:jc w:val="both"/>
              <w:rPr>
                <w:rFonts w:hint="cs"/>
                <w:sz w:val="26"/>
                <w:szCs w:val="26"/>
                <w:rtl/>
              </w:rPr>
            </w:pPr>
            <w:r>
              <w:rPr>
                <w:rFonts w:hint="cs"/>
                <w:sz w:val="26"/>
                <w:szCs w:val="26"/>
                <w:rtl/>
              </w:rPr>
              <w:t>020 588 1</w:t>
            </w:r>
          </w:p>
          <w:p w:rsidR="00A208FF" w:rsidRDefault="00A208FF">
            <w:pPr>
              <w:spacing w:before="0" w:after="0" w:line="420" w:lineRule="exact"/>
              <w:jc w:val="both"/>
              <w:rPr>
                <w:rFonts w:hint="cs"/>
                <w:sz w:val="26"/>
                <w:szCs w:val="26"/>
                <w:rtl/>
              </w:rPr>
            </w:pPr>
            <w:r>
              <w:rPr>
                <w:rFonts w:hint="cs"/>
                <w:sz w:val="26"/>
                <w:szCs w:val="26"/>
                <w:rtl/>
              </w:rPr>
              <w:t>426 765</w:t>
            </w:r>
          </w:p>
          <w:p w:rsidR="00A208FF" w:rsidRDefault="00A208FF">
            <w:pPr>
              <w:spacing w:before="0" w:after="0" w:line="420" w:lineRule="exact"/>
              <w:jc w:val="both"/>
              <w:rPr>
                <w:rFonts w:hint="cs"/>
                <w:sz w:val="26"/>
                <w:szCs w:val="26"/>
              </w:rPr>
            </w:pPr>
            <w:r>
              <w:rPr>
                <w:rFonts w:hint="cs"/>
                <w:sz w:val="26"/>
                <w:szCs w:val="26"/>
                <w:rtl/>
              </w:rPr>
              <w:t>48.2</w:t>
            </w:r>
          </w:p>
        </w:tc>
        <w:tc>
          <w:tcPr>
            <w:tcW w:w="1304" w:type="dxa"/>
            <w:tcBorders>
              <w:bottom w:val="nil"/>
            </w:tcBorders>
          </w:tcPr>
          <w:p w:rsidR="00A208FF" w:rsidRDefault="00A208FF">
            <w:pPr>
              <w:spacing w:before="0" w:after="0" w:line="420" w:lineRule="exact"/>
              <w:jc w:val="both"/>
              <w:rPr>
                <w:rFonts w:hint="cs"/>
                <w:sz w:val="26"/>
                <w:szCs w:val="26"/>
                <w:rtl/>
              </w:rPr>
            </w:pPr>
            <w:r>
              <w:rPr>
                <w:rFonts w:hint="cs"/>
                <w:sz w:val="26"/>
                <w:szCs w:val="26"/>
                <w:rtl/>
              </w:rPr>
              <w:t>011 915</w:t>
            </w:r>
          </w:p>
          <w:p w:rsidR="00A208FF" w:rsidRDefault="00A208FF">
            <w:pPr>
              <w:spacing w:before="0" w:after="0" w:line="420" w:lineRule="exact"/>
              <w:jc w:val="both"/>
              <w:rPr>
                <w:rFonts w:hint="cs"/>
                <w:sz w:val="26"/>
                <w:szCs w:val="26"/>
                <w:rtl/>
              </w:rPr>
            </w:pPr>
            <w:r>
              <w:rPr>
                <w:rFonts w:hint="cs"/>
                <w:sz w:val="26"/>
                <w:szCs w:val="26"/>
                <w:rtl/>
              </w:rPr>
              <w:t>035 441</w:t>
            </w:r>
          </w:p>
          <w:p w:rsidR="00A208FF" w:rsidRDefault="00A208FF">
            <w:pPr>
              <w:spacing w:before="0" w:after="0" w:line="420" w:lineRule="exact"/>
              <w:jc w:val="both"/>
              <w:rPr>
                <w:rFonts w:hint="cs"/>
                <w:sz w:val="26"/>
                <w:szCs w:val="26"/>
              </w:rPr>
            </w:pPr>
            <w:r>
              <w:rPr>
                <w:rFonts w:hint="cs"/>
                <w:sz w:val="26"/>
                <w:szCs w:val="26"/>
                <w:rtl/>
              </w:rPr>
              <w:t>48.2</w:t>
            </w:r>
          </w:p>
        </w:tc>
      </w:tr>
      <w:tr w:rsidR="00A208FF" w:rsidTr="00A208FF">
        <w:tblPrEx>
          <w:tblCellMar>
            <w:top w:w="0" w:type="dxa"/>
            <w:bottom w:w="0" w:type="dxa"/>
          </w:tblCellMar>
        </w:tblPrEx>
        <w:trPr>
          <w:jc w:val="center"/>
        </w:trPr>
        <w:tc>
          <w:tcPr>
            <w:tcW w:w="2164" w:type="dxa"/>
            <w:tcBorders>
              <w:top w:val="nil"/>
              <w:bottom w:val="nil"/>
            </w:tcBorders>
          </w:tcPr>
          <w:p w:rsidR="00A208FF" w:rsidRDefault="00A208FF">
            <w:pPr>
              <w:spacing w:before="0" w:after="0" w:line="420" w:lineRule="exact"/>
              <w:jc w:val="both"/>
              <w:rPr>
                <w:rFonts w:hint="cs"/>
                <w:sz w:val="26"/>
                <w:szCs w:val="26"/>
              </w:rPr>
            </w:pPr>
            <w:r>
              <w:rPr>
                <w:rFonts w:hint="cs"/>
                <w:sz w:val="26"/>
                <w:szCs w:val="26"/>
                <w:rtl/>
              </w:rPr>
              <w:t>المدارس الابتدائية</w:t>
            </w:r>
          </w:p>
        </w:tc>
        <w:tc>
          <w:tcPr>
            <w:tcW w:w="2127"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ذكور وإناث</w:t>
            </w:r>
          </w:p>
          <w:p w:rsidR="00A208FF" w:rsidRDefault="00A208FF">
            <w:pPr>
              <w:spacing w:before="0" w:after="0" w:line="420" w:lineRule="exact"/>
              <w:jc w:val="both"/>
              <w:rPr>
                <w:rFonts w:hint="cs"/>
                <w:sz w:val="26"/>
                <w:szCs w:val="26"/>
                <w:rtl/>
              </w:rPr>
            </w:pPr>
            <w:r>
              <w:rPr>
                <w:rFonts w:hint="cs"/>
                <w:sz w:val="26"/>
                <w:szCs w:val="26"/>
                <w:rtl/>
              </w:rPr>
              <w:t>إناث</w:t>
            </w:r>
          </w:p>
          <w:p w:rsidR="00A208FF" w:rsidRDefault="00A208FF">
            <w:pPr>
              <w:spacing w:before="0" w:after="0" w:line="420" w:lineRule="exact"/>
              <w:jc w:val="both"/>
              <w:rPr>
                <w:rFonts w:hint="cs"/>
                <w:sz w:val="26"/>
                <w:szCs w:val="26"/>
              </w:rPr>
            </w:pPr>
            <w:r>
              <w:rPr>
                <w:rFonts w:hint="cs"/>
                <w:sz w:val="26"/>
                <w:szCs w:val="26"/>
                <w:rtl/>
              </w:rPr>
              <w:t>النسبة المئوية للإناث</w:t>
            </w:r>
          </w:p>
        </w:tc>
        <w:tc>
          <w:tcPr>
            <w:tcW w:w="1255"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767 069 3</w:t>
            </w:r>
          </w:p>
          <w:p w:rsidR="00A208FF" w:rsidRDefault="00A208FF">
            <w:pPr>
              <w:spacing w:before="0" w:after="0" w:line="420" w:lineRule="exact"/>
              <w:jc w:val="both"/>
              <w:rPr>
                <w:rFonts w:hint="cs"/>
                <w:sz w:val="26"/>
                <w:szCs w:val="26"/>
                <w:rtl/>
              </w:rPr>
            </w:pPr>
            <w:r>
              <w:rPr>
                <w:rFonts w:hint="cs"/>
                <w:sz w:val="26"/>
                <w:szCs w:val="26"/>
                <w:rtl/>
              </w:rPr>
              <w:t>325 493 1</w:t>
            </w:r>
          </w:p>
          <w:p w:rsidR="00A208FF" w:rsidRDefault="00A208FF">
            <w:pPr>
              <w:spacing w:before="0" w:after="0" w:line="420" w:lineRule="exact"/>
              <w:jc w:val="both"/>
              <w:rPr>
                <w:rFonts w:hint="cs"/>
                <w:sz w:val="26"/>
                <w:szCs w:val="26"/>
              </w:rPr>
            </w:pPr>
            <w:r>
              <w:rPr>
                <w:rFonts w:hint="cs"/>
                <w:sz w:val="26"/>
                <w:szCs w:val="26"/>
                <w:rtl/>
              </w:rPr>
              <w:t>48.6</w:t>
            </w:r>
          </w:p>
        </w:tc>
        <w:tc>
          <w:tcPr>
            <w:tcW w:w="1307"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128 816 2</w:t>
            </w:r>
          </w:p>
          <w:p w:rsidR="00A208FF" w:rsidRDefault="00A208FF">
            <w:pPr>
              <w:spacing w:before="0" w:after="0" w:line="420" w:lineRule="exact"/>
              <w:jc w:val="both"/>
              <w:rPr>
                <w:rFonts w:hint="cs"/>
                <w:sz w:val="26"/>
                <w:szCs w:val="26"/>
                <w:rtl/>
              </w:rPr>
            </w:pPr>
            <w:r>
              <w:rPr>
                <w:rFonts w:hint="cs"/>
                <w:sz w:val="26"/>
                <w:szCs w:val="26"/>
                <w:rtl/>
              </w:rPr>
              <w:t>754 360 1</w:t>
            </w:r>
          </w:p>
          <w:p w:rsidR="00A208FF" w:rsidRDefault="00A208FF">
            <w:pPr>
              <w:spacing w:before="0" w:after="0" w:line="420" w:lineRule="exact"/>
              <w:jc w:val="both"/>
              <w:rPr>
                <w:rFonts w:hint="cs"/>
                <w:sz w:val="26"/>
                <w:szCs w:val="26"/>
              </w:rPr>
            </w:pPr>
            <w:r>
              <w:rPr>
                <w:rFonts w:hint="cs"/>
                <w:sz w:val="26"/>
                <w:szCs w:val="26"/>
                <w:rtl/>
              </w:rPr>
              <w:t>48.3</w:t>
            </w:r>
          </w:p>
        </w:tc>
        <w:tc>
          <w:tcPr>
            <w:tcW w:w="1264"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919 820 2</w:t>
            </w:r>
          </w:p>
          <w:p w:rsidR="00A208FF" w:rsidRDefault="00A208FF">
            <w:pPr>
              <w:spacing w:before="0" w:after="0" w:line="420" w:lineRule="exact"/>
              <w:jc w:val="both"/>
              <w:rPr>
                <w:rFonts w:hint="cs"/>
                <w:sz w:val="26"/>
                <w:szCs w:val="26"/>
                <w:rtl/>
              </w:rPr>
            </w:pPr>
            <w:r>
              <w:rPr>
                <w:rFonts w:hint="cs"/>
                <w:sz w:val="26"/>
                <w:szCs w:val="26"/>
                <w:rtl/>
              </w:rPr>
              <w:t>504 362 1</w:t>
            </w:r>
          </w:p>
          <w:p w:rsidR="00A208FF" w:rsidRDefault="00A208FF">
            <w:pPr>
              <w:spacing w:before="0" w:after="0" w:line="420" w:lineRule="exact"/>
              <w:jc w:val="both"/>
              <w:rPr>
                <w:rFonts w:hint="cs"/>
                <w:sz w:val="26"/>
                <w:szCs w:val="26"/>
              </w:rPr>
            </w:pPr>
            <w:r>
              <w:rPr>
                <w:rFonts w:hint="cs"/>
                <w:sz w:val="26"/>
                <w:szCs w:val="26"/>
                <w:rtl/>
              </w:rPr>
              <w:t>48.3</w:t>
            </w:r>
          </w:p>
        </w:tc>
        <w:tc>
          <w:tcPr>
            <w:tcW w:w="1304"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064 570 2</w:t>
            </w:r>
          </w:p>
          <w:p w:rsidR="00A208FF" w:rsidRDefault="00A208FF">
            <w:pPr>
              <w:spacing w:before="0" w:after="0" w:line="420" w:lineRule="exact"/>
              <w:jc w:val="both"/>
              <w:rPr>
                <w:rFonts w:hint="cs"/>
                <w:sz w:val="26"/>
                <w:szCs w:val="26"/>
                <w:rtl/>
              </w:rPr>
            </w:pPr>
            <w:r>
              <w:rPr>
                <w:rFonts w:hint="cs"/>
                <w:sz w:val="26"/>
                <w:szCs w:val="26"/>
                <w:rtl/>
              </w:rPr>
              <w:t>341 241 1</w:t>
            </w:r>
          </w:p>
          <w:p w:rsidR="00A208FF" w:rsidRDefault="00A208FF">
            <w:pPr>
              <w:spacing w:before="0" w:after="0" w:line="420" w:lineRule="exact"/>
              <w:jc w:val="both"/>
              <w:rPr>
                <w:rFonts w:hint="cs"/>
                <w:sz w:val="26"/>
                <w:szCs w:val="26"/>
              </w:rPr>
            </w:pPr>
            <w:r>
              <w:rPr>
                <w:rFonts w:hint="cs"/>
                <w:sz w:val="26"/>
                <w:szCs w:val="26"/>
                <w:rtl/>
              </w:rPr>
              <w:t>48.3</w:t>
            </w:r>
          </w:p>
        </w:tc>
      </w:tr>
      <w:tr w:rsidR="00A208FF" w:rsidTr="00A208FF">
        <w:tblPrEx>
          <w:tblCellMar>
            <w:top w:w="0" w:type="dxa"/>
            <w:bottom w:w="0" w:type="dxa"/>
          </w:tblCellMar>
        </w:tblPrEx>
        <w:trPr>
          <w:jc w:val="center"/>
        </w:trPr>
        <w:tc>
          <w:tcPr>
            <w:tcW w:w="2164" w:type="dxa"/>
            <w:tcBorders>
              <w:top w:val="nil"/>
              <w:bottom w:val="nil"/>
            </w:tcBorders>
          </w:tcPr>
          <w:p w:rsidR="00A208FF" w:rsidRDefault="00A208FF">
            <w:pPr>
              <w:spacing w:before="0" w:after="0" w:line="420" w:lineRule="exact"/>
              <w:jc w:val="both"/>
              <w:rPr>
                <w:rFonts w:hint="cs"/>
                <w:sz w:val="26"/>
                <w:szCs w:val="26"/>
              </w:rPr>
            </w:pPr>
            <w:r>
              <w:rPr>
                <w:rFonts w:hint="cs"/>
                <w:sz w:val="26"/>
                <w:szCs w:val="26"/>
                <w:rtl/>
              </w:rPr>
              <w:t>المدارس الثانوية</w:t>
            </w:r>
          </w:p>
        </w:tc>
        <w:tc>
          <w:tcPr>
            <w:tcW w:w="2127"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ذكور وإناث</w:t>
            </w:r>
          </w:p>
          <w:p w:rsidR="00A208FF" w:rsidRDefault="00A208FF">
            <w:pPr>
              <w:spacing w:before="0" w:after="0" w:line="420" w:lineRule="exact"/>
              <w:jc w:val="both"/>
              <w:rPr>
                <w:rFonts w:hint="cs"/>
                <w:sz w:val="26"/>
                <w:szCs w:val="26"/>
                <w:rtl/>
              </w:rPr>
            </w:pPr>
            <w:r>
              <w:rPr>
                <w:rFonts w:hint="cs"/>
                <w:sz w:val="26"/>
                <w:szCs w:val="26"/>
                <w:rtl/>
              </w:rPr>
              <w:t>إناث</w:t>
            </w:r>
          </w:p>
          <w:p w:rsidR="00A208FF" w:rsidRDefault="00A208FF">
            <w:pPr>
              <w:spacing w:before="0" w:after="0" w:line="420" w:lineRule="exact"/>
              <w:jc w:val="both"/>
              <w:rPr>
                <w:rFonts w:hint="cs"/>
                <w:sz w:val="26"/>
                <w:szCs w:val="26"/>
              </w:rPr>
            </w:pPr>
            <w:r>
              <w:rPr>
                <w:rFonts w:hint="cs"/>
                <w:sz w:val="26"/>
                <w:szCs w:val="26"/>
                <w:rtl/>
              </w:rPr>
              <w:t>النسبة المئوية للإناث</w:t>
            </w:r>
          </w:p>
        </w:tc>
        <w:tc>
          <w:tcPr>
            <w:tcW w:w="1255"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569 261 2</w:t>
            </w:r>
          </w:p>
          <w:p w:rsidR="00A208FF" w:rsidRDefault="00A208FF">
            <w:pPr>
              <w:spacing w:before="0" w:after="0" w:line="420" w:lineRule="exact"/>
              <w:jc w:val="both"/>
              <w:rPr>
                <w:rFonts w:hint="cs"/>
                <w:sz w:val="26"/>
                <w:szCs w:val="26"/>
                <w:rtl/>
              </w:rPr>
            </w:pPr>
            <w:r>
              <w:rPr>
                <w:rFonts w:hint="cs"/>
                <w:sz w:val="26"/>
                <w:szCs w:val="26"/>
                <w:rtl/>
              </w:rPr>
              <w:t>024 072 1</w:t>
            </w:r>
          </w:p>
          <w:p w:rsidR="00A208FF" w:rsidRDefault="00A208FF">
            <w:pPr>
              <w:spacing w:before="0" w:after="0" w:line="420" w:lineRule="exact"/>
              <w:jc w:val="both"/>
              <w:rPr>
                <w:rFonts w:hint="cs"/>
                <w:sz w:val="26"/>
                <w:szCs w:val="26"/>
              </w:rPr>
            </w:pPr>
            <w:r>
              <w:rPr>
                <w:rFonts w:hint="cs"/>
                <w:sz w:val="26"/>
                <w:szCs w:val="26"/>
                <w:rtl/>
              </w:rPr>
              <w:t>47.4</w:t>
            </w:r>
          </w:p>
        </w:tc>
        <w:tc>
          <w:tcPr>
            <w:tcW w:w="1307"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208 901 1</w:t>
            </w:r>
          </w:p>
          <w:p w:rsidR="00A208FF" w:rsidRDefault="00A208FF">
            <w:pPr>
              <w:spacing w:before="0" w:after="0" w:line="420" w:lineRule="exact"/>
              <w:jc w:val="both"/>
              <w:rPr>
                <w:rFonts w:hint="cs"/>
                <w:sz w:val="26"/>
                <w:szCs w:val="26"/>
                <w:rtl/>
              </w:rPr>
            </w:pPr>
            <w:r>
              <w:rPr>
                <w:rFonts w:hint="cs"/>
                <w:sz w:val="26"/>
                <w:szCs w:val="26"/>
                <w:rtl/>
              </w:rPr>
              <w:t>207 901</w:t>
            </w:r>
          </w:p>
          <w:p w:rsidR="00A208FF" w:rsidRDefault="00A208FF">
            <w:pPr>
              <w:spacing w:before="0" w:after="0" w:line="420" w:lineRule="exact"/>
              <w:jc w:val="both"/>
              <w:rPr>
                <w:rFonts w:hint="cs"/>
                <w:sz w:val="26"/>
                <w:szCs w:val="26"/>
              </w:rPr>
            </w:pPr>
            <w:r>
              <w:rPr>
                <w:rFonts w:hint="cs"/>
                <w:sz w:val="26"/>
                <w:szCs w:val="26"/>
                <w:rtl/>
              </w:rPr>
              <w:t>47.4</w:t>
            </w:r>
          </w:p>
        </w:tc>
        <w:tc>
          <w:tcPr>
            <w:tcW w:w="1264"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059 809 1</w:t>
            </w:r>
          </w:p>
          <w:p w:rsidR="00A208FF" w:rsidRDefault="00A208FF">
            <w:pPr>
              <w:spacing w:before="0" w:after="0" w:line="420" w:lineRule="exact"/>
              <w:jc w:val="both"/>
              <w:rPr>
                <w:rFonts w:hint="cs"/>
                <w:sz w:val="26"/>
                <w:szCs w:val="26"/>
                <w:rtl/>
              </w:rPr>
            </w:pPr>
            <w:r>
              <w:rPr>
                <w:rFonts w:hint="cs"/>
                <w:sz w:val="26"/>
                <w:szCs w:val="26"/>
                <w:rtl/>
              </w:rPr>
              <w:t>685 855</w:t>
            </w:r>
          </w:p>
          <w:p w:rsidR="00A208FF" w:rsidRDefault="00A208FF">
            <w:pPr>
              <w:spacing w:before="0" w:after="0" w:line="420" w:lineRule="exact"/>
              <w:jc w:val="both"/>
              <w:rPr>
                <w:rFonts w:hint="cs"/>
                <w:sz w:val="26"/>
                <w:szCs w:val="26"/>
              </w:rPr>
            </w:pPr>
            <w:r>
              <w:rPr>
                <w:rFonts w:hint="cs"/>
                <w:sz w:val="26"/>
                <w:szCs w:val="26"/>
                <w:rtl/>
              </w:rPr>
              <w:t>47.3</w:t>
            </w:r>
          </w:p>
        </w:tc>
        <w:tc>
          <w:tcPr>
            <w:tcW w:w="1304" w:type="dxa"/>
            <w:tcBorders>
              <w:top w:val="nil"/>
              <w:bottom w:val="nil"/>
            </w:tcBorders>
          </w:tcPr>
          <w:p w:rsidR="00A208FF" w:rsidRDefault="00A208FF">
            <w:pPr>
              <w:spacing w:before="0" w:after="0" w:line="420" w:lineRule="exact"/>
              <w:jc w:val="both"/>
              <w:rPr>
                <w:rFonts w:hint="cs"/>
                <w:sz w:val="26"/>
                <w:szCs w:val="26"/>
                <w:rtl/>
              </w:rPr>
            </w:pPr>
            <w:r>
              <w:rPr>
                <w:rFonts w:hint="cs"/>
                <w:sz w:val="26"/>
                <w:szCs w:val="26"/>
                <w:rtl/>
              </w:rPr>
              <w:t>408 686 1</w:t>
            </w:r>
          </w:p>
          <w:p w:rsidR="00A208FF" w:rsidRDefault="00A208FF">
            <w:pPr>
              <w:spacing w:before="0" w:after="0" w:line="420" w:lineRule="exact"/>
              <w:jc w:val="both"/>
              <w:rPr>
                <w:rFonts w:hint="cs"/>
                <w:sz w:val="26"/>
                <w:szCs w:val="26"/>
                <w:rtl/>
              </w:rPr>
            </w:pPr>
            <w:r>
              <w:rPr>
                <w:rFonts w:hint="cs"/>
                <w:sz w:val="26"/>
                <w:szCs w:val="26"/>
                <w:rtl/>
              </w:rPr>
              <w:t>671 797</w:t>
            </w:r>
          </w:p>
          <w:p w:rsidR="00A208FF" w:rsidRDefault="00A208FF">
            <w:pPr>
              <w:spacing w:before="0" w:after="0" w:line="420" w:lineRule="exact"/>
              <w:jc w:val="both"/>
              <w:rPr>
                <w:rFonts w:hint="cs"/>
                <w:sz w:val="26"/>
                <w:szCs w:val="26"/>
              </w:rPr>
            </w:pPr>
            <w:r>
              <w:rPr>
                <w:rFonts w:hint="cs"/>
                <w:sz w:val="26"/>
                <w:szCs w:val="26"/>
                <w:rtl/>
              </w:rPr>
              <w:t>47.3</w:t>
            </w:r>
          </w:p>
        </w:tc>
      </w:tr>
      <w:tr w:rsidR="00A208FF" w:rsidTr="00A208FF">
        <w:tblPrEx>
          <w:tblCellMar>
            <w:top w:w="0" w:type="dxa"/>
            <w:bottom w:w="0" w:type="dxa"/>
          </w:tblCellMar>
        </w:tblPrEx>
        <w:trPr>
          <w:jc w:val="center"/>
        </w:trPr>
        <w:tc>
          <w:tcPr>
            <w:tcW w:w="2164" w:type="dxa"/>
            <w:tcBorders>
              <w:top w:val="nil"/>
            </w:tcBorders>
          </w:tcPr>
          <w:p w:rsidR="00A208FF" w:rsidRDefault="00A208FF">
            <w:pPr>
              <w:spacing w:before="0" w:after="0" w:line="420" w:lineRule="exact"/>
              <w:jc w:val="both"/>
              <w:rPr>
                <w:sz w:val="26"/>
                <w:szCs w:val="26"/>
              </w:rPr>
            </w:pPr>
            <w:r>
              <w:rPr>
                <w:rFonts w:hint="cs"/>
                <w:sz w:val="26"/>
                <w:szCs w:val="26"/>
                <w:rtl/>
              </w:rPr>
              <w:t>المدارس الثانوية العليا</w:t>
            </w:r>
          </w:p>
        </w:tc>
        <w:tc>
          <w:tcPr>
            <w:tcW w:w="2127" w:type="dxa"/>
            <w:tcBorders>
              <w:top w:val="nil"/>
            </w:tcBorders>
          </w:tcPr>
          <w:p w:rsidR="00A208FF" w:rsidRDefault="00A208FF">
            <w:pPr>
              <w:spacing w:before="0" w:after="0" w:line="420" w:lineRule="exact"/>
              <w:jc w:val="both"/>
              <w:rPr>
                <w:rFonts w:hint="cs"/>
                <w:sz w:val="26"/>
                <w:szCs w:val="26"/>
                <w:rtl/>
              </w:rPr>
            </w:pPr>
            <w:r>
              <w:rPr>
                <w:rFonts w:hint="cs"/>
                <w:sz w:val="26"/>
                <w:szCs w:val="26"/>
                <w:rtl/>
              </w:rPr>
              <w:t>ذكور وإناث</w:t>
            </w:r>
          </w:p>
          <w:p w:rsidR="00A208FF" w:rsidRDefault="00A208FF">
            <w:pPr>
              <w:spacing w:before="0" w:after="0" w:line="420" w:lineRule="exact"/>
              <w:jc w:val="both"/>
              <w:rPr>
                <w:rFonts w:hint="cs"/>
                <w:sz w:val="26"/>
                <w:szCs w:val="26"/>
                <w:rtl/>
              </w:rPr>
            </w:pPr>
            <w:r>
              <w:rPr>
                <w:rFonts w:hint="cs"/>
                <w:sz w:val="26"/>
                <w:szCs w:val="26"/>
                <w:rtl/>
              </w:rPr>
              <w:t>إناث</w:t>
            </w:r>
          </w:p>
          <w:p w:rsidR="00A208FF" w:rsidRDefault="00A208FF">
            <w:pPr>
              <w:spacing w:before="0" w:after="0" w:line="420" w:lineRule="exact"/>
              <w:jc w:val="both"/>
              <w:rPr>
                <w:rFonts w:hint="cs"/>
                <w:sz w:val="26"/>
                <w:szCs w:val="26"/>
              </w:rPr>
            </w:pPr>
            <w:r>
              <w:rPr>
                <w:rFonts w:hint="cs"/>
                <w:sz w:val="26"/>
                <w:szCs w:val="26"/>
                <w:rtl/>
              </w:rPr>
              <w:t>النسبة المئوية للإناث</w:t>
            </w:r>
          </w:p>
        </w:tc>
        <w:tc>
          <w:tcPr>
            <w:tcW w:w="1255" w:type="dxa"/>
            <w:tcBorders>
              <w:top w:val="nil"/>
            </w:tcBorders>
          </w:tcPr>
          <w:p w:rsidR="00A208FF" w:rsidRDefault="00A208FF">
            <w:pPr>
              <w:spacing w:before="0" w:after="0" w:line="420" w:lineRule="exact"/>
              <w:jc w:val="both"/>
              <w:rPr>
                <w:rFonts w:hint="cs"/>
                <w:sz w:val="26"/>
                <w:szCs w:val="26"/>
                <w:rtl/>
              </w:rPr>
            </w:pPr>
            <w:r>
              <w:rPr>
                <w:rFonts w:hint="cs"/>
                <w:sz w:val="26"/>
                <w:szCs w:val="26"/>
                <w:rtl/>
              </w:rPr>
              <w:t>328 856 2</w:t>
            </w:r>
          </w:p>
          <w:p w:rsidR="00A208FF" w:rsidRDefault="00A208FF">
            <w:pPr>
              <w:spacing w:before="0" w:after="0" w:line="420" w:lineRule="exact"/>
              <w:jc w:val="both"/>
              <w:rPr>
                <w:rFonts w:hint="cs"/>
                <w:sz w:val="26"/>
                <w:szCs w:val="26"/>
                <w:rtl/>
              </w:rPr>
            </w:pPr>
            <w:r>
              <w:rPr>
                <w:rFonts w:hint="cs"/>
                <w:sz w:val="26"/>
                <w:szCs w:val="26"/>
                <w:rtl/>
              </w:rPr>
              <w:t>347 426 1</w:t>
            </w:r>
          </w:p>
          <w:p w:rsidR="00A208FF" w:rsidRDefault="00A208FF">
            <w:pPr>
              <w:spacing w:before="0" w:after="0" w:line="420" w:lineRule="exact"/>
              <w:jc w:val="both"/>
              <w:rPr>
                <w:rFonts w:hint="cs"/>
                <w:sz w:val="26"/>
                <w:szCs w:val="26"/>
              </w:rPr>
            </w:pPr>
            <w:r>
              <w:rPr>
                <w:rFonts w:hint="cs"/>
                <w:sz w:val="26"/>
                <w:szCs w:val="26"/>
                <w:rtl/>
              </w:rPr>
              <w:t>48.9</w:t>
            </w:r>
          </w:p>
        </w:tc>
        <w:tc>
          <w:tcPr>
            <w:tcW w:w="1307" w:type="dxa"/>
            <w:tcBorders>
              <w:top w:val="nil"/>
            </w:tcBorders>
          </w:tcPr>
          <w:p w:rsidR="00A208FF" w:rsidRDefault="00A208FF">
            <w:pPr>
              <w:spacing w:before="0" w:after="0" w:line="420" w:lineRule="exact"/>
              <w:jc w:val="both"/>
              <w:rPr>
                <w:rFonts w:hint="cs"/>
                <w:sz w:val="26"/>
                <w:szCs w:val="26"/>
                <w:rtl/>
              </w:rPr>
            </w:pPr>
            <w:r>
              <w:rPr>
                <w:rFonts w:hint="cs"/>
                <w:sz w:val="26"/>
                <w:szCs w:val="26"/>
                <w:rtl/>
              </w:rPr>
              <w:t>328 693 2</w:t>
            </w:r>
          </w:p>
          <w:p w:rsidR="00A208FF" w:rsidRDefault="00A208FF">
            <w:pPr>
              <w:spacing w:before="0" w:after="0" w:line="420" w:lineRule="exact"/>
              <w:jc w:val="both"/>
              <w:rPr>
                <w:rFonts w:hint="cs"/>
                <w:sz w:val="26"/>
                <w:szCs w:val="26"/>
                <w:rtl/>
              </w:rPr>
            </w:pPr>
            <w:r>
              <w:rPr>
                <w:rFonts w:hint="cs"/>
                <w:sz w:val="26"/>
                <w:szCs w:val="26"/>
                <w:rtl/>
              </w:rPr>
              <w:t>578 343 1</w:t>
            </w:r>
          </w:p>
          <w:p w:rsidR="00A208FF" w:rsidRDefault="00A208FF">
            <w:pPr>
              <w:spacing w:before="0" w:after="0" w:line="420" w:lineRule="exact"/>
              <w:jc w:val="both"/>
              <w:rPr>
                <w:rFonts w:hint="cs"/>
                <w:sz w:val="26"/>
                <w:szCs w:val="26"/>
              </w:rPr>
            </w:pPr>
            <w:r>
              <w:rPr>
                <w:rFonts w:hint="cs"/>
                <w:sz w:val="26"/>
                <w:szCs w:val="26"/>
                <w:rtl/>
              </w:rPr>
              <w:t>49.9</w:t>
            </w:r>
          </w:p>
        </w:tc>
        <w:tc>
          <w:tcPr>
            <w:tcW w:w="1264" w:type="dxa"/>
            <w:tcBorders>
              <w:top w:val="nil"/>
            </w:tcBorders>
          </w:tcPr>
          <w:p w:rsidR="00A208FF" w:rsidRDefault="00A208FF">
            <w:pPr>
              <w:spacing w:before="0" w:after="0" w:line="420" w:lineRule="exact"/>
              <w:jc w:val="both"/>
              <w:rPr>
                <w:rFonts w:hint="cs"/>
                <w:sz w:val="26"/>
                <w:szCs w:val="26"/>
                <w:rtl/>
              </w:rPr>
            </w:pPr>
            <w:r>
              <w:rPr>
                <w:rFonts w:hint="cs"/>
                <w:sz w:val="26"/>
                <w:szCs w:val="26"/>
                <w:rtl/>
              </w:rPr>
              <w:t>449 597 2</w:t>
            </w:r>
          </w:p>
          <w:p w:rsidR="00A208FF" w:rsidRDefault="00A208FF">
            <w:pPr>
              <w:spacing w:before="0" w:after="0" w:line="420" w:lineRule="exact"/>
              <w:jc w:val="both"/>
              <w:rPr>
                <w:rFonts w:hint="cs"/>
                <w:sz w:val="26"/>
                <w:szCs w:val="26"/>
                <w:rtl/>
              </w:rPr>
            </w:pPr>
            <w:r>
              <w:rPr>
                <w:rFonts w:hint="cs"/>
                <w:sz w:val="26"/>
                <w:szCs w:val="26"/>
                <w:rtl/>
              </w:rPr>
              <w:t>932 290 1</w:t>
            </w:r>
          </w:p>
          <w:p w:rsidR="00A208FF" w:rsidRDefault="00A208FF">
            <w:pPr>
              <w:spacing w:before="0" w:after="0" w:line="420" w:lineRule="exact"/>
              <w:jc w:val="both"/>
              <w:rPr>
                <w:rFonts w:hint="cs"/>
                <w:sz w:val="26"/>
                <w:szCs w:val="26"/>
              </w:rPr>
            </w:pPr>
            <w:r>
              <w:rPr>
                <w:rFonts w:hint="cs"/>
                <w:sz w:val="26"/>
                <w:szCs w:val="26"/>
                <w:rtl/>
              </w:rPr>
              <w:t>49.7</w:t>
            </w:r>
          </w:p>
        </w:tc>
        <w:tc>
          <w:tcPr>
            <w:tcW w:w="1304" w:type="dxa"/>
            <w:tcBorders>
              <w:top w:val="nil"/>
            </w:tcBorders>
          </w:tcPr>
          <w:p w:rsidR="00A208FF" w:rsidRDefault="00A208FF">
            <w:pPr>
              <w:spacing w:before="0" w:after="0" w:line="420" w:lineRule="exact"/>
              <w:jc w:val="both"/>
              <w:rPr>
                <w:rFonts w:hint="cs"/>
                <w:sz w:val="26"/>
                <w:szCs w:val="26"/>
                <w:rtl/>
              </w:rPr>
            </w:pPr>
            <w:r>
              <w:rPr>
                <w:rFonts w:hint="cs"/>
                <w:sz w:val="26"/>
                <w:szCs w:val="26"/>
                <w:rtl/>
              </w:rPr>
              <w:t>409 419 2</w:t>
            </w:r>
          </w:p>
          <w:p w:rsidR="00A208FF" w:rsidRDefault="00A208FF">
            <w:pPr>
              <w:spacing w:before="0" w:after="0" w:line="420" w:lineRule="exact"/>
              <w:jc w:val="both"/>
              <w:rPr>
                <w:rFonts w:hint="cs"/>
                <w:sz w:val="26"/>
                <w:szCs w:val="26"/>
                <w:rtl/>
              </w:rPr>
            </w:pPr>
            <w:r>
              <w:rPr>
                <w:rFonts w:hint="cs"/>
                <w:sz w:val="26"/>
                <w:szCs w:val="26"/>
                <w:rtl/>
              </w:rPr>
              <w:t>446 202 1</w:t>
            </w:r>
          </w:p>
          <w:p w:rsidR="00A208FF" w:rsidRDefault="00A208FF">
            <w:pPr>
              <w:spacing w:before="0" w:after="0" w:line="420" w:lineRule="exact"/>
              <w:jc w:val="both"/>
              <w:rPr>
                <w:rFonts w:hint="cs"/>
                <w:sz w:val="26"/>
                <w:szCs w:val="26"/>
              </w:rPr>
            </w:pPr>
            <w:r>
              <w:rPr>
                <w:rFonts w:hint="cs"/>
                <w:sz w:val="26"/>
                <w:szCs w:val="26"/>
                <w:rtl/>
              </w:rPr>
              <w:t>49.7</w:t>
            </w:r>
          </w:p>
        </w:tc>
      </w:tr>
      <w:tr w:rsidR="00A208FF" w:rsidTr="00A208FF">
        <w:tblPrEx>
          <w:tblCellMar>
            <w:top w:w="0" w:type="dxa"/>
            <w:bottom w:w="0" w:type="dxa"/>
          </w:tblCellMar>
        </w:tblPrEx>
        <w:trPr>
          <w:jc w:val="center"/>
        </w:trPr>
        <w:tc>
          <w:tcPr>
            <w:tcW w:w="2164" w:type="dxa"/>
          </w:tcPr>
          <w:p w:rsidR="00A208FF" w:rsidRDefault="00A208FF">
            <w:pPr>
              <w:spacing w:before="0" w:after="0" w:line="420" w:lineRule="exact"/>
              <w:jc w:val="both"/>
              <w:rPr>
                <w:rFonts w:hint="cs"/>
                <w:sz w:val="26"/>
                <w:szCs w:val="26"/>
              </w:rPr>
            </w:pPr>
            <w:r>
              <w:rPr>
                <w:rFonts w:hint="cs"/>
                <w:sz w:val="26"/>
                <w:szCs w:val="26"/>
                <w:rtl/>
              </w:rPr>
              <w:t>المجاميع</w:t>
            </w:r>
          </w:p>
        </w:tc>
        <w:tc>
          <w:tcPr>
            <w:tcW w:w="2127" w:type="dxa"/>
          </w:tcPr>
          <w:p w:rsidR="00A208FF" w:rsidRDefault="00A208FF">
            <w:pPr>
              <w:spacing w:before="0" w:after="0" w:line="420" w:lineRule="exact"/>
              <w:jc w:val="both"/>
              <w:rPr>
                <w:rFonts w:hint="cs"/>
                <w:sz w:val="26"/>
                <w:szCs w:val="26"/>
                <w:rtl/>
              </w:rPr>
            </w:pPr>
            <w:r>
              <w:rPr>
                <w:rFonts w:hint="cs"/>
                <w:sz w:val="26"/>
                <w:szCs w:val="26"/>
                <w:rtl/>
              </w:rPr>
              <w:t>ذكور وإناث</w:t>
            </w:r>
          </w:p>
          <w:p w:rsidR="00A208FF" w:rsidRDefault="00A208FF">
            <w:pPr>
              <w:spacing w:before="0" w:after="0" w:line="420" w:lineRule="exact"/>
              <w:jc w:val="both"/>
              <w:rPr>
                <w:rFonts w:hint="cs"/>
                <w:sz w:val="26"/>
                <w:szCs w:val="26"/>
                <w:rtl/>
              </w:rPr>
            </w:pPr>
            <w:r>
              <w:rPr>
                <w:rFonts w:hint="cs"/>
                <w:sz w:val="26"/>
                <w:szCs w:val="26"/>
                <w:rtl/>
              </w:rPr>
              <w:t>إناث</w:t>
            </w:r>
          </w:p>
          <w:p w:rsidR="00A208FF" w:rsidRDefault="00A208FF">
            <w:pPr>
              <w:spacing w:before="0" w:after="0" w:line="420" w:lineRule="exact"/>
              <w:jc w:val="both"/>
              <w:rPr>
                <w:rFonts w:hint="cs"/>
                <w:sz w:val="26"/>
                <w:szCs w:val="26"/>
              </w:rPr>
            </w:pPr>
            <w:r>
              <w:rPr>
                <w:rFonts w:hint="cs"/>
                <w:sz w:val="26"/>
                <w:szCs w:val="26"/>
                <w:rtl/>
              </w:rPr>
              <w:t>النسبة المئوية للإناث</w:t>
            </w:r>
          </w:p>
        </w:tc>
        <w:tc>
          <w:tcPr>
            <w:tcW w:w="1255" w:type="dxa"/>
          </w:tcPr>
          <w:p w:rsidR="00A208FF" w:rsidRDefault="00A208FF">
            <w:pPr>
              <w:spacing w:before="0" w:after="0" w:line="420" w:lineRule="exact"/>
              <w:jc w:val="both"/>
              <w:rPr>
                <w:rFonts w:hint="cs"/>
                <w:sz w:val="26"/>
                <w:szCs w:val="26"/>
                <w:rtl/>
              </w:rPr>
            </w:pPr>
            <w:r>
              <w:rPr>
                <w:rFonts w:hint="cs"/>
                <w:sz w:val="26"/>
                <w:szCs w:val="26"/>
                <w:rtl/>
              </w:rPr>
              <w:t>898 762 9</w:t>
            </w:r>
          </w:p>
          <w:p w:rsidR="00A208FF" w:rsidRDefault="00A208FF">
            <w:pPr>
              <w:spacing w:before="0" w:after="0" w:line="420" w:lineRule="exact"/>
              <w:jc w:val="both"/>
              <w:rPr>
                <w:rFonts w:hint="cs"/>
                <w:sz w:val="26"/>
                <w:szCs w:val="26"/>
                <w:rtl/>
              </w:rPr>
            </w:pPr>
            <w:r>
              <w:rPr>
                <w:rFonts w:hint="cs"/>
                <w:sz w:val="26"/>
                <w:szCs w:val="26"/>
                <w:rtl/>
              </w:rPr>
              <w:t>528 760 4</w:t>
            </w:r>
          </w:p>
          <w:p w:rsidR="00A208FF" w:rsidRDefault="00A208FF">
            <w:pPr>
              <w:spacing w:before="0" w:after="0" w:line="420" w:lineRule="exact"/>
              <w:jc w:val="both"/>
              <w:rPr>
                <w:rFonts w:hint="cs"/>
                <w:sz w:val="26"/>
                <w:szCs w:val="26"/>
              </w:rPr>
            </w:pPr>
            <w:r>
              <w:rPr>
                <w:rFonts w:hint="cs"/>
                <w:sz w:val="26"/>
                <w:szCs w:val="26"/>
                <w:rtl/>
              </w:rPr>
              <w:t>48.8</w:t>
            </w:r>
          </w:p>
        </w:tc>
        <w:tc>
          <w:tcPr>
            <w:tcW w:w="1307" w:type="dxa"/>
          </w:tcPr>
          <w:p w:rsidR="00A208FF" w:rsidRDefault="00A208FF">
            <w:pPr>
              <w:spacing w:before="0" w:after="0" w:line="420" w:lineRule="exact"/>
              <w:jc w:val="both"/>
              <w:rPr>
                <w:rFonts w:hint="cs"/>
                <w:sz w:val="26"/>
                <w:szCs w:val="26"/>
                <w:rtl/>
              </w:rPr>
            </w:pPr>
            <w:r>
              <w:rPr>
                <w:rFonts w:hint="cs"/>
                <w:sz w:val="26"/>
                <w:szCs w:val="26"/>
                <w:rtl/>
              </w:rPr>
              <w:t>220 993 8</w:t>
            </w:r>
          </w:p>
          <w:p w:rsidR="00A208FF" w:rsidRDefault="00A208FF">
            <w:pPr>
              <w:spacing w:before="0" w:after="0" w:line="420" w:lineRule="exact"/>
              <w:jc w:val="both"/>
              <w:rPr>
                <w:rFonts w:hint="cs"/>
                <w:sz w:val="26"/>
                <w:szCs w:val="26"/>
                <w:rtl/>
              </w:rPr>
            </w:pPr>
            <w:r>
              <w:rPr>
                <w:rFonts w:hint="cs"/>
                <w:sz w:val="26"/>
                <w:szCs w:val="26"/>
                <w:rtl/>
              </w:rPr>
              <w:t>470 363 4</w:t>
            </w:r>
          </w:p>
          <w:p w:rsidR="00A208FF" w:rsidRDefault="00A208FF">
            <w:pPr>
              <w:spacing w:before="0" w:after="0" w:line="420" w:lineRule="exact"/>
              <w:jc w:val="both"/>
              <w:rPr>
                <w:rFonts w:hint="cs"/>
                <w:sz w:val="26"/>
                <w:szCs w:val="26"/>
              </w:rPr>
            </w:pPr>
            <w:r>
              <w:rPr>
                <w:rFonts w:hint="cs"/>
                <w:sz w:val="26"/>
                <w:szCs w:val="26"/>
                <w:rtl/>
              </w:rPr>
              <w:t>48.5</w:t>
            </w:r>
          </w:p>
        </w:tc>
        <w:tc>
          <w:tcPr>
            <w:tcW w:w="1264" w:type="dxa"/>
          </w:tcPr>
          <w:p w:rsidR="00A208FF" w:rsidRDefault="00A208FF">
            <w:pPr>
              <w:spacing w:before="0" w:after="0" w:line="420" w:lineRule="exact"/>
              <w:jc w:val="both"/>
              <w:rPr>
                <w:rFonts w:hint="cs"/>
                <w:sz w:val="26"/>
                <w:szCs w:val="26"/>
                <w:rtl/>
              </w:rPr>
            </w:pPr>
            <w:r>
              <w:rPr>
                <w:rFonts w:hint="cs"/>
                <w:sz w:val="26"/>
                <w:szCs w:val="26"/>
                <w:rtl/>
              </w:rPr>
              <w:t>447 815 8</w:t>
            </w:r>
          </w:p>
          <w:p w:rsidR="00A208FF" w:rsidRDefault="00A208FF">
            <w:pPr>
              <w:spacing w:before="0" w:after="0" w:line="420" w:lineRule="exact"/>
              <w:jc w:val="both"/>
              <w:rPr>
                <w:rFonts w:hint="cs"/>
                <w:sz w:val="26"/>
                <w:szCs w:val="26"/>
                <w:rtl/>
              </w:rPr>
            </w:pPr>
            <w:r>
              <w:rPr>
                <w:rFonts w:hint="cs"/>
                <w:sz w:val="26"/>
                <w:szCs w:val="26"/>
                <w:rtl/>
              </w:rPr>
              <w:t>547 274 4</w:t>
            </w:r>
          </w:p>
          <w:p w:rsidR="00A208FF" w:rsidRDefault="00A208FF">
            <w:pPr>
              <w:spacing w:before="0" w:after="0" w:line="420" w:lineRule="exact"/>
              <w:jc w:val="both"/>
              <w:rPr>
                <w:rFonts w:hint="cs"/>
                <w:sz w:val="26"/>
                <w:szCs w:val="26"/>
              </w:rPr>
            </w:pPr>
            <w:r>
              <w:rPr>
                <w:rFonts w:hint="cs"/>
                <w:sz w:val="26"/>
                <w:szCs w:val="26"/>
                <w:rtl/>
              </w:rPr>
              <w:t>48.5</w:t>
            </w:r>
          </w:p>
        </w:tc>
        <w:tc>
          <w:tcPr>
            <w:tcW w:w="1304" w:type="dxa"/>
          </w:tcPr>
          <w:p w:rsidR="00A208FF" w:rsidRDefault="00A208FF">
            <w:pPr>
              <w:spacing w:before="0" w:after="0" w:line="420" w:lineRule="exact"/>
              <w:jc w:val="both"/>
              <w:rPr>
                <w:rFonts w:hint="cs"/>
                <w:sz w:val="26"/>
                <w:szCs w:val="26"/>
                <w:rtl/>
              </w:rPr>
            </w:pPr>
            <w:r>
              <w:rPr>
                <w:rFonts w:hint="cs"/>
                <w:sz w:val="26"/>
                <w:szCs w:val="26"/>
                <w:rtl/>
              </w:rPr>
              <w:t>892 590 7</w:t>
            </w:r>
          </w:p>
          <w:p w:rsidR="00A208FF" w:rsidRDefault="00A208FF">
            <w:pPr>
              <w:spacing w:before="0" w:after="0" w:line="420" w:lineRule="exact"/>
              <w:jc w:val="both"/>
              <w:rPr>
                <w:rFonts w:hint="cs"/>
                <w:sz w:val="26"/>
                <w:szCs w:val="26"/>
                <w:rtl/>
              </w:rPr>
            </w:pPr>
            <w:r>
              <w:rPr>
                <w:rFonts w:hint="cs"/>
                <w:sz w:val="26"/>
                <w:szCs w:val="26"/>
                <w:rtl/>
              </w:rPr>
              <w:t>493 682 3</w:t>
            </w:r>
          </w:p>
          <w:p w:rsidR="00A208FF" w:rsidRDefault="00A208FF">
            <w:pPr>
              <w:spacing w:before="0" w:after="0" w:line="420" w:lineRule="exact"/>
              <w:jc w:val="both"/>
              <w:rPr>
                <w:rFonts w:hint="cs"/>
                <w:sz w:val="26"/>
                <w:szCs w:val="26"/>
              </w:rPr>
            </w:pPr>
            <w:r>
              <w:rPr>
                <w:rFonts w:hint="cs"/>
                <w:sz w:val="26"/>
                <w:szCs w:val="26"/>
                <w:rtl/>
              </w:rPr>
              <w:t>48.5</w:t>
            </w:r>
          </w:p>
        </w:tc>
      </w:tr>
    </w:tbl>
    <w:p w:rsidR="00000000" w:rsidRDefault="00A208FF">
      <w:pPr>
        <w:spacing w:line="400" w:lineRule="exact"/>
        <w:jc w:val="both"/>
        <w:rPr>
          <w:rFonts w:hint="cs"/>
          <w:b/>
          <w:bCs/>
          <w:rtl/>
        </w:rPr>
      </w:pPr>
      <w:r>
        <w:rPr>
          <w:rFonts w:hint="cs"/>
          <w:b/>
          <w:bCs/>
          <w:rtl/>
        </w:rPr>
        <w:t>تدريس حقوق الإنسان في النظام التعليمي الإيطالي</w:t>
      </w:r>
    </w:p>
    <w:p w:rsidR="00000000" w:rsidRDefault="00A208FF">
      <w:pPr>
        <w:spacing w:line="400" w:lineRule="exact"/>
        <w:jc w:val="both"/>
        <w:rPr>
          <w:rFonts w:hint="cs"/>
          <w:i/>
          <w:iCs/>
          <w:rtl/>
        </w:rPr>
      </w:pPr>
      <w:r>
        <w:rPr>
          <w:rFonts w:hint="cs"/>
          <w:i/>
          <w:iCs/>
          <w:rtl/>
        </w:rPr>
        <w:t>الإعلام والترويج</w:t>
      </w:r>
    </w:p>
    <w:p w:rsidR="00000000" w:rsidRDefault="00A208FF">
      <w:pPr>
        <w:spacing w:line="400" w:lineRule="exact"/>
        <w:jc w:val="both"/>
        <w:rPr>
          <w:rFonts w:hint="cs"/>
          <w:rtl/>
        </w:rPr>
      </w:pPr>
      <w:r>
        <w:rPr>
          <w:rFonts w:hint="cs"/>
          <w:rtl/>
        </w:rPr>
        <w:t>265-</w:t>
      </w:r>
      <w:r>
        <w:rPr>
          <w:rFonts w:hint="cs"/>
          <w:rtl/>
        </w:rPr>
        <w:tab/>
        <w:t>إن المباد</w:t>
      </w:r>
      <w:r>
        <w:rPr>
          <w:rFonts w:hint="cs"/>
          <w:rtl/>
        </w:rPr>
        <w:t>رات التي اتخذتها وزارة التعليم لإعلام الطلبة والمعلمين وتوعيتهم بالقضايا المتعلقة بحقوق الإنسان الواردة في العهد الدولي الخاص بالحقوق الاقتصادية والاجتماعية والثقافية  يمكن تقسيمها إلى ثلاثة مستويات، تسهيلاً للتحليل. ففي الفترة 1997-2000 اتخذت الوزارة مباد</w:t>
      </w:r>
      <w:r>
        <w:rPr>
          <w:rFonts w:hint="cs"/>
          <w:rtl/>
        </w:rPr>
        <w:t>رات من الأنواع الملخصة أدناه.</w:t>
      </w:r>
    </w:p>
    <w:p w:rsidR="00000000" w:rsidRDefault="00A208FF">
      <w:pPr>
        <w:spacing w:line="400" w:lineRule="exact"/>
        <w:jc w:val="both"/>
        <w:rPr>
          <w:rFonts w:hint="cs"/>
          <w:i/>
          <w:iCs/>
          <w:rtl/>
        </w:rPr>
      </w:pPr>
      <w:r>
        <w:rPr>
          <w:rFonts w:hint="cs"/>
          <w:i/>
          <w:iCs/>
          <w:rtl/>
        </w:rPr>
        <w:t>المبادرات التشريعية</w:t>
      </w:r>
    </w:p>
    <w:p w:rsidR="00000000" w:rsidRDefault="00A208FF">
      <w:pPr>
        <w:spacing w:line="400" w:lineRule="exact"/>
        <w:jc w:val="both"/>
        <w:rPr>
          <w:rFonts w:hint="cs"/>
          <w:rtl/>
        </w:rPr>
      </w:pPr>
      <w:r>
        <w:rPr>
          <w:rFonts w:hint="cs"/>
          <w:rtl/>
        </w:rPr>
        <w:t>266-</w:t>
      </w:r>
      <w:r>
        <w:rPr>
          <w:rFonts w:hint="cs"/>
          <w:rtl/>
        </w:rPr>
        <w:tab/>
        <w:t>تجدر الإشارة في هذا الصدد إلى ما يلي:</w:t>
      </w:r>
    </w:p>
    <w:p w:rsidR="00000000" w:rsidRDefault="00A208FF">
      <w:pPr>
        <w:spacing w:line="400" w:lineRule="exact"/>
        <w:ind w:left="1440" w:hanging="720"/>
        <w:jc w:val="both"/>
        <w:rPr>
          <w:rFonts w:hint="cs"/>
          <w:rtl/>
        </w:rPr>
      </w:pPr>
      <w:r>
        <w:rPr>
          <w:rFonts w:hint="cs"/>
          <w:rtl/>
        </w:rPr>
        <w:t>-</w:t>
      </w:r>
      <w:r>
        <w:rPr>
          <w:rFonts w:hint="cs"/>
          <w:rtl/>
        </w:rPr>
        <w:tab/>
        <w:t>المرسوم الرئاسي 249/1998 بشأن "قانون تلاميذ المدارس الثانوية" الذي يحدد، مع الإحالة إلى المبادئ المدرجة في الدستور الإيطالي وتلك الواردة في اتفاقية حقوق الطفل، إ</w:t>
      </w:r>
      <w:r>
        <w:rPr>
          <w:rFonts w:hint="cs"/>
          <w:rtl/>
        </w:rPr>
        <w:t xml:space="preserve">طار حقوق الشباب الاجتماعية والثقافية. وقد تم التشديد بوجه خاص على احترام وتعزيز المساواة بين الجنسين؛ وحرية التعبير والفكر والوجدان والدين؛ واحترام جميع الناس بصرف النظر عن أعمارهم أو أوضاعهم، مع رفض جميع أنواع الحواجز العقائدية أو الاجتماعية أو الثقافية. </w:t>
      </w:r>
      <w:r>
        <w:rPr>
          <w:rFonts w:hint="cs"/>
          <w:rtl/>
        </w:rPr>
        <w:t>ويحق للتلاميذ أن يشاركوا بنشاط ومسؤولية في الحياة المدرسية وأن يبلَّغوا بالقرارات والقواعد التي تحكمها. ويجدد القانون التأكيد على احترام التنوع الثقافي والديني للتلاميذ والطلبة والمجتمعات التي ينتمون إليها. وتشجع المدارس المبادرات الرامية إلى تعلم لغات الت</w:t>
      </w:r>
      <w:r>
        <w:rPr>
          <w:rFonts w:hint="cs"/>
          <w:rtl/>
        </w:rPr>
        <w:t>لاميذ وثقافاتهم الأصلية وحمايتها وتعزيز بعد التفاعل المشترك بين الثقافات في مجال التعليم؛</w:t>
      </w:r>
    </w:p>
    <w:p w:rsidR="00000000" w:rsidRDefault="00A208FF">
      <w:pPr>
        <w:spacing w:line="400" w:lineRule="exact"/>
        <w:ind w:left="1440" w:hanging="720"/>
        <w:jc w:val="both"/>
        <w:rPr>
          <w:rFonts w:hint="cs"/>
          <w:rtl/>
        </w:rPr>
      </w:pPr>
      <w:r>
        <w:rPr>
          <w:rFonts w:hint="cs"/>
          <w:rtl/>
        </w:rPr>
        <w:t>-</w:t>
      </w:r>
      <w:r>
        <w:rPr>
          <w:rFonts w:hint="cs"/>
          <w:rtl/>
        </w:rPr>
        <w:tab/>
        <w:t>تنص المادة 44 من الحكم (الوارد في المرسوم الرئاسي 384/1999) الذي ينفذ القانون</w:t>
      </w:r>
      <w:r>
        <w:rPr>
          <w:rtl/>
        </w:rPr>
        <w:br/>
      </w:r>
      <w:r>
        <w:rPr>
          <w:rFonts w:hint="cs"/>
          <w:rtl/>
        </w:rPr>
        <w:t xml:space="preserve">40/1998 المتعلق بالهجرة ووضع الأجانب في إيطاليا على اللوائح التي تحكم الحق في التعليم </w:t>
      </w:r>
      <w:r>
        <w:rPr>
          <w:rFonts w:hint="cs"/>
          <w:rtl/>
        </w:rPr>
        <w:t>للجميع، إيطاليين وأجانب على السواء، دون أي تقييد ذي طبيعة إدارية (أي أنه لا يفرض أي شرط يقتضي حيازة رخصة الإقامة أو أي شهادة رسمية بالخبرة التعليمية السابقة، وغير ذلك) أو طبيعة ثقافية أو اجتماعية. وينص هذا الحكم أيضاً على ضرورة احترام الهوية اللغوية والدين</w:t>
      </w:r>
      <w:r>
        <w:rPr>
          <w:rFonts w:hint="cs"/>
          <w:rtl/>
        </w:rPr>
        <w:t>ية للتلاميذ وتيسير عملية إدماجهم.</w:t>
      </w:r>
    </w:p>
    <w:p w:rsidR="00000000" w:rsidRDefault="00A208FF">
      <w:pPr>
        <w:spacing w:line="400" w:lineRule="exact"/>
        <w:jc w:val="both"/>
        <w:rPr>
          <w:i/>
          <w:iCs/>
        </w:rPr>
      </w:pPr>
      <w:r>
        <w:rPr>
          <w:rFonts w:hint="cs"/>
          <w:i/>
          <w:iCs/>
          <w:rtl/>
        </w:rPr>
        <w:t>المبادرات العملية - التنظيمية</w:t>
      </w:r>
    </w:p>
    <w:p w:rsidR="00000000" w:rsidRDefault="00A208FF">
      <w:pPr>
        <w:spacing w:line="400" w:lineRule="exact"/>
        <w:jc w:val="both"/>
        <w:rPr>
          <w:rFonts w:hint="cs"/>
          <w:rtl/>
        </w:rPr>
      </w:pPr>
      <w:r>
        <w:rPr>
          <w:rFonts w:hint="cs"/>
          <w:rtl/>
        </w:rPr>
        <w:t>267-</w:t>
      </w:r>
      <w:r>
        <w:rPr>
          <w:rFonts w:hint="cs"/>
          <w:rtl/>
        </w:rPr>
        <w:tab/>
        <w:t>وضعت وزارة التعليم برنامجاً موسعاً لتزويد المعلمين بمعلومات عن البعد المشترك بين الثقافات في مجال التعليم من خلال برامج مبادرات عملية متنوعة، من أهمها ما يلي:</w:t>
      </w:r>
    </w:p>
    <w:p w:rsidR="00000000" w:rsidRDefault="00A208FF">
      <w:pPr>
        <w:spacing w:line="400" w:lineRule="exact"/>
        <w:ind w:left="1440" w:hanging="720"/>
        <w:jc w:val="both"/>
        <w:rPr>
          <w:rFonts w:hint="cs"/>
          <w:rtl/>
        </w:rPr>
      </w:pPr>
      <w:r>
        <w:rPr>
          <w:rFonts w:hint="cs"/>
          <w:rtl/>
        </w:rPr>
        <w:t>-</w:t>
      </w:r>
      <w:r>
        <w:rPr>
          <w:rFonts w:hint="cs"/>
          <w:rtl/>
        </w:rPr>
        <w:tab/>
        <w:t>معلومات عامة عن القضايا ال</w:t>
      </w:r>
      <w:r>
        <w:rPr>
          <w:rFonts w:hint="cs"/>
          <w:rtl/>
        </w:rPr>
        <w:t>متعلقة بالحق في المواطنة، والهوية اللغوية والثقافية، والتنوع الثقافي. وتوفر هذه المعلومات لجميع المعلمين في المدارس الإيطالية بواسطة مشروع وطني للتعلم من بعد بالتعاون مع هيئة الإذاعة والتلفزة الإيطالية، وهو حالياً في مراحله النهائية (انظر التعميم رقم 17 ال</w:t>
      </w:r>
      <w:r>
        <w:rPr>
          <w:rFonts w:hint="cs"/>
          <w:rtl/>
        </w:rPr>
        <w:t>صادر في 14 كانون الثاني/يناير 2000)؛</w:t>
      </w:r>
    </w:p>
    <w:p w:rsidR="00000000" w:rsidRDefault="00A208FF">
      <w:pPr>
        <w:spacing w:line="400" w:lineRule="exact"/>
        <w:ind w:left="1440" w:hanging="720"/>
        <w:jc w:val="both"/>
        <w:rPr>
          <w:rFonts w:hint="cs"/>
          <w:rtl/>
        </w:rPr>
      </w:pPr>
      <w:r>
        <w:rPr>
          <w:rFonts w:hint="cs"/>
          <w:rtl/>
        </w:rPr>
        <w:t>-</w:t>
      </w:r>
      <w:r>
        <w:rPr>
          <w:rFonts w:hint="cs"/>
          <w:rtl/>
        </w:rPr>
        <w:tab/>
        <w:t>استحداث برنامج وطني خاص يتألف من دورات لتجديد معلومات مدرسي الفنون واللغات الأجنبية بشأن القضايا المتعلقة بالوساطة الثقافية واللغوية وتعليم اللغة الإيطالية كلغة أجنبية (انظر عقد التوظيف الوطني للمعلمين، المادة 19 من ا</w:t>
      </w:r>
      <w:r>
        <w:rPr>
          <w:rFonts w:hint="cs"/>
          <w:rtl/>
        </w:rPr>
        <w:t>لتوجيه الوزاري 210/1999) لجميع المعلمين؛</w:t>
      </w:r>
    </w:p>
    <w:p w:rsidR="00000000" w:rsidRDefault="00A208FF">
      <w:pPr>
        <w:spacing w:line="400" w:lineRule="exact"/>
        <w:ind w:left="1440" w:hanging="720"/>
        <w:jc w:val="both"/>
        <w:rPr>
          <w:rFonts w:hint="cs"/>
          <w:rtl/>
        </w:rPr>
      </w:pPr>
      <w:r>
        <w:rPr>
          <w:rFonts w:hint="cs"/>
          <w:rtl/>
        </w:rPr>
        <w:t>-</w:t>
      </w:r>
      <w:r>
        <w:rPr>
          <w:rFonts w:hint="cs"/>
          <w:rtl/>
        </w:rPr>
        <w:tab/>
        <w:t>إصدار نشرة خاصة من المجلة الرسمية لوزارة التعليم ("</w:t>
      </w:r>
      <w:r>
        <w:rPr>
          <w:i/>
          <w:iCs/>
        </w:rPr>
        <w:t>Annali della Pubblica Istruzione</w:t>
      </w:r>
      <w:r>
        <w:rPr>
          <w:rFonts w:hint="cs"/>
          <w:rtl/>
        </w:rPr>
        <w:t>"، العددان 5-6/1999) كُرّست لقضية الحقوق ووزعت على جميع المدارس الإيطالية.</w:t>
      </w:r>
    </w:p>
    <w:p w:rsidR="00000000" w:rsidRDefault="00A208FF">
      <w:pPr>
        <w:spacing w:line="400" w:lineRule="exact"/>
        <w:jc w:val="both"/>
        <w:rPr>
          <w:rFonts w:hint="cs"/>
          <w:i/>
          <w:iCs/>
          <w:rtl/>
        </w:rPr>
      </w:pPr>
      <w:r>
        <w:rPr>
          <w:rFonts w:hint="cs"/>
          <w:i/>
          <w:iCs/>
          <w:rtl/>
        </w:rPr>
        <w:t>المبادرات التربوية - الثقافية</w:t>
      </w:r>
    </w:p>
    <w:p w:rsidR="00000000" w:rsidRDefault="00A208FF">
      <w:pPr>
        <w:spacing w:line="400" w:lineRule="exact"/>
        <w:jc w:val="both"/>
        <w:rPr>
          <w:rFonts w:hint="cs"/>
          <w:rtl/>
        </w:rPr>
      </w:pPr>
      <w:r>
        <w:rPr>
          <w:rFonts w:hint="cs"/>
          <w:rtl/>
        </w:rPr>
        <w:t>268-</w:t>
      </w:r>
      <w:r>
        <w:rPr>
          <w:rFonts w:hint="cs"/>
          <w:rtl/>
        </w:rPr>
        <w:tab/>
        <w:t>يجدر التذكير بأن أحد</w:t>
      </w:r>
      <w:r>
        <w:rPr>
          <w:rFonts w:hint="cs"/>
          <w:rtl/>
        </w:rPr>
        <w:t xml:space="preserve"> الأنشطة التدريسية التي تضطلع بها وزارة التعليم ما يتمثل في توفير المعلومات والتدريب في مجال حقوق الإنسان لكل التلاميذ في جميع المراحل وجميع أنواع المدارس من خلال برنامج التربية الوطنية الذي هو جزء لا يتجزأ من تدريس مادة التاريخ وما يتصل بها من مواضيع. ويت</w:t>
      </w:r>
      <w:r>
        <w:rPr>
          <w:rFonts w:hint="cs"/>
          <w:rtl/>
        </w:rPr>
        <w:t>ناول هذا البرنامج بصورة محددة الحقوق الاقتصادية والاجتماعية والثقافية بتقديم معلومات عن أهم الاتفاقات والاتفاقيات الدولية المعقودة في هذا الميدان.</w:t>
      </w:r>
    </w:p>
    <w:p w:rsidR="00000000" w:rsidRDefault="00A208FF">
      <w:pPr>
        <w:spacing w:line="400" w:lineRule="exact"/>
        <w:jc w:val="both"/>
        <w:rPr>
          <w:rFonts w:hint="cs"/>
          <w:rtl/>
        </w:rPr>
      </w:pPr>
      <w:r>
        <w:rPr>
          <w:rFonts w:hint="cs"/>
          <w:rtl/>
        </w:rPr>
        <w:t>269-</w:t>
      </w:r>
      <w:r>
        <w:rPr>
          <w:rFonts w:hint="cs"/>
          <w:rtl/>
        </w:rPr>
        <w:tab/>
        <w:t>كما أن وزارة التعليم تقوم بنشاط مؤسسي مكثف من خلال ما يلي:</w:t>
      </w:r>
    </w:p>
    <w:p w:rsidR="00000000" w:rsidRDefault="00A208FF">
      <w:pPr>
        <w:spacing w:line="400" w:lineRule="exact"/>
        <w:ind w:left="1440" w:hanging="720"/>
        <w:jc w:val="both"/>
        <w:rPr>
          <w:rFonts w:hint="cs"/>
          <w:spacing w:val="0"/>
          <w:rtl/>
        </w:rPr>
      </w:pPr>
      <w:r>
        <w:rPr>
          <w:rFonts w:hint="cs"/>
          <w:rtl/>
        </w:rPr>
        <w:t>-</w:t>
      </w:r>
      <w:r>
        <w:rPr>
          <w:rFonts w:hint="cs"/>
          <w:rtl/>
        </w:rPr>
        <w:tab/>
      </w:r>
      <w:r>
        <w:rPr>
          <w:rFonts w:hint="cs"/>
          <w:spacing w:val="0"/>
          <w:rtl/>
        </w:rPr>
        <w:t>إنشاء لجنة وزارية للتعليم القائم على التفاع</w:t>
      </w:r>
      <w:r>
        <w:rPr>
          <w:rFonts w:hint="cs"/>
          <w:spacing w:val="0"/>
          <w:rtl/>
        </w:rPr>
        <w:t>ل بين الثقافات قامت بأنشطة دراسية وإعلامية واستشارية بشأن جميع الأحكام التشريعية المتعلقة بالحقوق، واتخذت في ذات الوقت العديد من الإجراءات من أجل نشر أهم قضايا حقوق الإنسان ضمن النظام التعليمي وخارجه (الحق في المواطنة؛ والحق في التعليم للجميع؛ ودراسة وتعزي</w:t>
      </w:r>
      <w:r>
        <w:rPr>
          <w:rFonts w:hint="cs"/>
          <w:spacing w:val="0"/>
          <w:rtl/>
        </w:rPr>
        <w:t>ز الاتفاقات بشأن الحقوق الدينية واللغوية وغيرها)؛</w:t>
      </w:r>
    </w:p>
    <w:p w:rsidR="00000000" w:rsidRDefault="00A208FF">
      <w:pPr>
        <w:spacing w:line="400" w:lineRule="exact"/>
        <w:ind w:left="1440" w:hanging="720"/>
        <w:jc w:val="both"/>
        <w:rPr>
          <w:rFonts w:hint="cs"/>
          <w:rtl/>
        </w:rPr>
      </w:pPr>
      <w:r>
        <w:rPr>
          <w:rFonts w:hint="cs"/>
          <w:rtl/>
        </w:rPr>
        <w:t>-</w:t>
      </w:r>
      <w:r>
        <w:rPr>
          <w:rFonts w:hint="cs"/>
          <w:rtl/>
        </w:rPr>
        <w:tab/>
        <w:t>تشجيع برامج التعاون الإقليمي عبر الأوطان وتقديم الدعم لها، بما في ذلك الدعم المالي (البرنامج المتوسطي، والبرامج الأوروبية مثل سقراط (</w:t>
      </w:r>
      <w:r>
        <w:t>Socrates</w:t>
      </w:r>
      <w:r>
        <w:rPr>
          <w:rFonts w:hint="cs"/>
          <w:rtl/>
        </w:rPr>
        <w:t>) وليوناردو (</w:t>
      </w:r>
      <w:r>
        <w:t>Leonardo</w:t>
      </w:r>
      <w:r>
        <w:rPr>
          <w:rFonts w:hint="cs"/>
          <w:rtl/>
        </w:rPr>
        <w:t>)، و"شباب من أجل أوروبا" وغيرها من البرامج</w:t>
      </w:r>
      <w:r>
        <w:rPr>
          <w:rFonts w:hint="cs"/>
          <w:rtl/>
        </w:rPr>
        <w:t>) الرامية إلى تقديم المعلومات عن الحقوق الثقافية وتعزيزها لا لفائدة الشباب فحسب بل لصالح جميع الأشخاص الذين ينتمون إلى أقليات أو الذين يعيشون في حالة من التهميش والفقر وغير ذلك من الحالات.</w:t>
      </w:r>
    </w:p>
    <w:p w:rsidR="00000000" w:rsidRDefault="00A208FF">
      <w:pPr>
        <w:spacing w:line="400" w:lineRule="exact"/>
        <w:jc w:val="both"/>
        <w:rPr>
          <w:rFonts w:hint="cs"/>
          <w:rtl/>
        </w:rPr>
      </w:pPr>
      <w:r>
        <w:rPr>
          <w:rFonts w:hint="cs"/>
          <w:rtl/>
        </w:rPr>
        <w:t>270-</w:t>
      </w:r>
      <w:r>
        <w:rPr>
          <w:rFonts w:hint="cs"/>
          <w:rtl/>
        </w:rPr>
        <w:tab/>
        <w:t>كما اعترف بالدور الاستراتيجي للإبداع والارتقاء بنظم التعليم وا</w:t>
      </w:r>
      <w:r>
        <w:rPr>
          <w:rFonts w:hint="cs"/>
          <w:rtl/>
        </w:rPr>
        <w:t xml:space="preserve">لتدريب، لا كعامل من عوامل التنمية والنمو الاقتصادي والعمالة فحسب، وإنما أيضاً كوسيلة رئيسية لمكافحة الأشكال الجديدة للإقصاء الاجتماعي. وقد نفذت الحكومة، التي تعتبر إلى تحسين نوعية وتنوع وتكامل التسهيلات التعليمية والتدريبية إحدى المسائل الرئيسية في جهودها </w:t>
      </w:r>
      <w:r>
        <w:rPr>
          <w:rFonts w:hint="cs"/>
          <w:rtl/>
        </w:rPr>
        <w:t>السياسية والإدارية، مجموعة من المبادرات التي سمحت، في جملة أمور، بالتقيد بمعظم الالتزامات التي قطعتها مع الشركاء الاجتماعيين في إطار ميثاق 22 كانون الأول/ديسمبر 1998.</w:t>
      </w:r>
    </w:p>
    <w:p w:rsidR="00000000" w:rsidRDefault="00A208FF">
      <w:pPr>
        <w:spacing w:line="400" w:lineRule="exact"/>
        <w:jc w:val="both"/>
        <w:rPr>
          <w:rFonts w:hint="cs"/>
          <w:b/>
          <w:bCs/>
          <w:rtl/>
        </w:rPr>
      </w:pPr>
      <w:r>
        <w:rPr>
          <w:rFonts w:hint="cs"/>
          <w:b/>
          <w:bCs/>
          <w:rtl/>
        </w:rPr>
        <w:t>الإصلاحات الحالية</w:t>
      </w:r>
    </w:p>
    <w:p w:rsidR="00000000" w:rsidRDefault="00A208FF">
      <w:pPr>
        <w:spacing w:line="400" w:lineRule="exact"/>
        <w:jc w:val="both"/>
        <w:rPr>
          <w:rFonts w:hint="cs"/>
          <w:i/>
          <w:iCs/>
          <w:rtl/>
        </w:rPr>
      </w:pPr>
      <w:r>
        <w:rPr>
          <w:rFonts w:hint="cs"/>
          <w:i/>
          <w:iCs/>
          <w:rtl/>
        </w:rPr>
        <w:t>التدريب التقني - المهني</w:t>
      </w:r>
    </w:p>
    <w:p w:rsidR="00000000" w:rsidRDefault="00A208FF">
      <w:pPr>
        <w:spacing w:line="400" w:lineRule="exact"/>
        <w:jc w:val="both"/>
        <w:rPr>
          <w:rFonts w:hint="cs"/>
          <w:rtl/>
        </w:rPr>
      </w:pPr>
      <w:r>
        <w:rPr>
          <w:rFonts w:hint="cs"/>
          <w:rtl/>
        </w:rPr>
        <w:t>271-</w:t>
      </w:r>
      <w:r>
        <w:rPr>
          <w:rFonts w:hint="cs"/>
          <w:rtl/>
        </w:rPr>
        <w:tab/>
        <w:t>إن نظام تدريب الأخصائيين التقنيين في إيطال</w:t>
      </w:r>
      <w:r>
        <w:rPr>
          <w:rFonts w:hint="cs"/>
          <w:rtl/>
        </w:rPr>
        <w:t>يا يقوم عادة على ركنين اثنين: المدارس الثانوية المتخصصة في التعليم التقني والتدريب المهني الذي تشرف عليه الأقاليم. وفي عام 1999، استهلت عملية إصلاح مهمة لتوسيع وتنويع الركن الثاني: توفير التدريب للأخصائيين التقنيين من ذوي المهارات المتوسطة والعالية من خلال</w:t>
      </w:r>
      <w:r>
        <w:rPr>
          <w:rFonts w:hint="cs"/>
          <w:rtl/>
        </w:rPr>
        <w:t xml:space="preserve"> نظام يجمع بين التعليم والتدريب والعمل. وقد أرسى ذلك أسس "نظام التعليم والتدريب التقنيين" الذي يهدف إلى إمداد إيطاليا بشبكة من التدريب المهني يمكن مقارنتها بشبكات بلدان أوروبية أخرى.</w:t>
      </w:r>
    </w:p>
    <w:p w:rsidR="00000000" w:rsidRDefault="00A208FF">
      <w:pPr>
        <w:spacing w:line="400" w:lineRule="exact"/>
        <w:jc w:val="both"/>
        <w:rPr>
          <w:rFonts w:hint="cs"/>
          <w:i/>
          <w:iCs/>
          <w:rtl/>
        </w:rPr>
      </w:pPr>
      <w:r>
        <w:rPr>
          <w:rFonts w:hint="cs"/>
          <w:i/>
          <w:iCs/>
          <w:rtl/>
        </w:rPr>
        <w:t>التعليم الجامعي</w:t>
      </w:r>
    </w:p>
    <w:p w:rsidR="00000000" w:rsidRDefault="00A208FF">
      <w:pPr>
        <w:spacing w:line="400" w:lineRule="exact"/>
        <w:jc w:val="both"/>
        <w:rPr>
          <w:rFonts w:hint="cs"/>
          <w:rtl/>
        </w:rPr>
      </w:pPr>
      <w:r>
        <w:rPr>
          <w:rFonts w:hint="cs"/>
          <w:rtl/>
        </w:rPr>
        <w:t>272-</w:t>
      </w:r>
      <w:r>
        <w:rPr>
          <w:rFonts w:hint="cs"/>
          <w:rtl/>
        </w:rPr>
        <w:tab/>
        <w:t>وُضع نظام تعليمي جامعي "أوروبي" متنوع يسمح بتحسين فع</w:t>
      </w:r>
      <w:r>
        <w:rPr>
          <w:rFonts w:hint="cs"/>
          <w:rtl/>
        </w:rPr>
        <w:t>الية النظام وتقليص معدل الانقطاع عن الدراسة إلى حد كبير وتطوير المهارات المتوسطة التي يمكن الاستفادة منها في سوق العمل، وبالتالي خفض معدل بطالة الشباب. وقد مكن المرسوم الذي أصدرته الوزارة المكلفة بشؤون الجامعات والبحث العلمي والتكنولوجي من إقامة نظام لتنظي</w:t>
      </w:r>
      <w:r>
        <w:rPr>
          <w:rFonts w:hint="cs"/>
          <w:rtl/>
        </w:rPr>
        <w:t>م الدروس الجامعية. وكان من المزمع أن يدخل هذا النظام حيز التنفيذ الكامل في السنة الجامعية 2001-2002. لكن معظم الجامعات اختارت اختباره أولاً، ولا سيما في أقسام مثل الاقتصاد والهندسة، اعتباراً من السنة الجامعية 2000-2001.</w:t>
      </w:r>
    </w:p>
    <w:p w:rsidR="00000000" w:rsidRDefault="00A208FF">
      <w:pPr>
        <w:spacing w:line="400" w:lineRule="exact"/>
        <w:jc w:val="both"/>
        <w:rPr>
          <w:rFonts w:hint="cs"/>
          <w:b/>
          <w:bCs/>
          <w:rtl/>
        </w:rPr>
      </w:pPr>
      <w:r>
        <w:rPr>
          <w:rFonts w:hint="cs"/>
          <w:b/>
          <w:bCs/>
          <w:rtl/>
        </w:rPr>
        <w:t>أولويات نظام التعليم والتدريب في مجا</w:t>
      </w:r>
      <w:r>
        <w:rPr>
          <w:rFonts w:hint="cs"/>
          <w:b/>
          <w:bCs/>
          <w:rtl/>
        </w:rPr>
        <w:t>ل مكافحة الإقصاء</w:t>
      </w:r>
    </w:p>
    <w:p w:rsidR="00000000" w:rsidRDefault="00A208FF">
      <w:pPr>
        <w:spacing w:line="400" w:lineRule="exact"/>
        <w:jc w:val="both"/>
        <w:rPr>
          <w:rFonts w:hint="cs"/>
          <w:rtl/>
        </w:rPr>
      </w:pPr>
      <w:r>
        <w:rPr>
          <w:rFonts w:hint="cs"/>
          <w:rtl/>
        </w:rPr>
        <w:t>273-</w:t>
      </w:r>
      <w:r>
        <w:rPr>
          <w:rFonts w:hint="cs"/>
          <w:rtl/>
        </w:rPr>
        <w:tab/>
        <w:t>إن السياسات الرامية إلى إيجاد سبل موجهة صوب خلق فرص العمل، وتوجيه عملية التدريب، مع وضع هذا الهدف في الحسبان، تشكل جزءاً من سياق أوسع من الإصلاحات العميقة التي أوجدت مجموعة من التفاعلات بين نظم التعليم والتدريب وسوق العمل.</w:t>
      </w:r>
    </w:p>
    <w:p w:rsidR="00000000" w:rsidRDefault="00A208FF">
      <w:pPr>
        <w:spacing w:line="400" w:lineRule="exact"/>
        <w:jc w:val="both"/>
        <w:rPr>
          <w:rtl/>
        </w:rPr>
      </w:pPr>
      <w:r>
        <w:rPr>
          <w:rFonts w:hint="cs"/>
          <w:rtl/>
        </w:rPr>
        <w:t>274-</w:t>
      </w:r>
      <w:r>
        <w:rPr>
          <w:rFonts w:hint="cs"/>
          <w:rtl/>
        </w:rPr>
        <w:tab/>
        <w:t>وقد حد</w:t>
      </w:r>
      <w:r>
        <w:rPr>
          <w:rFonts w:hint="cs"/>
          <w:rtl/>
        </w:rPr>
        <w:t>َّدت الحكومة الأولويات التالية في هذا الصدد:</w:t>
      </w:r>
    </w:p>
    <w:p w:rsidR="00000000" w:rsidRDefault="00A208FF">
      <w:pPr>
        <w:tabs>
          <w:tab w:val="num" w:pos="1440"/>
        </w:tabs>
        <w:spacing w:line="400" w:lineRule="exact"/>
        <w:ind w:left="1440" w:hanging="720"/>
        <w:jc w:val="both"/>
        <w:rPr>
          <w:rFonts w:hint="cs"/>
          <w:spacing w:val="0"/>
          <w:rtl/>
        </w:rPr>
      </w:pPr>
      <w:r>
        <w:rPr>
          <w:rFonts w:hint="cs"/>
          <w:spacing w:val="0"/>
          <w:rtl/>
        </w:rPr>
        <w:t>-</w:t>
      </w:r>
      <w:r>
        <w:rPr>
          <w:rFonts w:hint="cs"/>
          <w:spacing w:val="0"/>
          <w:rtl/>
        </w:rPr>
        <w:tab/>
        <w:t>تحسين مستوى ونوعية المؤهلات التعليمية، نظراً للعلاقة الوثيقة بين هذه المؤهلات وإمكانية إيجاد عمل؛</w:t>
      </w:r>
    </w:p>
    <w:p w:rsidR="00000000" w:rsidRDefault="00A208FF">
      <w:pPr>
        <w:tabs>
          <w:tab w:val="num" w:pos="1440"/>
        </w:tabs>
        <w:spacing w:line="400" w:lineRule="exact"/>
        <w:ind w:left="1440" w:hanging="720"/>
        <w:jc w:val="both"/>
        <w:rPr>
          <w:rFonts w:hint="cs"/>
          <w:spacing w:val="-2"/>
          <w:rtl/>
        </w:rPr>
      </w:pPr>
      <w:r>
        <w:rPr>
          <w:rFonts w:hint="cs"/>
          <w:rtl/>
        </w:rPr>
        <w:t>-</w:t>
      </w:r>
      <w:r>
        <w:rPr>
          <w:rFonts w:hint="cs"/>
          <w:rtl/>
        </w:rPr>
        <w:tab/>
      </w:r>
      <w:r>
        <w:rPr>
          <w:rFonts w:hint="cs"/>
          <w:spacing w:val="-2"/>
          <w:rtl/>
        </w:rPr>
        <w:t>تقليص الفجوة بين أسواق العمل في وسط البلاد وشمالها من جهة وجنوبها من جهة أخرى، ذلك أن أحد الحواجز الرئيسية أم</w:t>
      </w:r>
      <w:r>
        <w:rPr>
          <w:rFonts w:hint="cs"/>
          <w:spacing w:val="-2"/>
          <w:rtl/>
        </w:rPr>
        <w:t>ام العمالة في الجنوب هو التخلف والتفاوت الذي يؤثر في العديد من المناطق هناك؛</w:t>
      </w:r>
    </w:p>
    <w:p w:rsidR="00000000" w:rsidRDefault="00A208FF">
      <w:pPr>
        <w:tabs>
          <w:tab w:val="num" w:pos="1440"/>
        </w:tabs>
        <w:spacing w:line="400" w:lineRule="exact"/>
        <w:ind w:left="1440" w:hanging="720"/>
        <w:jc w:val="both"/>
        <w:rPr>
          <w:rFonts w:hint="cs"/>
          <w:rtl/>
        </w:rPr>
      </w:pPr>
      <w:r>
        <w:rPr>
          <w:rFonts w:hint="cs"/>
          <w:rtl/>
        </w:rPr>
        <w:t>-</w:t>
      </w:r>
      <w:r>
        <w:rPr>
          <w:rFonts w:hint="cs"/>
          <w:rtl/>
        </w:rPr>
        <w:tab/>
        <w:t>فتح سوق العمل أمام الشباب ومن هم معرضون بشدة لخطر الإقصاء مثل المعوقين والمهاجرين والمسنين الذين تنقصهم المهارات؛</w:t>
      </w:r>
    </w:p>
    <w:p w:rsidR="00000000" w:rsidRDefault="00A208FF">
      <w:pPr>
        <w:tabs>
          <w:tab w:val="num" w:pos="1440"/>
        </w:tabs>
        <w:spacing w:line="400" w:lineRule="exact"/>
        <w:ind w:left="1440" w:hanging="720"/>
        <w:jc w:val="both"/>
        <w:rPr>
          <w:rFonts w:hint="cs"/>
          <w:rtl/>
        </w:rPr>
      </w:pPr>
      <w:r>
        <w:rPr>
          <w:rFonts w:hint="cs"/>
          <w:rtl/>
        </w:rPr>
        <w:t>-</w:t>
      </w:r>
      <w:r>
        <w:rPr>
          <w:rFonts w:hint="cs"/>
          <w:rtl/>
        </w:rPr>
        <w:tab/>
        <w:t>زيادة الإمكانات المتاحة للمواطنين من جميع الأعمار لتلقي التعل</w:t>
      </w:r>
      <w:r>
        <w:rPr>
          <w:rFonts w:hint="cs"/>
          <w:rtl/>
        </w:rPr>
        <w:t>يم والتدريب؛</w:t>
      </w:r>
    </w:p>
    <w:p w:rsidR="00000000" w:rsidRDefault="00A208FF">
      <w:pPr>
        <w:tabs>
          <w:tab w:val="num" w:pos="1440"/>
        </w:tabs>
        <w:spacing w:line="400" w:lineRule="exact"/>
        <w:ind w:left="1440" w:hanging="720"/>
        <w:jc w:val="both"/>
        <w:rPr>
          <w:rFonts w:hint="cs"/>
          <w:rtl/>
        </w:rPr>
      </w:pPr>
      <w:r>
        <w:rPr>
          <w:rFonts w:hint="cs"/>
          <w:rtl/>
        </w:rPr>
        <w:t>-</w:t>
      </w:r>
      <w:r>
        <w:rPr>
          <w:rFonts w:hint="cs"/>
          <w:rtl/>
        </w:rPr>
        <w:tab/>
        <w:t>الإجراءات الوقائية والعلاجية لحل مشكلة الانقطاع عن الدراسة في المؤسسات التعليمية؛</w:t>
      </w:r>
    </w:p>
    <w:p w:rsidR="00000000" w:rsidRDefault="00A208FF">
      <w:pPr>
        <w:tabs>
          <w:tab w:val="num" w:pos="1440"/>
        </w:tabs>
        <w:spacing w:line="400" w:lineRule="exact"/>
        <w:ind w:left="1440" w:hanging="720"/>
        <w:jc w:val="both"/>
        <w:rPr>
          <w:rFonts w:hint="cs"/>
          <w:rtl/>
        </w:rPr>
      </w:pPr>
      <w:r>
        <w:rPr>
          <w:rFonts w:hint="cs"/>
          <w:rtl/>
        </w:rPr>
        <w:t>-</w:t>
      </w:r>
      <w:r>
        <w:rPr>
          <w:rFonts w:hint="cs"/>
          <w:rtl/>
        </w:rPr>
        <w:tab/>
        <w:t>الحد من التهميش الاجتماعي.</w:t>
      </w:r>
    </w:p>
    <w:p w:rsidR="00000000" w:rsidRDefault="00A208FF">
      <w:pPr>
        <w:spacing w:line="400" w:lineRule="exact"/>
        <w:jc w:val="both"/>
        <w:rPr>
          <w:rFonts w:hint="cs"/>
          <w:b/>
          <w:bCs/>
          <w:rtl/>
        </w:rPr>
      </w:pPr>
      <w:r>
        <w:rPr>
          <w:rFonts w:hint="cs"/>
          <w:b/>
          <w:bCs/>
          <w:rtl/>
        </w:rPr>
        <w:t>التعليم والتدريب للأطفال والكبار من غير الإيطاليين</w:t>
      </w:r>
    </w:p>
    <w:p w:rsidR="00000000" w:rsidRDefault="00A208FF">
      <w:pPr>
        <w:spacing w:line="400" w:lineRule="exact"/>
        <w:jc w:val="both"/>
        <w:rPr>
          <w:rFonts w:hint="cs"/>
          <w:rtl/>
        </w:rPr>
      </w:pPr>
      <w:r>
        <w:rPr>
          <w:rFonts w:hint="cs"/>
          <w:rtl/>
        </w:rPr>
        <w:t>275-</w:t>
      </w:r>
      <w:r>
        <w:rPr>
          <w:rFonts w:hint="cs"/>
          <w:rtl/>
        </w:rPr>
        <w:tab/>
        <w:t>ينص القانون 40/1998 على تعزيز الدورات التدريبية وتعليم اللغة الإيطالية للأ</w:t>
      </w:r>
      <w:r>
        <w:rPr>
          <w:rFonts w:hint="cs"/>
          <w:rtl/>
        </w:rPr>
        <w:t xml:space="preserve">طفال والكبار من الأجانب، فضلاً عن دروس محو الأمية للأجانب الكبار، وإتاحة الفرصة لهم للحصول على شهادة الانتهاء من الدراسة تغطي مرحلة التعليم الإلزامي. فبالنسبة إلى المهاجرين، يمكن اعتبار مجرد تعلم اللغة الإيطالية والمشاركة في التعليم المتعدد الثقافات مستوى </w:t>
      </w:r>
      <w:r>
        <w:rPr>
          <w:rFonts w:hint="cs"/>
          <w:rtl/>
        </w:rPr>
        <w:t>أولياً مهماً لأغراض "التدريب".</w:t>
      </w:r>
    </w:p>
    <w:p w:rsidR="00000000" w:rsidRDefault="00A208FF">
      <w:pPr>
        <w:spacing w:line="400" w:lineRule="exact"/>
        <w:jc w:val="both"/>
        <w:rPr>
          <w:rFonts w:hint="cs"/>
          <w:b/>
          <w:bCs/>
          <w:rtl/>
        </w:rPr>
      </w:pPr>
      <w:r>
        <w:rPr>
          <w:rFonts w:hint="cs"/>
          <w:b/>
          <w:bCs/>
          <w:rtl/>
        </w:rPr>
        <w:t>المبادرات</w:t>
      </w:r>
    </w:p>
    <w:p w:rsidR="00000000" w:rsidRDefault="00A208FF">
      <w:pPr>
        <w:spacing w:line="400" w:lineRule="exact"/>
        <w:jc w:val="both"/>
        <w:rPr>
          <w:rFonts w:hint="cs"/>
          <w:rtl/>
        </w:rPr>
      </w:pPr>
      <w:r>
        <w:rPr>
          <w:rFonts w:hint="cs"/>
          <w:rtl/>
        </w:rPr>
        <w:t>276-</w:t>
      </w:r>
      <w:r>
        <w:rPr>
          <w:rFonts w:hint="cs"/>
          <w:rtl/>
        </w:rPr>
        <w:tab/>
        <w:t>يمكن إدراج تدابير التعليم والتدريب الجديدة ضمن إطار للسياسات (يرمي إلى توفير مجموعة واسعة النطاق من فرص التعليم والتدريب تتماشى مع احتياجات مختلف مراحل الحياة وتكون في متناول الجميع) وُضع من خلال مشاركة مختلف م</w:t>
      </w:r>
      <w:r>
        <w:rPr>
          <w:rFonts w:hint="cs"/>
          <w:rtl/>
        </w:rPr>
        <w:t>ستويات المؤسسات والشركاء الاجتماعيين. وتهدف تلك التدابير إلى تعزيز ما يلي:</w:t>
      </w:r>
    </w:p>
    <w:p w:rsidR="00000000" w:rsidRDefault="00A208FF">
      <w:pPr>
        <w:numPr>
          <w:ilvl w:val="0"/>
          <w:numId w:val="69"/>
        </w:numPr>
        <w:spacing w:line="400" w:lineRule="exact"/>
        <w:ind w:left="1440" w:right="0" w:hanging="720"/>
        <w:jc w:val="both"/>
        <w:rPr>
          <w:rFonts w:hint="cs"/>
        </w:rPr>
      </w:pPr>
      <w:r>
        <w:rPr>
          <w:rFonts w:hint="cs"/>
          <w:rtl/>
        </w:rPr>
        <w:t>إتاحة سبل جديدة للتدريب المتكامل في الفترات التي تعقب التعليم الإلزامي ومنح الشهادات لإمداد الناس بالمهارات المهنية والتقنية التي يمكن استخدامها في إنتاج السلع والخدمات الشديدة التع</w:t>
      </w:r>
      <w:r>
        <w:rPr>
          <w:rFonts w:hint="cs"/>
          <w:rtl/>
        </w:rPr>
        <w:t>قد تكنولوجياً وتنظيمياً؛</w:t>
      </w:r>
    </w:p>
    <w:p w:rsidR="00000000" w:rsidRDefault="00A208FF">
      <w:pPr>
        <w:spacing w:line="400" w:lineRule="exact"/>
        <w:ind w:left="1440" w:hanging="720"/>
        <w:jc w:val="both"/>
        <w:rPr>
          <w:rFonts w:hint="cs"/>
          <w:rtl/>
        </w:rPr>
      </w:pPr>
      <w:r>
        <w:rPr>
          <w:rFonts w:hint="cs"/>
          <w:rtl/>
        </w:rPr>
        <w:t>-</w:t>
      </w:r>
      <w:r>
        <w:rPr>
          <w:rFonts w:hint="cs"/>
          <w:rtl/>
        </w:rPr>
        <w:tab/>
        <w:t xml:space="preserve">تطوير أنشطة التتلمذ المهني الذي يعتبر قناة مهمة لتعزيز المهارات وفرص العمل. وسيوسّع نطاق </w:t>
      </w:r>
      <w:r>
        <w:rPr>
          <w:rFonts w:hint="cs"/>
          <w:spacing w:val="0"/>
          <w:rtl/>
        </w:rPr>
        <w:t>هذه المبادرة من حيث التطبيق والمدة والفئات العمرية المشمولة (ففي عام 2000، كان 000 73</w:t>
      </w:r>
      <w:r>
        <w:rPr>
          <w:rFonts w:hint="cs"/>
          <w:rtl/>
        </w:rPr>
        <w:t xml:space="preserve"> متتلمذ يتلقون التدريب).</w:t>
      </w:r>
    </w:p>
    <w:p w:rsidR="00000000" w:rsidRDefault="00A208FF">
      <w:pPr>
        <w:jc w:val="both"/>
        <w:rPr>
          <w:rFonts w:hint="cs"/>
          <w:rtl/>
        </w:rPr>
      </w:pPr>
      <w:r>
        <w:rPr>
          <w:rFonts w:hint="cs"/>
          <w:rtl/>
        </w:rPr>
        <w:t>277-</w:t>
      </w:r>
      <w:r>
        <w:rPr>
          <w:rFonts w:hint="cs"/>
          <w:rtl/>
        </w:rPr>
        <w:tab/>
        <w:t>ويشمل البرنامج التشغيلي ا</w:t>
      </w:r>
      <w:r>
        <w:rPr>
          <w:rFonts w:hint="cs"/>
          <w:rtl/>
        </w:rPr>
        <w:t>لوطني الذي وضعته وزارة التعليم للفترة 2000-2006 التدابير التالية:</w:t>
      </w:r>
    </w:p>
    <w:p w:rsidR="00000000" w:rsidRDefault="00A208FF">
      <w:pPr>
        <w:ind w:left="1440" w:hanging="720"/>
        <w:jc w:val="both"/>
        <w:rPr>
          <w:rFonts w:hint="cs"/>
          <w:rtl/>
        </w:rPr>
      </w:pPr>
      <w:r>
        <w:rPr>
          <w:rFonts w:hint="cs"/>
          <w:rtl/>
        </w:rPr>
        <w:t>-</w:t>
      </w:r>
      <w:r>
        <w:rPr>
          <w:rFonts w:hint="cs"/>
          <w:rtl/>
        </w:rPr>
        <w:tab/>
        <w:t>تشخيص مكيف بحسب أوضاع التلاميذ الوافدين وإعادة تحديد الخرائط المعرفية فيما يتعلق بخبراتهم الفردية المحددة وخلفياتهم وبيئاتهم الأسرية؛</w:t>
      </w:r>
    </w:p>
    <w:p w:rsidR="00000000" w:rsidRDefault="00A208FF">
      <w:pPr>
        <w:ind w:left="1440" w:hanging="720"/>
        <w:jc w:val="both"/>
        <w:rPr>
          <w:rFonts w:hint="cs"/>
          <w:rtl/>
        </w:rPr>
      </w:pPr>
      <w:r>
        <w:rPr>
          <w:rFonts w:hint="cs"/>
          <w:rtl/>
        </w:rPr>
        <w:t>-</w:t>
      </w:r>
      <w:r>
        <w:rPr>
          <w:rFonts w:hint="cs"/>
          <w:rtl/>
        </w:rPr>
        <w:tab/>
        <w:t>إيجاد سبل تعليمية إضافية خارج نطاق المدرسة (تجربة ال</w:t>
      </w:r>
      <w:r>
        <w:rPr>
          <w:rFonts w:hint="cs"/>
          <w:rtl/>
        </w:rPr>
        <w:t>تحصيل الدراسي/التدريب المتكامل)؛</w:t>
      </w:r>
    </w:p>
    <w:p w:rsidR="00000000" w:rsidRDefault="00A208FF">
      <w:pPr>
        <w:ind w:left="1440" w:hanging="720"/>
        <w:jc w:val="both"/>
        <w:rPr>
          <w:rFonts w:hint="cs"/>
          <w:rtl/>
        </w:rPr>
      </w:pPr>
      <w:r>
        <w:rPr>
          <w:rFonts w:hint="cs"/>
          <w:rtl/>
        </w:rPr>
        <w:t>-</w:t>
      </w:r>
      <w:r>
        <w:rPr>
          <w:rFonts w:hint="cs"/>
          <w:rtl/>
        </w:rPr>
        <w:tab/>
        <w:t>إيجاد سبل تعليمية إضافية خارج نطاق المدرسة (خبرة خارجة عن المنهج الدراسي، حلقات عمل، إعانات للمطاعم المدرسية، نقل)؛</w:t>
      </w:r>
    </w:p>
    <w:p w:rsidR="00000000" w:rsidRDefault="00A208FF">
      <w:pPr>
        <w:ind w:left="1440" w:hanging="720"/>
        <w:jc w:val="both"/>
        <w:rPr>
          <w:rFonts w:hint="cs"/>
          <w:rtl/>
        </w:rPr>
      </w:pPr>
      <w:r>
        <w:rPr>
          <w:rFonts w:hint="cs"/>
          <w:rtl/>
        </w:rPr>
        <w:t>-</w:t>
      </w:r>
      <w:r>
        <w:rPr>
          <w:rFonts w:hint="cs"/>
          <w:rtl/>
        </w:rPr>
        <w:tab/>
        <w:t>توفير خدمات استشارية مكيفة بحسب أوضاع التلاميذ لتوفير التوجيه للمساعدة في اتخاذ القرارات في مجال التعلي</w:t>
      </w:r>
      <w:r>
        <w:rPr>
          <w:rFonts w:hint="cs"/>
          <w:rtl/>
        </w:rPr>
        <w:t>م والتدريب وتيسير الدخول في الحياة العملية، والتحصيل الدراسي/ التدريب المتكامل؛</w:t>
      </w:r>
    </w:p>
    <w:p w:rsidR="00000000" w:rsidRDefault="00A208FF">
      <w:pPr>
        <w:ind w:left="1440" w:hanging="720"/>
        <w:jc w:val="both"/>
        <w:rPr>
          <w:rFonts w:hint="cs"/>
          <w:rtl/>
        </w:rPr>
      </w:pPr>
      <w:r>
        <w:rPr>
          <w:rFonts w:hint="cs"/>
          <w:rtl/>
        </w:rPr>
        <w:t>-</w:t>
      </w:r>
      <w:r>
        <w:rPr>
          <w:rFonts w:hint="cs"/>
          <w:rtl/>
        </w:rPr>
        <w:tab/>
        <w:t>الاستخدام الواسع النطاق لمختلف أشكال الخبرة المهنية؛</w:t>
      </w:r>
    </w:p>
    <w:p w:rsidR="00000000" w:rsidRDefault="00A208FF">
      <w:pPr>
        <w:ind w:left="1440" w:hanging="720"/>
        <w:jc w:val="both"/>
        <w:rPr>
          <w:rFonts w:hint="cs"/>
          <w:rtl/>
        </w:rPr>
      </w:pPr>
      <w:r>
        <w:rPr>
          <w:rFonts w:hint="cs"/>
          <w:rtl/>
        </w:rPr>
        <w:t>-</w:t>
      </w:r>
      <w:r>
        <w:rPr>
          <w:rFonts w:hint="cs"/>
          <w:rtl/>
        </w:rPr>
        <w:tab/>
        <w:t>توعية الأسر بمتطلبات الحياة المدرسية وإشراكها فيها؛</w:t>
      </w:r>
    </w:p>
    <w:p w:rsidR="00000000" w:rsidRDefault="00A208FF">
      <w:pPr>
        <w:ind w:left="1440" w:hanging="720"/>
        <w:jc w:val="both"/>
        <w:rPr>
          <w:rFonts w:hint="cs"/>
          <w:rtl/>
        </w:rPr>
      </w:pPr>
      <w:r>
        <w:rPr>
          <w:rFonts w:hint="cs"/>
          <w:rtl/>
        </w:rPr>
        <w:t>-</w:t>
      </w:r>
      <w:r>
        <w:rPr>
          <w:rFonts w:hint="cs"/>
          <w:rtl/>
        </w:rPr>
        <w:tab/>
        <w:t>استحداث ائتمانات التدريب؛</w:t>
      </w:r>
    </w:p>
    <w:p w:rsidR="00000000" w:rsidRDefault="00A208FF">
      <w:pPr>
        <w:ind w:left="1440" w:hanging="720"/>
        <w:jc w:val="both"/>
        <w:rPr>
          <w:rFonts w:hint="cs"/>
          <w:rtl/>
        </w:rPr>
      </w:pPr>
      <w:r>
        <w:rPr>
          <w:rFonts w:hint="cs"/>
          <w:rtl/>
        </w:rPr>
        <w:t>-</w:t>
      </w:r>
      <w:r>
        <w:rPr>
          <w:rFonts w:hint="cs"/>
          <w:rtl/>
        </w:rPr>
        <w:tab/>
        <w:t>تطوير البنية التحتية لخدمات الدعم.</w:t>
      </w:r>
    </w:p>
    <w:p w:rsidR="00000000" w:rsidRDefault="00A208FF">
      <w:pPr>
        <w:spacing w:line="400" w:lineRule="exact"/>
        <w:jc w:val="both"/>
        <w:rPr>
          <w:rFonts w:hint="cs"/>
          <w:b/>
          <w:bCs/>
        </w:rPr>
      </w:pPr>
      <w:r>
        <w:rPr>
          <w:rFonts w:hint="cs"/>
          <w:b/>
          <w:bCs/>
          <w:rtl/>
        </w:rPr>
        <w:t>ال</w:t>
      </w:r>
      <w:r>
        <w:rPr>
          <w:rFonts w:hint="cs"/>
          <w:b/>
          <w:bCs/>
          <w:rtl/>
        </w:rPr>
        <w:t>بنية التحتية لخدمات الدعم</w:t>
      </w:r>
    </w:p>
    <w:p w:rsidR="00000000" w:rsidRDefault="00A208FF">
      <w:pPr>
        <w:spacing w:line="400" w:lineRule="exact"/>
        <w:jc w:val="both"/>
        <w:rPr>
          <w:rFonts w:hint="cs"/>
          <w:rtl/>
        </w:rPr>
      </w:pPr>
      <w:r>
        <w:rPr>
          <w:rFonts w:hint="cs"/>
          <w:rtl/>
        </w:rPr>
        <w:t>278-</w:t>
      </w:r>
      <w:r>
        <w:rPr>
          <w:rFonts w:hint="cs"/>
          <w:rtl/>
        </w:rPr>
        <w:tab/>
        <w:t xml:space="preserve">يعد إنشاء وتعزيز البنية التحتية لخدمات الدعم شرطاً لازماً لتحقيق المزيد من الاندماج الاجتماعي ودعم أي مبادرة ترمي إلى الحد من الانقطاع عن الدراسة. ومن ثم، فمن الأساسي تعزيز المبادرات الرامية إلى إيجاد البنية التحتية المناسبة </w:t>
      </w:r>
      <w:r>
        <w:rPr>
          <w:rFonts w:hint="cs"/>
          <w:rtl/>
        </w:rPr>
        <w:t>لتدريب الشباب. ويتضمن ذلك "مراكز أبحاث الحد من حالات الانقطاع عن الدراسة" (مثل تنظيم حلقات العمل التوجيهية العلمية التكنولوجية، وحلقات العمل للتحليل البيئي أو محاكاة عمليات الإنتاج، وهياكل للدراسات اللغوية والتعبيرية) و"مراكز أبحاث الإدماج الاجتماعي للسكان</w:t>
      </w:r>
      <w:r>
        <w:rPr>
          <w:rFonts w:hint="cs"/>
          <w:rtl/>
        </w:rPr>
        <w:t xml:space="preserve"> في المناطق النائية" (مثل ورش الأعمال الحرفية، وتكنولوجيات المعلومات ونظم الاتصال من بعد، والهياكل "الخفيفة" للأنشطة الترفيهية والاجتماعية).</w:t>
      </w:r>
    </w:p>
    <w:p w:rsidR="00000000" w:rsidRDefault="00A208FF">
      <w:pPr>
        <w:spacing w:line="400" w:lineRule="exact"/>
        <w:jc w:val="center"/>
        <w:rPr>
          <w:rFonts w:hint="cs"/>
          <w:b/>
          <w:bCs/>
          <w:rtl/>
        </w:rPr>
      </w:pPr>
      <w:r>
        <w:rPr>
          <w:rFonts w:hint="cs"/>
          <w:b/>
          <w:bCs/>
          <w:rtl/>
        </w:rPr>
        <w:t>ياء- المادة 15</w:t>
      </w:r>
    </w:p>
    <w:p w:rsidR="00000000" w:rsidRDefault="00A208FF">
      <w:pPr>
        <w:spacing w:line="400" w:lineRule="exact"/>
        <w:jc w:val="center"/>
        <w:rPr>
          <w:rFonts w:hint="cs"/>
          <w:b/>
          <w:bCs/>
          <w:rtl/>
        </w:rPr>
      </w:pPr>
      <w:r>
        <w:rPr>
          <w:rFonts w:hint="cs"/>
          <w:b/>
          <w:bCs/>
          <w:rtl/>
        </w:rPr>
        <w:t>الحياة الثقافية</w:t>
      </w:r>
    </w:p>
    <w:p w:rsidR="00000000" w:rsidRDefault="00A208FF">
      <w:pPr>
        <w:spacing w:line="400" w:lineRule="exact"/>
        <w:jc w:val="both"/>
        <w:rPr>
          <w:rFonts w:hint="cs"/>
          <w:rtl/>
        </w:rPr>
      </w:pPr>
      <w:r>
        <w:rPr>
          <w:rFonts w:hint="cs"/>
          <w:rtl/>
        </w:rPr>
        <w:t>279-</w:t>
      </w:r>
      <w:r>
        <w:rPr>
          <w:rFonts w:hint="cs"/>
          <w:rtl/>
        </w:rPr>
        <w:tab/>
        <w:t>تتحمل وزارة الموارد الثقافية والبيئية المسؤولية عن الأنشطة الثقافية بمعناها الد</w:t>
      </w:r>
      <w:r>
        <w:rPr>
          <w:rFonts w:hint="cs"/>
          <w:rtl/>
        </w:rPr>
        <w:t>قيق، كما تتحم</w:t>
      </w:r>
      <w:r>
        <w:rPr>
          <w:rFonts w:hint="eastAsia"/>
          <w:rtl/>
        </w:rPr>
        <w:t>ل</w:t>
      </w:r>
      <w:r>
        <w:rPr>
          <w:rFonts w:hint="cs"/>
          <w:rtl/>
        </w:rPr>
        <w:t xml:space="preserve"> هذه المسؤولية المؤسسات العامة المحلية (الإدارات المعنية بالشؤون الثقافية التابعة للسلطات الإقليمية والمحلية). بيد أن هذه الهياكل لا تتعلق إلا بجزء ضئيل من مجموع المبادرات والإجراءات وأنشطة التمويل الواسعة النطاق التي تديرها وتنسقها جهات أخرى</w:t>
      </w:r>
      <w:r>
        <w:rPr>
          <w:rFonts w:hint="cs"/>
          <w:rtl/>
        </w:rPr>
        <w:t xml:space="preserve"> تابعة للحكومة المركزية أو المحلية، والتي لا يمكن اعتبارها بالضرورة أنشطة ثقافية، ذلك لأنها تندرج تحت بنود مختلفة للإنفاق (الحق في الدراسة؛ ومبادرات التشييد والتخطيط الحضري؛ وتمويل النشاط المسرحي والموسيقي وغير ذلك من الأنشطة المتصلة بمناسبات بعينها؛ وتموي</w:t>
      </w:r>
      <w:r>
        <w:rPr>
          <w:rFonts w:hint="cs"/>
          <w:rtl/>
        </w:rPr>
        <w:t>ل الدراسات والمشاريع البحثية؛ ونشر الكتب والدوريات وغير ذلك).</w:t>
      </w:r>
    </w:p>
    <w:p w:rsidR="00000000" w:rsidRDefault="00A208FF">
      <w:pPr>
        <w:spacing w:line="400" w:lineRule="exact"/>
        <w:jc w:val="both"/>
        <w:rPr>
          <w:rFonts w:hint="cs"/>
          <w:spacing w:val="2"/>
          <w:rtl/>
        </w:rPr>
      </w:pPr>
      <w:r>
        <w:rPr>
          <w:rFonts w:hint="cs"/>
          <w:rtl/>
        </w:rPr>
        <w:t>280-</w:t>
      </w:r>
      <w:r>
        <w:rPr>
          <w:rFonts w:hint="cs"/>
          <w:rtl/>
        </w:rPr>
        <w:tab/>
        <w:t xml:space="preserve">وقد زادت وزارة الموارد الثقافية والبيئية الموارد المتاحة خلال السنتين الماضيتين بمقدار الضعف تقريباً، إذ </w:t>
      </w:r>
      <w:r>
        <w:rPr>
          <w:rFonts w:hint="cs"/>
          <w:spacing w:val="2"/>
          <w:rtl/>
        </w:rPr>
        <w:t>زاد حجمها من 600 2 مليار ليرة في عامي 1998 و1999 إلى 800 4 مليار ليرة في عام 2000، ب</w:t>
      </w:r>
      <w:r>
        <w:rPr>
          <w:rFonts w:hint="cs"/>
          <w:spacing w:val="2"/>
          <w:rtl/>
        </w:rPr>
        <w:t>الإضافة إلى الموارد التي أتاحها "محور الموارد الثقافية التابع للخطة الإنمائية للجنوب الإيطالي" الذي يشارك في تمويله مناصفة كل من الصندوق الاجتماعي للطوارئ والصندوق الوطني الدائر والتي تبلغ 200 5 مليار ليرة على مدى سبع سنوات.</w:t>
      </w:r>
    </w:p>
    <w:p w:rsidR="00000000" w:rsidRDefault="00A208FF">
      <w:pPr>
        <w:spacing w:line="400" w:lineRule="exact"/>
        <w:jc w:val="both"/>
        <w:rPr>
          <w:rFonts w:hint="cs"/>
          <w:rtl/>
        </w:rPr>
      </w:pPr>
      <w:r>
        <w:rPr>
          <w:rFonts w:hint="cs"/>
          <w:rtl/>
        </w:rPr>
        <w:t>281-</w:t>
      </w:r>
      <w:r>
        <w:rPr>
          <w:rFonts w:hint="cs"/>
          <w:rtl/>
        </w:rPr>
        <w:tab/>
        <w:t xml:space="preserve">وتشير البيانات المتاحة عن </w:t>
      </w:r>
      <w:r>
        <w:rPr>
          <w:rFonts w:hint="cs"/>
          <w:rtl/>
        </w:rPr>
        <w:t>إنفاق الأقاليم على الأنشطة الثقافية إلى وجود اتجاه تنازلي حتى عام 1995، أعقبه تحسن في السنوات القليلة الماضية.</w:t>
      </w:r>
    </w:p>
    <w:p w:rsidR="00000000" w:rsidRDefault="00A208FF">
      <w:pPr>
        <w:spacing w:line="400" w:lineRule="exact"/>
        <w:jc w:val="center"/>
        <w:rPr>
          <w:b/>
          <w:bCs/>
          <w:rtl/>
        </w:rPr>
      </w:pPr>
      <w:r>
        <w:rPr>
          <w:rFonts w:hint="cs"/>
          <w:b/>
          <w:bCs/>
          <w:rtl/>
        </w:rPr>
        <w:t>الجدول 5</w:t>
      </w:r>
      <w:r>
        <w:rPr>
          <w:rtl/>
        </w:rPr>
        <w:br/>
      </w:r>
      <w:r>
        <w:rPr>
          <w:rFonts w:hint="cs"/>
          <w:b/>
          <w:bCs/>
          <w:rtl/>
        </w:rPr>
        <w:t>الإنفاق على الأنشطة الثقافية بحسب الأقاليم، 1993-1997</w:t>
      </w:r>
      <w:r>
        <w:rPr>
          <w:b/>
          <w:bCs/>
          <w:rtl/>
        </w:rPr>
        <w:br/>
        <w:t>(بمليارات الليرات)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tblGrid>
      <w:tr w:rsidR="00A208FF" w:rsidTr="00A208FF">
        <w:tblPrEx>
          <w:tblCellMar>
            <w:top w:w="0" w:type="dxa"/>
            <w:bottom w:w="0" w:type="dxa"/>
          </w:tblCellMar>
        </w:tblPrEx>
        <w:trPr>
          <w:jc w:val="center"/>
        </w:trPr>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1993</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1994</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1995</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1996</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1997</w:t>
            </w:r>
          </w:p>
        </w:tc>
      </w:tr>
      <w:tr w:rsidR="00A208FF" w:rsidTr="00A208FF">
        <w:tblPrEx>
          <w:tblCellMar>
            <w:top w:w="0" w:type="dxa"/>
            <w:bottom w:w="0" w:type="dxa"/>
          </w:tblCellMar>
        </w:tblPrEx>
        <w:trPr>
          <w:jc w:val="center"/>
        </w:trPr>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564 1</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474.2 1</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145.6 1</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425.4 1</w:t>
            </w:r>
          </w:p>
        </w:tc>
        <w:tc>
          <w:tcPr>
            <w:tcW w:w="1595" w:type="dxa"/>
          </w:tcPr>
          <w:p w:rsidR="00A208FF" w:rsidRDefault="00A208FF">
            <w:pPr>
              <w:spacing w:before="0" w:after="0" w:line="400" w:lineRule="exact"/>
              <w:jc w:val="center"/>
              <w:rPr>
                <w:rStyle w:val="FootnoteReference"/>
                <w:rFonts w:hint="cs"/>
                <w:bCs w:val="0"/>
                <w:szCs w:val="30"/>
                <w:vertAlign w:val="baseline"/>
              </w:rPr>
            </w:pPr>
            <w:r>
              <w:rPr>
                <w:rFonts w:hint="cs"/>
                <w:rtl/>
              </w:rPr>
              <w:t>570.2 1</w:t>
            </w:r>
          </w:p>
        </w:tc>
      </w:tr>
    </w:tbl>
    <w:p w:rsidR="00000000" w:rsidRDefault="00A208FF">
      <w:pPr>
        <w:spacing w:line="400" w:lineRule="exact"/>
        <w:jc w:val="both"/>
        <w:rPr>
          <w:rFonts w:hint="cs"/>
          <w:rtl/>
        </w:rPr>
      </w:pPr>
      <w:r>
        <w:rPr>
          <w:rFonts w:hint="cs"/>
          <w:rtl/>
        </w:rPr>
        <w:t>282-</w:t>
      </w:r>
      <w:r>
        <w:rPr>
          <w:rFonts w:hint="cs"/>
          <w:rtl/>
        </w:rPr>
        <w:tab/>
        <w:t xml:space="preserve">تشمل أهم المبادرات الحكومية المتخذة في الفترة 1996-2000 الإصلاح الجذري لنظام إدارة المتاحف بزيادة عدد ساعات العمل (بما في ذلك ليلاً وفي أيام العطل)؛ وإعادة تنظيم وتحديث مرافق التخزين والطعام والإعلام والدعم والحجز؛ وتعديل رسوم تذاكر الدخول بمنح خصم </w:t>
      </w:r>
      <w:r>
        <w:rPr>
          <w:rFonts w:hint="cs"/>
          <w:rtl/>
        </w:rPr>
        <w:t>للشباب والمسنين.</w:t>
      </w:r>
    </w:p>
    <w:p w:rsidR="00000000" w:rsidRDefault="00A208FF">
      <w:pPr>
        <w:spacing w:line="400" w:lineRule="exact"/>
        <w:jc w:val="both"/>
        <w:rPr>
          <w:rFonts w:hint="cs"/>
          <w:rtl/>
        </w:rPr>
      </w:pPr>
      <w:r>
        <w:rPr>
          <w:rFonts w:hint="cs"/>
          <w:rtl/>
        </w:rPr>
        <w:t>283-</w:t>
      </w:r>
      <w:r>
        <w:rPr>
          <w:rFonts w:hint="cs"/>
          <w:rtl/>
        </w:rPr>
        <w:tab/>
        <w:t>ويتضمن الجدول التالي بيانات عن زيارة المتاحف:</w:t>
      </w:r>
    </w:p>
    <w:p w:rsidR="00000000" w:rsidRDefault="00A208FF">
      <w:pPr>
        <w:spacing w:line="400" w:lineRule="exact"/>
        <w:jc w:val="center"/>
        <w:rPr>
          <w:rFonts w:hint="cs"/>
          <w:b/>
          <w:bCs/>
          <w:rtl/>
        </w:rPr>
      </w:pPr>
      <w:r>
        <w:rPr>
          <w:rFonts w:hint="cs"/>
          <w:b/>
          <w:bCs/>
          <w:rtl/>
        </w:rPr>
        <w:t>الجدول 6</w:t>
      </w:r>
    </w:p>
    <w:p w:rsidR="00000000" w:rsidRDefault="00A208FF">
      <w:pPr>
        <w:spacing w:line="400" w:lineRule="exact"/>
        <w:jc w:val="center"/>
        <w:rPr>
          <w:rFonts w:hint="cs"/>
          <w:b/>
          <w:bCs/>
          <w:rtl/>
        </w:rPr>
      </w:pPr>
      <w:r>
        <w:rPr>
          <w:rFonts w:hint="cs"/>
          <w:b/>
          <w:bCs/>
          <w:rtl/>
        </w:rPr>
        <w:t>زيارة المتاحف</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2154"/>
        <w:gridCol w:w="1980"/>
        <w:gridCol w:w="2160"/>
        <w:gridCol w:w="2088"/>
      </w:tblGrid>
      <w:tr w:rsidR="00A208FF" w:rsidTr="00A208FF">
        <w:tblPrEx>
          <w:tblCellMar>
            <w:top w:w="0" w:type="dxa"/>
            <w:bottom w:w="0" w:type="dxa"/>
          </w:tblCellMar>
        </w:tblPrEx>
        <w:trPr>
          <w:jc w:val="center"/>
        </w:trPr>
        <w:tc>
          <w:tcPr>
            <w:tcW w:w="1188"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السنة</w:t>
            </w:r>
          </w:p>
        </w:tc>
        <w:tc>
          <w:tcPr>
            <w:tcW w:w="2154"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مجموع عدد الزوار</w:t>
            </w:r>
          </w:p>
        </w:tc>
        <w:tc>
          <w:tcPr>
            <w:tcW w:w="1980"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النسبة المئوية مقارنة بالسنة السابقة</w:t>
            </w:r>
          </w:p>
        </w:tc>
        <w:tc>
          <w:tcPr>
            <w:tcW w:w="2160"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الزوار الذين يدفعون ثمن التذاكر</w:t>
            </w:r>
          </w:p>
        </w:tc>
        <w:tc>
          <w:tcPr>
            <w:tcW w:w="2088" w:type="dxa"/>
            <w:tcBorders>
              <w:bottom w:val="single" w:sz="4" w:space="0" w:color="auto"/>
            </w:tcBorders>
            <w:vAlign w:val="bottom"/>
          </w:tcPr>
          <w:p w:rsidR="00A208FF" w:rsidRDefault="00A208FF">
            <w:pPr>
              <w:spacing w:before="0" w:after="0" w:line="400" w:lineRule="exact"/>
              <w:jc w:val="center"/>
              <w:rPr>
                <w:rStyle w:val="FootnoteReference"/>
                <w:rFonts w:hint="cs"/>
                <w:bCs w:val="0"/>
                <w:szCs w:val="30"/>
                <w:vertAlign w:val="baseline"/>
              </w:rPr>
            </w:pPr>
            <w:r>
              <w:rPr>
                <w:rFonts w:hint="cs"/>
                <w:rtl/>
              </w:rPr>
              <w:t>النسبة المئوية مقارنة بالسنة السابقة</w:t>
            </w:r>
          </w:p>
        </w:tc>
      </w:tr>
      <w:tr w:rsidR="00A208FF" w:rsidTr="00A208FF">
        <w:tblPrEx>
          <w:tblCellMar>
            <w:top w:w="0" w:type="dxa"/>
            <w:bottom w:w="0" w:type="dxa"/>
          </w:tblCellMar>
        </w:tblPrEx>
        <w:trPr>
          <w:jc w:val="center"/>
        </w:trPr>
        <w:tc>
          <w:tcPr>
            <w:tcW w:w="1188" w:type="dxa"/>
            <w:tcBorders>
              <w:bottom w:val="nil"/>
            </w:tcBorders>
          </w:tcPr>
          <w:p w:rsidR="00A208FF" w:rsidRDefault="00A208FF">
            <w:pPr>
              <w:spacing w:before="0" w:after="0" w:line="400" w:lineRule="exact"/>
              <w:jc w:val="both"/>
              <w:rPr>
                <w:rStyle w:val="FootnoteReference"/>
                <w:bCs w:val="0"/>
                <w:szCs w:val="30"/>
                <w:vertAlign w:val="baseline"/>
              </w:rPr>
            </w:pPr>
            <w:r>
              <w:rPr>
                <w:rFonts w:hint="cs"/>
                <w:rtl/>
              </w:rPr>
              <w:t>1990</w:t>
            </w:r>
          </w:p>
        </w:tc>
        <w:tc>
          <w:tcPr>
            <w:tcW w:w="2154" w:type="dxa"/>
            <w:tcBorders>
              <w:bottom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239 737 25</w:t>
            </w:r>
          </w:p>
        </w:tc>
        <w:tc>
          <w:tcPr>
            <w:tcW w:w="1980" w:type="dxa"/>
            <w:tcBorders>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w:t>
            </w:r>
          </w:p>
        </w:tc>
        <w:tc>
          <w:tcPr>
            <w:tcW w:w="2160" w:type="dxa"/>
            <w:tcBorders>
              <w:bottom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242 881 8</w:t>
            </w:r>
          </w:p>
        </w:tc>
        <w:tc>
          <w:tcPr>
            <w:tcW w:w="2088" w:type="dxa"/>
            <w:tcBorders>
              <w:bottom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 xml:space="preserve">  -</w:t>
            </w:r>
          </w:p>
        </w:tc>
      </w:tr>
      <w:tr w:rsidR="00A208FF" w:rsidTr="00A208FF">
        <w:tblPrEx>
          <w:tblCellMar>
            <w:top w:w="0" w:type="dxa"/>
            <w:bottom w:w="0" w:type="dxa"/>
          </w:tblCellMar>
        </w:tblPrEx>
        <w:trPr>
          <w:jc w:val="center"/>
        </w:trPr>
        <w:tc>
          <w:tcPr>
            <w:tcW w:w="1188" w:type="dxa"/>
            <w:tcBorders>
              <w:top w:val="nil"/>
              <w:bottom w:val="nil"/>
            </w:tcBorders>
          </w:tcPr>
          <w:p w:rsidR="00A208FF" w:rsidRDefault="00A208FF">
            <w:pPr>
              <w:spacing w:before="0" w:after="0" w:line="400" w:lineRule="exact"/>
              <w:jc w:val="both"/>
              <w:rPr>
                <w:rStyle w:val="FootnoteReference"/>
                <w:rFonts w:hint="cs"/>
                <w:bCs w:val="0"/>
                <w:szCs w:val="30"/>
                <w:vertAlign w:val="baseline"/>
              </w:rPr>
            </w:pPr>
            <w:r>
              <w:rPr>
                <w:rFonts w:hint="cs"/>
                <w:rtl/>
              </w:rPr>
              <w:t>1994</w:t>
            </w:r>
          </w:p>
        </w:tc>
        <w:tc>
          <w:tcPr>
            <w:tcW w:w="2154" w:type="dxa"/>
            <w:tcBorders>
              <w:top w:val="nil"/>
              <w:bottom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876 790 23</w:t>
            </w:r>
          </w:p>
        </w:tc>
        <w:tc>
          <w:tcPr>
            <w:tcW w:w="1980"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w:t>
            </w:r>
          </w:p>
        </w:tc>
        <w:tc>
          <w:tcPr>
            <w:tcW w:w="2160" w:type="dxa"/>
            <w:tcBorders>
              <w:top w:val="nil"/>
              <w:bottom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688 785 9</w:t>
            </w:r>
          </w:p>
        </w:tc>
        <w:tc>
          <w:tcPr>
            <w:tcW w:w="2088" w:type="dxa"/>
            <w:tcBorders>
              <w:top w:val="nil"/>
              <w:bottom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 xml:space="preserve">  -</w:t>
            </w:r>
          </w:p>
        </w:tc>
      </w:tr>
      <w:tr w:rsidR="00A208FF" w:rsidTr="00A208FF">
        <w:tblPrEx>
          <w:tblCellMar>
            <w:top w:w="0" w:type="dxa"/>
            <w:bottom w:w="0" w:type="dxa"/>
          </w:tblCellMar>
        </w:tblPrEx>
        <w:trPr>
          <w:jc w:val="center"/>
        </w:trPr>
        <w:tc>
          <w:tcPr>
            <w:tcW w:w="1188" w:type="dxa"/>
            <w:tcBorders>
              <w:top w:val="nil"/>
              <w:bottom w:val="nil"/>
            </w:tcBorders>
          </w:tcPr>
          <w:p w:rsidR="00A208FF" w:rsidRDefault="00A208FF">
            <w:pPr>
              <w:spacing w:before="0" w:after="0" w:line="400" w:lineRule="exact"/>
              <w:jc w:val="both"/>
              <w:rPr>
                <w:rStyle w:val="FootnoteReference"/>
                <w:rFonts w:hint="cs"/>
                <w:bCs w:val="0"/>
                <w:szCs w:val="30"/>
                <w:vertAlign w:val="baseline"/>
              </w:rPr>
            </w:pPr>
            <w:r>
              <w:rPr>
                <w:rFonts w:hint="cs"/>
                <w:rtl/>
              </w:rPr>
              <w:t>1995</w:t>
            </w:r>
          </w:p>
        </w:tc>
        <w:tc>
          <w:tcPr>
            <w:tcW w:w="2154" w:type="dxa"/>
            <w:tcBorders>
              <w:top w:val="nil"/>
              <w:bottom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807 717 24</w:t>
            </w:r>
          </w:p>
        </w:tc>
        <w:tc>
          <w:tcPr>
            <w:tcW w:w="1980"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3.90</w:t>
            </w:r>
          </w:p>
        </w:tc>
        <w:tc>
          <w:tcPr>
            <w:tcW w:w="2160" w:type="dxa"/>
            <w:tcBorders>
              <w:top w:val="nil"/>
              <w:bottom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348 587 10</w:t>
            </w:r>
          </w:p>
        </w:tc>
        <w:tc>
          <w:tcPr>
            <w:tcW w:w="2088" w:type="dxa"/>
            <w:tcBorders>
              <w:top w:val="nil"/>
              <w:bottom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8.19</w:t>
            </w:r>
          </w:p>
        </w:tc>
      </w:tr>
      <w:tr w:rsidR="00A208FF" w:rsidTr="00A208FF">
        <w:tblPrEx>
          <w:tblCellMar>
            <w:top w:w="0" w:type="dxa"/>
            <w:bottom w:w="0" w:type="dxa"/>
          </w:tblCellMar>
        </w:tblPrEx>
        <w:trPr>
          <w:jc w:val="center"/>
        </w:trPr>
        <w:tc>
          <w:tcPr>
            <w:tcW w:w="1188" w:type="dxa"/>
            <w:tcBorders>
              <w:top w:val="nil"/>
              <w:bottom w:val="nil"/>
            </w:tcBorders>
          </w:tcPr>
          <w:p w:rsidR="00A208FF" w:rsidRDefault="00A208FF">
            <w:pPr>
              <w:spacing w:before="0" w:after="0" w:line="400" w:lineRule="exact"/>
              <w:jc w:val="both"/>
              <w:rPr>
                <w:rStyle w:val="FootnoteReference"/>
                <w:rFonts w:hint="cs"/>
                <w:bCs w:val="0"/>
                <w:szCs w:val="30"/>
                <w:vertAlign w:val="baseline"/>
              </w:rPr>
            </w:pPr>
            <w:r>
              <w:rPr>
                <w:rFonts w:hint="cs"/>
                <w:rtl/>
              </w:rPr>
              <w:t>1996</w:t>
            </w:r>
          </w:p>
        </w:tc>
        <w:tc>
          <w:tcPr>
            <w:tcW w:w="2154" w:type="dxa"/>
            <w:tcBorders>
              <w:top w:val="nil"/>
              <w:bottom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106 167 25</w:t>
            </w:r>
          </w:p>
        </w:tc>
        <w:tc>
          <w:tcPr>
            <w:tcW w:w="1980"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2.10</w:t>
            </w:r>
          </w:p>
        </w:tc>
        <w:tc>
          <w:tcPr>
            <w:tcW w:w="2160" w:type="dxa"/>
            <w:tcBorders>
              <w:top w:val="nil"/>
              <w:bottom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184 366 11</w:t>
            </w:r>
          </w:p>
        </w:tc>
        <w:tc>
          <w:tcPr>
            <w:tcW w:w="2088" w:type="dxa"/>
            <w:tcBorders>
              <w:top w:val="nil"/>
              <w:bottom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7.36</w:t>
            </w:r>
          </w:p>
        </w:tc>
      </w:tr>
      <w:tr w:rsidR="00A208FF" w:rsidTr="00A208FF">
        <w:tblPrEx>
          <w:tblCellMar>
            <w:top w:w="0" w:type="dxa"/>
            <w:bottom w:w="0" w:type="dxa"/>
          </w:tblCellMar>
        </w:tblPrEx>
        <w:trPr>
          <w:jc w:val="center"/>
        </w:trPr>
        <w:tc>
          <w:tcPr>
            <w:tcW w:w="1188" w:type="dxa"/>
            <w:tcBorders>
              <w:top w:val="nil"/>
              <w:bottom w:val="nil"/>
            </w:tcBorders>
          </w:tcPr>
          <w:p w:rsidR="00A208FF" w:rsidRDefault="00A208FF">
            <w:pPr>
              <w:spacing w:before="0" w:after="0" w:line="400" w:lineRule="exact"/>
              <w:jc w:val="both"/>
              <w:rPr>
                <w:rStyle w:val="FootnoteReference"/>
                <w:rFonts w:hint="cs"/>
                <w:bCs w:val="0"/>
                <w:szCs w:val="30"/>
                <w:vertAlign w:val="baseline"/>
              </w:rPr>
            </w:pPr>
            <w:r>
              <w:rPr>
                <w:rFonts w:hint="cs"/>
                <w:rtl/>
              </w:rPr>
              <w:t>1997</w:t>
            </w:r>
          </w:p>
        </w:tc>
        <w:tc>
          <w:tcPr>
            <w:tcW w:w="2154" w:type="dxa"/>
            <w:tcBorders>
              <w:top w:val="nil"/>
              <w:bottom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397 709 25</w:t>
            </w:r>
          </w:p>
        </w:tc>
        <w:tc>
          <w:tcPr>
            <w:tcW w:w="1980" w:type="dxa"/>
            <w:tcBorders>
              <w:top w:val="nil"/>
              <w:bottom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5.99</w:t>
            </w:r>
          </w:p>
        </w:tc>
        <w:tc>
          <w:tcPr>
            <w:tcW w:w="2160" w:type="dxa"/>
            <w:tcBorders>
              <w:top w:val="nil"/>
              <w:bottom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158 003 12</w:t>
            </w:r>
          </w:p>
        </w:tc>
        <w:tc>
          <w:tcPr>
            <w:tcW w:w="2088" w:type="dxa"/>
            <w:tcBorders>
              <w:top w:val="nil"/>
              <w:bottom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5.60</w:t>
            </w:r>
          </w:p>
        </w:tc>
      </w:tr>
      <w:tr w:rsidR="00A208FF" w:rsidTr="00A208FF">
        <w:tblPrEx>
          <w:tblCellMar>
            <w:top w:w="0" w:type="dxa"/>
            <w:bottom w:w="0" w:type="dxa"/>
          </w:tblCellMar>
        </w:tblPrEx>
        <w:trPr>
          <w:jc w:val="center"/>
        </w:trPr>
        <w:tc>
          <w:tcPr>
            <w:tcW w:w="1188" w:type="dxa"/>
            <w:tcBorders>
              <w:top w:val="nil"/>
            </w:tcBorders>
          </w:tcPr>
          <w:p w:rsidR="00A208FF" w:rsidRDefault="00A208FF">
            <w:pPr>
              <w:spacing w:before="0" w:after="0" w:line="400" w:lineRule="exact"/>
              <w:jc w:val="both"/>
              <w:rPr>
                <w:rStyle w:val="FootnoteReference"/>
                <w:rFonts w:hint="cs"/>
                <w:bCs w:val="0"/>
                <w:szCs w:val="30"/>
                <w:vertAlign w:val="baseline"/>
              </w:rPr>
            </w:pPr>
            <w:r>
              <w:rPr>
                <w:rFonts w:hint="cs"/>
                <w:rtl/>
              </w:rPr>
              <w:t>1998</w:t>
            </w:r>
          </w:p>
        </w:tc>
        <w:tc>
          <w:tcPr>
            <w:tcW w:w="2154" w:type="dxa"/>
            <w:tcBorders>
              <w:top w:val="nil"/>
            </w:tcBorders>
          </w:tcPr>
          <w:p w:rsidR="00A208FF" w:rsidRDefault="00A208FF">
            <w:pPr>
              <w:spacing w:before="0" w:after="0" w:line="400" w:lineRule="exact"/>
              <w:ind w:firstLine="285"/>
              <w:jc w:val="both"/>
              <w:rPr>
                <w:rStyle w:val="FootnoteReference"/>
                <w:rFonts w:hint="cs"/>
                <w:bCs w:val="0"/>
                <w:szCs w:val="30"/>
                <w:vertAlign w:val="baseline"/>
              </w:rPr>
            </w:pPr>
            <w:r>
              <w:rPr>
                <w:rFonts w:hint="cs"/>
                <w:rtl/>
              </w:rPr>
              <w:t>369 729 27</w:t>
            </w:r>
          </w:p>
        </w:tc>
        <w:tc>
          <w:tcPr>
            <w:tcW w:w="1980" w:type="dxa"/>
            <w:tcBorders>
              <w:top w:val="nil"/>
            </w:tcBorders>
          </w:tcPr>
          <w:p w:rsidR="00A208FF" w:rsidRDefault="00A208FF">
            <w:pPr>
              <w:spacing w:before="0" w:after="0" w:line="400" w:lineRule="exact"/>
              <w:jc w:val="center"/>
              <w:rPr>
                <w:rStyle w:val="FootnoteReference"/>
                <w:rFonts w:hint="cs"/>
                <w:bCs w:val="0"/>
                <w:szCs w:val="30"/>
                <w:vertAlign w:val="baseline"/>
              </w:rPr>
            </w:pPr>
            <w:r>
              <w:rPr>
                <w:rFonts w:hint="cs"/>
                <w:rtl/>
              </w:rPr>
              <w:t>7.28</w:t>
            </w:r>
          </w:p>
        </w:tc>
        <w:tc>
          <w:tcPr>
            <w:tcW w:w="2160" w:type="dxa"/>
            <w:tcBorders>
              <w:top w:val="nil"/>
            </w:tcBorders>
          </w:tcPr>
          <w:p w:rsidR="00A208FF" w:rsidRDefault="00A208FF">
            <w:pPr>
              <w:spacing w:before="0" w:after="0" w:line="400" w:lineRule="exact"/>
              <w:ind w:firstLine="308"/>
              <w:jc w:val="both"/>
              <w:rPr>
                <w:rStyle w:val="FootnoteReference"/>
                <w:rFonts w:hint="cs"/>
                <w:bCs w:val="0"/>
                <w:szCs w:val="30"/>
                <w:vertAlign w:val="baseline"/>
              </w:rPr>
            </w:pPr>
            <w:r>
              <w:rPr>
                <w:rFonts w:hint="cs"/>
                <w:rtl/>
              </w:rPr>
              <w:t>465 871 13</w:t>
            </w:r>
          </w:p>
        </w:tc>
        <w:tc>
          <w:tcPr>
            <w:tcW w:w="2088" w:type="dxa"/>
            <w:tcBorders>
              <w:top w:val="nil"/>
            </w:tcBorders>
          </w:tcPr>
          <w:p w:rsidR="00A208FF" w:rsidRDefault="00A208FF">
            <w:pPr>
              <w:spacing w:before="0" w:after="0" w:line="400" w:lineRule="exact"/>
              <w:ind w:firstLine="612"/>
              <w:jc w:val="both"/>
              <w:rPr>
                <w:rStyle w:val="FootnoteReference"/>
                <w:rFonts w:hint="cs"/>
                <w:bCs w:val="0"/>
                <w:szCs w:val="30"/>
                <w:vertAlign w:val="baseline"/>
              </w:rPr>
            </w:pPr>
            <w:r>
              <w:rPr>
                <w:rFonts w:hint="cs"/>
                <w:rtl/>
              </w:rPr>
              <w:t>15.57</w:t>
            </w:r>
          </w:p>
        </w:tc>
      </w:tr>
    </w:tbl>
    <w:p w:rsidR="00000000" w:rsidRDefault="00A208FF">
      <w:pPr>
        <w:spacing w:line="400" w:lineRule="exact"/>
        <w:jc w:val="both"/>
        <w:rPr>
          <w:rFonts w:hint="cs"/>
          <w:rtl/>
        </w:rPr>
      </w:pPr>
      <w:r>
        <w:rPr>
          <w:rFonts w:hint="cs"/>
          <w:i/>
          <w:iCs/>
          <w:rtl/>
        </w:rPr>
        <w:t xml:space="preserve">المصدر: وزارة الموارد الثقافية والبيئية، </w:t>
      </w:r>
      <w:r>
        <w:rPr>
          <w:rFonts w:hint="cs"/>
          <w:rtl/>
        </w:rPr>
        <w:t>آذار/مارس 2000.</w:t>
      </w:r>
    </w:p>
    <w:p w:rsidR="00000000" w:rsidRDefault="00A208FF">
      <w:pPr>
        <w:spacing w:line="400" w:lineRule="exact"/>
        <w:jc w:val="both"/>
        <w:rPr>
          <w:rFonts w:hint="cs"/>
          <w:rtl/>
        </w:rPr>
      </w:pPr>
      <w:r>
        <w:rPr>
          <w:rFonts w:hint="cs"/>
          <w:rtl/>
        </w:rPr>
        <w:t>284-</w:t>
      </w:r>
      <w:r>
        <w:rPr>
          <w:rFonts w:hint="cs"/>
          <w:rtl/>
        </w:rPr>
        <w:tab/>
        <w:t>وهناك مؤشر</w:t>
      </w:r>
      <w:r>
        <w:rPr>
          <w:rFonts w:hint="cs"/>
          <w:rtl/>
        </w:rPr>
        <w:t xml:space="preserve"> مهم يتمثل في اتجاه إنفاق الأسر على الأنشطة الترفيهية والثقافية في السنوات الأخيرة، حسبما يظهره الجدول التالي.</w:t>
      </w:r>
    </w:p>
    <w:p w:rsidR="00000000" w:rsidRDefault="00A208FF">
      <w:pPr>
        <w:spacing w:line="400" w:lineRule="exact"/>
        <w:jc w:val="center"/>
        <w:rPr>
          <w:rFonts w:hint="cs"/>
          <w:b/>
          <w:bCs/>
          <w:rtl/>
        </w:rPr>
      </w:pPr>
      <w:r>
        <w:rPr>
          <w:rFonts w:hint="cs"/>
          <w:b/>
          <w:bCs/>
          <w:rtl/>
        </w:rPr>
        <w:t>الجدول 7</w:t>
      </w:r>
    </w:p>
    <w:p w:rsidR="00000000" w:rsidRDefault="00A208FF">
      <w:pPr>
        <w:spacing w:line="400" w:lineRule="exact"/>
        <w:jc w:val="center"/>
        <w:rPr>
          <w:rFonts w:hint="cs"/>
          <w:b/>
          <w:bCs/>
          <w:rtl/>
        </w:rPr>
      </w:pPr>
      <w:r>
        <w:rPr>
          <w:rFonts w:hint="cs"/>
          <w:b/>
          <w:bCs/>
          <w:rtl/>
        </w:rPr>
        <w:t>الإنفاق على الأنشطة الترفيهية والثقافية</w:t>
      </w:r>
      <w:r>
        <w:rPr>
          <w:b/>
          <w:bCs/>
          <w:rtl/>
        </w:rPr>
        <w:br/>
      </w:r>
      <w:r>
        <w:rPr>
          <w:rFonts w:hint="cs"/>
          <w:b/>
          <w:bCs/>
          <w:rtl/>
        </w:rPr>
        <w:t>(بمليارات الليرات)</w:t>
      </w:r>
    </w:p>
    <w:tbl>
      <w:tblPr>
        <w:bidiVisual/>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2"/>
        <w:gridCol w:w="1092"/>
        <w:gridCol w:w="1077"/>
        <w:gridCol w:w="1078"/>
        <w:gridCol w:w="1064"/>
        <w:gridCol w:w="1092"/>
        <w:gridCol w:w="1078"/>
        <w:gridCol w:w="1018"/>
      </w:tblGrid>
      <w:tr w:rsidR="00A208FF" w:rsidTr="00A208FF">
        <w:tblPrEx>
          <w:tblCellMar>
            <w:top w:w="0" w:type="dxa"/>
            <w:bottom w:w="0" w:type="dxa"/>
          </w:tblCellMar>
        </w:tblPrEx>
        <w:tc>
          <w:tcPr>
            <w:tcW w:w="2052"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فئة الإنفاق</w:t>
            </w:r>
          </w:p>
        </w:tc>
        <w:tc>
          <w:tcPr>
            <w:tcW w:w="1092"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1992</w:t>
            </w:r>
          </w:p>
        </w:tc>
        <w:tc>
          <w:tcPr>
            <w:tcW w:w="1077"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1995</w:t>
            </w:r>
          </w:p>
        </w:tc>
        <w:tc>
          <w:tcPr>
            <w:tcW w:w="1078"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1996</w:t>
            </w:r>
          </w:p>
        </w:tc>
        <w:tc>
          <w:tcPr>
            <w:tcW w:w="1064"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1997</w:t>
            </w:r>
          </w:p>
        </w:tc>
        <w:tc>
          <w:tcPr>
            <w:tcW w:w="1092"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1998</w:t>
            </w:r>
          </w:p>
        </w:tc>
        <w:tc>
          <w:tcPr>
            <w:tcW w:w="1078"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1999</w:t>
            </w:r>
          </w:p>
        </w:tc>
        <w:tc>
          <w:tcPr>
            <w:tcW w:w="1018" w:type="dxa"/>
            <w:tcBorders>
              <w:bottom w:val="single" w:sz="4" w:space="0" w:color="auto"/>
            </w:tcBorders>
            <w:vAlign w:val="bottom"/>
          </w:tcPr>
          <w:p w:rsidR="00A208FF" w:rsidRDefault="00A208FF">
            <w:pPr>
              <w:spacing w:before="0" w:after="120" w:line="400" w:lineRule="exact"/>
              <w:jc w:val="center"/>
              <w:rPr>
                <w:rStyle w:val="FootnoteReference"/>
                <w:rFonts w:hint="cs"/>
                <w:bCs w:val="0"/>
                <w:sz w:val="26"/>
                <w:szCs w:val="26"/>
                <w:vertAlign w:val="baseline"/>
              </w:rPr>
            </w:pPr>
            <w:r>
              <w:rPr>
                <w:rFonts w:hint="cs"/>
                <w:sz w:val="26"/>
                <w:szCs w:val="26"/>
                <w:rtl/>
              </w:rPr>
              <w:t>نسبة الزيادة 1999/1992</w:t>
            </w:r>
          </w:p>
        </w:tc>
      </w:tr>
      <w:tr w:rsidR="00A208FF" w:rsidTr="00A208FF">
        <w:tblPrEx>
          <w:tblCellMar>
            <w:top w:w="0" w:type="dxa"/>
            <w:bottom w:w="0" w:type="dxa"/>
          </w:tblCellMar>
        </w:tblPrEx>
        <w:tc>
          <w:tcPr>
            <w:tcW w:w="2052"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الغذاء</w:t>
            </w:r>
          </w:p>
        </w:tc>
        <w:tc>
          <w:tcPr>
            <w:tcW w:w="1092"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975 156</w:t>
            </w:r>
          </w:p>
        </w:tc>
        <w:tc>
          <w:tcPr>
            <w:tcW w:w="1077"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580 190</w:t>
            </w:r>
          </w:p>
        </w:tc>
        <w:tc>
          <w:tcPr>
            <w:tcW w:w="1078"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966 186</w:t>
            </w:r>
          </w:p>
        </w:tc>
        <w:tc>
          <w:tcPr>
            <w:tcW w:w="1064"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009 185</w:t>
            </w:r>
          </w:p>
        </w:tc>
        <w:tc>
          <w:tcPr>
            <w:tcW w:w="1092"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699 185</w:t>
            </w:r>
          </w:p>
        </w:tc>
        <w:tc>
          <w:tcPr>
            <w:tcW w:w="1078"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156 187</w:t>
            </w:r>
          </w:p>
        </w:tc>
        <w:tc>
          <w:tcPr>
            <w:tcW w:w="1018" w:type="dxa"/>
            <w:tcBorders>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16.13</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الملابس والأحذية</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786 83</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301 101</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206 102</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306 102</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636 104</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269 106</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21.16</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الطاقة/الكهرباء في المنازل</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715 121</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163 201</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887 206</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572 210</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874 209</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222 211</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42.38</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الأثاث وغيره</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394 79</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769 97</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828 101</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436 102</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790 104</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910 105</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25.04</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النقل والاتصالات</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120 100</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675 147</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330 152</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384 154</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853 171</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569 178</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43.93</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الصحة</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328 56</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076 30</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496 33</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681 33</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897 34</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965 34</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-61.10</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الاستجمام والثقافة</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694 74</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645 86</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561 88</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772 90</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559 93</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466 94</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20.93</w:t>
            </w:r>
          </w:p>
        </w:tc>
      </w:tr>
      <w:tr w:rsidR="00A208FF" w:rsidTr="00A208FF">
        <w:tblPrEx>
          <w:tblCellMar>
            <w:top w:w="0" w:type="dxa"/>
            <w:bottom w:w="0" w:type="dxa"/>
          </w:tblCellMar>
        </w:tblPrEx>
        <w:tc>
          <w:tcPr>
            <w:tcW w:w="205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الفنادق والخدمات العامة</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573 820</w:t>
            </w:r>
          </w:p>
        </w:tc>
        <w:tc>
          <w:tcPr>
            <w:tcW w:w="1077"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779 90</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136 93</w:t>
            </w:r>
          </w:p>
        </w:tc>
        <w:tc>
          <w:tcPr>
            <w:tcW w:w="1064"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389 94</w:t>
            </w:r>
          </w:p>
        </w:tc>
        <w:tc>
          <w:tcPr>
            <w:tcW w:w="1092"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314 95</w:t>
            </w:r>
          </w:p>
        </w:tc>
        <w:tc>
          <w:tcPr>
            <w:tcW w:w="107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019 97</w:t>
            </w:r>
          </w:p>
        </w:tc>
        <w:tc>
          <w:tcPr>
            <w:tcW w:w="1018" w:type="dxa"/>
            <w:tcBorders>
              <w:top w:val="nil"/>
              <w:bottom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16.95</w:t>
            </w:r>
          </w:p>
        </w:tc>
      </w:tr>
      <w:tr w:rsidR="00A208FF" w:rsidTr="00A208FF">
        <w:tblPrEx>
          <w:tblCellMar>
            <w:top w:w="0" w:type="dxa"/>
            <w:bottom w:w="0" w:type="dxa"/>
          </w:tblCellMar>
        </w:tblPrEx>
        <w:tc>
          <w:tcPr>
            <w:tcW w:w="2052"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سلع وخدمات أخرى</w:t>
            </w:r>
          </w:p>
        </w:tc>
        <w:tc>
          <w:tcPr>
            <w:tcW w:w="1092"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343 64</w:t>
            </w:r>
          </w:p>
        </w:tc>
        <w:tc>
          <w:tcPr>
            <w:tcW w:w="1077"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842 77</w:t>
            </w:r>
          </w:p>
        </w:tc>
        <w:tc>
          <w:tcPr>
            <w:tcW w:w="1078"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126 81</w:t>
            </w:r>
          </w:p>
        </w:tc>
        <w:tc>
          <w:tcPr>
            <w:tcW w:w="1064"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628 78</w:t>
            </w:r>
          </w:p>
        </w:tc>
        <w:tc>
          <w:tcPr>
            <w:tcW w:w="1092"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976 78</w:t>
            </w:r>
          </w:p>
        </w:tc>
        <w:tc>
          <w:tcPr>
            <w:tcW w:w="1078"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845 82</w:t>
            </w:r>
          </w:p>
        </w:tc>
        <w:tc>
          <w:tcPr>
            <w:tcW w:w="1018" w:type="dxa"/>
            <w:tcBorders>
              <w:top w:val="nil"/>
            </w:tcBorders>
          </w:tcPr>
          <w:p w:rsidR="00A208FF" w:rsidRDefault="00A208FF">
            <w:pPr>
              <w:spacing w:before="0" w:after="0" w:line="360" w:lineRule="exact"/>
              <w:jc w:val="both"/>
              <w:rPr>
                <w:rStyle w:val="FootnoteReference"/>
                <w:rFonts w:hint="cs"/>
                <w:bCs w:val="0"/>
                <w:sz w:val="26"/>
                <w:szCs w:val="26"/>
                <w:vertAlign w:val="baseline"/>
              </w:rPr>
            </w:pPr>
            <w:r>
              <w:rPr>
                <w:rFonts w:hint="cs"/>
                <w:sz w:val="26"/>
                <w:szCs w:val="26"/>
                <w:rtl/>
              </w:rPr>
              <w:t xml:space="preserve">  22.33</w:t>
            </w:r>
          </w:p>
        </w:tc>
      </w:tr>
    </w:tbl>
    <w:p w:rsidR="00000000" w:rsidRDefault="00A208FF">
      <w:pPr>
        <w:spacing w:line="400" w:lineRule="exact"/>
        <w:jc w:val="both"/>
        <w:rPr>
          <w:rFonts w:hint="cs"/>
          <w:b/>
          <w:bCs/>
          <w:rtl/>
        </w:rPr>
      </w:pPr>
      <w:r>
        <w:rPr>
          <w:rFonts w:hint="cs"/>
          <w:b/>
          <w:bCs/>
          <w:rtl/>
        </w:rPr>
        <w:t>مشاركة الشباب والمسنين والمعوقين في الأنشطة الثقافية</w:t>
      </w:r>
    </w:p>
    <w:p w:rsidR="00000000" w:rsidRDefault="00A208FF">
      <w:pPr>
        <w:spacing w:line="400" w:lineRule="exact"/>
        <w:jc w:val="both"/>
        <w:rPr>
          <w:rFonts w:hint="cs"/>
          <w:rtl/>
        </w:rPr>
      </w:pPr>
      <w:r>
        <w:rPr>
          <w:rFonts w:hint="cs"/>
          <w:rtl/>
        </w:rPr>
        <w:t>285-</w:t>
      </w:r>
      <w:r>
        <w:rPr>
          <w:rFonts w:hint="cs"/>
          <w:rtl/>
        </w:rPr>
        <w:tab/>
        <w:t>تتعلق الأرقام الرسمية المتاحة لدينا بدخول الجمهور إلى المتاحف وقاعات العرض. وهي تدل على ح</w:t>
      </w:r>
      <w:r>
        <w:rPr>
          <w:rFonts w:hint="cs"/>
          <w:rtl/>
        </w:rPr>
        <w:t>دوث زيادة مستمرة في زيادة التلاميذ الأحداث والأشخاص الذين تتجاوز أعمارهم 60 عاماً الذين يعدون أكبر المستفيدين من نظام الدخول المجاني.</w:t>
      </w:r>
    </w:p>
    <w:p w:rsidR="00000000" w:rsidRDefault="00A208FF">
      <w:pPr>
        <w:spacing w:line="400" w:lineRule="exact"/>
        <w:jc w:val="center"/>
        <w:rPr>
          <w:rFonts w:hint="cs"/>
          <w:b/>
          <w:bCs/>
          <w:rtl/>
        </w:rPr>
      </w:pPr>
      <w:r>
        <w:rPr>
          <w:rFonts w:hint="cs"/>
          <w:b/>
          <w:bCs/>
          <w:rtl/>
        </w:rPr>
        <w:t>الجدول 8</w:t>
      </w:r>
    </w:p>
    <w:p w:rsidR="00000000" w:rsidRDefault="00A208FF">
      <w:pPr>
        <w:spacing w:line="400" w:lineRule="exact"/>
        <w:jc w:val="center"/>
        <w:rPr>
          <w:rFonts w:hint="cs"/>
          <w:b/>
          <w:bCs/>
          <w:rtl/>
        </w:rPr>
      </w:pPr>
      <w:r>
        <w:rPr>
          <w:rFonts w:hint="cs"/>
          <w:b/>
          <w:bCs/>
          <w:rtl/>
        </w:rPr>
        <w:t>عدد الزوار الذين يدخلون مجاناً إلى المتاحف وقاعات العرض العامة</w:t>
      </w:r>
      <w:r>
        <w:rPr>
          <w:b/>
          <w:bCs/>
          <w:rtl/>
        </w:rPr>
        <w:br/>
      </w:r>
      <w:r>
        <w:rPr>
          <w:rFonts w:hint="cs"/>
          <w:b/>
          <w:bCs/>
          <w:rtl/>
        </w:rPr>
        <w:t>(الشباب والمسنون والمعوقون)، 1994-1998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A208FF" w:rsidTr="00A208FF">
        <w:tblPrEx>
          <w:tblCellMar>
            <w:top w:w="0" w:type="dxa"/>
            <w:bottom w:w="0" w:type="dxa"/>
          </w:tblCellMar>
        </w:tblPrEx>
        <w:tc>
          <w:tcPr>
            <w:tcW w:w="3190" w:type="dxa"/>
            <w:tcBorders>
              <w:bottom w:val="single" w:sz="4" w:space="0" w:color="auto"/>
            </w:tcBorders>
          </w:tcPr>
          <w:p w:rsidR="00A208FF" w:rsidRDefault="00A208FF">
            <w:pPr>
              <w:spacing w:before="0" w:after="0" w:line="320" w:lineRule="exact"/>
              <w:jc w:val="center"/>
              <w:rPr>
                <w:rStyle w:val="FootnoteReference"/>
                <w:rFonts w:hint="cs"/>
                <w:bCs w:val="0"/>
                <w:szCs w:val="30"/>
                <w:vertAlign w:val="baseline"/>
              </w:rPr>
            </w:pPr>
            <w:r>
              <w:rPr>
                <w:rFonts w:hint="cs"/>
                <w:rtl/>
              </w:rPr>
              <w:t>السنة</w:t>
            </w:r>
          </w:p>
        </w:tc>
        <w:tc>
          <w:tcPr>
            <w:tcW w:w="3190" w:type="dxa"/>
            <w:tcBorders>
              <w:bottom w:val="single" w:sz="4" w:space="0" w:color="auto"/>
            </w:tcBorders>
          </w:tcPr>
          <w:p w:rsidR="00A208FF" w:rsidRDefault="00A208FF">
            <w:pPr>
              <w:spacing w:before="0" w:after="0" w:line="320" w:lineRule="exact"/>
              <w:jc w:val="center"/>
              <w:rPr>
                <w:rStyle w:val="FootnoteReference"/>
                <w:rFonts w:hint="cs"/>
                <w:bCs w:val="0"/>
                <w:szCs w:val="30"/>
                <w:vertAlign w:val="baseline"/>
              </w:rPr>
            </w:pPr>
            <w:r>
              <w:rPr>
                <w:rFonts w:hint="cs"/>
                <w:rtl/>
              </w:rPr>
              <w:t>النسبة المئوية مقارنة بالسنة السابقة</w:t>
            </w:r>
          </w:p>
        </w:tc>
        <w:tc>
          <w:tcPr>
            <w:tcW w:w="3190" w:type="dxa"/>
            <w:tcBorders>
              <w:bottom w:val="single" w:sz="4" w:space="0" w:color="auto"/>
            </w:tcBorders>
          </w:tcPr>
          <w:p w:rsidR="00A208FF" w:rsidRDefault="00A208FF">
            <w:pPr>
              <w:spacing w:before="0" w:after="0" w:line="320" w:lineRule="exact"/>
              <w:jc w:val="center"/>
              <w:rPr>
                <w:rStyle w:val="FootnoteReference"/>
                <w:rFonts w:hint="cs"/>
                <w:bCs w:val="0"/>
                <w:szCs w:val="30"/>
                <w:vertAlign w:val="baseline"/>
              </w:rPr>
            </w:pPr>
            <w:r>
              <w:rPr>
                <w:rFonts w:hint="cs"/>
                <w:rtl/>
              </w:rPr>
              <w:t>الزوار الذين يدخلون مجاناً</w:t>
            </w:r>
          </w:p>
        </w:tc>
      </w:tr>
      <w:tr w:rsidR="00A208FF" w:rsidTr="00A208FF">
        <w:tblPrEx>
          <w:tblCellMar>
            <w:top w:w="0" w:type="dxa"/>
            <w:bottom w:w="0" w:type="dxa"/>
          </w:tblCellMar>
        </w:tblPrEx>
        <w:tc>
          <w:tcPr>
            <w:tcW w:w="3190" w:type="dxa"/>
            <w:tcBorders>
              <w:bottom w:val="nil"/>
            </w:tcBorders>
          </w:tcPr>
          <w:p w:rsidR="00A208FF" w:rsidRDefault="00A208FF">
            <w:pPr>
              <w:spacing w:before="0" w:after="0" w:line="320" w:lineRule="exact"/>
              <w:jc w:val="center"/>
              <w:rPr>
                <w:rStyle w:val="FootnoteReference"/>
                <w:rFonts w:hint="cs"/>
                <w:bCs w:val="0"/>
                <w:szCs w:val="30"/>
                <w:vertAlign w:val="baseline"/>
              </w:rPr>
            </w:pPr>
            <w:r>
              <w:rPr>
                <w:rFonts w:hint="cs"/>
                <w:rtl/>
              </w:rPr>
              <w:t>1994</w:t>
            </w:r>
          </w:p>
        </w:tc>
        <w:tc>
          <w:tcPr>
            <w:tcW w:w="3190" w:type="dxa"/>
            <w:tcBorders>
              <w:bottom w:val="nil"/>
            </w:tcBorders>
          </w:tcPr>
          <w:p w:rsidR="00A208FF" w:rsidRDefault="00A208FF">
            <w:pPr>
              <w:spacing w:before="0" w:after="0" w:line="320" w:lineRule="exact"/>
              <w:ind w:firstLine="1124"/>
              <w:jc w:val="both"/>
              <w:rPr>
                <w:rStyle w:val="FootnoteReference"/>
                <w:rFonts w:hint="cs"/>
                <w:bCs w:val="0"/>
                <w:szCs w:val="30"/>
                <w:vertAlign w:val="baseline"/>
              </w:rPr>
            </w:pPr>
            <w:r>
              <w:rPr>
                <w:rFonts w:hint="cs"/>
                <w:rtl/>
              </w:rPr>
              <w:t xml:space="preserve">   -</w:t>
            </w:r>
          </w:p>
        </w:tc>
        <w:tc>
          <w:tcPr>
            <w:tcW w:w="3190" w:type="dxa"/>
            <w:tcBorders>
              <w:bottom w:val="nil"/>
            </w:tcBorders>
          </w:tcPr>
          <w:p w:rsidR="00A208FF" w:rsidRDefault="00A208FF">
            <w:pPr>
              <w:spacing w:before="0" w:after="0" w:line="320" w:lineRule="exact"/>
              <w:ind w:firstLine="814"/>
              <w:jc w:val="both"/>
              <w:rPr>
                <w:rStyle w:val="FootnoteReference"/>
                <w:rFonts w:hint="cs"/>
                <w:bCs w:val="0"/>
                <w:szCs w:val="30"/>
                <w:vertAlign w:val="baseline"/>
              </w:rPr>
            </w:pPr>
            <w:r>
              <w:rPr>
                <w:rFonts w:hint="cs"/>
                <w:rtl/>
              </w:rPr>
              <w:t>654 761 15</w:t>
            </w:r>
          </w:p>
        </w:tc>
      </w:tr>
      <w:tr w:rsidR="00A208FF" w:rsidTr="00A208FF">
        <w:tblPrEx>
          <w:tblCellMar>
            <w:top w:w="0" w:type="dxa"/>
            <w:bottom w:w="0" w:type="dxa"/>
          </w:tblCellMar>
        </w:tblPrEx>
        <w:tc>
          <w:tcPr>
            <w:tcW w:w="3190" w:type="dxa"/>
            <w:tcBorders>
              <w:top w:val="nil"/>
              <w:bottom w:val="nil"/>
            </w:tcBorders>
          </w:tcPr>
          <w:p w:rsidR="00A208FF" w:rsidRDefault="00A208FF">
            <w:pPr>
              <w:spacing w:before="0" w:after="0" w:line="320" w:lineRule="exact"/>
              <w:jc w:val="center"/>
              <w:rPr>
                <w:rStyle w:val="FootnoteReference"/>
                <w:rFonts w:hint="cs"/>
                <w:bCs w:val="0"/>
                <w:szCs w:val="30"/>
                <w:vertAlign w:val="baseline"/>
              </w:rPr>
            </w:pPr>
            <w:r>
              <w:rPr>
                <w:rFonts w:hint="cs"/>
                <w:rtl/>
              </w:rPr>
              <w:t>1995</w:t>
            </w:r>
          </w:p>
        </w:tc>
        <w:tc>
          <w:tcPr>
            <w:tcW w:w="3190" w:type="dxa"/>
            <w:tcBorders>
              <w:top w:val="nil"/>
              <w:bottom w:val="nil"/>
            </w:tcBorders>
          </w:tcPr>
          <w:p w:rsidR="00A208FF" w:rsidRDefault="00A208FF">
            <w:pPr>
              <w:spacing w:before="0" w:after="0" w:line="320" w:lineRule="exact"/>
              <w:ind w:firstLine="1124"/>
              <w:jc w:val="both"/>
              <w:rPr>
                <w:rStyle w:val="FootnoteReference"/>
                <w:rFonts w:hint="cs"/>
                <w:bCs w:val="0"/>
                <w:szCs w:val="30"/>
                <w:vertAlign w:val="baseline"/>
              </w:rPr>
            </w:pPr>
            <w:r>
              <w:rPr>
                <w:rFonts w:hint="cs"/>
                <w:rtl/>
              </w:rPr>
              <w:t>13.77</w:t>
            </w:r>
          </w:p>
        </w:tc>
        <w:tc>
          <w:tcPr>
            <w:tcW w:w="3190" w:type="dxa"/>
            <w:tcBorders>
              <w:top w:val="nil"/>
              <w:bottom w:val="nil"/>
            </w:tcBorders>
          </w:tcPr>
          <w:p w:rsidR="00A208FF" w:rsidRDefault="00A208FF">
            <w:pPr>
              <w:spacing w:before="0" w:after="0" w:line="320" w:lineRule="exact"/>
              <w:ind w:firstLine="814"/>
              <w:jc w:val="both"/>
              <w:rPr>
                <w:rStyle w:val="FootnoteReference"/>
                <w:rFonts w:hint="cs"/>
                <w:bCs w:val="0"/>
                <w:szCs w:val="30"/>
                <w:vertAlign w:val="baseline"/>
              </w:rPr>
            </w:pPr>
            <w:r>
              <w:rPr>
                <w:rFonts w:hint="cs"/>
                <w:rtl/>
              </w:rPr>
              <w:t>164 386 17</w:t>
            </w:r>
          </w:p>
        </w:tc>
      </w:tr>
      <w:tr w:rsidR="00A208FF" w:rsidTr="00A208FF">
        <w:tblPrEx>
          <w:tblCellMar>
            <w:top w:w="0" w:type="dxa"/>
            <w:bottom w:w="0" w:type="dxa"/>
          </w:tblCellMar>
        </w:tblPrEx>
        <w:tc>
          <w:tcPr>
            <w:tcW w:w="3190" w:type="dxa"/>
            <w:tcBorders>
              <w:top w:val="nil"/>
              <w:bottom w:val="nil"/>
            </w:tcBorders>
          </w:tcPr>
          <w:p w:rsidR="00A208FF" w:rsidRDefault="00A208FF">
            <w:pPr>
              <w:spacing w:before="0" w:after="0" w:line="320" w:lineRule="exact"/>
              <w:jc w:val="center"/>
              <w:rPr>
                <w:rStyle w:val="FootnoteReference"/>
                <w:rFonts w:hint="cs"/>
                <w:bCs w:val="0"/>
                <w:szCs w:val="30"/>
                <w:vertAlign w:val="baseline"/>
              </w:rPr>
            </w:pPr>
            <w:r>
              <w:rPr>
                <w:rFonts w:hint="cs"/>
                <w:rtl/>
              </w:rPr>
              <w:t>1996</w:t>
            </w:r>
          </w:p>
        </w:tc>
        <w:tc>
          <w:tcPr>
            <w:tcW w:w="3190" w:type="dxa"/>
            <w:tcBorders>
              <w:top w:val="nil"/>
              <w:bottom w:val="nil"/>
            </w:tcBorders>
          </w:tcPr>
          <w:p w:rsidR="00A208FF" w:rsidRDefault="00A208FF">
            <w:pPr>
              <w:spacing w:before="0" w:after="0" w:line="320" w:lineRule="exact"/>
              <w:ind w:firstLine="1124"/>
              <w:jc w:val="both"/>
              <w:rPr>
                <w:rStyle w:val="FootnoteReference"/>
                <w:rFonts w:hint="cs"/>
                <w:bCs w:val="0"/>
                <w:szCs w:val="30"/>
                <w:vertAlign w:val="baseline"/>
              </w:rPr>
            </w:pPr>
            <w:r>
              <w:rPr>
                <w:rFonts w:hint="cs"/>
                <w:rtl/>
              </w:rPr>
              <w:t>9.56</w:t>
            </w:r>
          </w:p>
        </w:tc>
        <w:tc>
          <w:tcPr>
            <w:tcW w:w="3190" w:type="dxa"/>
            <w:tcBorders>
              <w:top w:val="nil"/>
              <w:bottom w:val="nil"/>
            </w:tcBorders>
          </w:tcPr>
          <w:p w:rsidR="00A208FF" w:rsidRDefault="00A208FF">
            <w:pPr>
              <w:spacing w:before="0" w:after="0" w:line="320" w:lineRule="exact"/>
              <w:ind w:firstLine="814"/>
              <w:jc w:val="both"/>
              <w:rPr>
                <w:rStyle w:val="FootnoteReference"/>
                <w:rFonts w:hint="cs"/>
                <w:bCs w:val="0"/>
                <w:szCs w:val="30"/>
                <w:vertAlign w:val="baseline"/>
              </w:rPr>
            </w:pPr>
            <w:r>
              <w:rPr>
                <w:rFonts w:hint="cs"/>
                <w:rtl/>
              </w:rPr>
              <w:t>408 440 18</w:t>
            </w:r>
          </w:p>
        </w:tc>
      </w:tr>
      <w:tr w:rsidR="00A208FF" w:rsidTr="00A208FF">
        <w:tblPrEx>
          <w:tblCellMar>
            <w:top w:w="0" w:type="dxa"/>
            <w:bottom w:w="0" w:type="dxa"/>
          </w:tblCellMar>
        </w:tblPrEx>
        <w:tc>
          <w:tcPr>
            <w:tcW w:w="3190" w:type="dxa"/>
            <w:tcBorders>
              <w:top w:val="nil"/>
              <w:bottom w:val="nil"/>
            </w:tcBorders>
          </w:tcPr>
          <w:p w:rsidR="00A208FF" w:rsidRDefault="00A208FF">
            <w:pPr>
              <w:spacing w:before="0" w:after="0" w:line="320" w:lineRule="exact"/>
              <w:jc w:val="center"/>
              <w:rPr>
                <w:rStyle w:val="FootnoteReference"/>
                <w:rFonts w:hint="cs"/>
                <w:bCs w:val="0"/>
                <w:szCs w:val="30"/>
                <w:vertAlign w:val="baseline"/>
              </w:rPr>
            </w:pPr>
            <w:r>
              <w:rPr>
                <w:rFonts w:hint="cs"/>
                <w:rtl/>
              </w:rPr>
              <w:t>1997</w:t>
            </w:r>
          </w:p>
        </w:tc>
        <w:tc>
          <w:tcPr>
            <w:tcW w:w="3190" w:type="dxa"/>
            <w:tcBorders>
              <w:top w:val="nil"/>
              <w:bottom w:val="nil"/>
            </w:tcBorders>
          </w:tcPr>
          <w:p w:rsidR="00A208FF" w:rsidRDefault="00A208FF">
            <w:pPr>
              <w:spacing w:before="0" w:after="0" w:line="320" w:lineRule="exact"/>
              <w:ind w:firstLine="1124"/>
              <w:jc w:val="both"/>
              <w:rPr>
                <w:rStyle w:val="FootnoteReference"/>
                <w:rFonts w:hint="cs"/>
                <w:bCs w:val="0"/>
                <w:szCs w:val="30"/>
                <w:vertAlign w:val="baseline"/>
              </w:rPr>
            </w:pPr>
            <w:r>
              <w:rPr>
                <w:rFonts w:hint="cs"/>
                <w:rtl/>
              </w:rPr>
              <w:t>12.64</w:t>
            </w:r>
          </w:p>
        </w:tc>
        <w:tc>
          <w:tcPr>
            <w:tcW w:w="3190" w:type="dxa"/>
            <w:tcBorders>
              <w:top w:val="nil"/>
              <w:bottom w:val="nil"/>
            </w:tcBorders>
          </w:tcPr>
          <w:p w:rsidR="00A208FF" w:rsidRDefault="00A208FF">
            <w:pPr>
              <w:spacing w:before="0" w:after="0" w:line="320" w:lineRule="exact"/>
              <w:ind w:firstLine="814"/>
              <w:jc w:val="both"/>
              <w:rPr>
                <w:rStyle w:val="FootnoteReference"/>
                <w:rFonts w:hint="cs"/>
                <w:bCs w:val="0"/>
                <w:szCs w:val="30"/>
                <w:vertAlign w:val="baseline"/>
              </w:rPr>
            </w:pPr>
            <w:r>
              <w:rPr>
                <w:rFonts w:hint="cs"/>
                <w:rtl/>
              </w:rPr>
              <w:t>154 101 20</w:t>
            </w:r>
          </w:p>
        </w:tc>
      </w:tr>
      <w:tr w:rsidR="00A208FF" w:rsidTr="00A208FF">
        <w:tblPrEx>
          <w:tblCellMar>
            <w:top w:w="0" w:type="dxa"/>
            <w:bottom w:w="0" w:type="dxa"/>
          </w:tblCellMar>
        </w:tblPrEx>
        <w:tc>
          <w:tcPr>
            <w:tcW w:w="3190" w:type="dxa"/>
            <w:tcBorders>
              <w:top w:val="nil"/>
            </w:tcBorders>
          </w:tcPr>
          <w:p w:rsidR="00A208FF" w:rsidRDefault="00A208FF">
            <w:pPr>
              <w:spacing w:before="0" w:after="0" w:line="320" w:lineRule="exact"/>
              <w:jc w:val="center"/>
              <w:rPr>
                <w:rStyle w:val="FootnoteReference"/>
                <w:rFonts w:hint="cs"/>
                <w:bCs w:val="0"/>
                <w:szCs w:val="30"/>
                <w:vertAlign w:val="baseline"/>
              </w:rPr>
            </w:pPr>
            <w:r>
              <w:rPr>
                <w:rFonts w:hint="cs"/>
                <w:rtl/>
              </w:rPr>
              <w:t>1998</w:t>
            </w:r>
          </w:p>
        </w:tc>
        <w:tc>
          <w:tcPr>
            <w:tcW w:w="3190" w:type="dxa"/>
            <w:tcBorders>
              <w:top w:val="nil"/>
            </w:tcBorders>
          </w:tcPr>
          <w:p w:rsidR="00A208FF" w:rsidRDefault="00A208FF">
            <w:pPr>
              <w:spacing w:before="0" w:after="0" w:line="320" w:lineRule="exact"/>
              <w:ind w:firstLine="1124"/>
              <w:jc w:val="both"/>
              <w:rPr>
                <w:rStyle w:val="FootnoteReference"/>
                <w:rFonts w:hint="cs"/>
                <w:bCs w:val="0"/>
                <w:szCs w:val="30"/>
                <w:vertAlign w:val="baseline"/>
              </w:rPr>
            </w:pPr>
            <w:r>
              <w:rPr>
                <w:rFonts w:hint="cs"/>
                <w:rtl/>
              </w:rPr>
              <w:t>0.64</w:t>
            </w:r>
          </w:p>
        </w:tc>
        <w:tc>
          <w:tcPr>
            <w:tcW w:w="3190" w:type="dxa"/>
            <w:tcBorders>
              <w:top w:val="nil"/>
            </w:tcBorders>
          </w:tcPr>
          <w:p w:rsidR="00A208FF" w:rsidRDefault="00A208FF">
            <w:pPr>
              <w:spacing w:before="0" w:after="0" w:line="320" w:lineRule="exact"/>
              <w:ind w:firstLine="814"/>
              <w:jc w:val="both"/>
              <w:rPr>
                <w:rStyle w:val="FootnoteReference"/>
                <w:rFonts w:hint="cs"/>
                <w:bCs w:val="0"/>
                <w:szCs w:val="30"/>
                <w:vertAlign w:val="baseline"/>
              </w:rPr>
            </w:pPr>
            <w:r>
              <w:rPr>
                <w:rFonts w:hint="cs"/>
                <w:rtl/>
              </w:rPr>
              <w:t>650 022 22</w:t>
            </w:r>
          </w:p>
        </w:tc>
      </w:tr>
    </w:tbl>
    <w:p w:rsidR="00000000" w:rsidRDefault="00A208FF">
      <w:pPr>
        <w:spacing w:before="120" w:line="400" w:lineRule="exact"/>
        <w:jc w:val="both"/>
        <w:rPr>
          <w:rStyle w:val="FootnoteReference"/>
          <w:b/>
          <w:szCs w:val="30"/>
          <w:u w:val="single"/>
          <w:vertAlign w:val="baseline"/>
          <w:rtl/>
          <w:lang w:val="fr-CH"/>
        </w:rPr>
      </w:pPr>
      <w:r>
        <w:rPr>
          <w:rFonts w:hint="cs"/>
          <w:i/>
          <w:iCs/>
          <w:rtl/>
        </w:rPr>
        <w:t>المصدر: وزارة الموارد الثقافية والبيئية.</w:t>
      </w:r>
    </w:p>
    <w:p w:rsidR="00000000" w:rsidRDefault="00A208FF">
      <w:pPr>
        <w:spacing w:line="400" w:lineRule="exact"/>
        <w:jc w:val="center"/>
        <w:rPr>
          <w:rFonts w:hint="cs"/>
          <w:u w:val="single"/>
          <w:rtl/>
        </w:rPr>
      </w:pPr>
      <w:r>
        <w:rPr>
          <w:rFonts w:hint="cs"/>
          <w:u w:val="single"/>
          <w:rtl/>
        </w:rPr>
        <w:t>الحواشي</w:t>
      </w:r>
    </w:p>
    <w:p w:rsidR="00000000" w:rsidRDefault="00A208FF">
      <w:pPr>
        <w:spacing w:line="400" w:lineRule="exact"/>
        <w:jc w:val="both"/>
        <w:rPr>
          <w:rFonts w:hint="cs"/>
          <w:rtl/>
        </w:rPr>
      </w:pPr>
      <w:r>
        <w:rPr>
          <w:rFonts w:hint="cs"/>
          <w:rtl/>
        </w:rPr>
        <w:tab/>
        <w:t>(1)</w:t>
      </w:r>
      <w:r>
        <w:rPr>
          <w:rFonts w:hint="cs"/>
          <w:rtl/>
        </w:rPr>
        <w:tab/>
        <w:t>كان لعمال القطاع الخاص، في الن</w:t>
      </w:r>
      <w:r>
        <w:rPr>
          <w:rFonts w:hint="cs"/>
          <w:rtl/>
        </w:rPr>
        <w:t xml:space="preserve">ظام الإجباري الإيطالي، قبل إجراء الإصلاحات، الحق في الحصول على معاشات الأقدمية بعد 35 عاما من دفع الاشتراكات، بغض النظر عن أعمارهم. وبالنسبة إلى فئات القطاع العام، كان عدد سنوات الاشتراك المطلوبة أقل بكثير. </w:t>
      </w:r>
    </w:p>
    <w:p w:rsidR="00000000" w:rsidRDefault="00A208FF">
      <w:pPr>
        <w:spacing w:line="400" w:lineRule="exact"/>
        <w:jc w:val="both"/>
        <w:rPr>
          <w:rFonts w:hint="cs"/>
          <w:rtl/>
        </w:rPr>
      </w:pPr>
      <w:r>
        <w:tab/>
      </w:r>
      <w:r>
        <w:rPr>
          <w:rFonts w:hint="cs"/>
          <w:rtl/>
        </w:rPr>
        <w:t>(2)</w:t>
      </w:r>
      <w:r>
        <w:rPr>
          <w:rFonts w:hint="cs"/>
          <w:rtl/>
        </w:rPr>
        <w:tab/>
        <w:t>زاد قانون الميزانية لعام 2002 الاستحقاق الس</w:t>
      </w:r>
      <w:r>
        <w:rPr>
          <w:rFonts w:hint="cs"/>
          <w:rtl/>
        </w:rPr>
        <w:t>نوي الذي يتقاضاه المتقاعدون الذين تجاوزوا سن السبعين ليصل إلى 710 6 يورو.</w:t>
      </w:r>
    </w:p>
    <w:p w:rsidR="00000000" w:rsidRDefault="00A208FF">
      <w:pPr>
        <w:spacing w:line="400" w:lineRule="exact"/>
        <w:jc w:val="both"/>
        <w:rPr>
          <w:rFonts w:hint="cs"/>
          <w:rtl/>
        </w:rPr>
      </w:pPr>
      <w:r>
        <w:rPr>
          <w:rFonts w:hint="cs"/>
          <w:rtl/>
        </w:rPr>
        <w:tab/>
        <w:t>(3)</w:t>
      </w:r>
      <w:r>
        <w:rPr>
          <w:rFonts w:hint="cs"/>
          <w:rtl/>
        </w:rPr>
        <w:tab/>
        <w:t>زاد قانون الميزانية لسنة 2000 (رقم 388/2000) قيمة المبلغ التكميلي بمقدار 12.91 يورو شهريا بالنسبة إلى من هم دون سن الخامسة والسبعين ومقدار 20.66 يورو لمن بلغوا من العمر 75 سنة أ</w:t>
      </w:r>
      <w:r>
        <w:rPr>
          <w:rFonts w:hint="cs"/>
          <w:rtl/>
        </w:rPr>
        <w:t xml:space="preserve">و أكثر. </w:t>
      </w:r>
    </w:p>
    <w:p w:rsidR="00000000" w:rsidRDefault="00A208FF">
      <w:pPr>
        <w:spacing w:line="400" w:lineRule="exact"/>
        <w:jc w:val="both"/>
        <w:rPr>
          <w:rFonts w:hint="cs"/>
          <w:rtl/>
        </w:rPr>
      </w:pPr>
      <w:r>
        <w:tab/>
      </w:r>
      <w:r>
        <w:rPr>
          <w:rFonts w:hint="cs"/>
          <w:rtl/>
        </w:rPr>
        <w:t>(4)</w:t>
      </w:r>
      <w:r>
        <w:rPr>
          <w:rFonts w:hint="cs"/>
          <w:rtl/>
        </w:rPr>
        <w:tab/>
        <w:t>نص قانون الميزانية لعام 2000 على زيادة مبلغ إضافي إلى البدل الاجتماعي يعادل مقدار المعاش الاجتماعي.</w:t>
      </w:r>
    </w:p>
    <w:p w:rsidR="00000000" w:rsidRDefault="00A208FF">
      <w:pPr>
        <w:spacing w:line="400" w:lineRule="exact"/>
        <w:jc w:val="both"/>
        <w:rPr>
          <w:sz w:val="24"/>
          <w:szCs w:val="24"/>
          <w:rtl/>
        </w:rPr>
      </w:pPr>
      <w:r>
        <w:rPr>
          <w:rFonts w:hint="cs"/>
          <w:rtl/>
        </w:rPr>
        <w:tab/>
        <w:t>(5)</w:t>
      </w:r>
      <w:r>
        <w:rPr>
          <w:rFonts w:hint="cs"/>
          <w:rtl/>
        </w:rPr>
        <w:tab/>
        <w:t xml:space="preserve">نــص المرســوم </w:t>
      </w:r>
      <w:r>
        <w:t>D.L. 237/98</w:t>
      </w:r>
      <w:r>
        <w:rPr>
          <w:rtl/>
        </w:rPr>
        <w:t xml:space="preserve"> </w:t>
      </w:r>
      <w:r>
        <w:rPr>
          <w:rFonts w:hint="cs"/>
          <w:rtl/>
        </w:rPr>
        <w:t xml:space="preserve">بصفة خاصة على وجوب مراعاة العوامل التالية عند انتقاء البلديات: (أ) مستويات الفقر؛ (ب) تباين الظروف الاقتصادية </w:t>
      </w:r>
      <w:r>
        <w:rPr>
          <w:rFonts w:hint="cs"/>
          <w:rtl/>
        </w:rPr>
        <w:t>والديمغرافية والاجتماعية؛ (ج) تنوع تدابير المساعدة الاجتماعية القائمة في كل بلدية؛ (د) توزيع البلديات المشاركة في التجربة توزيعا إقليميا ملائما؛</w:t>
      </w:r>
      <w:r>
        <w:rPr>
          <w:rtl/>
        </w:rPr>
        <w:br/>
      </w:r>
      <w:r>
        <w:rPr>
          <w:rFonts w:hint="cs"/>
          <w:rtl/>
        </w:rPr>
        <w:t xml:space="preserve">(ه‍) رغبة البلديات في المشاركة. </w:t>
      </w:r>
    </w:p>
    <w:p w:rsidR="00000000" w:rsidRDefault="00A208FF">
      <w:pPr>
        <w:spacing w:line="400" w:lineRule="exact"/>
        <w:jc w:val="both"/>
        <w:rPr>
          <w:rFonts w:hint="cs"/>
          <w:rtl/>
        </w:rPr>
      </w:pPr>
      <w:r>
        <w:rPr>
          <w:rFonts w:hint="cs"/>
          <w:rtl/>
        </w:rPr>
        <w:tab/>
        <w:t>(6)</w:t>
      </w:r>
      <w:r>
        <w:rPr>
          <w:rFonts w:hint="cs"/>
          <w:rtl/>
        </w:rPr>
        <w:tab/>
        <w:t xml:space="preserve">مراكز البحث هذه هي التالية: </w:t>
      </w:r>
      <w:r>
        <w:rPr>
          <w:i/>
          <w:iCs/>
        </w:rPr>
        <w:t>Istituto per la Ricerca sociale (IRS)</w:t>
      </w:r>
      <w:r>
        <w:rPr>
          <w:rFonts w:hint="cs"/>
          <w:i/>
          <w:iCs/>
          <w:rtl/>
        </w:rPr>
        <w:t xml:space="preserve"> </w:t>
      </w:r>
      <w:r>
        <w:rPr>
          <w:rFonts w:hint="cs"/>
          <w:rtl/>
        </w:rPr>
        <w:t>في ميلا</w:t>
      </w:r>
      <w:r>
        <w:rPr>
          <w:rFonts w:hint="cs"/>
          <w:rtl/>
        </w:rPr>
        <w:t>نو، و</w:t>
      </w:r>
      <w:r>
        <w:rPr>
          <w:i/>
          <w:iCs/>
        </w:rPr>
        <w:t>Centro</w:t>
      </w:r>
      <w:r>
        <w:rPr>
          <w:rFonts w:hint="cs"/>
          <w:i/>
          <w:iCs/>
          <w:rtl/>
        </w:rPr>
        <w:br/>
      </w:r>
      <w:r>
        <w:rPr>
          <w:i/>
          <w:iCs/>
        </w:rPr>
        <w:t>Studi e Formazione sociale Fondazione Emanuela Zancan</w:t>
      </w:r>
      <w:r>
        <w:rPr>
          <w:rFonts w:hint="cs"/>
          <w:i/>
          <w:iCs/>
          <w:rtl/>
        </w:rPr>
        <w:t xml:space="preserve"> </w:t>
      </w:r>
      <w:r>
        <w:rPr>
          <w:rFonts w:hint="cs"/>
          <w:rtl/>
        </w:rPr>
        <w:t>في بادوفا، و</w:t>
      </w:r>
      <w:r>
        <w:rPr>
          <w:i/>
          <w:iCs/>
        </w:rPr>
        <w:t>Centro di recherche e studi</w:t>
      </w:r>
      <w:r>
        <w:rPr>
          <w:rFonts w:hint="cs"/>
          <w:i/>
          <w:iCs/>
          <w:rtl/>
        </w:rPr>
        <w:br/>
      </w:r>
      <w:r>
        <w:rPr>
          <w:i/>
          <w:iCs/>
        </w:rPr>
        <w:t>sui problemi del Lavoro, dell</w:t>
      </w:r>
      <w:r>
        <w:rPr>
          <w:i/>
          <w:iCs/>
          <w:rtl/>
        </w:rPr>
        <w:t>’</w:t>
      </w:r>
      <w:r>
        <w:rPr>
          <w:i/>
          <w:iCs/>
        </w:rPr>
        <w:t>Economia e dello Sviluppo (CLES)</w:t>
      </w:r>
      <w:r>
        <w:rPr>
          <w:i/>
          <w:iCs/>
          <w:rtl/>
        </w:rPr>
        <w:t xml:space="preserve"> </w:t>
      </w:r>
      <w:r>
        <w:rPr>
          <w:rFonts w:hint="cs"/>
          <w:rtl/>
        </w:rPr>
        <w:t>في روما.</w:t>
      </w:r>
    </w:p>
    <w:p w:rsidR="00000000" w:rsidRDefault="00A208FF">
      <w:pPr>
        <w:spacing w:line="400" w:lineRule="exact"/>
        <w:jc w:val="both"/>
        <w:rPr>
          <w:rtl/>
        </w:rPr>
      </w:pPr>
      <w:r>
        <w:rPr>
          <w:rFonts w:hint="cs"/>
          <w:rtl/>
        </w:rPr>
        <w:tab/>
        <w:t>(7)</w:t>
      </w:r>
      <w:r>
        <w:rPr>
          <w:rFonts w:hint="cs"/>
          <w:rtl/>
        </w:rPr>
        <w:tab/>
        <w:t xml:space="preserve">خلال التسعينات، استحدثت في إيطاليا سياسات جديدة في مجال التنمية المحلية، </w:t>
      </w:r>
      <w:r>
        <w:rPr>
          <w:rFonts w:hint="cs"/>
          <w:rtl/>
        </w:rPr>
        <w:t xml:space="preserve">أطلق عليها اسم </w:t>
      </w:r>
      <w:r>
        <w:rPr>
          <w:rFonts w:hint="cs"/>
          <w:i/>
          <w:iCs/>
          <w:rtl/>
        </w:rPr>
        <w:t>العهود الإقليمية</w:t>
      </w:r>
      <w:r>
        <w:rPr>
          <w:rFonts w:hint="cs"/>
          <w:rtl/>
        </w:rPr>
        <w:t>. وتهدف هذه التدابير السياسية إلى إنشاء شبكة سياسات محلية خاصة، تشمل الشركاء الاجتماعيين والمؤسسات والمنظمات المحلية. وتتولى شبكة السياسات تحديد مجموعة من الأهداف الإنمائية (لا سيما استحداث الوظائف من خلال تمويل مبادرات جديدة</w:t>
      </w:r>
      <w:r>
        <w:rPr>
          <w:rFonts w:hint="cs"/>
          <w:rtl/>
        </w:rPr>
        <w:t xml:space="preserve"> في مجال الأعمال) التي تنفذها في إطار العهد الإقليمي مؤسسة أو أكثر من المؤسسات العامة المحلية (عادة ما يتعلق الأمر بالبلديات أو المقاطعات). وتقوم هذه السياسات على نهج ينطلق من القاعدة إلى القمة، يعد نهجا مجددا بصفة خاصة مقارنة بما سبق من سياسات إنمائية محل</w:t>
      </w:r>
      <w:r>
        <w:rPr>
          <w:rFonts w:hint="cs"/>
          <w:rtl/>
        </w:rPr>
        <w:t xml:space="preserve">ية في إيطاليا. </w:t>
      </w:r>
    </w:p>
    <w:p w:rsidR="00000000" w:rsidRDefault="00A208FF">
      <w:pPr>
        <w:spacing w:line="400" w:lineRule="exact"/>
        <w:jc w:val="both"/>
        <w:rPr>
          <w:rFonts w:hint="cs"/>
          <w:i/>
          <w:iCs/>
          <w:rtl/>
          <w:lang w:val="fr-CH"/>
        </w:rPr>
      </w:pPr>
      <w:r>
        <w:rPr>
          <w:rFonts w:hint="cs"/>
          <w:rtl/>
        </w:rPr>
        <w:tab/>
      </w:r>
      <w:r>
        <w:rPr>
          <w:rFonts w:hint="cs"/>
          <w:rtl/>
          <w:lang w:val="fr-CH"/>
        </w:rPr>
        <w:t>(8)</w:t>
      </w:r>
      <w:r>
        <w:rPr>
          <w:rFonts w:hint="cs"/>
          <w:rtl/>
          <w:lang w:val="fr-CH"/>
        </w:rPr>
        <w:tab/>
      </w:r>
      <w:r>
        <w:rPr>
          <w:i/>
          <w:iCs/>
          <w:lang w:val="fr-CH"/>
        </w:rPr>
        <w:t>Piano Nazionale degli Interventi e dei Servizi Sociali 2001-2003</w:t>
      </w:r>
      <w:r>
        <w:rPr>
          <w:rFonts w:hint="cs"/>
          <w:i/>
          <w:iCs/>
          <w:rtl/>
          <w:lang w:val="fr-CH"/>
        </w:rPr>
        <w:t>.</w:t>
      </w:r>
    </w:p>
    <w:p w:rsidR="00000000" w:rsidRDefault="00A208FF">
      <w:pPr>
        <w:spacing w:line="400" w:lineRule="exact"/>
        <w:jc w:val="both"/>
        <w:rPr>
          <w:rFonts w:hint="cs"/>
          <w:rtl/>
        </w:rPr>
      </w:pPr>
      <w:r>
        <w:rPr>
          <w:rFonts w:hint="cs"/>
          <w:i/>
          <w:iCs/>
          <w:rtl/>
          <w:lang w:val="fr-CH"/>
        </w:rPr>
        <w:tab/>
      </w:r>
      <w:r>
        <w:rPr>
          <w:rFonts w:hint="cs"/>
          <w:rtl/>
          <w:lang w:val="fr-CH"/>
        </w:rPr>
        <w:t>(9)</w:t>
      </w:r>
      <w:r>
        <w:rPr>
          <w:rFonts w:hint="cs"/>
          <w:rtl/>
          <w:lang w:val="fr-CH"/>
        </w:rPr>
        <w:tab/>
      </w:r>
      <w:r>
        <w:rPr>
          <w:rFonts w:hint="cs"/>
          <w:rtl/>
        </w:rPr>
        <w:t>تمثل عملية الإدماج الاجتماعي تطبيقا لطريقة التنسيق المفتوحة المتصلة بمكافحة الفقر والإقصاء الاجتماعي، وتتألف من جزأين. يتمثل الجزء الأول في برنامج عمل متعدد السنوات</w:t>
      </w:r>
      <w:r>
        <w:rPr>
          <w:rFonts w:hint="cs"/>
          <w:rtl/>
        </w:rPr>
        <w:t xml:space="preserve"> يرمي إلى دعم التعاون بين الدول الأعضاء في سبيل مكافحة الإقصاء الاجتماعي. أما الجزء الثاني فهو عبارة عن عملية تقوم على تقديم الدول الأعضاء لخطط عمل وطنية كل سنتين وخضوع هذه الخطط لتقييم المجلس والمفوضية، اللذين يعدان تقريرا مشتركا. وبدأ برنامج العمل الخماس</w:t>
      </w:r>
      <w:r>
        <w:rPr>
          <w:rFonts w:hint="cs"/>
          <w:rtl/>
        </w:rPr>
        <w:t>ي السنوات في 1 كانون الثاني/يناير 2001 وسيتواصل حتى 31 كانون الأول/ديسمبر 2006، بميزانية مقدارها 000 000 75 يورو للفترة بأكملها. وبدأت الجولة الأولى من العملية في شهر حزيران/يونيه 2001، عند تقديم أولى الخطط الوطنية من أجل مكافحة الإقصاء الاجتماعي، التي تضع</w:t>
      </w:r>
      <w:r>
        <w:rPr>
          <w:rFonts w:hint="cs"/>
          <w:rtl/>
        </w:rPr>
        <w:t xml:space="preserve"> استراتيجيات وطنية للفترة ما بين سنتي 2001 و2003. وصدر التقرير المشترك الأول بشأن الإدماج في كانون الأول/ديسمبر 2001. وتسترشد العملية برمتها بالأهداف المتصلة بمكافحة الفقر والإقصاء الاجتماعي التي اعتمدها المجلس الأوروبي في نيس في شهر كانون الأول/ديسمبر 200</w:t>
      </w:r>
      <w:r>
        <w:rPr>
          <w:rFonts w:hint="cs"/>
          <w:rtl/>
        </w:rPr>
        <w:t>0. وهذه الأهداف هي التالية:</w:t>
      </w:r>
    </w:p>
    <w:p w:rsidR="00000000" w:rsidRDefault="00A208FF">
      <w:pPr>
        <w:spacing w:line="400" w:lineRule="exact"/>
        <w:jc w:val="both"/>
        <w:rPr>
          <w:rFonts w:hint="cs"/>
          <w:rtl/>
        </w:rPr>
      </w:pPr>
      <w:r>
        <w:rPr>
          <w:rFonts w:hint="cs"/>
          <w:rtl/>
        </w:rPr>
        <w:tab/>
        <w:t>(أ)</w:t>
      </w:r>
      <w:r>
        <w:rPr>
          <w:rFonts w:hint="cs"/>
          <w:rtl/>
        </w:rPr>
        <w:tab/>
        <w:t>تيسير مشاركة الجميع في العمالة ووصولهم إلى كل الموارد والحقوق والسلع والخدمات؛</w:t>
      </w:r>
    </w:p>
    <w:p w:rsidR="00000000" w:rsidRDefault="00A208FF">
      <w:pPr>
        <w:spacing w:line="400" w:lineRule="exact"/>
        <w:jc w:val="both"/>
        <w:rPr>
          <w:rFonts w:hint="cs"/>
          <w:rtl/>
        </w:rPr>
      </w:pPr>
      <w:r>
        <w:rPr>
          <w:rFonts w:hint="cs"/>
          <w:rtl/>
        </w:rPr>
        <w:tab/>
        <w:t>(ب)</w:t>
      </w:r>
      <w:r>
        <w:rPr>
          <w:rFonts w:hint="cs"/>
          <w:rtl/>
        </w:rPr>
        <w:tab/>
        <w:t>الحيلولة دون خطر الإقصاء؛</w:t>
      </w:r>
    </w:p>
    <w:p w:rsidR="00000000" w:rsidRDefault="00A208FF">
      <w:pPr>
        <w:spacing w:line="400" w:lineRule="exact"/>
        <w:jc w:val="both"/>
        <w:rPr>
          <w:rFonts w:hint="cs"/>
          <w:rtl/>
        </w:rPr>
      </w:pPr>
      <w:r>
        <w:rPr>
          <w:rFonts w:hint="cs"/>
          <w:rtl/>
        </w:rPr>
        <w:tab/>
        <w:t>(ج)</w:t>
      </w:r>
      <w:r>
        <w:rPr>
          <w:rFonts w:hint="cs"/>
          <w:rtl/>
        </w:rPr>
        <w:tab/>
        <w:t>مساعدة أضعف الفئات؛</w:t>
      </w:r>
    </w:p>
    <w:p w:rsidR="00000000" w:rsidRDefault="00A208FF">
      <w:pPr>
        <w:spacing w:line="400" w:lineRule="exact"/>
        <w:jc w:val="both"/>
        <w:rPr>
          <w:rFonts w:hint="cs"/>
          <w:rtl/>
        </w:rPr>
      </w:pPr>
      <w:r>
        <w:rPr>
          <w:rFonts w:hint="cs"/>
          <w:rtl/>
        </w:rPr>
        <w:tab/>
        <w:t>(د)</w:t>
      </w:r>
      <w:r>
        <w:rPr>
          <w:rFonts w:hint="cs"/>
          <w:rtl/>
        </w:rPr>
        <w:tab/>
        <w:t>حشد جميع الهيئات ذات الصلة.</w:t>
      </w:r>
    </w:p>
    <w:p w:rsidR="00000000" w:rsidRDefault="00A208FF">
      <w:pPr>
        <w:spacing w:line="400" w:lineRule="exact"/>
        <w:jc w:val="both"/>
        <w:rPr>
          <w:rFonts w:hint="cs"/>
          <w:rtl/>
        </w:rPr>
      </w:pPr>
      <w:r>
        <w:rPr>
          <w:rFonts w:hint="cs"/>
          <w:rtl/>
        </w:rPr>
        <w:tab/>
        <w:t>(10)</w:t>
      </w:r>
      <w:r>
        <w:rPr>
          <w:rFonts w:hint="cs"/>
          <w:rtl/>
        </w:rPr>
        <w:tab/>
        <w:t>جاء في خطة الرعاية الصحية مثلا إشارة محددة ضمن أح</w:t>
      </w:r>
      <w:r>
        <w:rPr>
          <w:rFonts w:hint="cs"/>
          <w:rtl/>
        </w:rPr>
        <w:t xml:space="preserve">د الأهداف إلى "تعزيز حماية الأفراد الضعفاء"، وهو ما تقوم به الخطة باعتماد تدابير تستهدف فئات الأفراد المعرضين بصفة نمطية إلى خطر الإقصاء، ويتعلق الأمر بالمهاجرين ومدمني المخدرات والمصابين بأمراض عقلية والمسنين ومن شارفوا على آخر مراحل العمر. </w:t>
      </w:r>
    </w:p>
    <w:p w:rsidR="00000000" w:rsidRDefault="00A208FF">
      <w:pPr>
        <w:spacing w:line="400" w:lineRule="exact"/>
        <w:jc w:val="both"/>
        <w:rPr>
          <w:rFonts w:hint="cs"/>
          <w:rtl/>
        </w:rPr>
      </w:pPr>
      <w:r>
        <w:rPr>
          <w:rFonts w:hint="cs"/>
          <w:rtl/>
        </w:rPr>
        <w:tab/>
        <w:t>(11)</w:t>
      </w:r>
      <w:r>
        <w:rPr>
          <w:rFonts w:hint="cs"/>
          <w:rtl/>
        </w:rPr>
        <w:tab/>
        <w:t>ينص الق</w:t>
      </w:r>
      <w:r>
        <w:rPr>
          <w:rFonts w:hint="cs"/>
          <w:rtl/>
        </w:rPr>
        <w:t>انون 328/2000 على أنه ينبغي للحكومة إعداد خطة وطنية للتدخلات والخدمات الاجتماعية كل ثلاث سنوات. وتحدد الخطة في جملة ما تحدده أولويات المشروع وأهدافه ومؤشرات تقدير مستويات الاندماج الاجتماعي.</w:t>
      </w:r>
    </w:p>
    <w:p w:rsidR="00000000" w:rsidRDefault="00A208FF">
      <w:pPr>
        <w:spacing w:line="400" w:lineRule="exact"/>
        <w:jc w:val="both"/>
        <w:rPr>
          <w:rFonts w:hint="cs"/>
          <w:rtl/>
        </w:rPr>
      </w:pPr>
      <w:r>
        <w:rPr>
          <w:rFonts w:hint="cs"/>
          <w:rtl/>
        </w:rPr>
        <w:tab/>
        <w:t>(12)</w:t>
      </w:r>
      <w:r>
        <w:rPr>
          <w:rFonts w:hint="cs"/>
          <w:rtl/>
        </w:rPr>
        <w:tab/>
        <w:t>مشروع التقرير المشترك بشأن الإدماج الاجتماعي (</w:t>
      </w:r>
      <w:r>
        <w:t>CEC 2001</w:t>
      </w:r>
      <w:r>
        <w:rPr>
          <w:rFonts w:hint="cs"/>
          <w:rtl/>
        </w:rPr>
        <w:t>)، ال</w:t>
      </w:r>
      <w:r>
        <w:rPr>
          <w:rFonts w:hint="cs"/>
          <w:rtl/>
        </w:rPr>
        <w:t>صفحة 22.</w:t>
      </w:r>
    </w:p>
    <w:p w:rsidR="00000000" w:rsidRDefault="00A208FF">
      <w:pPr>
        <w:spacing w:line="400" w:lineRule="exact"/>
        <w:jc w:val="both"/>
        <w:rPr>
          <w:rFonts w:hint="cs"/>
          <w:rtl/>
        </w:rPr>
      </w:pPr>
      <w:r>
        <w:rPr>
          <w:rFonts w:hint="cs"/>
          <w:rtl/>
        </w:rPr>
        <w:tab/>
        <w:t>(13)</w:t>
      </w:r>
      <w:r>
        <w:rPr>
          <w:rFonts w:hint="cs"/>
          <w:rtl/>
        </w:rPr>
        <w:tab/>
        <w:t>اعتمد هذا الإجراء في نهاية كانون الأول/ديسمبر 1998(القانون رقم 448 المؤرخ 23 كانون الأول/ديسمبر 1998) وبدأ تطبيقه سنة 1999.</w:t>
      </w:r>
    </w:p>
    <w:p w:rsidR="00000000" w:rsidRDefault="00A208FF">
      <w:pPr>
        <w:spacing w:line="400" w:lineRule="exact"/>
        <w:jc w:val="center"/>
        <w:rPr>
          <w:rFonts w:hint="cs"/>
          <w:b/>
          <w:bCs/>
          <w:rtl/>
        </w:rPr>
      </w:pPr>
      <w:r>
        <w:rPr>
          <w:rFonts w:hint="cs"/>
          <w:b/>
          <w:bCs/>
          <w:rtl/>
        </w:rPr>
        <w:t>- - - - -</w:t>
      </w:r>
    </w:p>
    <w:p w:rsidR="00000000" w:rsidRDefault="00A208FF">
      <w:pPr>
        <w:spacing w:line="400" w:lineRule="exact"/>
        <w:jc w:val="both"/>
        <w:rPr>
          <w:rFonts w:hint="cs"/>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08FF">
    <w:pPr>
      <w:pStyle w:val="Footer"/>
      <w:bidi w:val="0"/>
      <w:jc w:val="right"/>
      <w:rPr>
        <w:rtl/>
        <w:lang w:eastAsia="en-US"/>
      </w:rPr>
    </w:pPr>
    <w:r>
      <w:rPr>
        <w:szCs w:val="22"/>
        <w:lang w:eastAsia="en-US"/>
      </w:rPr>
      <w:t>(A)     GE.03-41986    240903    271003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208FF" w:rsidTr="00A208FF">
      <w:tblPrEx>
        <w:tblCellMar>
          <w:top w:w="0" w:type="dxa"/>
          <w:bottom w:w="0" w:type="dxa"/>
        </w:tblCellMar>
      </w:tblPrEx>
      <w:tc>
        <w:tcPr>
          <w:tcW w:w="1916" w:type="dxa"/>
        </w:tcPr>
        <w:p w:rsidR="00000000" w:rsidRDefault="00A208FF">
          <w:pPr>
            <w:pStyle w:val="Header"/>
            <w:bidi w:val="0"/>
          </w:pPr>
          <w:r>
            <w:t>E/C.12/4/Add.13</w:t>
          </w:r>
        </w:p>
        <w:p w:rsidR="00000000" w:rsidRDefault="00A208FF">
          <w:pPr>
            <w:pStyle w:val="Header"/>
            <w:bidi w:val="0"/>
          </w:pPr>
          <w:r>
            <w:t xml:space="preserve">Page </w:t>
          </w:r>
          <w:r>
            <w:fldChar w:fldCharType="begin"/>
          </w:r>
          <w:r>
            <w:instrText xml:space="preserve"> PAGE  \* MERGEFORMAT </w:instrText>
          </w:r>
          <w:r>
            <w:fldChar w:fldCharType="separate"/>
          </w:r>
          <w:r>
            <w:t>16</w:t>
          </w:r>
          <w:r>
            <w:fldChar w:fldCharType="end"/>
          </w:r>
        </w:p>
      </w:tc>
    </w:tr>
  </w:tbl>
  <w:p w:rsidR="00000000" w:rsidRDefault="00A208F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08FF">
    <w:pPr>
      <w:pStyle w:val="Header"/>
      <w:bidi w:val="0"/>
    </w:pPr>
    <w:r>
      <w:t>E/C.12/4/Add.13</w:t>
    </w:r>
  </w:p>
  <w:p w:rsidR="00000000" w:rsidRDefault="00A208FF">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08FF">
    <w:pPr>
      <w:tabs>
        <w:tab w:val="right" w:pos="9467"/>
      </w:tabs>
      <w:spacing w:after="0" w:line="1000" w:lineRule="exact"/>
      <w:jc w:val="both"/>
      <w:rPr>
        <w:b/>
        <w:bCs/>
        <w:sz w:val="44"/>
        <w:szCs w:val="36"/>
        <w:rtl/>
        <w:lang w:eastAsia="en-US"/>
      </w:rPr>
    </w:pPr>
    <w:r>
      <w:rPr>
        <w:sz w:val="56"/>
        <w:szCs w:val="56"/>
        <w:rtl/>
        <w:lang w:eastAsia="en-US"/>
      </w:rPr>
      <w:t>ا</w:t>
    </w:r>
    <w:r>
      <w:rPr>
        <w:sz w:val="56"/>
        <w:szCs w:val="56"/>
        <w:rtl/>
        <w:lang w:eastAsia="en-US"/>
      </w:rPr>
      <w:t>لأمم المتحدة</w:t>
    </w:r>
    <w:r>
      <w:rPr>
        <w:szCs w:val="36"/>
        <w:rtl/>
        <w:lang w:eastAsia="en-US"/>
      </w:rPr>
      <w:tab/>
    </w:r>
    <w:r>
      <w:rPr>
        <w:rFonts w:ascii="Arial" w:hAnsi="Arial" w:cs="Arial"/>
        <w:b/>
        <w:bCs/>
        <w:sz w:val="72"/>
        <w:szCs w:val="72"/>
        <w:lang w:eastAsia="en-US"/>
      </w:rPr>
      <w:t>E</w:t>
    </w:r>
  </w:p>
  <w:p w:rsidR="00000000" w:rsidRDefault="00A208FF">
    <w:pPr>
      <w:pBdr>
        <w:bottom w:val="single" w:sz="6" w:space="1" w:color="auto"/>
      </w:pBdr>
      <w:bidi w:val="0"/>
      <w:spacing w:before="0" w:after="0"/>
      <w:rPr>
        <w:rFonts w:cs="Times New Roman"/>
        <w:szCs w:val="22"/>
        <w:lang w:eastAsia="en-US"/>
      </w:rPr>
    </w:pPr>
  </w:p>
  <w:p w:rsidR="00000000" w:rsidRDefault="00A208F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3748" r:id="rId2"/>
      </w:pict>
    </w:r>
  </w:p>
  <w:p w:rsidR="00000000" w:rsidRDefault="00A208F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208F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208FF">
    <w:pPr>
      <w:pStyle w:val="Header"/>
      <w:bidi w:val="0"/>
      <w:rPr>
        <w:szCs w:val="22"/>
        <w:lang w:eastAsia="en-US"/>
      </w:rPr>
    </w:pPr>
  </w:p>
  <w:p w:rsidR="00000000" w:rsidRDefault="00A208FF">
    <w:pPr>
      <w:pStyle w:val="Header"/>
      <w:bidi w:val="0"/>
      <w:rPr>
        <w:szCs w:val="22"/>
        <w:lang w:eastAsia="en-US"/>
      </w:rPr>
    </w:pPr>
  </w:p>
  <w:p w:rsidR="00000000" w:rsidRDefault="00A208FF">
    <w:pPr>
      <w:pStyle w:val="Header"/>
      <w:bidi w:val="0"/>
      <w:rPr>
        <w:szCs w:val="22"/>
        <w:lang w:eastAsia="en-US"/>
      </w:rPr>
    </w:pPr>
  </w:p>
  <w:p w:rsidR="00000000" w:rsidRDefault="00A208FF">
    <w:pPr>
      <w:pStyle w:val="Header"/>
      <w:bidi w:val="0"/>
      <w:rPr>
        <w:szCs w:val="22"/>
        <w:lang w:eastAsia="en-US"/>
      </w:rPr>
    </w:pPr>
  </w:p>
  <w:p w:rsidR="00000000" w:rsidRDefault="00A208FF">
    <w:pPr>
      <w:pStyle w:val="Header"/>
      <w:bidi w:val="0"/>
      <w:rPr>
        <w:rtl/>
        <w:lang w:eastAsia="en-US"/>
      </w:rPr>
    </w:pPr>
  </w:p>
  <w:p w:rsidR="00000000" w:rsidRDefault="00A208FF">
    <w:pPr>
      <w:pStyle w:val="Header"/>
      <w:bidi w:val="0"/>
      <w:rPr>
        <w:rtl/>
        <w:lang w:eastAsia="en-US"/>
      </w:rPr>
    </w:pPr>
  </w:p>
  <w:p w:rsidR="00000000" w:rsidRDefault="00A208F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AC70453"/>
    <w:multiLevelType w:val="hybridMultilevel"/>
    <w:tmpl w:val="D2546A40"/>
    <w:lvl w:ilvl="0" w:tplc="6E52A2EC">
      <w:start w:val="59"/>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263F0229"/>
    <w:multiLevelType w:val="hybridMultilevel"/>
    <w:tmpl w:val="FE8CC77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BEE607D"/>
    <w:multiLevelType w:val="hybridMultilevel"/>
    <w:tmpl w:val="ECE497F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54D4F58"/>
    <w:multiLevelType w:val="hybridMultilevel"/>
    <w:tmpl w:val="5E80B0F6"/>
    <w:lvl w:ilvl="0" w:tplc="E72C1948">
      <w:start w:val="274"/>
      <w:numFmt w:val="bullet"/>
      <w:lvlText w:val="-"/>
      <w:lvlJc w:val="left"/>
      <w:pPr>
        <w:tabs>
          <w:tab w:val="num" w:pos="720"/>
        </w:tabs>
        <w:ind w:left="720" w:right="720" w:hanging="360"/>
      </w:pPr>
      <w:rPr>
        <w:rFonts w:ascii="Times New Roman" w:eastAsia="Times New Roman" w:hAnsi="Times New Roman" w:cs="Traditional Arabic" w:hint="default"/>
      </w:rPr>
    </w:lvl>
    <w:lvl w:ilvl="1" w:tplc="040C0003" w:tentative="1">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729F1239"/>
    <w:multiLevelType w:val="hybridMultilevel"/>
    <w:tmpl w:val="993AEE3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6"/>
  </w:num>
  <w:num w:numId="6">
    <w:abstractNumId w:val="18"/>
  </w:num>
  <w:num w:numId="7">
    <w:abstractNumId w:val="4"/>
  </w:num>
  <w:num w:numId="8">
    <w:abstractNumId w:val="4"/>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 w:numId="48">
    <w:abstractNumId w:val="11"/>
  </w:num>
  <w:num w:numId="49">
    <w:abstractNumId w:val="3"/>
  </w:num>
  <w:num w:numId="50">
    <w:abstractNumId w:val="3"/>
  </w:num>
  <w:num w:numId="51">
    <w:abstractNumId w:val="3"/>
  </w:num>
  <w:num w:numId="52">
    <w:abstractNumId w:val="11"/>
  </w:num>
  <w:num w:numId="53">
    <w:abstractNumId w:val="11"/>
  </w:num>
  <w:num w:numId="54">
    <w:abstractNumId w:val="9"/>
  </w:num>
  <w:num w:numId="55">
    <w:abstractNumId w:val="15"/>
  </w:num>
  <w:num w:numId="56">
    <w:abstractNumId w:val="15"/>
  </w:num>
  <w:num w:numId="57">
    <w:abstractNumId w:val="15"/>
  </w:num>
  <w:num w:numId="58">
    <w:abstractNumId w:val="3"/>
  </w:num>
  <w:num w:numId="59">
    <w:abstractNumId w:val="8"/>
  </w:num>
  <w:num w:numId="60">
    <w:abstractNumId w:val="8"/>
  </w:num>
  <w:num w:numId="61">
    <w:abstractNumId w:val="12"/>
  </w:num>
  <w:num w:numId="62">
    <w:abstractNumId w:val="12"/>
  </w:num>
  <w:num w:numId="63">
    <w:abstractNumId w:val="12"/>
  </w:num>
  <w:num w:numId="64">
    <w:abstractNumId w:val="15"/>
  </w:num>
  <w:num w:numId="65">
    <w:abstractNumId w:val="5"/>
  </w:num>
  <w:num w:numId="66">
    <w:abstractNumId w:val="17"/>
  </w:num>
  <w:num w:numId="67">
    <w:abstractNumId w:val="7"/>
  </w:num>
  <w:num w:numId="68">
    <w:abstractNumId w:val="10"/>
  </w:num>
  <w:num w:numId="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semiHidden/>
    <w:pPr>
      <w:spacing w:before="0" w:after="0" w:line="480" w:lineRule="auto"/>
      <w:ind w:left="720"/>
      <w:jc w:val="both"/>
    </w:pPr>
    <w:rPr>
      <w:b/>
      <w:bCs/>
      <w:spacing w:val="0"/>
      <w:kern w:val="0"/>
      <w:sz w:val="24"/>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line="480" w:lineRule="auto"/>
      <w:jc w:val="both"/>
    </w:pPr>
    <w:rPr>
      <w:spacing w:val="0"/>
      <w:kern w:val="0"/>
      <w:sz w:val="24"/>
      <w:u w:val="single"/>
    </w:rPr>
  </w:style>
  <w:style w:type="paragraph" w:styleId="BodyText2">
    <w:name w:val="Body Text 2"/>
    <w:basedOn w:val="Normal"/>
    <w:semiHidden/>
    <w:pPr>
      <w:spacing w:before="0" w:after="0" w:line="480" w:lineRule="auto"/>
      <w:jc w:val="both"/>
    </w:pPr>
    <w:rPr>
      <w:spacing w:val="0"/>
      <w:kern w:val="0"/>
      <w:sz w:val="24"/>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Pages>
  <Words>27685</Words>
  <Characters>157806</Characters>
  <Application>Microsoft Office Word</Application>
  <DocSecurity>4</DocSecurity>
  <Lines>1315</Lines>
  <Paragraphs>315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193796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2003-10-27T10:07:00Z</cp:lastPrinted>
  <dcterms:created xsi:type="dcterms:W3CDTF">2003-10-27T11:36:00Z</dcterms:created>
  <dcterms:modified xsi:type="dcterms:W3CDTF">2003-10-27T11:36:00Z</dcterms:modified>
</cp:coreProperties>
</file>