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C76CF4" w:rsidP="00C76CF4">
            <w:pPr>
              <w:suppressAutoHyphens w:val="0"/>
              <w:spacing w:after="20"/>
              <w:jc w:val="right"/>
            </w:pPr>
            <w:r w:rsidRPr="00C76CF4">
              <w:rPr>
                <w:sz w:val="40"/>
              </w:rPr>
              <w:t>CERD</w:t>
            </w:r>
            <w:r>
              <w:t>/C/DZA/Q/20-21</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C76CF4" w:rsidP="00C76CF4">
            <w:pPr>
              <w:suppressAutoHyphens w:val="0"/>
              <w:spacing w:before="240" w:line="240" w:lineRule="exact"/>
            </w:pPr>
            <w:r>
              <w:t>Distr.: General</w:t>
            </w:r>
          </w:p>
          <w:p w:rsidR="00C76CF4" w:rsidRDefault="00C76CF4" w:rsidP="00C76CF4">
            <w:pPr>
              <w:suppressAutoHyphens w:val="0"/>
            </w:pPr>
            <w:r>
              <w:t>6 October 2017</w:t>
            </w:r>
          </w:p>
          <w:p w:rsidR="00C76CF4" w:rsidRDefault="00C76CF4" w:rsidP="00C76CF4">
            <w:pPr>
              <w:suppressAutoHyphens w:val="0"/>
            </w:pPr>
            <w:r>
              <w:t>English</w:t>
            </w:r>
          </w:p>
          <w:p w:rsidR="00C76CF4" w:rsidRDefault="00C76CF4" w:rsidP="00C76CF4">
            <w:pPr>
              <w:suppressAutoHyphens w:val="0"/>
            </w:pPr>
            <w:r>
              <w:t>Original: French</w:t>
            </w:r>
          </w:p>
          <w:p w:rsidR="00C76CF4" w:rsidRDefault="00C76CF4" w:rsidP="00C76CF4">
            <w:pPr>
              <w:suppressAutoHyphens w:val="0"/>
            </w:pPr>
            <w:r>
              <w:t>English, French and Spanish only</w:t>
            </w:r>
          </w:p>
        </w:tc>
      </w:tr>
    </w:tbl>
    <w:p w:rsidR="00196159" w:rsidRPr="00196159" w:rsidRDefault="00196159" w:rsidP="00196159">
      <w:pPr>
        <w:spacing w:before="120"/>
        <w:rPr>
          <w:b/>
          <w:sz w:val="24"/>
          <w:szCs w:val="24"/>
        </w:rPr>
      </w:pPr>
      <w:r w:rsidRPr="00196159">
        <w:rPr>
          <w:b/>
          <w:sz w:val="24"/>
          <w:szCs w:val="24"/>
        </w:rPr>
        <w:t>Committee on the Elimination of Racial Discrimination</w:t>
      </w:r>
    </w:p>
    <w:p w:rsidR="00196159" w:rsidRPr="00196159" w:rsidRDefault="00196159" w:rsidP="00196159">
      <w:pPr>
        <w:rPr>
          <w:b/>
          <w:bCs/>
        </w:rPr>
      </w:pPr>
      <w:r w:rsidRPr="00196159">
        <w:rPr>
          <w:b/>
          <w:bCs/>
        </w:rPr>
        <w:t xml:space="preserve">Ninety-fourth session </w:t>
      </w:r>
    </w:p>
    <w:p w:rsidR="00196159" w:rsidRPr="0021226D" w:rsidRDefault="00196159" w:rsidP="00196159">
      <w:r w:rsidRPr="0021226D">
        <w:t>20 November-8 December 2017</w:t>
      </w:r>
    </w:p>
    <w:p w:rsidR="00196159" w:rsidRPr="0021226D" w:rsidRDefault="00196159" w:rsidP="00196159">
      <w:r w:rsidRPr="0021226D">
        <w:t>Item 4 of the provisional agenda</w:t>
      </w:r>
    </w:p>
    <w:p w:rsidR="00196159" w:rsidRPr="00196159" w:rsidRDefault="00196159" w:rsidP="00196159">
      <w:pPr>
        <w:rPr>
          <w:b/>
          <w:bCs/>
        </w:rPr>
      </w:pPr>
      <w:r w:rsidRPr="00196159">
        <w:rPr>
          <w:b/>
          <w:bCs/>
        </w:rPr>
        <w:t>Consideration of reports, comments and information</w:t>
      </w:r>
      <w:r>
        <w:rPr>
          <w:b/>
          <w:bCs/>
        </w:rPr>
        <w:t xml:space="preserve"> </w:t>
      </w:r>
      <w:r w:rsidRPr="00196159">
        <w:rPr>
          <w:b/>
          <w:bCs/>
        </w:rPr>
        <w:t>submitted</w:t>
      </w:r>
      <w:r>
        <w:rPr>
          <w:b/>
          <w:bCs/>
        </w:rPr>
        <w:br/>
      </w:r>
      <w:r w:rsidRPr="00196159">
        <w:rPr>
          <w:b/>
          <w:bCs/>
        </w:rPr>
        <w:t>by States parties under article 9 of the Convention</w:t>
      </w:r>
    </w:p>
    <w:p w:rsidR="00196159" w:rsidRPr="0021226D" w:rsidRDefault="00196159" w:rsidP="001E4A86">
      <w:pPr>
        <w:pStyle w:val="HChG"/>
      </w:pPr>
      <w:r w:rsidRPr="0021226D">
        <w:tab/>
      </w:r>
      <w:r w:rsidRPr="0021226D">
        <w:tab/>
        <w:t>List of themes in relation to the combined twentieth and twenty-first periodic reports of Algeria</w:t>
      </w:r>
    </w:p>
    <w:p w:rsidR="00196159" w:rsidRPr="0021226D" w:rsidRDefault="00196159" w:rsidP="001E4A86">
      <w:pPr>
        <w:pStyle w:val="H1G"/>
      </w:pPr>
      <w:r w:rsidRPr="0021226D">
        <w:tab/>
      </w:r>
      <w:r w:rsidRPr="0021226D">
        <w:tab/>
        <w:t xml:space="preserve">Note by the Country Rapporteur </w:t>
      </w:r>
    </w:p>
    <w:p w:rsidR="00196159" w:rsidRPr="0021226D" w:rsidRDefault="00196159" w:rsidP="00196159">
      <w:pPr>
        <w:pStyle w:val="SingleTxtG"/>
      </w:pPr>
      <w:proofErr w:type="gramStart"/>
      <w:r w:rsidRPr="0021226D">
        <w:t>1.</w:t>
      </w:r>
      <w:r w:rsidRPr="0021226D">
        <w:tab/>
        <w:t>The Committee on the Elimination of Racial Discrimination decided at its seventy-sixth session (see A/65/18, para. 85) that the Country Rapporteur would send to the State party concerned a short list of themes with a view to guiding and focusing the dialogue between the State party</w:t>
      </w:r>
      <w:r w:rsidR="00DB1206">
        <w:t>’</w:t>
      </w:r>
      <w:r w:rsidRPr="0021226D">
        <w:t>s delegation and the Committee during the consideration of the State party</w:t>
      </w:r>
      <w:r w:rsidR="00DB1206">
        <w:t>’</w:t>
      </w:r>
      <w:r w:rsidRPr="0021226D">
        <w:t>s report.</w:t>
      </w:r>
      <w:proofErr w:type="gramEnd"/>
      <w:r w:rsidRPr="0021226D">
        <w:t xml:space="preserve"> The present document contains a list of such themes. It is not an exhaustive list; other issues may also be raised in the course of the dialogue. No written replies are required.</w:t>
      </w:r>
    </w:p>
    <w:p w:rsidR="00196159" w:rsidRPr="0021226D" w:rsidRDefault="00196159" w:rsidP="001E4A86">
      <w:pPr>
        <w:pStyle w:val="H23G"/>
      </w:pPr>
      <w:r w:rsidRPr="0021226D">
        <w:tab/>
      </w:r>
      <w:r w:rsidRPr="0021226D">
        <w:tab/>
        <w:t>The Convention in domestic law and the institutional and policy framework for its implementation (arts. 1, 2, 3, 4 and 6)</w:t>
      </w:r>
    </w:p>
    <w:p w:rsidR="00196159" w:rsidRPr="0021226D" w:rsidRDefault="00196159" w:rsidP="00196159">
      <w:pPr>
        <w:pStyle w:val="SingleTxtG"/>
      </w:pPr>
      <w:r w:rsidRPr="0021226D">
        <w:t>2.</w:t>
      </w:r>
      <w:r w:rsidRPr="0021226D">
        <w:tab/>
        <w:t>Harmonization of the definition of racial discrimination in the Constitution and in other legislation. Protection against racial discrimination in access to employment and working conditions.</w:t>
      </w:r>
    </w:p>
    <w:p w:rsidR="00196159" w:rsidRPr="0021226D" w:rsidRDefault="00196159" w:rsidP="00196159">
      <w:pPr>
        <w:pStyle w:val="SingleTxtG"/>
      </w:pPr>
      <w:r w:rsidRPr="0021226D">
        <w:t>3.</w:t>
      </w:r>
      <w:r w:rsidRPr="0021226D">
        <w:tab/>
        <w:t xml:space="preserve">Conformity of criminal legislation on racial discrimination with all the elements listed in article 4 of the Convention. </w:t>
      </w:r>
    </w:p>
    <w:p w:rsidR="00196159" w:rsidRPr="0021226D" w:rsidRDefault="00196159" w:rsidP="00196159">
      <w:pPr>
        <w:pStyle w:val="SingleTxtG"/>
      </w:pPr>
      <w:r w:rsidRPr="0021226D">
        <w:t>4.</w:t>
      </w:r>
      <w:r w:rsidRPr="0021226D">
        <w:tab/>
        <w:t>Reasons for the near absence of complaints of acts of racial discrimination, of cases prosecuted and of convictions by courts or other bodies. Measures taken to establish a mechanism for collecting such data.</w:t>
      </w:r>
    </w:p>
    <w:p w:rsidR="00196159" w:rsidRPr="0021226D" w:rsidRDefault="00196159" w:rsidP="00196159">
      <w:pPr>
        <w:pStyle w:val="SingleTxtG"/>
      </w:pPr>
      <w:r w:rsidRPr="0021226D">
        <w:t>5.</w:t>
      </w:r>
      <w:r w:rsidRPr="0021226D">
        <w:tab/>
        <w:t xml:space="preserve">Information on the accreditation status of the new National Human Rights Council and its compliance with the principles relating to the status of national institutions for the promotion and protection of human rights (Paris Principles), its human and financial resources and its activities to prevent and combat racial discrimination. </w:t>
      </w:r>
    </w:p>
    <w:p w:rsidR="00196159" w:rsidRPr="0021226D" w:rsidRDefault="00196159" w:rsidP="001E4A86">
      <w:pPr>
        <w:pStyle w:val="H23G"/>
      </w:pPr>
      <w:r w:rsidRPr="0021226D">
        <w:tab/>
      </w:r>
      <w:r w:rsidRPr="0021226D">
        <w:tab/>
        <w:t>Situation of ethnic groups (arts. 1 and 5)</w:t>
      </w:r>
    </w:p>
    <w:p w:rsidR="00196159" w:rsidRPr="0021226D" w:rsidRDefault="00196159" w:rsidP="00196159">
      <w:pPr>
        <w:pStyle w:val="SingleTxtG"/>
      </w:pPr>
      <w:r w:rsidRPr="0021226D">
        <w:t>6.</w:t>
      </w:r>
      <w:r w:rsidRPr="0021226D">
        <w:tab/>
        <w:t>Ethnic composition of the State party</w:t>
      </w:r>
      <w:r w:rsidR="00DB1206">
        <w:t>’</w:t>
      </w:r>
      <w:r w:rsidRPr="0021226D">
        <w:t>s population and its geographical distribution, including disaggregated data or socioeconomic and cultural data, as well as information on the living conditions of the different groups in the population living in the State party, including non-nationals, refugees, asylum seekers and stateles</w:t>
      </w:r>
      <w:bookmarkStart w:id="0" w:name="_GoBack"/>
      <w:bookmarkEnd w:id="0"/>
      <w:r w:rsidRPr="0021226D">
        <w:t xml:space="preserve">s persons. </w:t>
      </w:r>
    </w:p>
    <w:p w:rsidR="00196159" w:rsidRPr="0021226D" w:rsidRDefault="00196159" w:rsidP="00196159">
      <w:pPr>
        <w:pStyle w:val="SingleTxtG"/>
      </w:pPr>
      <w:r w:rsidRPr="0021226D">
        <w:t>7.</w:t>
      </w:r>
      <w:r w:rsidRPr="0021226D">
        <w:tab/>
        <w:t>Protection of the rights of migrants from sub-Saharan Africa.</w:t>
      </w:r>
    </w:p>
    <w:p w:rsidR="00196159" w:rsidRPr="0021226D" w:rsidRDefault="00196159" w:rsidP="00196159">
      <w:pPr>
        <w:pStyle w:val="SingleTxtG"/>
      </w:pPr>
      <w:r w:rsidRPr="0021226D">
        <w:lastRenderedPageBreak/>
        <w:t>8.</w:t>
      </w:r>
      <w:r w:rsidRPr="0021226D">
        <w:tab/>
        <w:t>Operation, human and financial resources and activities of the Amazigh Language Academy. Effectiveness of the measures taken to promote the teaching of the Amazigh language in the State party.</w:t>
      </w:r>
    </w:p>
    <w:p w:rsidR="00196159" w:rsidRPr="0021226D" w:rsidRDefault="00196159" w:rsidP="00196159">
      <w:pPr>
        <w:pStyle w:val="SingleTxtG"/>
      </w:pPr>
      <w:r w:rsidRPr="0021226D">
        <w:t>9.</w:t>
      </w:r>
      <w:r w:rsidRPr="0021226D">
        <w:tab/>
        <w:t>Statistics on the representation of Amazigh women in elected assemblies and in decision-making positions: effective implementation of Organic Act No. 12-03 of 12 January 2012.</w:t>
      </w:r>
    </w:p>
    <w:p w:rsidR="00196159" w:rsidRPr="0021226D" w:rsidRDefault="00196159" w:rsidP="00196159">
      <w:pPr>
        <w:pStyle w:val="SingleTxtG"/>
      </w:pPr>
      <w:r w:rsidRPr="0021226D">
        <w:t>10.</w:t>
      </w:r>
      <w:r w:rsidRPr="0021226D">
        <w:tab/>
        <w:t xml:space="preserve">Policies for reducing economic disparities between the regions inhabited by Amazighs and other parts of the country. </w:t>
      </w:r>
    </w:p>
    <w:p w:rsidR="00196159" w:rsidRPr="0021226D" w:rsidRDefault="00196159" w:rsidP="001E4A86">
      <w:pPr>
        <w:pStyle w:val="H23G"/>
      </w:pPr>
      <w:r w:rsidRPr="0021226D">
        <w:tab/>
      </w:r>
      <w:r w:rsidRPr="0021226D">
        <w:tab/>
        <w:t xml:space="preserve">Situation of non-citizens, including migrants, refugees and asylum seekers (arts. 1, 2, 5 and 6) </w:t>
      </w:r>
    </w:p>
    <w:p w:rsidR="00196159" w:rsidRPr="0021226D" w:rsidRDefault="00196159" w:rsidP="00196159">
      <w:pPr>
        <w:pStyle w:val="SingleTxtG"/>
      </w:pPr>
      <w:r w:rsidRPr="0021226D">
        <w:t>11.</w:t>
      </w:r>
      <w:r w:rsidRPr="0021226D">
        <w:tab/>
        <w:t>More information on the entire legislative framework relating to asylum seekers and refugees, including asylum procedures. Statistics on the number of asylum seekers since the last review of the situation in the State party, the number of refugees and conditions for receiving those from the Middle East and sub-Saharan Africa.</w:t>
      </w:r>
    </w:p>
    <w:p w:rsidR="00196159" w:rsidRPr="0021226D" w:rsidRDefault="00196159" w:rsidP="00196159">
      <w:pPr>
        <w:pStyle w:val="SingleTxtG"/>
      </w:pPr>
      <w:r w:rsidRPr="0021226D">
        <w:t>12.</w:t>
      </w:r>
      <w:r w:rsidRPr="0021226D">
        <w:tab/>
        <w:t xml:space="preserve">Effectiveness of legislative and regulatory measures relating to the situation of migrants, their living conditions and their effective protection against racial discrimination, and specifically protection from violence. </w:t>
      </w:r>
    </w:p>
    <w:p w:rsidR="00196159" w:rsidRPr="0021226D" w:rsidRDefault="00196159" w:rsidP="00196159">
      <w:pPr>
        <w:pStyle w:val="SingleTxtG"/>
      </w:pPr>
      <w:r w:rsidRPr="0021226D">
        <w:t>13.</w:t>
      </w:r>
      <w:r w:rsidRPr="0021226D">
        <w:tab/>
        <w:t>Extent of trafficking in persons and obstacles to reporting and filing complaints of trafficking and to prosecuting and convicting traffickers. Prevention of human trafficking, support for victims and prosecution of perpetrators.</w:t>
      </w:r>
    </w:p>
    <w:p w:rsidR="00196159" w:rsidRPr="0021226D" w:rsidRDefault="00196159" w:rsidP="001E4A86">
      <w:pPr>
        <w:pStyle w:val="H23G"/>
      </w:pPr>
      <w:r w:rsidRPr="0021226D">
        <w:tab/>
      </w:r>
      <w:r w:rsidRPr="0021226D">
        <w:tab/>
        <w:t>Education to combat prejudices and promote understanding (art. 7)</w:t>
      </w:r>
    </w:p>
    <w:p w:rsidR="00196159" w:rsidRPr="0021226D" w:rsidRDefault="00196159" w:rsidP="00196159">
      <w:pPr>
        <w:pStyle w:val="SingleTxtG"/>
      </w:pPr>
      <w:r w:rsidRPr="0021226D">
        <w:t>14.</w:t>
      </w:r>
      <w:r w:rsidRPr="0021226D">
        <w:tab/>
        <w:t>Efforts to raise public awareness concerning racial discrimination and tolerance, with a view to combating prejudice; human rights and the promotion of understanding between different groups in school curricula and in vocational training programmes.</w:t>
      </w:r>
    </w:p>
    <w:p w:rsidR="001E4A86" w:rsidRPr="00106A43" w:rsidRDefault="001E4A86">
      <w:pPr>
        <w:spacing w:before="240"/>
        <w:jc w:val="center"/>
        <w:rPr>
          <w:u w:val="single"/>
        </w:rPr>
      </w:pPr>
      <w:r>
        <w:rPr>
          <w:u w:val="single"/>
        </w:rPr>
        <w:tab/>
      </w:r>
      <w:r>
        <w:rPr>
          <w:u w:val="single"/>
        </w:rPr>
        <w:tab/>
      </w:r>
      <w:r>
        <w:rPr>
          <w:u w:val="single"/>
        </w:rPr>
        <w:tab/>
      </w:r>
    </w:p>
    <w:sectPr w:rsidR="001E4A86" w:rsidRPr="00106A43" w:rsidSect="00C76CF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3D27" w:rsidRPr="00A0297D" w:rsidRDefault="00C33D27" w:rsidP="00A0297D">
      <w:pPr>
        <w:pStyle w:val="Footer"/>
      </w:pPr>
    </w:p>
  </w:endnote>
  <w:endnote w:type="continuationSeparator" w:id="0">
    <w:p w:rsidR="00C33D27" w:rsidRPr="00A0297D" w:rsidRDefault="00C33D27"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6CF4" w:rsidRPr="00C76CF4" w:rsidRDefault="00C76CF4" w:rsidP="00C76CF4">
    <w:pPr>
      <w:pStyle w:val="Footer"/>
      <w:tabs>
        <w:tab w:val="right" w:pos="9598"/>
      </w:tabs>
    </w:pPr>
    <w:r w:rsidRPr="00C76CF4">
      <w:rPr>
        <w:b/>
        <w:sz w:val="18"/>
      </w:rPr>
      <w:fldChar w:fldCharType="begin"/>
    </w:r>
    <w:r w:rsidRPr="00C76CF4">
      <w:rPr>
        <w:b/>
        <w:sz w:val="18"/>
      </w:rPr>
      <w:instrText xml:space="preserve"> PAGE  \* MERGEFORMAT </w:instrText>
    </w:r>
    <w:r w:rsidRPr="00C76CF4">
      <w:rPr>
        <w:b/>
        <w:sz w:val="18"/>
      </w:rPr>
      <w:fldChar w:fldCharType="separate"/>
    </w:r>
    <w:r w:rsidR="00AB1CAC">
      <w:rPr>
        <w:b/>
        <w:noProof/>
        <w:sz w:val="18"/>
      </w:rPr>
      <w:t>2</w:t>
    </w:r>
    <w:r w:rsidRPr="00C76CF4">
      <w:rPr>
        <w:b/>
        <w:sz w:val="18"/>
      </w:rPr>
      <w:fldChar w:fldCharType="end"/>
    </w:r>
    <w:r>
      <w:rPr>
        <w:sz w:val="18"/>
      </w:rPr>
      <w:tab/>
    </w:r>
    <w:r>
      <w:t>GE.17-17531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6CF4" w:rsidRPr="00C76CF4" w:rsidRDefault="00C76CF4" w:rsidP="00C76CF4">
    <w:pPr>
      <w:pStyle w:val="Footer"/>
      <w:tabs>
        <w:tab w:val="right" w:pos="9598"/>
      </w:tabs>
      <w:rPr>
        <w:b/>
        <w:sz w:val="18"/>
      </w:rPr>
    </w:pPr>
    <w:r>
      <w:t>GE.17-17531</w:t>
    </w:r>
    <w:r>
      <w:tab/>
    </w:r>
    <w:r w:rsidRPr="00C76CF4">
      <w:rPr>
        <w:b/>
        <w:sz w:val="18"/>
      </w:rPr>
      <w:fldChar w:fldCharType="begin"/>
    </w:r>
    <w:r w:rsidRPr="00C76CF4">
      <w:rPr>
        <w:b/>
        <w:sz w:val="18"/>
      </w:rPr>
      <w:instrText xml:space="preserve"> PAGE  \* MERGEFORMAT </w:instrText>
    </w:r>
    <w:r w:rsidRPr="00C76CF4">
      <w:rPr>
        <w:b/>
        <w:sz w:val="18"/>
      </w:rPr>
      <w:fldChar w:fldCharType="separate"/>
    </w:r>
    <w:r>
      <w:rPr>
        <w:b/>
        <w:noProof/>
        <w:sz w:val="18"/>
      </w:rPr>
      <w:t>3</w:t>
    </w:r>
    <w:r w:rsidRPr="00C76CF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422" w:rsidRDefault="00307688" w:rsidP="00883988">
    <w:r>
      <w:rPr>
        <w:noProof/>
        <w:lang w:eastAsia="zh-CN"/>
      </w:rPr>
      <w:drawing>
        <wp:anchor distT="0" distB="0" distL="114300" distR="114300" simplePos="0" relativeHeight="251670016" behindDoc="0" locked="1" layoutInCell="1" allowOverlap="1" wp14:anchorId="2A1B02C2" wp14:editId="694587E4">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76CF4" w:rsidRDefault="00C76CF4" w:rsidP="00C76CF4">
    <w:r>
      <w:t>GE.17-</w:t>
    </w:r>
    <w:proofErr w:type="gramStart"/>
    <w:r>
      <w:t>17531  (</w:t>
    </w:r>
    <w:proofErr w:type="gramEnd"/>
    <w:r>
      <w:t>E)</w:t>
    </w:r>
    <w:r w:rsidR="00F847BA">
      <w:t xml:space="preserve">    101017    101017</w:t>
    </w:r>
  </w:p>
  <w:p w:rsidR="00C76CF4" w:rsidRPr="00C76CF4" w:rsidRDefault="00C76CF4" w:rsidP="00C76CF4">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RD/C/DZA/Q/20-2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DZA/Q/20-2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3D27" w:rsidRPr="00A0297D" w:rsidRDefault="00C33D27" w:rsidP="00A0297D">
      <w:pPr>
        <w:tabs>
          <w:tab w:val="right" w:pos="2155"/>
        </w:tabs>
        <w:spacing w:after="80" w:line="240" w:lineRule="auto"/>
        <w:ind w:left="680"/>
      </w:pPr>
      <w:r>
        <w:rPr>
          <w:u w:val="single"/>
        </w:rPr>
        <w:tab/>
      </w:r>
    </w:p>
  </w:footnote>
  <w:footnote w:type="continuationSeparator" w:id="0">
    <w:p w:rsidR="00C33D27" w:rsidRPr="00A0297D" w:rsidRDefault="00C33D27"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6CF4" w:rsidRPr="00C76CF4" w:rsidRDefault="00C76CF4" w:rsidP="00C76CF4">
    <w:pPr>
      <w:pStyle w:val="Header"/>
    </w:pPr>
    <w:r w:rsidRPr="00C76CF4">
      <w:t>CERD/C/DZA/Q/20-21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6CF4" w:rsidRPr="00C76CF4" w:rsidRDefault="00C76CF4" w:rsidP="00C76CF4">
    <w:pPr>
      <w:pStyle w:val="Header"/>
      <w:jc w:val="right"/>
    </w:pPr>
    <w:r w:rsidRPr="00C76CF4">
      <w:t>CERD/C/DZA/Q/20-21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1"/>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33D27"/>
    <w:rsid w:val="00046E92"/>
    <w:rsid w:val="00196159"/>
    <w:rsid w:val="001E4A86"/>
    <w:rsid w:val="00247E2C"/>
    <w:rsid w:val="002D6C53"/>
    <w:rsid w:val="002F5595"/>
    <w:rsid w:val="00307688"/>
    <w:rsid w:val="00334F6A"/>
    <w:rsid w:val="00342AC8"/>
    <w:rsid w:val="003B4550"/>
    <w:rsid w:val="00461253"/>
    <w:rsid w:val="005042C2"/>
    <w:rsid w:val="00557F19"/>
    <w:rsid w:val="00671529"/>
    <w:rsid w:val="006C749A"/>
    <w:rsid w:val="007268F9"/>
    <w:rsid w:val="00735147"/>
    <w:rsid w:val="007C52B0"/>
    <w:rsid w:val="00883988"/>
    <w:rsid w:val="009411B4"/>
    <w:rsid w:val="009D0139"/>
    <w:rsid w:val="009F5CDC"/>
    <w:rsid w:val="00A0297D"/>
    <w:rsid w:val="00A775CF"/>
    <w:rsid w:val="00AB1CAC"/>
    <w:rsid w:val="00B06045"/>
    <w:rsid w:val="00C01462"/>
    <w:rsid w:val="00C33D27"/>
    <w:rsid w:val="00C35A27"/>
    <w:rsid w:val="00C76CF4"/>
    <w:rsid w:val="00CB1FB9"/>
    <w:rsid w:val="00DA7116"/>
    <w:rsid w:val="00DB1206"/>
    <w:rsid w:val="00E02C2B"/>
    <w:rsid w:val="00ED6C48"/>
    <w:rsid w:val="00F65F5D"/>
    <w:rsid w:val="00F847BA"/>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29CA08D"/>
  <w15:docId w15:val="{1D0DF62A-0645-4385-AE9E-C60942F44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3502DB-7771-430B-AF44-4828B2997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Pages>
  <Words>633</Words>
  <Characters>3648</Characters>
  <Application>Microsoft Office Word</Application>
  <DocSecurity>0</DocSecurity>
  <Lines>74</Lines>
  <Paragraphs>33</Paragraphs>
  <ScaleCrop>false</ScaleCrop>
  <HeadingPairs>
    <vt:vector size="2" baseType="variant">
      <vt:variant>
        <vt:lpstr>Title</vt:lpstr>
      </vt:variant>
      <vt:variant>
        <vt:i4>1</vt:i4>
      </vt:variant>
    </vt:vector>
  </HeadingPairs>
  <TitlesOfParts>
    <vt:vector size="1" baseType="lpstr">
      <vt:lpstr>1717531</vt:lpstr>
    </vt:vector>
  </TitlesOfParts>
  <Company>DCM</Company>
  <LinksUpToDate>false</LinksUpToDate>
  <CharactersWithSpaces>4271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1717531</dc:title>
  <dc:subject>CERD/C/DZA/Q/20-21</dc:subject>
  <dc:creator>Anni Vi TIROL</dc:creator>
  <cp:keywords/>
  <dc:description/>
  <cp:lastModifiedBy>Anni Vi TIROL</cp:lastModifiedBy>
  <cp:revision>2</cp:revision>
  <cp:lastPrinted>2017-10-10T13:08:00Z</cp:lastPrinted>
  <dcterms:created xsi:type="dcterms:W3CDTF">2017-10-10T13:24:00Z</dcterms:created>
  <dcterms:modified xsi:type="dcterms:W3CDTF">2017-10-10T13:24:00Z</dcterms:modified>
</cp:coreProperties>
</file>