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2424EB">
        <w:trPr>
          <w:trHeight w:hRule="exact" w:val="851"/>
        </w:trPr>
        <w:tc>
          <w:tcPr>
            <w:tcW w:w="1280" w:type="dxa"/>
            <w:tcBorders>
              <w:bottom w:val="single" w:sz="4" w:space="0" w:color="auto"/>
            </w:tcBorders>
          </w:tcPr>
          <w:p w:rsidR="00A0008A" w:rsidRPr="00F124C6" w:rsidRDefault="00A0008A" w:rsidP="002424EB">
            <w:pPr>
              <w:pStyle w:val="H23GC"/>
            </w:pPr>
            <w:bookmarkStart w:id="0" w:name="_GoBack"/>
            <w:bookmarkEnd w:id="0"/>
          </w:p>
        </w:tc>
        <w:tc>
          <w:tcPr>
            <w:tcW w:w="2273" w:type="dxa"/>
            <w:tcBorders>
              <w:bottom w:val="single" w:sz="4" w:space="0" w:color="auto"/>
            </w:tcBorders>
            <w:vAlign w:val="bottom"/>
          </w:tcPr>
          <w:p w:rsidR="00A0008A" w:rsidRPr="0050687F" w:rsidRDefault="00A0008A" w:rsidP="002424EB">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505A3D" w:rsidRDefault="006E4875" w:rsidP="002424EB">
            <w:pPr>
              <w:spacing w:line="240" w:lineRule="atLeast"/>
              <w:jc w:val="right"/>
              <w:rPr>
                <w:sz w:val="20"/>
                <w:szCs w:val="21"/>
              </w:rPr>
            </w:pPr>
            <w:proofErr w:type="spellStart"/>
            <w:r>
              <w:rPr>
                <w:sz w:val="40"/>
                <w:szCs w:val="21"/>
              </w:rPr>
              <w:t>CED</w:t>
            </w:r>
            <w:proofErr w:type="spellEnd"/>
            <w:r w:rsidR="00505A3D">
              <w:rPr>
                <w:sz w:val="20"/>
                <w:szCs w:val="21"/>
              </w:rPr>
              <w:t>/</w:t>
            </w:r>
            <w:r>
              <w:rPr>
                <w:sz w:val="20"/>
                <w:szCs w:val="21"/>
              </w:rPr>
              <w:t>C</w:t>
            </w:r>
            <w:r w:rsidR="00505A3D">
              <w:rPr>
                <w:sz w:val="20"/>
                <w:szCs w:val="21"/>
              </w:rPr>
              <w:t>/</w:t>
            </w:r>
            <w:proofErr w:type="spellStart"/>
            <w:r>
              <w:rPr>
                <w:sz w:val="20"/>
                <w:szCs w:val="21"/>
              </w:rPr>
              <w:t>BFA</w:t>
            </w:r>
            <w:proofErr w:type="spellEnd"/>
            <w:r w:rsidR="00505A3D">
              <w:rPr>
                <w:sz w:val="20"/>
                <w:szCs w:val="21"/>
              </w:rPr>
              <w:t>/</w:t>
            </w:r>
            <w:r>
              <w:rPr>
                <w:sz w:val="20"/>
                <w:szCs w:val="21"/>
              </w:rPr>
              <w:t>CO</w:t>
            </w:r>
            <w:r w:rsidR="00505A3D">
              <w:rPr>
                <w:sz w:val="20"/>
                <w:szCs w:val="21"/>
              </w:rPr>
              <w:t>/</w:t>
            </w:r>
            <w:r>
              <w:rPr>
                <w:sz w:val="20"/>
                <w:szCs w:val="21"/>
              </w:rPr>
              <w:t>1</w:t>
            </w:r>
          </w:p>
        </w:tc>
      </w:tr>
      <w:tr w:rsidR="00A0008A" w:rsidRPr="00F124C6" w:rsidTr="002424EB">
        <w:trPr>
          <w:trHeight w:hRule="exact" w:val="2835"/>
        </w:trPr>
        <w:tc>
          <w:tcPr>
            <w:tcW w:w="1280" w:type="dxa"/>
            <w:tcBorders>
              <w:top w:val="single" w:sz="4" w:space="0" w:color="auto"/>
              <w:bottom w:val="single" w:sz="12" w:space="0" w:color="auto"/>
            </w:tcBorders>
          </w:tcPr>
          <w:p w:rsidR="00A0008A" w:rsidRPr="00F124C6" w:rsidRDefault="00A0008A" w:rsidP="002424EB">
            <w:pPr>
              <w:spacing w:line="120" w:lineRule="atLeast"/>
              <w:rPr>
                <w:sz w:val="10"/>
                <w:szCs w:val="10"/>
              </w:rPr>
            </w:pPr>
          </w:p>
          <w:p w:rsidR="00A0008A" w:rsidRPr="00F124C6" w:rsidRDefault="00A0008A" w:rsidP="002424EB">
            <w:pPr>
              <w:spacing w:line="120" w:lineRule="atLeast"/>
              <w:rPr>
                <w:sz w:val="10"/>
                <w:szCs w:val="10"/>
              </w:rPr>
            </w:pPr>
            <w:r>
              <w:rPr>
                <w:rFonts w:hint="eastAsia"/>
                <w:noProof/>
                <w:snapToGrid/>
              </w:rPr>
              <w:drawing>
                <wp:inline distT="0" distB="0" distL="0" distR="0" wp14:anchorId="7BE830B8" wp14:editId="15A20B4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2424EB">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6E4875" w:rsidP="002424EB">
            <w:pPr>
              <w:spacing w:before="240" w:line="240" w:lineRule="atLeast"/>
              <w:rPr>
                <w:sz w:val="20"/>
              </w:rPr>
            </w:pPr>
            <w:r>
              <w:rPr>
                <w:sz w:val="20"/>
              </w:rPr>
              <w:t>Distr.: General</w:t>
            </w:r>
          </w:p>
          <w:p w:rsidR="00A0008A" w:rsidRPr="00F124C6" w:rsidRDefault="006E4875" w:rsidP="002424EB">
            <w:pPr>
              <w:spacing w:line="240" w:lineRule="atLeast"/>
              <w:rPr>
                <w:sz w:val="20"/>
              </w:rPr>
            </w:pPr>
            <w:r>
              <w:rPr>
                <w:sz w:val="20"/>
              </w:rPr>
              <w:t>24</w:t>
            </w:r>
            <w:r w:rsidR="00505A3D">
              <w:rPr>
                <w:sz w:val="20"/>
              </w:rPr>
              <w:t xml:space="preserve"> </w:t>
            </w:r>
            <w:r>
              <w:rPr>
                <w:sz w:val="20"/>
              </w:rPr>
              <w:t>May</w:t>
            </w:r>
            <w:r w:rsidR="00466071">
              <w:rPr>
                <w:sz w:val="20"/>
              </w:rPr>
              <w:t xml:space="preserve"> </w:t>
            </w:r>
            <w:r>
              <w:rPr>
                <w:sz w:val="20"/>
              </w:rPr>
              <w:t>2</w:t>
            </w:r>
            <w:r w:rsidR="00466071">
              <w:rPr>
                <w:sz w:val="20"/>
              </w:rPr>
              <w:t>0</w:t>
            </w:r>
            <w:r>
              <w:rPr>
                <w:sz w:val="20"/>
              </w:rPr>
              <w:t>1</w:t>
            </w:r>
            <w:r>
              <w:rPr>
                <w:rFonts w:hint="eastAsia"/>
                <w:sz w:val="20"/>
              </w:rPr>
              <w:t>6</w:t>
            </w:r>
          </w:p>
          <w:p w:rsidR="00A0008A" w:rsidRPr="00F124C6" w:rsidRDefault="006E4875" w:rsidP="002424EB">
            <w:pPr>
              <w:spacing w:line="240" w:lineRule="atLeast"/>
              <w:rPr>
                <w:sz w:val="20"/>
              </w:rPr>
            </w:pPr>
            <w:r>
              <w:rPr>
                <w:sz w:val="20"/>
              </w:rPr>
              <w:t>Chinese</w:t>
            </w:r>
            <w:r w:rsidR="00A0008A" w:rsidRPr="00F124C6">
              <w:rPr>
                <w:sz w:val="20"/>
              </w:rPr>
              <w:t xml:space="preserve"> </w:t>
            </w:r>
          </w:p>
          <w:p w:rsidR="00A0008A" w:rsidRPr="00F124C6" w:rsidRDefault="006E4875" w:rsidP="0028568D">
            <w:pPr>
              <w:spacing w:line="240" w:lineRule="atLeast"/>
            </w:pPr>
            <w:r>
              <w:rPr>
                <w:sz w:val="20"/>
              </w:rPr>
              <w:t>Original: French</w:t>
            </w:r>
          </w:p>
        </w:tc>
      </w:tr>
    </w:tbl>
    <w:p w:rsidR="00681375" w:rsidRPr="00EF12DB" w:rsidRDefault="00681375" w:rsidP="00A0008A">
      <w:pPr>
        <w:spacing w:before="120"/>
        <w:rPr>
          <w:rFonts w:eastAsia="黑体"/>
          <w:spacing w:val="10"/>
          <w:sz w:val="24"/>
          <w:szCs w:val="24"/>
        </w:rPr>
      </w:pPr>
      <w:r w:rsidRPr="00EF12DB">
        <w:rPr>
          <w:rFonts w:eastAsia="黑体" w:hint="eastAsia"/>
          <w:spacing w:val="10"/>
          <w:sz w:val="24"/>
          <w:szCs w:val="24"/>
        </w:rPr>
        <w:t>强迫失踪问题委员会</w:t>
      </w:r>
    </w:p>
    <w:p w:rsidR="00681375" w:rsidRPr="00E45DBE" w:rsidRDefault="00681375" w:rsidP="009E356A">
      <w:pPr>
        <w:pStyle w:val="SingleTxtGC"/>
      </w:pPr>
    </w:p>
    <w:p w:rsidR="00505A3D" w:rsidRDefault="00681375" w:rsidP="00681375">
      <w:pPr>
        <w:pStyle w:val="HChGC"/>
      </w:pPr>
      <w:r>
        <w:tab/>
      </w:r>
      <w:r>
        <w:tab/>
      </w:r>
      <w:r w:rsidRPr="00681375">
        <w:rPr>
          <w:rFonts w:hint="eastAsia"/>
          <w:spacing w:val="-4"/>
        </w:rPr>
        <w:t>关于布基纳法索根据《公约》第二十九条第一款所提交报告的</w:t>
      </w:r>
      <w:r w:rsidRPr="00441C15">
        <w:rPr>
          <w:rFonts w:hint="eastAsia"/>
        </w:rPr>
        <w:t>结论性意见</w:t>
      </w:r>
      <w:r w:rsidRPr="00681375">
        <w:rPr>
          <w:rStyle w:val="a7"/>
          <w:rFonts w:eastAsia="黑体"/>
          <w:bCs/>
          <w:sz w:val="28"/>
          <w:vertAlign w:val="baseline"/>
        </w:rPr>
        <w:footnoteReference w:customMarkFollows="1" w:id="2"/>
        <w:t>*</w:t>
      </w:r>
    </w:p>
    <w:p w:rsidR="006E4875" w:rsidRDefault="006E4875" w:rsidP="006E4875">
      <w:pPr>
        <w:pStyle w:val="SingleTxtGC"/>
      </w:pPr>
      <w:r>
        <w:rPr>
          <w:rFonts w:hint="eastAsia"/>
        </w:rPr>
        <w:t>1.</w:t>
      </w:r>
      <w:r>
        <w:rPr>
          <w:rFonts w:hint="eastAsia"/>
        </w:rPr>
        <w:tab/>
      </w:r>
      <w:r>
        <w:rPr>
          <w:rFonts w:hint="eastAsia"/>
        </w:rPr>
        <w:t>强迫失踪问题委员会在</w:t>
      </w:r>
      <w:r>
        <w:rPr>
          <w:rFonts w:hint="eastAsia"/>
        </w:rPr>
        <w:t>2016</w:t>
      </w:r>
      <w:r>
        <w:rPr>
          <w:rFonts w:hint="eastAsia"/>
        </w:rPr>
        <w:t>年</w:t>
      </w:r>
      <w:r>
        <w:rPr>
          <w:rFonts w:hint="eastAsia"/>
        </w:rPr>
        <w:t>3</w:t>
      </w:r>
      <w:r>
        <w:rPr>
          <w:rFonts w:hint="eastAsia"/>
        </w:rPr>
        <w:t>月</w:t>
      </w:r>
      <w:r>
        <w:rPr>
          <w:rFonts w:hint="eastAsia"/>
        </w:rPr>
        <w:t>8</w:t>
      </w:r>
      <w:r>
        <w:rPr>
          <w:rFonts w:hint="eastAsia"/>
        </w:rPr>
        <w:t>日和</w:t>
      </w:r>
      <w:r>
        <w:rPr>
          <w:rFonts w:hint="eastAsia"/>
        </w:rPr>
        <w:t>9</w:t>
      </w:r>
      <w:r>
        <w:rPr>
          <w:rFonts w:hint="eastAsia"/>
        </w:rPr>
        <w:t>日举行的第</w:t>
      </w:r>
      <w:r>
        <w:rPr>
          <w:rFonts w:hint="eastAsia"/>
        </w:rPr>
        <w:t>160</w:t>
      </w:r>
      <w:r>
        <w:rPr>
          <w:rFonts w:hint="eastAsia"/>
        </w:rPr>
        <w:t>次和第</w:t>
      </w:r>
      <w:r>
        <w:rPr>
          <w:rFonts w:hint="eastAsia"/>
        </w:rPr>
        <w:t>161</w:t>
      </w:r>
      <w:r>
        <w:rPr>
          <w:rFonts w:hint="eastAsia"/>
        </w:rPr>
        <w:t>次会议</w:t>
      </w:r>
      <w:r>
        <w:rPr>
          <w:rFonts w:hint="eastAsia"/>
        </w:rPr>
        <w:t>(</w:t>
      </w:r>
      <w:proofErr w:type="spellStart"/>
      <w:r>
        <w:rPr>
          <w:rFonts w:hint="eastAsia"/>
        </w:rPr>
        <w:t>CED</w:t>
      </w:r>
      <w:proofErr w:type="spellEnd"/>
      <w:r>
        <w:rPr>
          <w:rFonts w:hint="eastAsia"/>
        </w:rPr>
        <w:t>/C/</w:t>
      </w:r>
      <w:proofErr w:type="spellStart"/>
      <w:r>
        <w:rPr>
          <w:rFonts w:hint="eastAsia"/>
        </w:rPr>
        <w:t>SR.160</w:t>
      </w:r>
      <w:proofErr w:type="spellEnd"/>
      <w:r>
        <w:rPr>
          <w:rFonts w:hint="eastAsia"/>
        </w:rPr>
        <w:t>和</w:t>
      </w:r>
      <w:proofErr w:type="spellStart"/>
      <w:r>
        <w:rPr>
          <w:rFonts w:hint="eastAsia"/>
        </w:rPr>
        <w:t>CED</w:t>
      </w:r>
      <w:proofErr w:type="spellEnd"/>
      <w:r>
        <w:rPr>
          <w:rFonts w:hint="eastAsia"/>
        </w:rPr>
        <w:t>/C/</w:t>
      </w:r>
      <w:proofErr w:type="spellStart"/>
      <w:r>
        <w:rPr>
          <w:rFonts w:hint="eastAsia"/>
        </w:rPr>
        <w:t>SR.161</w:t>
      </w:r>
      <w:proofErr w:type="spellEnd"/>
      <w:r>
        <w:rPr>
          <w:rFonts w:hint="eastAsia"/>
        </w:rPr>
        <w:t>)</w:t>
      </w:r>
      <w:r>
        <w:rPr>
          <w:rFonts w:hint="eastAsia"/>
        </w:rPr>
        <w:t>上审议了布基纳法索根据《公约》第二十九条第一款提交的报告</w:t>
      </w:r>
      <w:r>
        <w:rPr>
          <w:rFonts w:hint="eastAsia"/>
        </w:rPr>
        <w:t>(</w:t>
      </w:r>
      <w:proofErr w:type="spellStart"/>
      <w:r>
        <w:rPr>
          <w:rFonts w:hint="eastAsia"/>
        </w:rPr>
        <w:t>CED</w:t>
      </w:r>
      <w:proofErr w:type="spellEnd"/>
      <w:r>
        <w:rPr>
          <w:rFonts w:hint="eastAsia"/>
        </w:rPr>
        <w:t>/C/</w:t>
      </w:r>
      <w:proofErr w:type="spellStart"/>
      <w:r>
        <w:rPr>
          <w:rFonts w:hint="eastAsia"/>
        </w:rPr>
        <w:t>BFA</w:t>
      </w:r>
      <w:proofErr w:type="spellEnd"/>
      <w:r>
        <w:rPr>
          <w:rFonts w:hint="eastAsia"/>
        </w:rPr>
        <w:t>/1)</w:t>
      </w:r>
      <w:r>
        <w:rPr>
          <w:rFonts w:hint="eastAsia"/>
        </w:rPr>
        <w:t>，并在</w:t>
      </w:r>
      <w:r>
        <w:rPr>
          <w:rFonts w:hint="eastAsia"/>
        </w:rPr>
        <w:t>2016</w:t>
      </w:r>
      <w:r>
        <w:rPr>
          <w:rFonts w:hint="eastAsia"/>
        </w:rPr>
        <w:t>年</w:t>
      </w:r>
      <w:r>
        <w:rPr>
          <w:rFonts w:hint="eastAsia"/>
        </w:rPr>
        <w:t>3</w:t>
      </w:r>
      <w:r>
        <w:rPr>
          <w:rFonts w:hint="eastAsia"/>
        </w:rPr>
        <w:t>月</w:t>
      </w:r>
      <w:r>
        <w:rPr>
          <w:rFonts w:hint="eastAsia"/>
        </w:rPr>
        <w:t>16</w:t>
      </w:r>
      <w:r>
        <w:rPr>
          <w:rFonts w:hint="eastAsia"/>
        </w:rPr>
        <w:t>日举行的第</w:t>
      </w:r>
      <w:r>
        <w:rPr>
          <w:rFonts w:hint="eastAsia"/>
        </w:rPr>
        <w:t>171</w:t>
      </w:r>
      <w:r>
        <w:rPr>
          <w:rFonts w:hint="eastAsia"/>
        </w:rPr>
        <w:t>次会议上通过了以下结论性意见。</w:t>
      </w:r>
    </w:p>
    <w:p w:rsidR="006E4875" w:rsidRDefault="006E4875" w:rsidP="006E4875">
      <w:pPr>
        <w:pStyle w:val="H1GC"/>
      </w:pPr>
      <w:r>
        <w:rPr>
          <w:rFonts w:hint="eastAsia"/>
        </w:rPr>
        <w:tab/>
        <w:t>A.</w:t>
      </w:r>
      <w:r>
        <w:rPr>
          <w:rFonts w:hint="eastAsia"/>
        </w:rPr>
        <w:tab/>
      </w:r>
      <w:r>
        <w:rPr>
          <w:rFonts w:hint="eastAsia"/>
        </w:rPr>
        <w:t>导言</w:t>
      </w:r>
    </w:p>
    <w:p w:rsidR="006E4875" w:rsidRDefault="006E4875" w:rsidP="006E4875">
      <w:pPr>
        <w:pStyle w:val="SingleTxtGC"/>
      </w:pPr>
      <w:r>
        <w:rPr>
          <w:rFonts w:hint="eastAsia"/>
        </w:rPr>
        <w:t>2.</w:t>
      </w:r>
      <w:r>
        <w:rPr>
          <w:rFonts w:hint="eastAsia"/>
        </w:rPr>
        <w:tab/>
      </w:r>
      <w:r>
        <w:rPr>
          <w:rFonts w:hint="eastAsia"/>
        </w:rPr>
        <w:t>委员会欢迎布基纳法索依照《公约》第二十九条第一款所提交的根据报告准则起草的报告，以及其中所载的信息。委员会与缔约国代表团就缔约国为执行《公约》规定而采取的措施进行了开诚布公的建设性对话，消除了委员会的许多关切，委员会对此表示赞赏。委员会尤其欢迎代表团在针对所提出的问题作答时展现出的能力、严谨和坦率。委员会还对缔约国就问题单</w:t>
      </w:r>
      <w:r>
        <w:rPr>
          <w:rFonts w:hint="eastAsia"/>
        </w:rPr>
        <w:t>(</w:t>
      </w:r>
      <w:proofErr w:type="spellStart"/>
      <w:r>
        <w:rPr>
          <w:rFonts w:hint="eastAsia"/>
        </w:rPr>
        <w:t>CED</w:t>
      </w:r>
      <w:proofErr w:type="spellEnd"/>
      <w:r>
        <w:rPr>
          <w:rFonts w:hint="eastAsia"/>
        </w:rPr>
        <w:t>/C/</w:t>
      </w:r>
      <w:proofErr w:type="spellStart"/>
      <w:r>
        <w:rPr>
          <w:rFonts w:hint="eastAsia"/>
        </w:rPr>
        <w:t>BFA</w:t>
      </w:r>
      <w:proofErr w:type="spellEnd"/>
      <w:r>
        <w:rPr>
          <w:rFonts w:hint="eastAsia"/>
        </w:rPr>
        <w:t>/Q/1)</w:t>
      </w:r>
      <w:proofErr w:type="gramStart"/>
      <w:r>
        <w:rPr>
          <w:rFonts w:hint="eastAsia"/>
        </w:rPr>
        <w:t>作出</w:t>
      </w:r>
      <w:proofErr w:type="gramEnd"/>
      <w:r>
        <w:rPr>
          <w:rFonts w:hint="eastAsia"/>
        </w:rPr>
        <w:t>书面答复</w:t>
      </w:r>
      <w:r>
        <w:rPr>
          <w:rFonts w:hint="eastAsia"/>
        </w:rPr>
        <w:t>(</w:t>
      </w:r>
      <w:proofErr w:type="spellStart"/>
      <w:r>
        <w:rPr>
          <w:rFonts w:hint="eastAsia"/>
        </w:rPr>
        <w:t>CED</w:t>
      </w:r>
      <w:proofErr w:type="spellEnd"/>
      <w:r>
        <w:rPr>
          <w:rFonts w:hint="eastAsia"/>
        </w:rPr>
        <w:t>/C/</w:t>
      </w:r>
      <w:proofErr w:type="spellStart"/>
      <w:r>
        <w:rPr>
          <w:rFonts w:hint="eastAsia"/>
        </w:rPr>
        <w:t>BFA</w:t>
      </w:r>
      <w:proofErr w:type="spellEnd"/>
      <w:r>
        <w:rPr>
          <w:rFonts w:hint="eastAsia"/>
        </w:rPr>
        <w:t>/Q/1/</w:t>
      </w:r>
      <w:proofErr w:type="spellStart"/>
      <w:r>
        <w:rPr>
          <w:rFonts w:hint="eastAsia"/>
        </w:rPr>
        <w:t>Add.1</w:t>
      </w:r>
      <w:proofErr w:type="spellEnd"/>
      <w:r>
        <w:rPr>
          <w:rFonts w:hint="eastAsia"/>
        </w:rPr>
        <w:t>)</w:t>
      </w:r>
      <w:r>
        <w:rPr>
          <w:rFonts w:hint="eastAsia"/>
        </w:rPr>
        <w:t>并辅之以代表团的陈述和以书面形式提交的其他信息表示感谢。</w:t>
      </w:r>
    </w:p>
    <w:p w:rsidR="006E4875" w:rsidRDefault="006E4875" w:rsidP="006E4875">
      <w:pPr>
        <w:pStyle w:val="H1GC"/>
      </w:pPr>
      <w:r>
        <w:rPr>
          <w:rFonts w:hint="eastAsia"/>
        </w:rPr>
        <w:tab/>
        <w:t>B.</w:t>
      </w:r>
      <w:r>
        <w:rPr>
          <w:rFonts w:hint="eastAsia"/>
        </w:rPr>
        <w:tab/>
      </w:r>
      <w:r>
        <w:rPr>
          <w:rFonts w:hint="eastAsia"/>
        </w:rPr>
        <w:t>积极方面</w:t>
      </w:r>
    </w:p>
    <w:p w:rsidR="006E4875" w:rsidRDefault="006E4875" w:rsidP="006E4875">
      <w:pPr>
        <w:pStyle w:val="SingleTxtGC"/>
      </w:pPr>
      <w:r>
        <w:rPr>
          <w:rFonts w:hint="eastAsia"/>
        </w:rPr>
        <w:t>3.</w:t>
      </w:r>
      <w:r>
        <w:rPr>
          <w:rFonts w:hint="eastAsia"/>
        </w:rPr>
        <w:tab/>
      </w:r>
      <w:r>
        <w:rPr>
          <w:rFonts w:hint="eastAsia"/>
        </w:rPr>
        <w:t>委员会赞扬缔约国已批准几乎所有的联合国核心人权文书及其任择议定书，且已批准国际刑事法院《罗马规约》。</w:t>
      </w:r>
    </w:p>
    <w:p w:rsidR="006E4875" w:rsidRDefault="006E4875" w:rsidP="006E4875">
      <w:pPr>
        <w:pStyle w:val="SingleTxtGC"/>
      </w:pPr>
      <w:r>
        <w:rPr>
          <w:rFonts w:hint="eastAsia"/>
        </w:rPr>
        <w:lastRenderedPageBreak/>
        <w:t>4.</w:t>
      </w:r>
      <w:r>
        <w:rPr>
          <w:rFonts w:hint="eastAsia"/>
        </w:rPr>
        <w:tab/>
      </w:r>
      <w:r>
        <w:rPr>
          <w:rFonts w:hint="eastAsia"/>
        </w:rPr>
        <w:t>委员会满意地注意到，缔约国通过了《人权与推广公民责任国家政策</w:t>
      </w:r>
      <w:r>
        <w:rPr>
          <w:rFonts w:hint="eastAsia"/>
        </w:rPr>
        <w:t>(2013-2022</w:t>
      </w:r>
      <w:r>
        <w:rPr>
          <w:rFonts w:hint="eastAsia"/>
        </w:rPr>
        <w:t>年</w:t>
      </w:r>
      <w:r>
        <w:rPr>
          <w:rFonts w:hint="eastAsia"/>
        </w:rPr>
        <w:t>)</w:t>
      </w:r>
      <w:r>
        <w:rPr>
          <w:rFonts w:hint="eastAsia"/>
        </w:rPr>
        <w:t>》。</w:t>
      </w:r>
    </w:p>
    <w:p w:rsidR="006E4875" w:rsidRDefault="006E4875" w:rsidP="006E4875">
      <w:pPr>
        <w:pStyle w:val="SingleTxtGC"/>
      </w:pPr>
      <w:r>
        <w:rPr>
          <w:rFonts w:hint="eastAsia"/>
        </w:rPr>
        <w:t>5.</w:t>
      </w:r>
      <w:r>
        <w:rPr>
          <w:rFonts w:hint="eastAsia"/>
        </w:rPr>
        <w:tab/>
      </w:r>
      <w:r>
        <w:rPr>
          <w:rFonts w:hint="eastAsia"/>
        </w:rPr>
        <w:t>委员会赞扬缔约国曾就其根据《公约》第二十九条第一款所提交报告的起草工作与民间社会组织磋商。</w:t>
      </w:r>
    </w:p>
    <w:p w:rsidR="006E4875" w:rsidRDefault="006E4875" w:rsidP="00057884">
      <w:pPr>
        <w:pStyle w:val="H1GC"/>
      </w:pPr>
      <w:r>
        <w:rPr>
          <w:rFonts w:hint="eastAsia"/>
        </w:rPr>
        <w:tab/>
        <w:t>C.</w:t>
      </w:r>
      <w:r>
        <w:rPr>
          <w:rFonts w:hint="eastAsia"/>
        </w:rPr>
        <w:tab/>
      </w:r>
      <w:r>
        <w:rPr>
          <w:rFonts w:hint="eastAsia"/>
        </w:rPr>
        <w:t>主要的关切领域和建议</w:t>
      </w:r>
    </w:p>
    <w:p w:rsidR="006E4875" w:rsidRDefault="006E4875" w:rsidP="006E4875">
      <w:pPr>
        <w:pStyle w:val="SingleTxtGC"/>
      </w:pPr>
      <w:r>
        <w:rPr>
          <w:rFonts w:hint="eastAsia"/>
        </w:rPr>
        <w:t>6.</w:t>
      </w:r>
      <w:r>
        <w:rPr>
          <w:rFonts w:hint="eastAsia"/>
        </w:rPr>
        <w:tab/>
      </w:r>
      <w:r>
        <w:rPr>
          <w:rFonts w:hint="eastAsia"/>
        </w:rPr>
        <w:t>委员会认为，本结论性意见起草之际缔约国正在施行的法律法规不完全符合已批准《公约》的缔约国所承担的义务。委员会注意到缔约国已启动了一项旨在全面执行《公约》的立法进程，但建议缔约国考虑委员会以建设性的合作精神提出的这些建议，以尽快确保缔约国的法律法规以及主管当局适用上述法律法规的方式完全符合《公约》所载的权利和义务。</w:t>
      </w:r>
    </w:p>
    <w:p w:rsidR="006E4875" w:rsidRDefault="006E4875" w:rsidP="00057884">
      <w:pPr>
        <w:pStyle w:val="H1GC"/>
      </w:pPr>
      <w:r>
        <w:rPr>
          <w:rFonts w:hint="eastAsia"/>
        </w:rPr>
        <w:tab/>
      </w:r>
      <w:r>
        <w:rPr>
          <w:rFonts w:hint="eastAsia"/>
        </w:rPr>
        <w:tab/>
      </w:r>
      <w:r>
        <w:rPr>
          <w:rFonts w:hint="eastAsia"/>
        </w:rPr>
        <w:t>一般信息</w:t>
      </w:r>
    </w:p>
    <w:p w:rsidR="006E4875" w:rsidRDefault="006E4875" w:rsidP="00057884">
      <w:pPr>
        <w:pStyle w:val="H23GC"/>
      </w:pPr>
      <w:r>
        <w:rPr>
          <w:rFonts w:hint="eastAsia"/>
        </w:rPr>
        <w:tab/>
      </w:r>
      <w:r>
        <w:rPr>
          <w:rFonts w:hint="eastAsia"/>
        </w:rPr>
        <w:tab/>
      </w:r>
      <w:r>
        <w:rPr>
          <w:rFonts w:hint="eastAsia"/>
        </w:rPr>
        <w:t>《公约》第三十一和第三十二条规定的委员会职权</w:t>
      </w:r>
    </w:p>
    <w:p w:rsidR="006E4875" w:rsidRDefault="006E4875" w:rsidP="006E4875">
      <w:pPr>
        <w:pStyle w:val="SingleTxtGC"/>
      </w:pPr>
      <w:r>
        <w:rPr>
          <w:rFonts w:hint="eastAsia"/>
        </w:rPr>
        <w:t>7.</w:t>
      </w:r>
      <w:r>
        <w:rPr>
          <w:rFonts w:hint="eastAsia"/>
        </w:rPr>
        <w:tab/>
      </w:r>
      <w:r>
        <w:rPr>
          <w:rFonts w:hint="eastAsia"/>
        </w:rPr>
        <w:t>委员会感到遗憾的是，缔约国尚未根据第三十一和第三十二条</w:t>
      </w:r>
      <w:proofErr w:type="gramStart"/>
      <w:r>
        <w:rPr>
          <w:rFonts w:hint="eastAsia"/>
        </w:rPr>
        <w:t>作出</w:t>
      </w:r>
      <w:proofErr w:type="gramEnd"/>
      <w:r>
        <w:rPr>
          <w:rFonts w:hint="eastAsia"/>
        </w:rPr>
        <w:t>使《公约》得以充分执行的声明。委员会注意到，缔约国期望就根据第三十一和第三十二条承认委员会权限的可能性与公共和私营部门的利益攸关方进行磋商</w:t>
      </w:r>
      <w:r>
        <w:rPr>
          <w:rFonts w:hint="eastAsia"/>
        </w:rPr>
        <w:t>(</w:t>
      </w:r>
      <w:r>
        <w:rPr>
          <w:rFonts w:hint="eastAsia"/>
        </w:rPr>
        <w:t>第三十一和第三十二条</w:t>
      </w:r>
      <w:r>
        <w:rPr>
          <w:rFonts w:hint="eastAsia"/>
        </w:rPr>
        <w:t>)</w:t>
      </w:r>
      <w:r>
        <w:rPr>
          <w:rFonts w:hint="eastAsia"/>
        </w:rPr>
        <w:t>。</w:t>
      </w:r>
    </w:p>
    <w:p w:rsidR="006E4875" w:rsidRPr="00D81793" w:rsidRDefault="006E4875" w:rsidP="006E4875">
      <w:pPr>
        <w:pStyle w:val="SingleTxtGC"/>
        <w:rPr>
          <w:rFonts w:ascii="Time New Roman" w:eastAsia="黑体" w:hAnsi="Time New Roman" w:hint="eastAsia"/>
          <w:spacing w:val="2"/>
        </w:rPr>
      </w:pPr>
      <w:r w:rsidRPr="00D81793">
        <w:rPr>
          <w:rFonts w:ascii="Time New Roman" w:eastAsia="黑体" w:hAnsi="Time New Roman" w:hint="eastAsia"/>
          <w:spacing w:val="2"/>
        </w:rPr>
        <w:t>8.</w:t>
      </w:r>
      <w:r w:rsidRPr="00D81793">
        <w:rPr>
          <w:rFonts w:ascii="Time New Roman" w:eastAsia="黑体" w:hAnsi="Time New Roman" w:hint="eastAsia"/>
          <w:spacing w:val="2"/>
        </w:rPr>
        <w:tab/>
      </w:r>
      <w:r w:rsidRPr="00D81793">
        <w:rPr>
          <w:rFonts w:ascii="Time New Roman" w:eastAsia="黑体" w:hAnsi="Time New Roman" w:hint="eastAsia"/>
          <w:spacing w:val="2"/>
        </w:rPr>
        <w:t>委员会邀请缔约国尽早根据《公约》第三十一和第三十二条承认委员会的权限。</w:t>
      </w:r>
    </w:p>
    <w:p w:rsidR="006E4875" w:rsidRDefault="006E4875" w:rsidP="00E65C08">
      <w:pPr>
        <w:pStyle w:val="H23GC"/>
      </w:pPr>
      <w:r>
        <w:rPr>
          <w:rFonts w:hint="eastAsia"/>
        </w:rPr>
        <w:tab/>
      </w:r>
      <w:r>
        <w:rPr>
          <w:rFonts w:hint="eastAsia"/>
        </w:rPr>
        <w:tab/>
      </w:r>
      <w:r>
        <w:rPr>
          <w:rFonts w:hint="eastAsia"/>
        </w:rPr>
        <w:t>国家人权机构</w:t>
      </w:r>
    </w:p>
    <w:p w:rsidR="006E4875" w:rsidRDefault="006E4875" w:rsidP="006E4875">
      <w:pPr>
        <w:pStyle w:val="SingleTxtGC"/>
      </w:pPr>
      <w:r>
        <w:rPr>
          <w:rFonts w:hint="eastAsia"/>
        </w:rPr>
        <w:t>9.</w:t>
      </w:r>
      <w:r>
        <w:rPr>
          <w:rFonts w:hint="eastAsia"/>
        </w:rPr>
        <w:tab/>
      </w:r>
      <w:r>
        <w:rPr>
          <w:rFonts w:hint="eastAsia"/>
        </w:rPr>
        <w:t>委员会注意到缔约国</w:t>
      </w:r>
      <w:r>
        <w:rPr>
          <w:rFonts w:hint="eastAsia"/>
        </w:rPr>
        <w:t>2009</w:t>
      </w:r>
      <w:r>
        <w:rPr>
          <w:rFonts w:hint="eastAsia"/>
        </w:rPr>
        <w:t>年</w:t>
      </w:r>
      <w:proofErr w:type="gramStart"/>
      <w:r>
        <w:rPr>
          <w:rFonts w:hint="eastAsia"/>
        </w:rPr>
        <w:t>作出</w:t>
      </w:r>
      <w:proofErr w:type="gramEnd"/>
      <w:r>
        <w:rPr>
          <w:rFonts w:hint="eastAsia"/>
        </w:rPr>
        <w:t>设立一个新的国家人权委员会的决定，但感到遗憾的是，该委员会的有效运转自那时起便面临障碍。委员会欢迎缔约国采取步骤修订设立该委员会的相关法律。初稿已于</w:t>
      </w:r>
      <w:r>
        <w:rPr>
          <w:rFonts w:hint="eastAsia"/>
        </w:rPr>
        <w:t>2015</w:t>
      </w:r>
      <w:r>
        <w:rPr>
          <w:rFonts w:hint="eastAsia"/>
        </w:rPr>
        <w:t>年问世，旨在使该委员会更有效、更</w:t>
      </w:r>
      <w:proofErr w:type="gramStart"/>
      <w:r>
        <w:rPr>
          <w:rFonts w:hint="eastAsia"/>
        </w:rPr>
        <w:t>独立</w:t>
      </w:r>
      <w:r>
        <w:rPr>
          <w:rFonts w:hint="eastAsia"/>
        </w:rPr>
        <w:t>(</w:t>
      </w:r>
      <w:proofErr w:type="gramEnd"/>
      <w:r>
        <w:rPr>
          <w:rFonts w:hint="eastAsia"/>
        </w:rPr>
        <w:t>尤其是在资金方面</w:t>
      </w:r>
      <w:r>
        <w:rPr>
          <w:rFonts w:hint="eastAsia"/>
        </w:rPr>
        <w:t>)</w:t>
      </w:r>
      <w:r>
        <w:rPr>
          <w:rFonts w:hint="eastAsia"/>
        </w:rPr>
        <w:t>，完全符合《关于促进和保护人权国家机构的地位的原则》</w:t>
      </w:r>
      <w:r>
        <w:rPr>
          <w:rFonts w:hint="eastAsia"/>
        </w:rPr>
        <w:t>(</w:t>
      </w:r>
      <w:r>
        <w:rPr>
          <w:rFonts w:hint="eastAsia"/>
        </w:rPr>
        <w:t>《巴黎原则》</w:t>
      </w:r>
      <w:r>
        <w:rPr>
          <w:rFonts w:hint="eastAsia"/>
        </w:rPr>
        <w:t>)[</w:t>
      </w:r>
      <w:r>
        <w:rPr>
          <w:rFonts w:hint="eastAsia"/>
        </w:rPr>
        <w:t>第二条</w:t>
      </w:r>
      <w:r>
        <w:rPr>
          <w:rFonts w:hint="eastAsia"/>
        </w:rPr>
        <w:t>]</w:t>
      </w:r>
      <w:r>
        <w:rPr>
          <w:rFonts w:hint="eastAsia"/>
        </w:rPr>
        <w:t>。</w:t>
      </w:r>
    </w:p>
    <w:p w:rsidR="006E4875" w:rsidRPr="00447E9A" w:rsidRDefault="006E4875" w:rsidP="006E4875">
      <w:pPr>
        <w:pStyle w:val="SingleTxtGC"/>
        <w:rPr>
          <w:rFonts w:ascii="Time New Roman" w:eastAsia="黑体" w:hAnsi="Time New Roman" w:hint="eastAsia"/>
        </w:rPr>
      </w:pPr>
      <w:r w:rsidRPr="00447E9A">
        <w:rPr>
          <w:rFonts w:ascii="Time New Roman" w:eastAsia="黑体" w:hAnsi="Time New Roman" w:hint="eastAsia"/>
        </w:rPr>
        <w:t>10.</w:t>
      </w:r>
      <w:r w:rsidRPr="00447E9A">
        <w:rPr>
          <w:rFonts w:ascii="Time New Roman" w:eastAsia="黑体" w:hAnsi="Time New Roman" w:hint="eastAsia"/>
        </w:rPr>
        <w:tab/>
      </w:r>
      <w:r w:rsidRPr="00447E9A">
        <w:rPr>
          <w:rFonts w:ascii="Time New Roman" w:eastAsia="黑体" w:hAnsi="Time New Roman" w:hint="eastAsia"/>
        </w:rPr>
        <w:t>委员会鼓励缔约国加速完成设立国家人权委员会的相关法律的修订进程，以使该委员会完全独立，并向该委员会划拨充足的人力和财政资源，使之得以在完全符合《巴黎原则》的情况下妥善发挥职能。委员会邀请缔约国将强迫失踪问题明确纳入国家人权委员会的任务当中。</w:t>
      </w:r>
    </w:p>
    <w:p w:rsidR="006E4875" w:rsidRDefault="006E4875" w:rsidP="00E65C08">
      <w:pPr>
        <w:pStyle w:val="H23GC"/>
      </w:pPr>
      <w:r>
        <w:rPr>
          <w:rFonts w:hint="eastAsia"/>
        </w:rPr>
        <w:tab/>
      </w:r>
      <w:r>
        <w:rPr>
          <w:rFonts w:hint="eastAsia"/>
        </w:rPr>
        <w:tab/>
      </w:r>
      <w:r>
        <w:rPr>
          <w:rFonts w:hint="eastAsia"/>
        </w:rPr>
        <w:t>国家防范酷刑及相关作法观测站</w:t>
      </w:r>
    </w:p>
    <w:p w:rsidR="006E4875" w:rsidRDefault="006E4875" w:rsidP="006E4875">
      <w:pPr>
        <w:pStyle w:val="SingleTxtGC"/>
      </w:pPr>
      <w:r>
        <w:rPr>
          <w:rFonts w:hint="eastAsia"/>
        </w:rPr>
        <w:t>11.</w:t>
      </w:r>
      <w:r>
        <w:rPr>
          <w:rFonts w:hint="eastAsia"/>
        </w:rPr>
        <w:tab/>
      </w:r>
      <w:r>
        <w:rPr>
          <w:rFonts w:hint="eastAsia"/>
        </w:rPr>
        <w:t>委员会注意到，缔约国按照</w:t>
      </w:r>
      <w:r>
        <w:rPr>
          <w:rFonts w:hint="eastAsia"/>
        </w:rPr>
        <w:t>2014</w:t>
      </w:r>
      <w:r>
        <w:rPr>
          <w:rFonts w:hint="eastAsia"/>
        </w:rPr>
        <w:t>年</w:t>
      </w:r>
      <w:r>
        <w:rPr>
          <w:rFonts w:hint="eastAsia"/>
        </w:rPr>
        <w:t>5</w:t>
      </w:r>
      <w:r>
        <w:rPr>
          <w:rFonts w:hint="eastAsia"/>
        </w:rPr>
        <w:t>月</w:t>
      </w:r>
      <w:r>
        <w:rPr>
          <w:rFonts w:hint="eastAsia"/>
        </w:rPr>
        <w:t>27</w:t>
      </w:r>
      <w:r>
        <w:rPr>
          <w:rFonts w:hint="eastAsia"/>
        </w:rPr>
        <w:t>日《第</w:t>
      </w:r>
      <w:r>
        <w:rPr>
          <w:rFonts w:hint="eastAsia"/>
        </w:rPr>
        <w:t>022-2015/AN</w:t>
      </w:r>
      <w:r>
        <w:rPr>
          <w:rFonts w:hint="eastAsia"/>
        </w:rPr>
        <w:t>号法律》的规定设立了国家防范酷刑及相关作法观测站。但是，委员会发现，该观测站尚未运转</w:t>
      </w:r>
      <w:r>
        <w:rPr>
          <w:rFonts w:hint="eastAsia"/>
        </w:rPr>
        <w:t>(</w:t>
      </w:r>
      <w:r>
        <w:rPr>
          <w:rFonts w:hint="eastAsia"/>
        </w:rPr>
        <w:t>第二条</w:t>
      </w:r>
      <w:r>
        <w:rPr>
          <w:rFonts w:hint="eastAsia"/>
        </w:rPr>
        <w:t>)</w:t>
      </w:r>
      <w:r>
        <w:rPr>
          <w:rFonts w:hint="eastAsia"/>
        </w:rPr>
        <w:t>。</w:t>
      </w:r>
    </w:p>
    <w:p w:rsidR="006E4875" w:rsidRPr="00E65C08" w:rsidRDefault="006E4875" w:rsidP="006E4875">
      <w:pPr>
        <w:pStyle w:val="SingleTxtGC"/>
        <w:rPr>
          <w:rFonts w:ascii="Time New Roman" w:eastAsia="黑体" w:hAnsi="Time New Roman" w:hint="eastAsia"/>
        </w:rPr>
      </w:pPr>
      <w:r w:rsidRPr="00E65C08">
        <w:rPr>
          <w:rFonts w:ascii="Time New Roman" w:eastAsia="黑体" w:hAnsi="Time New Roman" w:hint="eastAsia"/>
        </w:rPr>
        <w:lastRenderedPageBreak/>
        <w:t>12.</w:t>
      </w:r>
      <w:r w:rsidRPr="00E65C08">
        <w:rPr>
          <w:rFonts w:ascii="Time New Roman" w:eastAsia="黑体" w:hAnsi="Time New Roman" w:hint="eastAsia"/>
        </w:rPr>
        <w:tab/>
      </w:r>
      <w:r w:rsidRPr="00E65C08">
        <w:rPr>
          <w:rFonts w:ascii="Time New Roman" w:eastAsia="黑体" w:hAnsi="Time New Roman" w:hint="eastAsia"/>
        </w:rPr>
        <w:t>委员会鼓励缔约国采取必要步骤，包括通过向观测站划拨必要的人力和财政资源等手段，使观测站投入运转。</w:t>
      </w:r>
    </w:p>
    <w:p w:rsidR="006E4875" w:rsidRDefault="006E4875" w:rsidP="003C4DDD">
      <w:pPr>
        <w:pStyle w:val="H1GC"/>
      </w:pPr>
      <w:r>
        <w:rPr>
          <w:rFonts w:hint="eastAsia"/>
        </w:rPr>
        <w:tab/>
      </w:r>
      <w:r>
        <w:rPr>
          <w:rFonts w:hint="eastAsia"/>
        </w:rPr>
        <w:tab/>
      </w:r>
      <w:r>
        <w:rPr>
          <w:rFonts w:hint="eastAsia"/>
        </w:rPr>
        <w:t>强迫失踪的定义和刑罪化</w:t>
      </w:r>
      <w:r>
        <w:rPr>
          <w:rFonts w:hint="eastAsia"/>
        </w:rPr>
        <w:t>(</w:t>
      </w:r>
      <w:r>
        <w:rPr>
          <w:rFonts w:hint="eastAsia"/>
        </w:rPr>
        <w:t>第一至第七条</w:t>
      </w:r>
      <w:r>
        <w:rPr>
          <w:rFonts w:hint="eastAsia"/>
        </w:rPr>
        <w:t>)</w:t>
      </w:r>
    </w:p>
    <w:p w:rsidR="006E4875" w:rsidRDefault="006E4875" w:rsidP="003C4DDD">
      <w:pPr>
        <w:pStyle w:val="H23GC"/>
      </w:pPr>
      <w:r>
        <w:rPr>
          <w:rFonts w:hint="eastAsia"/>
        </w:rPr>
        <w:tab/>
      </w:r>
      <w:r>
        <w:rPr>
          <w:rFonts w:hint="eastAsia"/>
        </w:rPr>
        <w:tab/>
      </w:r>
      <w:r>
        <w:rPr>
          <w:rFonts w:hint="eastAsia"/>
        </w:rPr>
        <w:t>将强迫失踪的定义和刑事犯罪定性纳入《刑法》</w:t>
      </w:r>
    </w:p>
    <w:p w:rsidR="006E4875" w:rsidRDefault="006E4875" w:rsidP="006E4875">
      <w:pPr>
        <w:pStyle w:val="SingleTxtGC"/>
      </w:pPr>
      <w:r>
        <w:rPr>
          <w:rFonts w:hint="eastAsia"/>
        </w:rPr>
        <w:t>13.</w:t>
      </w:r>
      <w:r>
        <w:rPr>
          <w:rFonts w:hint="eastAsia"/>
        </w:rPr>
        <w:tab/>
      </w:r>
      <w:r>
        <w:rPr>
          <w:rFonts w:hint="eastAsia"/>
        </w:rPr>
        <w:t>委员会注意到，缔约国的《刑法》不含任何按照《公约》第二和第四条界定强迫失踪并将其定性为刑事犯罪的规定。但是，委员会注意到，缔约国已启动了一项立法进程。该进程的目的之一是在《刑法》中纳入强迫失踪定义，并将其作为一项刑事罪行单列。委员会注意到，在强迫失踪的定义和刑事犯罪定性缺失的情况下，缔约国在某些案例中援引被认为属于强迫失踪定义范围但并不构成强迫失踪罪的其他罪行</w:t>
      </w:r>
      <w:r>
        <w:rPr>
          <w:rFonts w:hint="eastAsia"/>
        </w:rPr>
        <w:t>(</w:t>
      </w:r>
      <w:r>
        <w:rPr>
          <w:rFonts w:hint="eastAsia"/>
        </w:rPr>
        <w:t>比如非法逮捕或拘押、不当监禁或绑架</w:t>
      </w:r>
      <w:r>
        <w:rPr>
          <w:rFonts w:hint="eastAsia"/>
        </w:rPr>
        <w:t>)</w:t>
      </w:r>
      <w:r>
        <w:rPr>
          <w:rFonts w:hint="eastAsia"/>
        </w:rPr>
        <w:t>所适用的一般刑事法律。委员会认为，通过援引其他罪行或适用于其他罪行的法律来履行上述义务是不够的，因为强迫失踪罪并不是一系列互不关联罪行的组合，而是由国家执法人员或在国家的授权、支持或默许下行事的个人或组织犯下的一项侵犯多项权利的复杂罪行。在这一背景下，委员会认为，将强迫失踪界定为一项单列罪行，可使缔约国得以履行其第四条义务，而第四条义务与《公约》其他与立法有关的义务密切联系在一起，比如第六条第一款第</w:t>
      </w:r>
      <w:r>
        <w:rPr>
          <w:rFonts w:hint="eastAsia"/>
        </w:rPr>
        <w:t>(</w:t>
      </w:r>
      <w:r>
        <w:rPr>
          <w:rFonts w:hint="eastAsia"/>
        </w:rPr>
        <w:t>一</w:t>
      </w:r>
      <w:r>
        <w:rPr>
          <w:rFonts w:hint="eastAsia"/>
        </w:rPr>
        <w:t>)</w:t>
      </w:r>
      <w:r>
        <w:rPr>
          <w:rFonts w:hint="eastAsia"/>
        </w:rPr>
        <w:t>项和第七条所规定的义务。委员会注意到，缔约国已推行死刑暂停令，且在考虑废除死刑</w:t>
      </w:r>
      <w:r>
        <w:rPr>
          <w:rFonts w:hint="eastAsia"/>
        </w:rPr>
        <w:t>(</w:t>
      </w:r>
      <w:r>
        <w:rPr>
          <w:rFonts w:hint="eastAsia"/>
        </w:rPr>
        <w:t>第二、第四、第六和第七条</w:t>
      </w:r>
      <w:r>
        <w:rPr>
          <w:rFonts w:hint="eastAsia"/>
        </w:rPr>
        <w:t>)</w:t>
      </w:r>
      <w:r>
        <w:rPr>
          <w:rFonts w:hint="eastAsia"/>
        </w:rPr>
        <w:t>。</w:t>
      </w:r>
    </w:p>
    <w:p w:rsidR="006E4875" w:rsidRPr="00447E9A" w:rsidRDefault="006E4875" w:rsidP="006E4875">
      <w:pPr>
        <w:pStyle w:val="SingleTxtGC"/>
        <w:rPr>
          <w:rFonts w:ascii="Time New Roman" w:eastAsia="黑体" w:hAnsi="Time New Roman" w:hint="eastAsia"/>
        </w:rPr>
      </w:pPr>
      <w:r w:rsidRPr="00447E9A">
        <w:rPr>
          <w:rFonts w:ascii="Time New Roman" w:eastAsia="黑体" w:hAnsi="Time New Roman" w:hint="eastAsia"/>
        </w:rPr>
        <w:t>14.</w:t>
      </w:r>
      <w:r w:rsidRPr="00447E9A">
        <w:rPr>
          <w:rFonts w:ascii="Time New Roman" w:eastAsia="黑体" w:hAnsi="Time New Roman" w:hint="eastAsia"/>
        </w:rPr>
        <w:tab/>
      </w:r>
      <w:r w:rsidRPr="00447E9A">
        <w:rPr>
          <w:rFonts w:ascii="Time New Roman" w:eastAsia="黑体" w:hAnsi="Time New Roman" w:hint="eastAsia"/>
        </w:rPr>
        <w:t>委员会建议缔约国加速完成以落实《公约》为目的的《刑法》修订工作，以期按照《公约》第二条当中的定义，将强迫失踪界定并定性为一项单列的刑事罪行，考虑到其极端严重性，应处于适当惩罚，但不包括死刑。</w:t>
      </w:r>
    </w:p>
    <w:p w:rsidR="006E4875" w:rsidRDefault="006E4875" w:rsidP="003C4DDD">
      <w:pPr>
        <w:pStyle w:val="H23GC"/>
      </w:pPr>
      <w:r>
        <w:rPr>
          <w:rFonts w:hint="eastAsia"/>
        </w:rPr>
        <w:tab/>
      </w:r>
      <w:r>
        <w:rPr>
          <w:rFonts w:hint="eastAsia"/>
        </w:rPr>
        <w:tab/>
      </w:r>
      <w:r>
        <w:rPr>
          <w:rFonts w:hint="eastAsia"/>
        </w:rPr>
        <w:t>上级命令</w:t>
      </w:r>
    </w:p>
    <w:p w:rsidR="006E4875" w:rsidRDefault="006E4875" w:rsidP="006E4875">
      <w:pPr>
        <w:pStyle w:val="SingleTxtGC"/>
      </w:pPr>
      <w:r>
        <w:rPr>
          <w:rFonts w:hint="eastAsia"/>
        </w:rPr>
        <w:t>15.</w:t>
      </w:r>
      <w:r>
        <w:rPr>
          <w:rFonts w:hint="eastAsia"/>
        </w:rPr>
        <w:tab/>
      </w:r>
      <w:r>
        <w:rPr>
          <w:rFonts w:hint="eastAsia"/>
        </w:rPr>
        <w:t>委员会注意到，《刑法》第</w:t>
      </w:r>
      <w:r>
        <w:rPr>
          <w:rFonts w:hint="eastAsia"/>
        </w:rPr>
        <w:t>70</w:t>
      </w:r>
      <w:r>
        <w:rPr>
          <w:rFonts w:hint="eastAsia"/>
        </w:rPr>
        <w:t>条规定，“依照某合法当局命令行事者，不承担刑事责任，除非所行之事明显非法”，而《刑法》第</w:t>
      </w:r>
      <w:r>
        <w:rPr>
          <w:rFonts w:hint="eastAsia"/>
        </w:rPr>
        <w:t>141</w:t>
      </w:r>
      <w:r>
        <w:rPr>
          <w:rFonts w:hint="eastAsia"/>
        </w:rPr>
        <w:t>条规定，下令或导致他人下令实施某种任意行为或某种有损一人或多人个人自由或公民权利之行为的任何公职人员，如能证明自己系在上级合法命令下行事，则不得施之以处罚。委员会注意到缔约国代表团</w:t>
      </w:r>
      <w:proofErr w:type="gramStart"/>
      <w:r>
        <w:rPr>
          <w:rFonts w:hint="eastAsia"/>
        </w:rPr>
        <w:t>作出</w:t>
      </w:r>
      <w:proofErr w:type="gramEnd"/>
      <w:r>
        <w:rPr>
          <w:rFonts w:hint="eastAsia"/>
        </w:rPr>
        <w:t>的说明，但指出上述规定不够明确，似乎并不能提供《公约》第六条第一款第</w:t>
      </w:r>
      <w:r>
        <w:rPr>
          <w:rFonts w:hint="eastAsia"/>
        </w:rPr>
        <w:t>(</w:t>
      </w:r>
      <w:r>
        <w:rPr>
          <w:rFonts w:hint="eastAsia"/>
        </w:rPr>
        <w:t>二</w:t>
      </w:r>
      <w:r>
        <w:rPr>
          <w:rFonts w:hint="eastAsia"/>
        </w:rPr>
        <w:t>)</w:t>
      </w:r>
      <w:r>
        <w:rPr>
          <w:rFonts w:hint="eastAsia"/>
        </w:rPr>
        <w:t>和第</w:t>
      </w:r>
      <w:r>
        <w:rPr>
          <w:rFonts w:hint="eastAsia"/>
        </w:rPr>
        <w:t>(</w:t>
      </w:r>
      <w:r>
        <w:rPr>
          <w:rFonts w:hint="eastAsia"/>
        </w:rPr>
        <w:t>三</w:t>
      </w:r>
      <w:r>
        <w:rPr>
          <w:rFonts w:hint="eastAsia"/>
        </w:rPr>
        <w:t>)</w:t>
      </w:r>
      <w:r>
        <w:rPr>
          <w:rFonts w:hint="eastAsia"/>
        </w:rPr>
        <w:t>项以及第六条第二款所规定的保障</w:t>
      </w:r>
      <w:r>
        <w:rPr>
          <w:rFonts w:hint="eastAsia"/>
        </w:rPr>
        <w:t>(</w:t>
      </w:r>
      <w:r>
        <w:rPr>
          <w:rFonts w:hint="eastAsia"/>
        </w:rPr>
        <w:t>第六条</w:t>
      </w:r>
      <w:r>
        <w:rPr>
          <w:rFonts w:hint="eastAsia"/>
        </w:rPr>
        <w:t>)</w:t>
      </w:r>
      <w:r>
        <w:rPr>
          <w:rFonts w:hint="eastAsia"/>
        </w:rPr>
        <w:t>。</w:t>
      </w:r>
    </w:p>
    <w:p w:rsidR="006E4875" w:rsidRPr="00790E66" w:rsidRDefault="006E4875" w:rsidP="006E4875">
      <w:pPr>
        <w:pStyle w:val="SingleTxtGC"/>
        <w:rPr>
          <w:rFonts w:ascii="Time New Roman" w:eastAsia="黑体" w:hAnsi="Time New Roman" w:hint="eastAsia"/>
        </w:rPr>
      </w:pPr>
      <w:r w:rsidRPr="00790E66">
        <w:rPr>
          <w:rFonts w:ascii="Time New Roman" w:eastAsia="黑体" w:hAnsi="Time New Roman" w:hint="eastAsia"/>
        </w:rPr>
        <w:t>16.</w:t>
      </w:r>
      <w:r w:rsidRPr="00790E66">
        <w:rPr>
          <w:rFonts w:ascii="Time New Roman" w:eastAsia="黑体" w:hAnsi="Time New Roman" w:hint="eastAsia"/>
        </w:rPr>
        <w:tab/>
      </w:r>
      <w:r w:rsidRPr="00790E66">
        <w:rPr>
          <w:rFonts w:ascii="Time New Roman" w:eastAsia="黑体" w:hAnsi="Time New Roman" w:hint="eastAsia"/>
        </w:rPr>
        <w:t>委员会建议缔约国在将强迫失踪规定为《刑法》当中的一项罪行时，应对《刑法》第</w:t>
      </w:r>
      <w:r w:rsidRPr="00790E66">
        <w:rPr>
          <w:rFonts w:ascii="Time New Roman" w:eastAsia="黑体" w:hAnsi="Time New Roman" w:hint="eastAsia"/>
        </w:rPr>
        <w:t>70</w:t>
      </w:r>
      <w:r w:rsidRPr="00790E66">
        <w:rPr>
          <w:rFonts w:ascii="Time New Roman" w:eastAsia="黑体" w:hAnsi="Time New Roman" w:hint="eastAsia"/>
        </w:rPr>
        <w:t>条和第</w:t>
      </w:r>
      <w:r w:rsidRPr="00790E66">
        <w:rPr>
          <w:rFonts w:ascii="Time New Roman" w:eastAsia="黑体" w:hAnsi="Time New Roman" w:hint="eastAsia"/>
        </w:rPr>
        <w:t>114</w:t>
      </w:r>
      <w:r w:rsidRPr="00790E66">
        <w:rPr>
          <w:rFonts w:ascii="Time New Roman" w:eastAsia="黑体" w:hAnsi="Time New Roman" w:hint="eastAsia"/>
        </w:rPr>
        <w:t>条第</w:t>
      </w:r>
      <w:r w:rsidRPr="00790E66">
        <w:rPr>
          <w:rFonts w:ascii="Time New Roman" w:eastAsia="黑体" w:hAnsi="Time New Roman" w:hint="eastAsia"/>
        </w:rPr>
        <w:t>(2)</w:t>
      </w:r>
      <w:r w:rsidRPr="00790E66">
        <w:rPr>
          <w:rFonts w:ascii="Time New Roman" w:eastAsia="黑体" w:hAnsi="Time New Roman" w:hint="eastAsia"/>
        </w:rPr>
        <w:t>款的规定</w:t>
      </w:r>
      <w:proofErr w:type="gramStart"/>
      <w:r w:rsidRPr="00790E66">
        <w:rPr>
          <w:rFonts w:ascii="Time New Roman" w:eastAsia="黑体" w:hAnsi="Time New Roman" w:hint="eastAsia"/>
        </w:rPr>
        <w:t>作出</w:t>
      </w:r>
      <w:proofErr w:type="gramEnd"/>
      <w:r w:rsidRPr="00790E66">
        <w:rPr>
          <w:rFonts w:ascii="Time New Roman" w:eastAsia="黑体" w:hAnsi="Time New Roman" w:hint="eastAsia"/>
        </w:rPr>
        <w:t>澄清，以使其完全符合《公约》第六条第一款第</w:t>
      </w:r>
      <w:r w:rsidRPr="00790E66">
        <w:rPr>
          <w:rFonts w:ascii="Time New Roman" w:eastAsia="黑体" w:hAnsi="Time New Roman" w:hint="eastAsia"/>
        </w:rPr>
        <w:t>(</w:t>
      </w:r>
      <w:r w:rsidRPr="00790E66">
        <w:rPr>
          <w:rFonts w:ascii="Time New Roman" w:eastAsia="黑体" w:hAnsi="Time New Roman" w:hint="eastAsia"/>
        </w:rPr>
        <w:t>二</w:t>
      </w:r>
      <w:r w:rsidRPr="00790E66">
        <w:rPr>
          <w:rFonts w:ascii="Time New Roman" w:eastAsia="黑体" w:hAnsi="Time New Roman" w:hint="eastAsia"/>
        </w:rPr>
        <w:t>)</w:t>
      </w:r>
      <w:r w:rsidRPr="00790E66">
        <w:rPr>
          <w:rFonts w:ascii="Time New Roman" w:eastAsia="黑体" w:hAnsi="Time New Roman" w:hint="eastAsia"/>
        </w:rPr>
        <w:t>和第</w:t>
      </w:r>
      <w:r w:rsidRPr="00790E66">
        <w:rPr>
          <w:rFonts w:ascii="Time New Roman" w:eastAsia="黑体" w:hAnsi="Time New Roman" w:hint="eastAsia"/>
        </w:rPr>
        <w:t>(</w:t>
      </w:r>
      <w:r w:rsidRPr="00790E66">
        <w:rPr>
          <w:rFonts w:ascii="Time New Roman" w:eastAsia="黑体" w:hAnsi="Time New Roman" w:hint="eastAsia"/>
        </w:rPr>
        <w:t>三</w:t>
      </w:r>
      <w:r w:rsidRPr="00790E66">
        <w:rPr>
          <w:rFonts w:ascii="Time New Roman" w:eastAsia="黑体" w:hAnsi="Time New Roman" w:hint="eastAsia"/>
        </w:rPr>
        <w:t>)</w:t>
      </w:r>
      <w:r w:rsidRPr="00790E66">
        <w:rPr>
          <w:rFonts w:ascii="Time New Roman" w:eastAsia="黑体" w:hAnsi="Time New Roman" w:hint="eastAsia"/>
        </w:rPr>
        <w:t>项以及第六条第二款的规定。</w:t>
      </w:r>
    </w:p>
    <w:p w:rsidR="006E4875" w:rsidRDefault="006E4875" w:rsidP="003C4DDD">
      <w:pPr>
        <w:pStyle w:val="H23GC"/>
      </w:pPr>
      <w:r>
        <w:rPr>
          <w:rFonts w:hint="eastAsia"/>
        </w:rPr>
        <w:lastRenderedPageBreak/>
        <w:tab/>
      </w:r>
      <w:r>
        <w:rPr>
          <w:rFonts w:hint="eastAsia"/>
        </w:rPr>
        <w:tab/>
      </w:r>
      <w:r>
        <w:rPr>
          <w:rFonts w:hint="eastAsia"/>
        </w:rPr>
        <w:t>减轻情节和加重情节</w:t>
      </w:r>
    </w:p>
    <w:p w:rsidR="006E4875" w:rsidRDefault="006E4875" w:rsidP="006E4875">
      <w:pPr>
        <w:pStyle w:val="SingleTxtGC"/>
      </w:pPr>
      <w:r>
        <w:rPr>
          <w:rFonts w:hint="eastAsia"/>
        </w:rPr>
        <w:t>17.</w:t>
      </w:r>
      <w:r>
        <w:rPr>
          <w:rFonts w:hint="eastAsia"/>
        </w:rPr>
        <w:tab/>
      </w:r>
      <w:r>
        <w:rPr>
          <w:rFonts w:hint="eastAsia"/>
        </w:rPr>
        <w:t>委员会注意到，缔约国的《刑法》就各种轻重罪行的减轻情节和加重情节规定了一项笼统的制度。委员会还注意到，据缔约方称，强迫失踪相关罪行的加重情节可适用于强迫失踪案件。但是，委员会认为，《刑法》中的上述规定并不完全符合《公约》第七条第二款。</w:t>
      </w:r>
    </w:p>
    <w:p w:rsidR="006E4875" w:rsidRPr="007F3C32" w:rsidRDefault="006E4875" w:rsidP="006E4875">
      <w:pPr>
        <w:pStyle w:val="SingleTxtGC"/>
        <w:rPr>
          <w:rFonts w:ascii="Time New Roman" w:eastAsia="黑体" w:hAnsi="Time New Roman" w:hint="eastAsia"/>
        </w:rPr>
      </w:pPr>
      <w:r w:rsidRPr="007F3C32">
        <w:rPr>
          <w:rFonts w:ascii="Time New Roman" w:eastAsia="黑体" w:hAnsi="Time New Roman" w:hint="eastAsia"/>
        </w:rPr>
        <w:t>18.</w:t>
      </w:r>
      <w:r w:rsidRPr="007F3C32">
        <w:rPr>
          <w:rFonts w:ascii="Time New Roman" w:eastAsia="黑体" w:hAnsi="Time New Roman" w:hint="eastAsia"/>
        </w:rPr>
        <w:tab/>
      </w:r>
      <w:r w:rsidRPr="007F3C32">
        <w:rPr>
          <w:rFonts w:ascii="Time New Roman" w:eastAsia="黑体" w:hAnsi="Time New Roman" w:hint="eastAsia"/>
        </w:rPr>
        <w:t>委员会建议缔约国在将强迫失踪规定为一项单列罪行时，还应修订其《刑法》，纳入适用于强迫失踪罪行的减轻情节和加重情节，并囊括《公约》第七条第二款规定的所有要素。委员会还建议缔约国确保减轻情节绝不能免除施加适当的惩罚。</w:t>
      </w:r>
    </w:p>
    <w:p w:rsidR="006E4875" w:rsidRDefault="006E4875" w:rsidP="003C4DDD">
      <w:pPr>
        <w:pStyle w:val="H1GC"/>
      </w:pPr>
      <w:r>
        <w:rPr>
          <w:rFonts w:hint="eastAsia"/>
        </w:rPr>
        <w:tab/>
      </w:r>
      <w:r>
        <w:rPr>
          <w:rFonts w:hint="eastAsia"/>
        </w:rPr>
        <w:tab/>
      </w:r>
      <w:r>
        <w:rPr>
          <w:rFonts w:hint="eastAsia"/>
        </w:rPr>
        <w:t>刑事案件中的司法程序与司法合作</w:t>
      </w:r>
      <w:r>
        <w:rPr>
          <w:rFonts w:hint="eastAsia"/>
        </w:rPr>
        <w:t>(</w:t>
      </w:r>
      <w:r>
        <w:rPr>
          <w:rFonts w:hint="eastAsia"/>
        </w:rPr>
        <w:t>第八至第十五条</w:t>
      </w:r>
      <w:r>
        <w:rPr>
          <w:rFonts w:hint="eastAsia"/>
        </w:rPr>
        <w:t>)</w:t>
      </w:r>
    </w:p>
    <w:p w:rsidR="006E4875" w:rsidRDefault="006E4875" w:rsidP="003C4DDD">
      <w:pPr>
        <w:pStyle w:val="H23GC"/>
      </w:pPr>
      <w:r>
        <w:rPr>
          <w:rFonts w:hint="eastAsia"/>
        </w:rPr>
        <w:tab/>
      </w:r>
      <w:r>
        <w:rPr>
          <w:rFonts w:hint="eastAsia"/>
        </w:rPr>
        <w:tab/>
      </w:r>
      <w:r>
        <w:rPr>
          <w:rFonts w:hint="eastAsia"/>
        </w:rPr>
        <w:t>强迫失踪罪行的持续性质与诉讼时效</w:t>
      </w:r>
    </w:p>
    <w:p w:rsidR="006E4875" w:rsidRDefault="006E4875" w:rsidP="006E4875">
      <w:pPr>
        <w:pStyle w:val="SingleTxtGC"/>
      </w:pPr>
      <w:r>
        <w:rPr>
          <w:rFonts w:hint="eastAsia"/>
        </w:rPr>
        <w:t>19.</w:t>
      </w:r>
      <w:r>
        <w:rPr>
          <w:rFonts w:hint="eastAsia"/>
        </w:rPr>
        <w:tab/>
      </w:r>
      <w:r>
        <w:rPr>
          <w:rFonts w:hint="eastAsia"/>
        </w:rPr>
        <w:t>委员会注意到，缔约国承认强迫失踪罪行具有持续性，且正在考虑将这一点写入《刑法》。但是，委员会注意到，缔约国认为强迫失踪罪行的时效期限应符合《刑法》规定的各种轻重罪行适用的普通诉讼时效，即重罪</w:t>
      </w:r>
      <w:r>
        <w:rPr>
          <w:rFonts w:hint="eastAsia"/>
        </w:rPr>
        <w:t>10</w:t>
      </w:r>
      <w:r>
        <w:rPr>
          <w:rFonts w:hint="eastAsia"/>
        </w:rPr>
        <w:t>年，轻罪</w:t>
      </w:r>
      <w:r>
        <w:rPr>
          <w:rFonts w:hint="eastAsia"/>
        </w:rPr>
        <w:t>3</w:t>
      </w:r>
      <w:r>
        <w:rPr>
          <w:rFonts w:hint="eastAsia"/>
        </w:rPr>
        <w:t>年。委员会还注意到代表团提供的如下信息：强迫失踪罪行的诉讼时效自侵权行为停止一刻开始计算</w:t>
      </w:r>
      <w:r>
        <w:rPr>
          <w:rFonts w:hint="eastAsia"/>
        </w:rPr>
        <w:t>(</w:t>
      </w:r>
      <w:r>
        <w:rPr>
          <w:rFonts w:hint="eastAsia"/>
        </w:rPr>
        <w:t>第八条</w:t>
      </w:r>
      <w:r>
        <w:rPr>
          <w:rFonts w:hint="eastAsia"/>
        </w:rPr>
        <w:t>)</w:t>
      </w:r>
      <w:r>
        <w:rPr>
          <w:rFonts w:hint="eastAsia"/>
        </w:rPr>
        <w:t>。</w:t>
      </w:r>
    </w:p>
    <w:p w:rsidR="006E4875" w:rsidRPr="007F3C32" w:rsidRDefault="006E4875" w:rsidP="006E4875">
      <w:pPr>
        <w:pStyle w:val="SingleTxtGC"/>
        <w:rPr>
          <w:rFonts w:ascii="Time New Roman" w:eastAsia="黑体" w:hAnsi="Time New Roman" w:hint="eastAsia"/>
        </w:rPr>
      </w:pPr>
      <w:r w:rsidRPr="007F3C32">
        <w:rPr>
          <w:rFonts w:ascii="Time New Roman" w:eastAsia="黑体" w:hAnsi="Time New Roman" w:hint="eastAsia"/>
        </w:rPr>
        <w:t>20.</w:t>
      </w:r>
      <w:r w:rsidRPr="007F3C32">
        <w:rPr>
          <w:rFonts w:ascii="Time New Roman" w:eastAsia="黑体" w:hAnsi="Time New Roman" w:hint="eastAsia"/>
        </w:rPr>
        <w:tab/>
      </w:r>
      <w:r w:rsidRPr="007F3C32">
        <w:rPr>
          <w:rFonts w:ascii="Time New Roman" w:eastAsia="黑体" w:hAnsi="Time New Roman" w:hint="eastAsia"/>
        </w:rPr>
        <w:t>委员会建议缔约国应确保新《刑法》内含明确承认强迫失踪罪行具有持续性的必要规定，并确保刑事诉讼时效期限体现强迫失踪罪行的极端严重性，且只有在侵权行为停止之时方可开始计算。不过，委员会还是鼓励缔约国在将强迫失踪规定为一项单列罪行时，确保其不受制于任何诉讼时效。</w:t>
      </w:r>
    </w:p>
    <w:p w:rsidR="006E4875" w:rsidRDefault="006E4875" w:rsidP="003C4DDD">
      <w:pPr>
        <w:pStyle w:val="H23GC"/>
      </w:pPr>
      <w:r>
        <w:rPr>
          <w:rFonts w:hint="eastAsia"/>
        </w:rPr>
        <w:tab/>
      </w:r>
      <w:r>
        <w:rPr>
          <w:rFonts w:hint="eastAsia"/>
        </w:rPr>
        <w:tab/>
      </w:r>
      <w:r>
        <w:rPr>
          <w:rFonts w:hint="eastAsia"/>
        </w:rPr>
        <w:t>军事法庭</w:t>
      </w:r>
    </w:p>
    <w:p w:rsidR="006E4875" w:rsidRDefault="006E4875" w:rsidP="006E4875">
      <w:pPr>
        <w:pStyle w:val="SingleTxtGC"/>
      </w:pPr>
      <w:r>
        <w:rPr>
          <w:rFonts w:hint="eastAsia"/>
        </w:rPr>
        <w:t>21.</w:t>
      </w:r>
      <w:r>
        <w:rPr>
          <w:rFonts w:hint="eastAsia"/>
        </w:rPr>
        <w:tab/>
      </w:r>
      <w:r>
        <w:rPr>
          <w:rFonts w:hint="eastAsia"/>
        </w:rPr>
        <w:t>委员会注意到缔约国代表团</w:t>
      </w:r>
      <w:proofErr w:type="gramStart"/>
      <w:r>
        <w:rPr>
          <w:rFonts w:hint="eastAsia"/>
        </w:rPr>
        <w:t>作出</w:t>
      </w:r>
      <w:proofErr w:type="gramEnd"/>
      <w:r>
        <w:rPr>
          <w:rFonts w:hint="eastAsia"/>
        </w:rPr>
        <w:t>的说明，但发现军事法庭似乎有权审理军队成员在履行职责过程中或在军队设施内犯下的强迫失踪罪行。委员会回顾其如下立场：军事法庭无法提供《公约》所要求的审理诸如强迫失踪之类的侵犯人权案件所需的独立性和公正性，这是一个原则问题</w:t>
      </w:r>
      <w:r>
        <w:rPr>
          <w:rFonts w:hint="eastAsia"/>
        </w:rPr>
        <w:t>(</w:t>
      </w:r>
      <w:r>
        <w:rPr>
          <w:rFonts w:hint="eastAsia"/>
        </w:rPr>
        <w:t>第十一条</w:t>
      </w:r>
      <w:r>
        <w:rPr>
          <w:rFonts w:hint="eastAsia"/>
        </w:rPr>
        <w:t>)</w:t>
      </w:r>
      <w:r>
        <w:rPr>
          <w:rFonts w:hint="eastAsia"/>
        </w:rPr>
        <w:t>。</w:t>
      </w:r>
    </w:p>
    <w:p w:rsidR="006E4875" w:rsidRPr="007F3C32" w:rsidRDefault="006E4875" w:rsidP="006E4875">
      <w:pPr>
        <w:pStyle w:val="SingleTxtGC"/>
        <w:rPr>
          <w:rFonts w:ascii="Time New Roman" w:eastAsia="黑体" w:hAnsi="Time New Roman" w:hint="eastAsia"/>
        </w:rPr>
      </w:pPr>
      <w:r w:rsidRPr="007F3C32">
        <w:rPr>
          <w:rFonts w:ascii="Time New Roman" w:eastAsia="黑体" w:hAnsi="Time New Roman" w:hint="eastAsia"/>
        </w:rPr>
        <w:t>22.</w:t>
      </w:r>
      <w:r w:rsidRPr="007F3C32">
        <w:rPr>
          <w:rFonts w:ascii="Time New Roman" w:eastAsia="黑体" w:hAnsi="Time New Roman" w:hint="eastAsia"/>
        </w:rPr>
        <w:tab/>
      </w:r>
      <w:r w:rsidRPr="007F3C32">
        <w:rPr>
          <w:rFonts w:ascii="Time New Roman" w:eastAsia="黑体" w:hAnsi="Time New Roman" w:hint="eastAsia"/>
        </w:rPr>
        <w:t>委员会回顾其关于强迫失踪和军事司法问题的声明</w:t>
      </w:r>
      <w:r w:rsidRPr="007F3C32">
        <w:rPr>
          <w:rFonts w:ascii="Time New Roman" w:eastAsia="黑体" w:hAnsi="Time New Roman" w:hint="eastAsia"/>
        </w:rPr>
        <w:t>(A/70/56,</w:t>
      </w:r>
      <w:r w:rsidR="00A862E4" w:rsidRPr="007F3C32">
        <w:rPr>
          <w:rFonts w:ascii="Time New Roman" w:eastAsia="黑体" w:hAnsi="Time New Roman"/>
        </w:rPr>
        <w:t xml:space="preserve"> </w:t>
      </w:r>
      <w:r w:rsidRPr="007F3C32">
        <w:rPr>
          <w:rFonts w:ascii="Time New Roman" w:eastAsia="黑体" w:hAnsi="Time New Roman" w:hint="eastAsia"/>
        </w:rPr>
        <w:t>附件三</w:t>
      </w:r>
      <w:r w:rsidRPr="007F3C32">
        <w:rPr>
          <w:rFonts w:ascii="Time New Roman" w:eastAsia="黑体" w:hAnsi="Time New Roman" w:hint="eastAsia"/>
        </w:rPr>
        <w:t>)</w:t>
      </w:r>
      <w:r w:rsidRPr="007F3C32">
        <w:rPr>
          <w:rFonts w:ascii="Time New Roman" w:eastAsia="黑体" w:hAnsi="Time New Roman" w:hint="eastAsia"/>
        </w:rPr>
        <w:t>，建议缔约国采取必要的立法或其他措施，确保所有强迫失踪案件明确处于军事司法管辖范围之外，只能由普通法院调查和审理。</w:t>
      </w:r>
    </w:p>
    <w:p w:rsidR="006E4875" w:rsidRDefault="006E4875" w:rsidP="003C4DDD">
      <w:pPr>
        <w:pStyle w:val="H23GC"/>
      </w:pPr>
      <w:r>
        <w:rPr>
          <w:rFonts w:hint="eastAsia"/>
        </w:rPr>
        <w:tab/>
      </w:r>
      <w:r>
        <w:rPr>
          <w:rFonts w:hint="eastAsia"/>
        </w:rPr>
        <w:tab/>
      </w:r>
      <w:r>
        <w:rPr>
          <w:rFonts w:hint="eastAsia"/>
        </w:rPr>
        <w:t>保护控告人、证人、失踪人员亲属及其律师，以及参与调查人员</w:t>
      </w:r>
    </w:p>
    <w:p w:rsidR="006E4875" w:rsidRDefault="006E4875" w:rsidP="006E4875">
      <w:pPr>
        <w:pStyle w:val="SingleTxtGC"/>
      </w:pPr>
      <w:r>
        <w:rPr>
          <w:rFonts w:hint="eastAsia"/>
        </w:rPr>
        <w:t>23.</w:t>
      </w:r>
      <w:r>
        <w:rPr>
          <w:rFonts w:hint="eastAsia"/>
        </w:rPr>
        <w:tab/>
      </w:r>
      <w:r>
        <w:rPr>
          <w:rFonts w:hint="eastAsia"/>
        </w:rPr>
        <w:t>委员会注意到缔约国提供的如下信息：可由公共检察官或调查法官提出保护控告人和证人的要求。根据《刑法》第</w:t>
      </w:r>
      <w:r>
        <w:rPr>
          <w:rFonts w:hint="eastAsia"/>
        </w:rPr>
        <w:t>41</w:t>
      </w:r>
      <w:r>
        <w:rPr>
          <w:rFonts w:hint="eastAsia"/>
        </w:rPr>
        <w:t>条和第</w:t>
      </w:r>
      <w:r>
        <w:rPr>
          <w:rFonts w:hint="eastAsia"/>
        </w:rPr>
        <w:t>50</w:t>
      </w:r>
      <w:r>
        <w:rPr>
          <w:rFonts w:hint="eastAsia"/>
        </w:rPr>
        <w:t>条，公共检察官和调查法官有权直接要求执法机构提供服务。委员会指出，上述规定非常宽泛，且既不充足，也不够明确，无法向《公约》第十二条第一款提及的所有类别人员提供保护，因而未能满足该条的规定</w:t>
      </w:r>
      <w:r>
        <w:rPr>
          <w:rFonts w:hint="eastAsia"/>
        </w:rPr>
        <w:t>(</w:t>
      </w:r>
      <w:r>
        <w:rPr>
          <w:rFonts w:hint="eastAsia"/>
        </w:rPr>
        <w:t>第十二条</w:t>
      </w:r>
      <w:r>
        <w:rPr>
          <w:rFonts w:hint="eastAsia"/>
        </w:rPr>
        <w:t>)</w:t>
      </w:r>
      <w:r>
        <w:rPr>
          <w:rFonts w:hint="eastAsia"/>
        </w:rPr>
        <w:t>。</w:t>
      </w:r>
    </w:p>
    <w:p w:rsidR="006E4875" w:rsidRPr="00BF11B7" w:rsidRDefault="006E4875" w:rsidP="006E4875">
      <w:pPr>
        <w:pStyle w:val="SingleTxtGC"/>
        <w:rPr>
          <w:rFonts w:ascii="Time New Roman" w:eastAsia="黑体" w:hAnsi="Time New Roman" w:hint="eastAsia"/>
        </w:rPr>
      </w:pPr>
      <w:r w:rsidRPr="00BF11B7">
        <w:rPr>
          <w:rFonts w:ascii="Time New Roman" w:eastAsia="黑体" w:hAnsi="Time New Roman" w:hint="eastAsia"/>
        </w:rPr>
        <w:lastRenderedPageBreak/>
        <w:t>24.</w:t>
      </w:r>
      <w:r w:rsidRPr="00BF11B7">
        <w:rPr>
          <w:rFonts w:ascii="Time New Roman" w:eastAsia="黑体" w:hAnsi="Time New Roman" w:hint="eastAsia"/>
        </w:rPr>
        <w:tab/>
      </w:r>
      <w:r w:rsidRPr="00BF11B7">
        <w:rPr>
          <w:rFonts w:ascii="Time New Roman" w:eastAsia="黑体" w:hAnsi="Time New Roman" w:hint="eastAsia"/>
        </w:rPr>
        <w:t>委员会建议缔约国作为其《刑事诉讼法》修订工作的部分内容，采取必要措施，保护《公约》第十二条第一款列出的所有类别人员不因提出控告或提供任何证据而遭受任何虐待或恫吓。委员会邀请缔约国考虑为此建立具体的保护方案。</w:t>
      </w:r>
    </w:p>
    <w:p w:rsidR="006E4875" w:rsidRDefault="006E4875" w:rsidP="003C4DDD">
      <w:pPr>
        <w:pStyle w:val="H23GC"/>
      </w:pPr>
      <w:r>
        <w:rPr>
          <w:rFonts w:hint="eastAsia"/>
        </w:rPr>
        <w:tab/>
      </w:r>
      <w:r>
        <w:rPr>
          <w:rFonts w:hint="eastAsia"/>
        </w:rPr>
        <w:tab/>
      </w:r>
      <w:r>
        <w:rPr>
          <w:rFonts w:hint="eastAsia"/>
        </w:rPr>
        <w:t>涉嫌犯有强迫失踪罪的人员</w:t>
      </w:r>
    </w:p>
    <w:p w:rsidR="006E4875" w:rsidRDefault="006E4875" w:rsidP="006E4875">
      <w:pPr>
        <w:pStyle w:val="SingleTxtGC"/>
      </w:pPr>
      <w:r>
        <w:rPr>
          <w:rFonts w:hint="eastAsia"/>
        </w:rPr>
        <w:t>25.</w:t>
      </w:r>
      <w:r>
        <w:rPr>
          <w:rFonts w:hint="eastAsia"/>
        </w:rPr>
        <w:tab/>
      </w:r>
      <w:r>
        <w:rPr>
          <w:rFonts w:hint="eastAsia"/>
        </w:rPr>
        <w:t>委员会注意到缔约国提供的如下信息：“在实际操作中，当某执法部门的一名成员被控犯有罪行时，该部门的其他成员不参与调查。”但是，委员会注意到，上述作法并未明文写入缔约国的任何法律法规</w:t>
      </w:r>
      <w:r>
        <w:rPr>
          <w:rFonts w:hint="eastAsia"/>
        </w:rPr>
        <w:t>(</w:t>
      </w:r>
      <w:r>
        <w:rPr>
          <w:rFonts w:hint="eastAsia"/>
        </w:rPr>
        <w:t>第十二条</w:t>
      </w:r>
      <w:r>
        <w:rPr>
          <w:rFonts w:hint="eastAsia"/>
        </w:rPr>
        <w:t>)</w:t>
      </w:r>
      <w:r>
        <w:rPr>
          <w:rFonts w:hint="eastAsia"/>
        </w:rPr>
        <w:t>。</w:t>
      </w:r>
    </w:p>
    <w:p w:rsidR="006E4875" w:rsidRPr="00BF11B7" w:rsidRDefault="006E4875" w:rsidP="006E4875">
      <w:pPr>
        <w:pStyle w:val="SingleTxtGC"/>
        <w:rPr>
          <w:rFonts w:ascii="Time New Roman" w:eastAsia="黑体" w:hAnsi="Time New Roman" w:hint="eastAsia"/>
        </w:rPr>
      </w:pPr>
      <w:r w:rsidRPr="00BF11B7">
        <w:rPr>
          <w:rFonts w:ascii="Time New Roman" w:eastAsia="黑体" w:hAnsi="Time New Roman" w:hint="eastAsia"/>
        </w:rPr>
        <w:t>26.</w:t>
      </w:r>
      <w:r w:rsidRPr="00BF11B7">
        <w:rPr>
          <w:rFonts w:ascii="Time New Roman" w:eastAsia="黑体" w:hAnsi="Time New Roman" w:hint="eastAsia"/>
        </w:rPr>
        <w:tab/>
      </w:r>
      <w:r w:rsidRPr="00BF11B7">
        <w:rPr>
          <w:rFonts w:ascii="Time New Roman" w:eastAsia="黑体" w:hAnsi="Time New Roman" w:hint="eastAsia"/>
        </w:rPr>
        <w:t>委员会建议缔约国根据《公约》第十二条第四款，在其刑事立法工作中采取措施，确保涉嫌犯有强迫失踪罪的人员及其所在部门无法自己直接或通过中间方间接影响调查进程。</w:t>
      </w:r>
    </w:p>
    <w:p w:rsidR="006E4875" w:rsidRDefault="006E4875" w:rsidP="003C4DDD">
      <w:pPr>
        <w:pStyle w:val="H23GC"/>
      </w:pPr>
      <w:r>
        <w:rPr>
          <w:rFonts w:hint="eastAsia"/>
        </w:rPr>
        <w:tab/>
      </w:r>
      <w:r>
        <w:rPr>
          <w:rFonts w:hint="eastAsia"/>
        </w:rPr>
        <w:tab/>
      </w:r>
      <w:r>
        <w:rPr>
          <w:rFonts w:hint="eastAsia"/>
        </w:rPr>
        <w:t>受害人参与调查</w:t>
      </w:r>
    </w:p>
    <w:p w:rsidR="006E4875" w:rsidRDefault="006E4875" w:rsidP="006E4875">
      <w:pPr>
        <w:pStyle w:val="SingleTxtGC"/>
      </w:pPr>
      <w:r>
        <w:rPr>
          <w:rFonts w:hint="eastAsia"/>
        </w:rPr>
        <w:t>27.</w:t>
      </w:r>
      <w:r>
        <w:rPr>
          <w:rFonts w:hint="eastAsia"/>
        </w:rPr>
        <w:tab/>
      </w:r>
      <w:r>
        <w:rPr>
          <w:rFonts w:hint="eastAsia"/>
        </w:rPr>
        <w:t>委员会注意到，据缔约国称，根据《刑事诉讼法》，受害人或者作为刑事赔偿的主张方，或者作为证人，参与针对强迫失踪案件的调查。但是，委员会发现，《刑法》的相关规定</w:t>
      </w:r>
      <w:r>
        <w:rPr>
          <w:rFonts w:hint="eastAsia"/>
        </w:rPr>
        <w:t>(</w:t>
      </w:r>
      <w:r>
        <w:rPr>
          <w:rFonts w:hint="eastAsia"/>
        </w:rPr>
        <w:t>第</w:t>
      </w:r>
      <w:r>
        <w:rPr>
          <w:rFonts w:hint="eastAsia"/>
        </w:rPr>
        <w:t>84</w:t>
      </w:r>
      <w:r>
        <w:rPr>
          <w:rFonts w:hint="eastAsia"/>
        </w:rPr>
        <w:t>条及其后条款</w:t>
      </w:r>
      <w:r>
        <w:rPr>
          <w:rFonts w:hint="eastAsia"/>
        </w:rPr>
        <w:t>)</w:t>
      </w:r>
      <w:r>
        <w:rPr>
          <w:rFonts w:hint="eastAsia"/>
        </w:rPr>
        <w:t>在受害人在刑事程序中的参与程度问题上不是很明确。委员会还注意到，缔约国没有专门机构负责就强迫失踪案件开展问询或调查。委员会还注意到，据缔约国代表团称，开展调查和提起诉讼的权力属于司法警察和普通法院，国家人权委员会在一定程度上也享有这一权力</w:t>
      </w:r>
      <w:r>
        <w:rPr>
          <w:rFonts w:hint="eastAsia"/>
        </w:rPr>
        <w:t>(</w:t>
      </w:r>
      <w:r>
        <w:rPr>
          <w:rFonts w:hint="eastAsia"/>
        </w:rPr>
        <w:t>第十二条</w:t>
      </w:r>
      <w:r>
        <w:rPr>
          <w:rFonts w:hint="eastAsia"/>
        </w:rPr>
        <w:t>)</w:t>
      </w:r>
      <w:r>
        <w:rPr>
          <w:rFonts w:hint="eastAsia"/>
        </w:rPr>
        <w:t>。</w:t>
      </w:r>
    </w:p>
    <w:p w:rsidR="006E4875" w:rsidRPr="00BF11B7" w:rsidRDefault="006E4875" w:rsidP="006E4875">
      <w:pPr>
        <w:pStyle w:val="SingleTxtGC"/>
        <w:rPr>
          <w:rFonts w:ascii="Time New Roman" w:eastAsia="黑体" w:hAnsi="Time New Roman" w:hint="eastAsia"/>
        </w:rPr>
      </w:pPr>
      <w:r w:rsidRPr="00BF11B7">
        <w:rPr>
          <w:rFonts w:ascii="Time New Roman" w:eastAsia="黑体" w:hAnsi="Time New Roman" w:hint="eastAsia"/>
        </w:rPr>
        <w:t>28.</w:t>
      </w:r>
      <w:r w:rsidRPr="00BF11B7">
        <w:rPr>
          <w:rFonts w:ascii="Time New Roman" w:eastAsia="黑体" w:hAnsi="Time New Roman" w:hint="eastAsia"/>
        </w:rPr>
        <w:tab/>
      </w:r>
      <w:r w:rsidRPr="00BF11B7">
        <w:rPr>
          <w:rFonts w:ascii="Time New Roman" w:eastAsia="黑体" w:hAnsi="Time New Roman" w:hint="eastAsia"/>
        </w:rPr>
        <w:t>委员会鼓励缔约国在其《刑事诉讼法》修订工作中确保该法律允许强迫失踪案件的受害人不受限制地积极参与相关司法程序。委员会还邀请缔约国考虑培训一些司法警员和法院官员，专门负责根据需要调查提出指控的强迫失踪案件，并在此类案件中提起刑事诉讼。</w:t>
      </w:r>
    </w:p>
    <w:p w:rsidR="006E4875" w:rsidRDefault="006E4875" w:rsidP="003C4DDD">
      <w:pPr>
        <w:pStyle w:val="H1GC"/>
      </w:pPr>
      <w:r>
        <w:rPr>
          <w:rFonts w:hint="eastAsia"/>
        </w:rPr>
        <w:tab/>
      </w:r>
      <w:r>
        <w:rPr>
          <w:rFonts w:hint="eastAsia"/>
        </w:rPr>
        <w:tab/>
      </w:r>
      <w:r>
        <w:rPr>
          <w:rFonts w:hint="eastAsia"/>
        </w:rPr>
        <w:t>防止强迫失踪情况的措施</w:t>
      </w:r>
      <w:r>
        <w:rPr>
          <w:rFonts w:hint="eastAsia"/>
        </w:rPr>
        <w:t>(</w:t>
      </w:r>
      <w:r>
        <w:rPr>
          <w:rFonts w:hint="eastAsia"/>
        </w:rPr>
        <w:t>第十六至第二十三条</w:t>
      </w:r>
      <w:r>
        <w:rPr>
          <w:rFonts w:hint="eastAsia"/>
        </w:rPr>
        <w:t>)</w:t>
      </w:r>
    </w:p>
    <w:p w:rsidR="006E4875" w:rsidRDefault="006E4875" w:rsidP="003C4DDD">
      <w:pPr>
        <w:pStyle w:val="H23GC"/>
      </w:pPr>
      <w:r>
        <w:rPr>
          <w:rFonts w:hint="eastAsia"/>
        </w:rPr>
        <w:tab/>
      </w:r>
      <w:r>
        <w:rPr>
          <w:rFonts w:hint="eastAsia"/>
        </w:rPr>
        <w:tab/>
      </w:r>
      <w:r>
        <w:rPr>
          <w:rFonts w:hint="eastAsia"/>
        </w:rPr>
        <w:t>不驱回</w:t>
      </w:r>
    </w:p>
    <w:p w:rsidR="006E4875" w:rsidRDefault="006E4875" w:rsidP="006E4875">
      <w:pPr>
        <w:pStyle w:val="SingleTxtGC"/>
      </w:pPr>
      <w:r>
        <w:rPr>
          <w:rFonts w:hint="eastAsia"/>
        </w:rPr>
        <w:t>29.</w:t>
      </w:r>
      <w:r>
        <w:rPr>
          <w:rFonts w:hint="eastAsia"/>
        </w:rPr>
        <w:tab/>
      </w:r>
      <w:r>
        <w:rPr>
          <w:rFonts w:hint="eastAsia"/>
        </w:rPr>
        <w:t>委员会注意到缔约国就各项驱逐和引渡程序以及现有的补救措施提供的相关信息。但是，委员会注意到，据缔约国代表团称，其法律法规中并未就不驱回原则</w:t>
      </w:r>
      <w:proofErr w:type="gramStart"/>
      <w:r>
        <w:rPr>
          <w:rFonts w:hint="eastAsia"/>
        </w:rPr>
        <w:t>作出</w:t>
      </w:r>
      <w:proofErr w:type="gramEnd"/>
      <w:r>
        <w:rPr>
          <w:rFonts w:hint="eastAsia"/>
        </w:rPr>
        <w:t>明确规定。这意味着若返回另一国家将面临强迫失踪风险者没有得到法律保护的保障</w:t>
      </w:r>
      <w:r>
        <w:rPr>
          <w:rFonts w:hint="eastAsia"/>
        </w:rPr>
        <w:t>(</w:t>
      </w:r>
      <w:r>
        <w:rPr>
          <w:rFonts w:hint="eastAsia"/>
        </w:rPr>
        <w:t>第十六条</w:t>
      </w:r>
      <w:r>
        <w:rPr>
          <w:rFonts w:hint="eastAsia"/>
        </w:rPr>
        <w:t>)</w:t>
      </w:r>
      <w:r>
        <w:rPr>
          <w:rFonts w:hint="eastAsia"/>
        </w:rPr>
        <w:t>。</w:t>
      </w:r>
    </w:p>
    <w:p w:rsidR="006E4875" w:rsidRPr="00BF11B7" w:rsidRDefault="006E4875" w:rsidP="006E4875">
      <w:pPr>
        <w:pStyle w:val="SingleTxtGC"/>
        <w:rPr>
          <w:rFonts w:ascii="Time New Roman" w:eastAsia="黑体" w:hAnsi="Time New Roman" w:hint="eastAsia"/>
        </w:rPr>
      </w:pPr>
      <w:r w:rsidRPr="00BF11B7">
        <w:rPr>
          <w:rFonts w:ascii="Time New Roman" w:eastAsia="黑体" w:hAnsi="Time New Roman" w:hint="eastAsia"/>
        </w:rPr>
        <w:t>30.</w:t>
      </w:r>
      <w:r w:rsidRPr="00BF11B7">
        <w:rPr>
          <w:rFonts w:ascii="Time New Roman" w:eastAsia="黑体" w:hAnsi="Time New Roman" w:hint="eastAsia"/>
        </w:rPr>
        <w:tab/>
      </w:r>
      <w:r w:rsidRPr="00BF11B7">
        <w:rPr>
          <w:rFonts w:ascii="Time New Roman" w:eastAsia="黑体" w:hAnsi="Time New Roman" w:hint="eastAsia"/>
        </w:rPr>
        <w:t>委员会建议缔约国采取必要步骤，将不驱回原则明文纳入其法律法规，以确保个人不会在返回另一国家后面临强迫失踪风险。</w:t>
      </w:r>
    </w:p>
    <w:p w:rsidR="006E4875" w:rsidRDefault="006E4875" w:rsidP="003C4DDD">
      <w:pPr>
        <w:pStyle w:val="H23GC"/>
      </w:pPr>
      <w:r>
        <w:rPr>
          <w:rFonts w:hint="eastAsia"/>
        </w:rPr>
        <w:tab/>
      </w:r>
      <w:r>
        <w:rPr>
          <w:rFonts w:hint="eastAsia"/>
        </w:rPr>
        <w:tab/>
      </w:r>
      <w:r>
        <w:rPr>
          <w:rFonts w:hint="eastAsia"/>
        </w:rPr>
        <w:t>与拘押的合法性问题有关的具体补救措施</w:t>
      </w:r>
    </w:p>
    <w:p w:rsidR="006E4875" w:rsidRDefault="006E4875" w:rsidP="006E4875">
      <w:pPr>
        <w:pStyle w:val="SingleTxtGC"/>
      </w:pPr>
      <w:r>
        <w:rPr>
          <w:rFonts w:hint="eastAsia"/>
        </w:rPr>
        <w:t>31.</w:t>
      </w:r>
      <w:r>
        <w:rPr>
          <w:rFonts w:hint="eastAsia"/>
        </w:rPr>
        <w:tab/>
      </w:r>
      <w:r>
        <w:rPr>
          <w:rFonts w:hint="eastAsia"/>
        </w:rPr>
        <w:t>委员会注意到，缔约国的法律法规没有规定具体补救措施，使《公约》涵盖的所有类别人员均可诉诸法庭，以便该法庭可以及时就拘押是否合法</w:t>
      </w:r>
      <w:proofErr w:type="gramStart"/>
      <w:r>
        <w:rPr>
          <w:rFonts w:hint="eastAsia"/>
        </w:rPr>
        <w:t>作出</w:t>
      </w:r>
      <w:proofErr w:type="gramEnd"/>
      <w:r>
        <w:rPr>
          <w:rFonts w:hint="eastAsia"/>
        </w:rPr>
        <w:t>裁决。</w:t>
      </w:r>
      <w:r>
        <w:rPr>
          <w:rFonts w:hint="eastAsia"/>
        </w:rPr>
        <w:lastRenderedPageBreak/>
        <w:t>委员会指出，此类规定的缺失使被拘押者或《公约》第十七条第二款第</w:t>
      </w:r>
      <w:r>
        <w:rPr>
          <w:rFonts w:hint="eastAsia"/>
        </w:rPr>
        <w:t>(</w:t>
      </w:r>
      <w:r>
        <w:rPr>
          <w:rFonts w:hint="eastAsia"/>
        </w:rPr>
        <w:t>六</w:t>
      </w:r>
      <w:r>
        <w:rPr>
          <w:rFonts w:hint="eastAsia"/>
        </w:rPr>
        <w:t>)</w:t>
      </w:r>
      <w:r>
        <w:rPr>
          <w:rFonts w:hint="eastAsia"/>
        </w:rPr>
        <w:t>项规定的被拘押者本人无法行使相关权利时的任何合法利害关系人无法获得藉以确定其拘押是否合法的补救措施</w:t>
      </w:r>
      <w:r>
        <w:rPr>
          <w:rFonts w:hint="eastAsia"/>
        </w:rPr>
        <w:t>(</w:t>
      </w:r>
      <w:r>
        <w:rPr>
          <w:rFonts w:hint="eastAsia"/>
        </w:rPr>
        <w:t>第十七条</w:t>
      </w:r>
      <w:r>
        <w:rPr>
          <w:rFonts w:hint="eastAsia"/>
        </w:rPr>
        <w:t>)</w:t>
      </w:r>
      <w:r>
        <w:rPr>
          <w:rFonts w:hint="eastAsia"/>
        </w:rPr>
        <w:t>。</w:t>
      </w:r>
    </w:p>
    <w:p w:rsidR="006E4875" w:rsidRPr="009A6143" w:rsidRDefault="006E4875" w:rsidP="006E4875">
      <w:pPr>
        <w:pStyle w:val="SingleTxtGC"/>
        <w:rPr>
          <w:rFonts w:ascii="Time New Roman" w:eastAsia="黑体" w:hAnsi="Time New Roman" w:hint="eastAsia"/>
        </w:rPr>
      </w:pPr>
      <w:r w:rsidRPr="009A6143">
        <w:rPr>
          <w:rFonts w:ascii="Time New Roman" w:eastAsia="黑体" w:hAnsi="Time New Roman" w:hint="eastAsia"/>
        </w:rPr>
        <w:t>32.</w:t>
      </w:r>
      <w:r w:rsidRPr="009A6143">
        <w:rPr>
          <w:rFonts w:ascii="Time New Roman" w:eastAsia="黑体" w:hAnsi="Time New Roman" w:hint="eastAsia"/>
        </w:rPr>
        <w:tab/>
      </w:r>
      <w:r w:rsidRPr="009A6143">
        <w:rPr>
          <w:rFonts w:ascii="Time New Roman" w:eastAsia="黑体" w:hAnsi="Time New Roman" w:hint="eastAsia"/>
        </w:rPr>
        <w:t>委员会鼓励缔约国根据《公约》第十七条第二款第</w:t>
      </w:r>
      <w:r w:rsidRPr="009A6143">
        <w:rPr>
          <w:rFonts w:ascii="Time New Roman" w:eastAsia="黑体" w:hAnsi="Time New Roman" w:hint="eastAsia"/>
        </w:rPr>
        <w:t>(</w:t>
      </w:r>
      <w:r w:rsidRPr="009A6143">
        <w:rPr>
          <w:rFonts w:ascii="Time New Roman" w:eastAsia="黑体" w:hAnsi="Time New Roman" w:hint="eastAsia"/>
        </w:rPr>
        <w:t>六</w:t>
      </w:r>
      <w:r w:rsidRPr="009A6143">
        <w:rPr>
          <w:rFonts w:ascii="Time New Roman" w:eastAsia="黑体" w:hAnsi="Time New Roman" w:hint="eastAsia"/>
        </w:rPr>
        <w:t>)</w:t>
      </w:r>
      <w:r w:rsidRPr="009A6143">
        <w:rPr>
          <w:rFonts w:ascii="Time New Roman" w:eastAsia="黑体" w:hAnsi="Time New Roman" w:hint="eastAsia"/>
        </w:rPr>
        <w:t>项的规定以及其他相关国际标准，采取必要措施，在其刑事法律法规中规定一项具体的补救措施，使《公约》涵盖的所有类别人员均可诉诸法庭，以便该法庭可以就拘押是否合法及时</w:t>
      </w:r>
      <w:proofErr w:type="gramStart"/>
      <w:r w:rsidRPr="009A6143">
        <w:rPr>
          <w:rFonts w:ascii="Time New Roman" w:eastAsia="黑体" w:hAnsi="Time New Roman" w:hint="eastAsia"/>
        </w:rPr>
        <w:t>作出</w:t>
      </w:r>
      <w:proofErr w:type="gramEnd"/>
      <w:r w:rsidRPr="009A6143">
        <w:rPr>
          <w:rFonts w:ascii="Time New Roman" w:eastAsia="黑体" w:hAnsi="Time New Roman" w:hint="eastAsia"/>
        </w:rPr>
        <w:t>裁决，并在拘押不合法的情况下下令将其释放。</w:t>
      </w:r>
    </w:p>
    <w:p w:rsidR="006E4875" w:rsidRDefault="006E4875" w:rsidP="003C4DDD">
      <w:pPr>
        <w:pStyle w:val="H23GC"/>
      </w:pPr>
      <w:r>
        <w:rPr>
          <w:rFonts w:hint="eastAsia"/>
        </w:rPr>
        <w:tab/>
      </w:r>
      <w:r>
        <w:rPr>
          <w:rFonts w:hint="eastAsia"/>
        </w:rPr>
        <w:tab/>
      </w:r>
      <w:r>
        <w:rPr>
          <w:rFonts w:hint="eastAsia"/>
        </w:rPr>
        <w:t>保留登记册和获取信息</w:t>
      </w:r>
    </w:p>
    <w:p w:rsidR="006E4875" w:rsidRDefault="006E4875" w:rsidP="006E4875">
      <w:pPr>
        <w:pStyle w:val="SingleTxtGC"/>
      </w:pPr>
      <w:r>
        <w:rPr>
          <w:rFonts w:hint="eastAsia"/>
        </w:rPr>
        <w:t>33.</w:t>
      </w:r>
      <w:r>
        <w:rPr>
          <w:rFonts w:hint="eastAsia"/>
        </w:rPr>
        <w:tab/>
      </w:r>
      <w:r>
        <w:rPr>
          <w:rFonts w:hint="eastAsia"/>
        </w:rPr>
        <w:t>委员会关切地注意到，在记录剥夺自由事件或《公约》第十七条第三款规定的信息方面故意失职的作法不会自动受到惩处。委员会注意到，只有在官方登记册的负责官员有意作为同谋参与犯罪活动的情况下，此类失职行为才可能引发调查。委员会进一步注意到，在是否有可能针对拒绝就剥夺自由事件提供信息或提供不实信息的行为施加惩处问题上，没有任何相关信息</w:t>
      </w:r>
      <w:r>
        <w:rPr>
          <w:rFonts w:hint="eastAsia"/>
        </w:rPr>
        <w:t>(</w:t>
      </w:r>
      <w:r>
        <w:rPr>
          <w:rFonts w:hint="eastAsia"/>
        </w:rPr>
        <w:t>第十七、第十八和第二十二条</w:t>
      </w:r>
      <w:r>
        <w:rPr>
          <w:rFonts w:hint="eastAsia"/>
        </w:rPr>
        <w:t>)</w:t>
      </w:r>
      <w:r>
        <w:rPr>
          <w:rFonts w:hint="eastAsia"/>
        </w:rPr>
        <w:t>。</w:t>
      </w:r>
    </w:p>
    <w:p w:rsidR="006E4875" w:rsidRPr="009A6143" w:rsidRDefault="006E4875" w:rsidP="006E4875">
      <w:pPr>
        <w:pStyle w:val="SingleTxtGC"/>
        <w:rPr>
          <w:rFonts w:ascii="Time New Roman" w:eastAsia="黑体" w:hAnsi="Time New Roman" w:hint="eastAsia"/>
        </w:rPr>
      </w:pPr>
      <w:r w:rsidRPr="009A6143">
        <w:rPr>
          <w:rFonts w:ascii="Time New Roman" w:eastAsia="黑体" w:hAnsi="Time New Roman" w:hint="eastAsia"/>
        </w:rPr>
        <w:t>34.</w:t>
      </w:r>
      <w:r w:rsidRPr="009A6143">
        <w:rPr>
          <w:rFonts w:ascii="Time New Roman" w:eastAsia="黑体" w:hAnsi="Time New Roman" w:hint="eastAsia"/>
        </w:rPr>
        <w:tab/>
      </w:r>
      <w:r w:rsidRPr="009A6143">
        <w:rPr>
          <w:rFonts w:ascii="Time New Roman" w:eastAsia="黑体" w:hAnsi="Time New Roman" w:hint="eastAsia"/>
        </w:rPr>
        <w:t>委员会建议缔约国根据第十八条第一款，确保对登记册进行妥善的维护，并保证任何合法利害关系人均有权且真正有可能获得第十七条第三款提及的失踪人员相关信息。委员会还建议根据《公约》第二十二条，在缔约国的刑事法律中明文规定针对在记录剥夺自由事件或相关信息方面故意失职以及故意拒绝提供此类信息的行为施加惩处。</w:t>
      </w:r>
    </w:p>
    <w:p w:rsidR="006E4875" w:rsidRDefault="006E4875" w:rsidP="003C4DDD">
      <w:pPr>
        <w:pStyle w:val="H23GC"/>
      </w:pPr>
      <w:r>
        <w:rPr>
          <w:rFonts w:hint="eastAsia"/>
        </w:rPr>
        <w:tab/>
      </w:r>
      <w:r>
        <w:rPr>
          <w:rFonts w:hint="eastAsia"/>
        </w:rPr>
        <w:tab/>
      </w:r>
      <w:r>
        <w:rPr>
          <w:rFonts w:hint="eastAsia"/>
        </w:rPr>
        <w:t>人权培训，尤其是《公约》条款的相关培训</w:t>
      </w:r>
    </w:p>
    <w:p w:rsidR="006E4875" w:rsidRDefault="006E4875" w:rsidP="006E4875">
      <w:pPr>
        <w:pStyle w:val="SingleTxtGC"/>
      </w:pPr>
      <w:r>
        <w:rPr>
          <w:rFonts w:hint="eastAsia"/>
        </w:rPr>
        <w:t>35.</w:t>
      </w:r>
      <w:r>
        <w:rPr>
          <w:rFonts w:hint="eastAsia"/>
        </w:rPr>
        <w:tab/>
      </w:r>
      <w:r>
        <w:rPr>
          <w:rFonts w:hint="eastAsia"/>
        </w:rPr>
        <w:t>委员会注意到围绕人权以及适用于剥夺自由问题的各项标准向警察和监狱部门成员提供的培训的相关信息。但是，委员会注意到，此类培训未具体涵盖《公约》</w:t>
      </w:r>
      <w:r>
        <w:rPr>
          <w:rFonts w:hint="eastAsia"/>
        </w:rPr>
        <w:t>(</w:t>
      </w:r>
      <w:r>
        <w:rPr>
          <w:rFonts w:hint="eastAsia"/>
        </w:rPr>
        <w:t>第二十三条</w:t>
      </w:r>
      <w:r>
        <w:rPr>
          <w:rFonts w:hint="eastAsia"/>
        </w:rPr>
        <w:t>)</w:t>
      </w:r>
      <w:r>
        <w:rPr>
          <w:rFonts w:hint="eastAsia"/>
        </w:rPr>
        <w:t>。</w:t>
      </w:r>
    </w:p>
    <w:p w:rsidR="006E4875" w:rsidRPr="009A6143" w:rsidRDefault="006E4875" w:rsidP="006E4875">
      <w:pPr>
        <w:pStyle w:val="SingleTxtGC"/>
        <w:rPr>
          <w:rFonts w:ascii="Time New Roman" w:eastAsia="黑体" w:hAnsi="Time New Roman" w:hint="eastAsia"/>
        </w:rPr>
      </w:pPr>
      <w:r w:rsidRPr="009A6143">
        <w:rPr>
          <w:rFonts w:ascii="Time New Roman" w:eastAsia="黑体" w:hAnsi="Time New Roman" w:hint="eastAsia"/>
        </w:rPr>
        <w:t>36.</w:t>
      </w:r>
      <w:r w:rsidRPr="009A6143">
        <w:rPr>
          <w:rFonts w:ascii="Time New Roman" w:eastAsia="黑体" w:hAnsi="Time New Roman" w:hint="eastAsia"/>
        </w:rPr>
        <w:tab/>
      </w:r>
      <w:r w:rsidRPr="009A6143">
        <w:rPr>
          <w:rFonts w:ascii="Time New Roman" w:eastAsia="黑体" w:hAnsi="Time New Roman" w:hint="eastAsia"/>
        </w:rPr>
        <w:t>委员会鼓励缔约国根据第二十三条，确保向军事和民事执法人员、医务人员、公职人员以及其他可能参与任何被剥夺自由者的拘押或处理工作的人员</w:t>
      </w:r>
      <w:r w:rsidRPr="009A6143">
        <w:rPr>
          <w:rFonts w:ascii="Time New Roman" w:eastAsia="黑体" w:hAnsi="Time New Roman" w:hint="eastAsia"/>
        </w:rPr>
        <w:t>(</w:t>
      </w:r>
      <w:r w:rsidRPr="009A6143">
        <w:rPr>
          <w:rFonts w:ascii="Time New Roman" w:eastAsia="黑体" w:hAnsi="Time New Roman" w:hint="eastAsia"/>
        </w:rPr>
        <w:t>包括各级的法官、检察官及其他司法官员在内</w:t>
      </w:r>
      <w:r w:rsidRPr="009A6143">
        <w:rPr>
          <w:rFonts w:ascii="Time New Roman" w:eastAsia="黑体" w:hAnsi="Time New Roman" w:hint="eastAsia"/>
        </w:rPr>
        <w:t>)</w:t>
      </w:r>
      <w:r w:rsidRPr="009A6143">
        <w:rPr>
          <w:rFonts w:ascii="Time New Roman" w:eastAsia="黑体" w:hAnsi="Time New Roman" w:hint="eastAsia"/>
        </w:rPr>
        <w:t>所提供的培训涵盖有关《公约》的培训。</w:t>
      </w:r>
    </w:p>
    <w:p w:rsidR="006E4875" w:rsidRPr="009A6143" w:rsidRDefault="006E4875" w:rsidP="003C4DDD">
      <w:pPr>
        <w:pStyle w:val="H1GC"/>
        <w:rPr>
          <w:spacing w:val="-4"/>
        </w:rPr>
      </w:pPr>
      <w:r>
        <w:rPr>
          <w:rFonts w:hint="eastAsia"/>
        </w:rPr>
        <w:tab/>
      </w:r>
      <w:r>
        <w:rPr>
          <w:rFonts w:hint="eastAsia"/>
        </w:rPr>
        <w:tab/>
      </w:r>
      <w:r w:rsidRPr="009A6143">
        <w:rPr>
          <w:rFonts w:hint="eastAsia"/>
          <w:spacing w:val="-4"/>
        </w:rPr>
        <w:t>提供赔偿的措施和保护儿童免遭强迫失踪的措施</w:t>
      </w:r>
      <w:r w:rsidRPr="009A6143">
        <w:rPr>
          <w:rFonts w:hint="eastAsia"/>
          <w:spacing w:val="-4"/>
        </w:rPr>
        <w:t>(</w:t>
      </w:r>
      <w:r w:rsidRPr="009A6143">
        <w:rPr>
          <w:rFonts w:hint="eastAsia"/>
          <w:spacing w:val="-4"/>
        </w:rPr>
        <w:t>第二十四和第二十五条</w:t>
      </w:r>
      <w:r w:rsidRPr="009A6143">
        <w:rPr>
          <w:rFonts w:hint="eastAsia"/>
          <w:spacing w:val="-4"/>
        </w:rPr>
        <w:t>)</w:t>
      </w:r>
    </w:p>
    <w:p w:rsidR="006E4875" w:rsidRDefault="006E4875" w:rsidP="003C4DDD">
      <w:pPr>
        <w:pStyle w:val="H23GC"/>
      </w:pPr>
      <w:r>
        <w:rPr>
          <w:rFonts w:hint="eastAsia"/>
        </w:rPr>
        <w:tab/>
      </w:r>
      <w:r>
        <w:rPr>
          <w:rFonts w:hint="eastAsia"/>
        </w:rPr>
        <w:tab/>
      </w:r>
      <w:r>
        <w:rPr>
          <w:rFonts w:hint="eastAsia"/>
        </w:rPr>
        <w:t>赔偿</w:t>
      </w:r>
    </w:p>
    <w:p w:rsidR="006E4875" w:rsidRDefault="006E4875" w:rsidP="006E4875">
      <w:pPr>
        <w:pStyle w:val="SingleTxtGC"/>
      </w:pPr>
      <w:r>
        <w:rPr>
          <w:rFonts w:hint="eastAsia"/>
        </w:rPr>
        <w:t>37.</w:t>
      </w:r>
      <w:r>
        <w:rPr>
          <w:rFonts w:hint="eastAsia"/>
        </w:rPr>
        <w:tab/>
      </w:r>
      <w:r>
        <w:rPr>
          <w:rFonts w:hint="eastAsia"/>
        </w:rPr>
        <w:t>委员会欢迎缔约国现行的可供强迫失踪受害人利用的各项获得赔偿机制的相关信息。委员会还注意到：缔约国成立了和解与民族团结高级理事会，专门负责受理过去犯下的侵犯人权行为的相关投诉，以便提供赔偿；</w:t>
      </w:r>
      <w:proofErr w:type="gramStart"/>
      <w:r>
        <w:rPr>
          <w:rFonts w:hint="eastAsia"/>
        </w:rPr>
        <w:t>该高级</w:t>
      </w:r>
      <w:proofErr w:type="gramEnd"/>
      <w:r>
        <w:rPr>
          <w:rFonts w:hint="eastAsia"/>
        </w:rPr>
        <w:t>理事会已确定了大约</w:t>
      </w:r>
      <w:r>
        <w:rPr>
          <w:rFonts w:hint="eastAsia"/>
        </w:rPr>
        <w:t>5,000</w:t>
      </w:r>
      <w:r>
        <w:rPr>
          <w:rFonts w:hint="eastAsia"/>
        </w:rPr>
        <w:t>起此类案件</w:t>
      </w:r>
      <w:r>
        <w:rPr>
          <w:rFonts w:hint="eastAsia"/>
        </w:rPr>
        <w:t>(</w:t>
      </w:r>
      <w:r>
        <w:rPr>
          <w:rFonts w:hint="eastAsia"/>
        </w:rPr>
        <w:t>第二十四条</w:t>
      </w:r>
      <w:r>
        <w:rPr>
          <w:rFonts w:hint="eastAsia"/>
        </w:rPr>
        <w:t>)</w:t>
      </w:r>
      <w:r>
        <w:rPr>
          <w:rFonts w:hint="eastAsia"/>
        </w:rPr>
        <w:t>。</w:t>
      </w:r>
    </w:p>
    <w:p w:rsidR="006E4875" w:rsidRPr="00056CA9" w:rsidRDefault="006E4875" w:rsidP="006E4875">
      <w:pPr>
        <w:pStyle w:val="SingleTxtGC"/>
        <w:rPr>
          <w:rFonts w:ascii="Time New Roman" w:eastAsia="黑体" w:hAnsi="Time New Roman" w:hint="eastAsia"/>
        </w:rPr>
      </w:pPr>
      <w:r w:rsidRPr="00056CA9">
        <w:rPr>
          <w:rFonts w:ascii="Time New Roman" w:eastAsia="黑体" w:hAnsi="Time New Roman" w:hint="eastAsia"/>
        </w:rPr>
        <w:lastRenderedPageBreak/>
        <w:t>38.</w:t>
      </w:r>
      <w:r w:rsidRPr="00056CA9">
        <w:rPr>
          <w:rFonts w:ascii="Time New Roman" w:eastAsia="黑体" w:hAnsi="Time New Roman" w:hint="eastAsia"/>
        </w:rPr>
        <w:tab/>
      </w:r>
      <w:r w:rsidRPr="00056CA9">
        <w:rPr>
          <w:rFonts w:ascii="Time New Roman" w:eastAsia="黑体" w:hAnsi="Time New Roman" w:hint="eastAsia"/>
        </w:rPr>
        <w:t>委员会邀请缔约国就和解与民族团结高级理事会确定并处理的可能涉及强迫失踪情况的案件以及任何拟</w:t>
      </w:r>
      <w:proofErr w:type="gramStart"/>
      <w:r w:rsidRPr="00056CA9">
        <w:rPr>
          <w:rFonts w:ascii="Time New Roman" w:eastAsia="黑体" w:hAnsi="Time New Roman" w:hint="eastAsia"/>
        </w:rPr>
        <w:t>予采取</w:t>
      </w:r>
      <w:proofErr w:type="gramEnd"/>
      <w:r w:rsidRPr="00056CA9">
        <w:rPr>
          <w:rFonts w:ascii="Time New Roman" w:eastAsia="黑体" w:hAnsi="Time New Roman" w:hint="eastAsia"/>
        </w:rPr>
        <w:t>的赔偿措施提供信息。委员会还邀请缔约国就控告人更希望诉诸普通法院以提起诉讼的案件数量提供信息。</w:t>
      </w:r>
    </w:p>
    <w:p w:rsidR="006E4875" w:rsidRDefault="006E4875" w:rsidP="003C4DDD">
      <w:pPr>
        <w:pStyle w:val="H23GC"/>
      </w:pPr>
      <w:r>
        <w:rPr>
          <w:rFonts w:hint="eastAsia"/>
        </w:rPr>
        <w:tab/>
      </w:r>
      <w:r>
        <w:rPr>
          <w:rFonts w:hint="eastAsia"/>
        </w:rPr>
        <w:tab/>
      </w:r>
      <w:r>
        <w:rPr>
          <w:rFonts w:hint="eastAsia"/>
        </w:rPr>
        <w:t>保护失踪人员</w:t>
      </w:r>
    </w:p>
    <w:p w:rsidR="006E4875" w:rsidRDefault="006E4875" w:rsidP="006E4875">
      <w:pPr>
        <w:pStyle w:val="SingleTxtGC"/>
      </w:pPr>
      <w:r>
        <w:rPr>
          <w:rFonts w:hint="eastAsia"/>
        </w:rPr>
        <w:t>39.</w:t>
      </w:r>
      <w:r>
        <w:rPr>
          <w:rFonts w:hint="eastAsia"/>
        </w:rPr>
        <w:tab/>
      </w:r>
      <w:r>
        <w:rPr>
          <w:rFonts w:hint="eastAsia"/>
        </w:rPr>
        <w:t>委员会注意到，缔约国的《个人与家庭法》</w:t>
      </w:r>
      <w:proofErr w:type="gramStart"/>
      <w:r>
        <w:rPr>
          <w:rFonts w:hint="eastAsia"/>
        </w:rPr>
        <w:t>为发布</w:t>
      </w:r>
      <w:proofErr w:type="gramEnd"/>
      <w:r>
        <w:rPr>
          <w:rFonts w:hint="eastAsia"/>
        </w:rPr>
        <w:t>走失或失踪人员的死亡声明设立了时限，而发布死亡声明可启动走失或失踪人员在社会福利、财务事务、家庭法和财产权领域法律状况的解决途径。委员会注意到，发布死亡声明可导致失踪人员的寻找工作终止，除非检察官明确要求寻找工作继续进行。委员会理解理清失踪人员亲属的法律状况和社会权利的重要性，但认为鉴于强迫失踪的持续性质，在失踪人员的命运已经清楚之前，上述法律程序原则上不应基于失踪人员已经死亡的假定</w:t>
      </w:r>
      <w:r>
        <w:rPr>
          <w:rFonts w:hint="eastAsia"/>
        </w:rPr>
        <w:t>(</w:t>
      </w:r>
      <w:r>
        <w:rPr>
          <w:rFonts w:hint="eastAsia"/>
        </w:rPr>
        <w:t>第二十四条</w:t>
      </w:r>
      <w:r>
        <w:rPr>
          <w:rFonts w:hint="eastAsia"/>
        </w:rPr>
        <w:t>)</w:t>
      </w:r>
      <w:r>
        <w:rPr>
          <w:rFonts w:hint="eastAsia"/>
        </w:rPr>
        <w:t>。</w:t>
      </w:r>
    </w:p>
    <w:p w:rsidR="006E4875" w:rsidRPr="00056CA9" w:rsidRDefault="006E4875" w:rsidP="006E4875">
      <w:pPr>
        <w:pStyle w:val="SingleTxtGC"/>
        <w:rPr>
          <w:rFonts w:ascii="Time New Roman" w:eastAsia="黑体" w:hAnsi="Time New Roman" w:hint="eastAsia"/>
        </w:rPr>
      </w:pPr>
      <w:r w:rsidRPr="00056CA9">
        <w:rPr>
          <w:rFonts w:ascii="Time New Roman" w:eastAsia="黑体" w:hAnsi="Time New Roman" w:hint="eastAsia"/>
        </w:rPr>
        <w:t>40.</w:t>
      </w:r>
      <w:r w:rsidRPr="00056CA9">
        <w:rPr>
          <w:rFonts w:ascii="Time New Roman" w:eastAsia="黑体" w:hAnsi="Time New Roman" w:hint="eastAsia"/>
        </w:rPr>
        <w:tab/>
      </w:r>
      <w:r w:rsidRPr="00056CA9">
        <w:rPr>
          <w:rFonts w:ascii="Time New Roman" w:eastAsia="黑体" w:hAnsi="Time New Roman" w:hint="eastAsia"/>
        </w:rPr>
        <w:t>委员会邀请缔约国考虑修订其法律法规，以确保在强迫失踪案件中，走失或失踪人员的死亡声明并不免除缔约国根据《公约》第二十四条第三和第六款继续开展调查工作的义务。委员会邀请缔约国在其法律法规中，在理清走失或失踪人员亲属的法律状况和权利的必要性与失踪人员的利益和权利之间取得平衡，尤其要规定缔约国有义务继续开展调查。</w:t>
      </w:r>
    </w:p>
    <w:p w:rsidR="006E4875" w:rsidRDefault="006E4875" w:rsidP="003C4DDD">
      <w:pPr>
        <w:pStyle w:val="H23GC"/>
      </w:pPr>
      <w:r>
        <w:rPr>
          <w:rFonts w:hint="eastAsia"/>
        </w:rPr>
        <w:tab/>
      </w:r>
      <w:r>
        <w:rPr>
          <w:rFonts w:hint="eastAsia"/>
        </w:rPr>
        <w:tab/>
      </w:r>
      <w:r>
        <w:rPr>
          <w:rFonts w:hint="eastAsia"/>
        </w:rPr>
        <w:t>儿童保护方面的法律法规</w:t>
      </w:r>
    </w:p>
    <w:p w:rsidR="006E4875" w:rsidRDefault="006E4875" w:rsidP="006E4875">
      <w:pPr>
        <w:pStyle w:val="SingleTxtGC"/>
      </w:pPr>
      <w:r>
        <w:rPr>
          <w:rFonts w:hint="eastAsia"/>
        </w:rPr>
        <w:t>41.</w:t>
      </w:r>
      <w:r>
        <w:rPr>
          <w:rFonts w:hint="eastAsia"/>
        </w:rPr>
        <w:tab/>
      </w:r>
      <w:r>
        <w:rPr>
          <w:rFonts w:hint="eastAsia"/>
        </w:rPr>
        <w:t>委员会注意到缔约国采取的将制作和使用伪造证件归类为刑事罪行的措施。但是，委员会注意到，据缔约国代表团称，缔约国的法律法规当中不含任何具体规定，以便依照刑法防止或惩处伪造、藏匿或销毁可证明《公约》第二十五条第一款第</w:t>
      </w:r>
      <w:r>
        <w:rPr>
          <w:rFonts w:hint="eastAsia"/>
        </w:rPr>
        <w:t>(</w:t>
      </w:r>
      <w:r>
        <w:rPr>
          <w:rFonts w:hint="eastAsia"/>
        </w:rPr>
        <w:t>一</w:t>
      </w:r>
      <w:r>
        <w:rPr>
          <w:rFonts w:hint="eastAsia"/>
        </w:rPr>
        <w:t>)</w:t>
      </w:r>
      <w:r>
        <w:rPr>
          <w:rFonts w:hint="eastAsia"/>
        </w:rPr>
        <w:t>项所述儿童真实身份的证件的行为。</w:t>
      </w:r>
    </w:p>
    <w:p w:rsidR="006E4875" w:rsidRPr="00083A65" w:rsidRDefault="006E4875" w:rsidP="006E4875">
      <w:pPr>
        <w:pStyle w:val="SingleTxtGC"/>
        <w:rPr>
          <w:rFonts w:ascii="Time New Roman" w:eastAsia="黑体" w:hAnsi="Time New Roman" w:hint="eastAsia"/>
        </w:rPr>
      </w:pPr>
      <w:r w:rsidRPr="00083A65">
        <w:rPr>
          <w:rFonts w:ascii="Time New Roman" w:eastAsia="黑体" w:hAnsi="Time New Roman" w:hint="eastAsia"/>
        </w:rPr>
        <w:t>42.</w:t>
      </w:r>
      <w:r w:rsidRPr="00083A65">
        <w:rPr>
          <w:rFonts w:ascii="Time New Roman" w:eastAsia="黑体" w:hAnsi="Time New Roman" w:hint="eastAsia"/>
        </w:rPr>
        <w:tab/>
      </w:r>
      <w:r w:rsidRPr="00083A65">
        <w:rPr>
          <w:rFonts w:ascii="Time New Roman" w:eastAsia="黑体" w:hAnsi="Time New Roman" w:hint="eastAsia"/>
        </w:rPr>
        <w:t>委员会建议缔约国以防止和惩处伪造、藏匿或销毁可证明第二十五条第一款第</w:t>
      </w:r>
      <w:r w:rsidRPr="00083A65">
        <w:rPr>
          <w:rFonts w:ascii="Time New Roman" w:eastAsia="黑体" w:hAnsi="Time New Roman" w:hint="eastAsia"/>
        </w:rPr>
        <w:t>(</w:t>
      </w:r>
      <w:r w:rsidRPr="00083A65">
        <w:rPr>
          <w:rFonts w:ascii="Time New Roman" w:eastAsia="黑体" w:hAnsi="Time New Roman" w:hint="eastAsia"/>
        </w:rPr>
        <w:t>一</w:t>
      </w:r>
      <w:r w:rsidRPr="00083A65">
        <w:rPr>
          <w:rFonts w:ascii="Time New Roman" w:eastAsia="黑体" w:hAnsi="Time New Roman" w:hint="eastAsia"/>
        </w:rPr>
        <w:t>)</w:t>
      </w:r>
      <w:r w:rsidRPr="00083A65">
        <w:rPr>
          <w:rFonts w:ascii="Time New Roman" w:eastAsia="黑体" w:hAnsi="Time New Roman" w:hint="eastAsia"/>
        </w:rPr>
        <w:t>项所述儿童真实身份的证件之行为为特定目的，加强其刑事立法工作。</w:t>
      </w:r>
    </w:p>
    <w:p w:rsidR="006E4875" w:rsidRDefault="006E4875" w:rsidP="003C4DDD">
      <w:pPr>
        <w:pStyle w:val="H1GC"/>
      </w:pPr>
      <w:r>
        <w:rPr>
          <w:rFonts w:hint="eastAsia"/>
        </w:rPr>
        <w:tab/>
        <w:t>D.</w:t>
      </w:r>
      <w:r>
        <w:rPr>
          <w:rFonts w:hint="eastAsia"/>
        </w:rPr>
        <w:tab/>
      </w:r>
      <w:r>
        <w:rPr>
          <w:rFonts w:hint="eastAsia"/>
        </w:rPr>
        <w:t>传播和后续行动</w:t>
      </w:r>
    </w:p>
    <w:p w:rsidR="006E4875" w:rsidRDefault="006E4875" w:rsidP="006E4875">
      <w:pPr>
        <w:pStyle w:val="SingleTxtGC"/>
      </w:pPr>
      <w:r>
        <w:rPr>
          <w:rFonts w:hint="eastAsia"/>
        </w:rPr>
        <w:t>43.</w:t>
      </w:r>
      <w:r>
        <w:rPr>
          <w:rFonts w:hint="eastAsia"/>
        </w:rPr>
        <w:tab/>
      </w:r>
      <w:r>
        <w:rPr>
          <w:rFonts w:hint="eastAsia"/>
        </w:rPr>
        <w:t>委员会希望回顾缔约国批准《公约》之际承担起的义务，并就此敦促缔约国确保其采取的一切措施无论性质如何，也无论由哪个主管部门负责实施，均完全符合缔约国在批准《公约》及其他相关国际文书之际所承担起的义务。在这个问题上，委员会尤其要敦促缔约国确保切实调查所有强迫失踪案件，并确保《公约》所载的受害人各项权利得到彻底的满足。</w:t>
      </w:r>
    </w:p>
    <w:p w:rsidR="006E4875" w:rsidRDefault="006E4875" w:rsidP="006E4875">
      <w:pPr>
        <w:pStyle w:val="SingleTxtGC"/>
      </w:pPr>
      <w:r>
        <w:rPr>
          <w:rFonts w:hint="eastAsia"/>
        </w:rPr>
        <w:t>44.</w:t>
      </w:r>
      <w:r>
        <w:rPr>
          <w:rFonts w:hint="eastAsia"/>
        </w:rPr>
        <w:tab/>
      </w:r>
      <w:r>
        <w:rPr>
          <w:rFonts w:hint="eastAsia"/>
        </w:rPr>
        <w:t>委员会希望强调强迫失踪对妇女和儿童权利造成尤为残酷的影响。就妇女而言，强迫失踪使妇女尤其容易遭受性暴力及其他形式的性别暴力。失踪人员的女性亲属尤其可能承受严重的社会和经济后果，并因努力寻找亲人下落而遭受暴力、迫害和报复。强迫失踪情况的儿童受害人或是本人遭遇失踪，或是经受亲属失踪带来的后果，尤其容易遭受多种人权侵犯，其中包括身份被置换。在这方</w:t>
      </w:r>
      <w:r>
        <w:rPr>
          <w:rFonts w:hint="eastAsia"/>
        </w:rPr>
        <w:lastRenderedPageBreak/>
        <w:t>面，委员会特别强调缔约国有必要确保在落实《公约》所载各项权利和义务时，采取性别视角和对儿童问题有敏感认识的方法。</w:t>
      </w:r>
    </w:p>
    <w:p w:rsidR="006E4875" w:rsidRDefault="006E4875" w:rsidP="006E4875">
      <w:pPr>
        <w:pStyle w:val="SingleTxtGC"/>
      </w:pPr>
      <w:r>
        <w:rPr>
          <w:rFonts w:hint="eastAsia"/>
        </w:rPr>
        <w:t>45.</w:t>
      </w:r>
      <w:r>
        <w:rPr>
          <w:rFonts w:hint="eastAsia"/>
        </w:rPr>
        <w:tab/>
      </w:r>
      <w:r>
        <w:rPr>
          <w:rFonts w:hint="eastAsia"/>
        </w:rPr>
        <w:t>鼓励缔约国广泛传播《公约》、缔约国根据《公约》第二十九条第一款提交的报告、针对委员会编制的问题单作出的书面答复以及本结论性意见，以提高司法、立法和行政当局、在缔约国境内运营的民间社会和非政府组织以及公众的认识。委员会还鼓励缔约国推动民间社会参与根据本结论性意见采取的行动。</w:t>
      </w:r>
    </w:p>
    <w:p w:rsidR="006E4875" w:rsidRDefault="006E4875" w:rsidP="006E4875">
      <w:pPr>
        <w:pStyle w:val="SingleTxtGC"/>
      </w:pPr>
      <w:r>
        <w:rPr>
          <w:rFonts w:hint="eastAsia"/>
        </w:rPr>
        <w:t>46.</w:t>
      </w:r>
      <w:r>
        <w:rPr>
          <w:rFonts w:hint="eastAsia"/>
        </w:rPr>
        <w:tab/>
      </w:r>
      <w:r>
        <w:rPr>
          <w:rFonts w:hint="eastAsia"/>
        </w:rPr>
        <w:t>根据委员会的议事规则，缔约国应最迟于</w:t>
      </w:r>
      <w:r>
        <w:rPr>
          <w:rFonts w:hint="eastAsia"/>
        </w:rPr>
        <w:t>2017</w:t>
      </w:r>
      <w:r>
        <w:rPr>
          <w:rFonts w:hint="eastAsia"/>
        </w:rPr>
        <w:t>年</w:t>
      </w:r>
      <w:r>
        <w:rPr>
          <w:rFonts w:hint="eastAsia"/>
        </w:rPr>
        <w:t>3</w:t>
      </w:r>
      <w:r>
        <w:rPr>
          <w:rFonts w:hint="eastAsia"/>
        </w:rPr>
        <w:t>月</w:t>
      </w:r>
      <w:r>
        <w:rPr>
          <w:rFonts w:hint="eastAsia"/>
        </w:rPr>
        <w:t>18</w:t>
      </w:r>
      <w:r>
        <w:rPr>
          <w:rFonts w:hint="eastAsia"/>
        </w:rPr>
        <w:t>日前就其落实第</w:t>
      </w:r>
      <w:r>
        <w:rPr>
          <w:rFonts w:hint="eastAsia"/>
        </w:rPr>
        <w:t>10</w:t>
      </w:r>
      <w:r>
        <w:rPr>
          <w:rFonts w:hint="eastAsia"/>
        </w:rPr>
        <w:t>、第</w:t>
      </w:r>
      <w:r>
        <w:rPr>
          <w:rFonts w:hint="eastAsia"/>
        </w:rPr>
        <w:t>14</w:t>
      </w:r>
      <w:r>
        <w:rPr>
          <w:rFonts w:hint="eastAsia"/>
        </w:rPr>
        <w:t>和第</w:t>
      </w:r>
      <w:r>
        <w:rPr>
          <w:rFonts w:hint="eastAsia"/>
        </w:rPr>
        <w:t>32</w:t>
      </w:r>
      <w:r>
        <w:rPr>
          <w:rFonts w:hint="eastAsia"/>
        </w:rPr>
        <w:t>段所载委员会建议的情况提供相关信息。</w:t>
      </w:r>
    </w:p>
    <w:p w:rsidR="006E4875" w:rsidRDefault="006E4875" w:rsidP="006E4875">
      <w:pPr>
        <w:pStyle w:val="SingleTxtGC"/>
      </w:pPr>
      <w:r>
        <w:rPr>
          <w:rFonts w:hint="eastAsia"/>
        </w:rPr>
        <w:t>47.</w:t>
      </w:r>
      <w:r>
        <w:rPr>
          <w:rFonts w:hint="eastAsia"/>
        </w:rPr>
        <w:tab/>
      </w:r>
      <w:r>
        <w:rPr>
          <w:rFonts w:hint="eastAsia"/>
        </w:rPr>
        <w:t>委员会根据《公约》第二十九条第四款，请缔约国不迟于</w:t>
      </w:r>
      <w:r>
        <w:rPr>
          <w:rFonts w:hint="eastAsia"/>
        </w:rPr>
        <w:t>2022</w:t>
      </w:r>
      <w:r>
        <w:rPr>
          <w:rFonts w:hint="eastAsia"/>
        </w:rPr>
        <w:t>年</w:t>
      </w:r>
      <w:r>
        <w:rPr>
          <w:rFonts w:hint="eastAsia"/>
        </w:rPr>
        <w:t>3</w:t>
      </w:r>
      <w:r>
        <w:rPr>
          <w:rFonts w:hint="eastAsia"/>
        </w:rPr>
        <w:t>月</w:t>
      </w:r>
      <w:r>
        <w:rPr>
          <w:rFonts w:hint="eastAsia"/>
        </w:rPr>
        <w:t>18</w:t>
      </w:r>
      <w:r>
        <w:rPr>
          <w:rFonts w:hint="eastAsia"/>
        </w:rPr>
        <w:t>日，在一份根据《缔约国根据第二十九条提交的报告的形式和内容的准则》</w:t>
      </w:r>
      <w:r>
        <w:rPr>
          <w:rFonts w:hint="eastAsia"/>
        </w:rPr>
        <w:t>(</w:t>
      </w:r>
      <w:proofErr w:type="spellStart"/>
      <w:r>
        <w:rPr>
          <w:rFonts w:hint="eastAsia"/>
        </w:rPr>
        <w:t>CED</w:t>
      </w:r>
      <w:proofErr w:type="spellEnd"/>
      <w:r>
        <w:rPr>
          <w:rFonts w:hint="eastAsia"/>
        </w:rPr>
        <w:t>/C/2)</w:t>
      </w:r>
      <w:r>
        <w:rPr>
          <w:rFonts w:hint="eastAsia"/>
        </w:rPr>
        <w:t>第</w:t>
      </w:r>
      <w:r>
        <w:rPr>
          <w:rFonts w:hint="eastAsia"/>
        </w:rPr>
        <w:t>39</w:t>
      </w:r>
      <w:r>
        <w:rPr>
          <w:rFonts w:hint="eastAsia"/>
        </w:rPr>
        <w:t>段编写的文件中，就委员会所有建议的落实情况提供具体的最新信息，并提供《公约》所载各项义务履行情况的任何其他新信息。委员会鼓励缔约国推动并促进民间社会参与上述信息的编写工作。</w:t>
      </w:r>
    </w:p>
    <w:p w:rsidR="00BA6516" w:rsidRPr="002D6A9C" w:rsidRDefault="00BA651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A6516" w:rsidRPr="006E4875" w:rsidRDefault="00BA6516" w:rsidP="006E4875">
      <w:pPr>
        <w:pStyle w:val="SingleTxtGC"/>
      </w:pPr>
    </w:p>
    <w:sectPr w:rsidR="00BA6516" w:rsidRPr="006E4875"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195" w:rsidRPr="000D319F" w:rsidRDefault="00531195" w:rsidP="000D319F">
      <w:pPr>
        <w:pStyle w:val="ae"/>
        <w:spacing w:after="240"/>
        <w:ind w:left="907"/>
        <w:rPr>
          <w:rFonts w:asciiTheme="majorBidi" w:eastAsia="宋体" w:hAnsiTheme="majorBidi" w:cstheme="majorBidi"/>
          <w:sz w:val="21"/>
          <w:szCs w:val="21"/>
          <w:lang w:val="en-US"/>
        </w:rPr>
      </w:pPr>
    </w:p>
    <w:p w:rsidR="00531195" w:rsidRPr="000D319F" w:rsidRDefault="00531195"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31195" w:rsidRPr="000D319F" w:rsidRDefault="00531195" w:rsidP="000D319F">
      <w:pPr>
        <w:pStyle w:val="ae"/>
      </w:pPr>
    </w:p>
  </w:endnote>
  <w:endnote w:type="continuationNotice" w:id="1">
    <w:p w:rsidR="00531195" w:rsidRDefault="005311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05A3D" w:rsidRDefault="00505A3D" w:rsidP="00505A3D">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69597D">
      <w:rPr>
        <w:rStyle w:val="af"/>
        <w:noProof/>
      </w:rPr>
      <w:t>8</w:t>
    </w:r>
    <w:r>
      <w:rPr>
        <w:rStyle w:val="af"/>
      </w:rPr>
      <w:fldChar w:fldCharType="end"/>
    </w:r>
    <w:r>
      <w:rPr>
        <w:rStyle w:val="af"/>
      </w:rPr>
      <w:tab/>
    </w:r>
    <w:proofErr w:type="spellStart"/>
    <w:r w:rsidRPr="00505A3D">
      <w:rPr>
        <w:rStyle w:val="af"/>
        <w:b w:val="0"/>
        <w:snapToGrid w:val="0"/>
        <w:sz w:val="16"/>
      </w:rPr>
      <w:t>GE.16</w:t>
    </w:r>
    <w:proofErr w:type="spellEnd"/>
    <w:r w:rsidRPr="00505A3D">
      <w:rPr>
        <w:rStyle w:val="af"/>
        <w:b w:val="0"/>
        <w:snapToGrid w:val="0"/>
        <w:sz w:val="16"/>
      </w:rPr>
      <w:t>-08121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05A3D" w:rsidRDefault="00505A3D" w:rsidP="00505A3D">
    <w:pPr>
      <w:pStyle w:val="ae"/>
      <w:tabs>
        <w:tab w:val="clear" w:pos="431"/>
        <w:tab w:val="right" w:pos="9638"/>
      </w:tabs>
      <w:rPr>
        <w:rStyle w:val="af"/>
      </w:rPr>
    </w:pPr>
    <w:proofErr w:type="spellStart"/>
    <w:r>
      <w:t>GE.16</w:t>
    </w:r>
    <w:proofErr w:type="spellEnd"/>
    <w:r>
      <w:t>-08121</w:t>
    </w:r>
    <w:r>
      <w:tab/>
    </w:r>
    <w:r>
      <w:rPr>
        <w:rStyle w:val="af"/>
      </w:rPr>
      <w:fldChar w:fldCharType="begin"/>
    </w:r>
    <w:r>
      <w:rPr>
        <w:rStyle w:val="af"/>
      </w:rPr>
      <w:instrText xml:space="preserve"> PAGE  \* MERGEFORMAT </w:instrText>
    </w:r>
    <w:r>
      <w:rPr>
        <w:rStyle w:val="af"/>
      </w:rPr>
      <w:fldChar w:fldCharType="separate"/>
    </w:r>
    <w:r w:rsidR="0069597D">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66071" w:rsidRDefault="00505A3D" w:rsidP="00505A3D">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-08121</w:t>
    </w:r>
    <w:r w:rsidR="00731A42" w:rsidRPr="00EE277A">
      <w:rPr>
        <w:sz w:val="20"/>
        <w:lang w:eastAsia="zh-CN"/>
      </w:rPr>
      <w:t xml:space="preserve"> (C)</w:t>
    </w:r>
    <w:r w:rsidR="00466071">
      <w:rPr>
        <w:sz w:val="20"/>
        <w:lang w:eastAsia="zh-CN"/>
      </w:rPr>
      <w:tab/>
    </w:r>
    <w:r>
      <w:rPr>
        <w:sz w:val="20"/>
        <w:lang w:eastAsia="zh-CN"/>
      </w:rPr>
      <w:t>27</w:t>
    </w:r>
    <w:r w:rsidR="00466071">
      <w:rPr>
        <w:sz w:val="20"/>
        <w:lang w:eastAsia="zh-CN"/>
      </w:rPr>
      <w:t>0</w:t>
    </w:r>
    <w:r>
      <w:rPr>
        <w:sz w:val="20"/>
        <w:lang w:eastAsia="zh-CN"/>
      </w:rPr>
      <w:t>7</w:t>
    </w:r>
    <w:r w:rsidR="00466071">
      <w:rPr>
        <w:sz w:val="20"/>
        <w:lang w:eastAsia="zh-CN"/>
      </w:rPr>
      <w:t>1</w:t>
    </w:r>
    <w:r w:rsidR="00953301">
      <w:rPr>
        <w:rFonts w:eastAsiaTheme="minorEastAsia" w:hint="eastAsia"/>
        <w:sz w:val="20"/>
        <w:lang w:eastAsia="zh-CN"/>
      </w:rPr>
      <w:t>6</w:t>
    </w:r>
    <w:r w:rsidR="00731A42">
      <w:rPr>
        <w:sz w:val="20"/>
        <w:lang w:eastAsia="zh-CN"/>
      </w:rPr>
      <w:tab/>
    </w:r>
    <w:r w:rsidR="00731A42" w:rsidRPr="00EE277A">
      <w:rPr>
        <w:sz w:val="20"/>
        <w:lang w:eastAsia="zh-CN"/>
      </w:rPr>
      <w:t>0</w:t>
    </w:r>
    <w:r>
      <w:rPr>
        <w:sz w:val="20"/>
        <w:lang w:eastAsia="zh-CN"/>
      </w:rPr>
      <w:t>3</w:t>
    </w:r>
    <w:r w:rsidR="00731A42">
      <w:rPr>
        <w:sz w:val="20"/>
        <w:lang w:eastAsia="zh-CN"/>
      </w:rPr>
      <w:t>0</w:t>
    </w:r>
    <w:r>
      <w:rPr>
        <w:sz w:val="20"/>
        <w:lang w:eastAsia="zh-CN"/>
      </w:rPr>
      <w:t>8</w:t>
    </w:r>
    <w:r w:rsidR="00731A42">
      <w:rPr>
        <w:sz w:val="20"/>
        <w:lang w:eastAsia="zh-CN"/>
      </w:rPr>
      <w:t>1</w:t>
    </w:r>
    <w:r w:rsidR="00953301">
      <w:rPr>
        <w:rFonts w:eastAsiaTheme="minorEastAsia" w:hint="eastAsia"/>
        <w:sz w:val="20"/>
        <w:lang w:eastAsia="zh-CN"/>
      </w:rPr>
      <w:t>6</w:t>
    </w:r>
  </w:p>
  <w:p w:rsidR="00056632" w:rsidRPr="00487939" w:rsidRDefault="00505A3D"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ED/C/BFA/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BFA/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713B3FD9" wp14:editId="090D5A1A">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195" w:rsidRPr="000157B1" w:rsidRDefault="0053119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31195" w:rsidRPr="000157B1" w:rsidRDefault="0053119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31195" w:rsidRDefault="00531195"/>
  </w:footnote>
  <w:footnote w:id="2">
    <w:p w:rsidR="00681375" w:rsidRPr="006E4875" w:rsidRDefault="00681375" w:rsidP="00681375">
      <w:pPr>
        <w:pStyle w:val="a6"/>
      </w:pPr>
      <w:r w:rsidRPr="006E4875">
        <w:rPr>
          <w:rStyle w:val="a7"/>
          <w:rFonts w:eastAsia="宋体"/>
          <w:sz w:val="18"/>
          <w:vertAlign w:val="baseline"/>
        </w:rPr>
        <w:tab/>
        <w:t>*</w:t>
      </w:r>
      <w:r w:rsidRPr="006E4875">
        <w:rPr>
          <w:rStyle w:val="a7"/>
          <w:rFonts w:eastAsia="宋体"/>
          <w:sz w:val="18"/>
          <w:vertAlign w:val="baseline"/>
        </w:rPr>
        <w:tab/>
      </w:r>
      <w:r w:rsidRPr="006E4875">
        <w:rPr>
          <w:rFonts w:hint="eastAsia"/>
        </w:rPr>
        <w:t>委员会第十届会议</w:t>
      </w:r>
      <w:r w:rsidR="006E4875">
        <w:rPr>
          <w:rFonts w:hint="eastAsia"/>
        </w:rPr>
        <w:t>(</w:t>
      </w:r>
      <w:r w:rsidRPr="006E4875">
        <w:rPr>
          <w:rFonts w:hint="eastAsia"/>
        </w:rPr>
        <w:t>2016</w:t>
      </w:r>
      <w:r w:rsidRPr="006E4875">
        <w:rPr>
          <w:rFonts w:hint="eastAsia"/>
        </w:rPr>
        <w:t>年</w:t>
      </w:r>
      <w:r w:rsidRPr="006E4875">
        <w:rPr>
          <w:rFonts w:hint="eastAsia"/>
        </w:rPr>
        <w:t>3</w:t>
      </w:r>
      <w:r w:rsidRPr="006E4875">
        <w:rPr>
          <w:rFonts w:hint="eastAsia"/>
        </w:rPr>
        <w:t>月</w:t>
      </w:r>
      <w:r w:rsidRPr="006E4875">
        <w:rPr>
          <w:rFonts w:hint="eastAsia"/>
        </w:rPr>
        <w:t>7</w:t>
      </w:r>
      <w:r w:rsidRPr="006E4875">
        <w:rPr>
          <w:rFonts w:hint="eastAsia"/>
        </w:rPr>
        <w:t>日至</w:t>
      </w:r>
      <w:r w:rsidRPr="006E4875">
        <w:rPr>
          <w:rFonts w:hint="eastAsia"/>
        </w:rPr>
        <w:t>18</w:t>
      </w:r>
      <w:r w:rsidRPr="006E4875">
        <w:rPr>
          <w:rFonts w:hint="eastAsia"/>
        </w:rPr>
        <w:t>日</w:t>
      </w:r>
      <w:r w:rsidR="006E4875">
        <w:rPr>
          <w:rFonts w:hint="eastAsia"/>
        </w:rPr>
        <w:t>)</w:t>
      </w:r>
      <w:r w:rsidRPr="006E4875">
        <w:rPr>
          <w:rFonts w:hint="eastAsia"/>
        </w:rPr>
        <w:t>上通过。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505A3D" w:rsidP="00505A3D">
    <w:pPr>
      <w:pStyle w:val="af0"/>
    </w:pPr>
    <w:proofErr w:type="spellStart"/>
    <w:r>
      <w:t>CED</w:t>
    </w:r>
    <w:proofErr w:type="spellEnd"/>
    <w:r>
      <w:t>/C/</w:t>
    </w:r>
    <w:proofErr w:type="spellStart"/>
    <w:r>
      <w:t>BFA</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505A3D" w:rsidP="00505A3D">
    <w:pPr>
      <w:pStyle w:val="af0"/>
      <w:jc w:val="right"/>
    </w:pPr>
    <w:proofErr w:type="spellStart"/>
    <w:r>
      <w:t>CED</w:t>
    </w:r>
    <w:proofErr w:type="spellEnd"/>
    <w:r>
      <w:t>/C/</w:t>
    </w:r>
    <w:proofErr w:type="spellStart"/>
    <w:r>
      <w:t>BFA</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195"/>
    <w:rsid w:val="00011483"/>
    <w:rsid w:val="00056CA9"/>
    <w:rsid w:val="00057884"/>
    <w:rsid w:val="00065868"/>
    <w:rsid w:val="00083A65"/>
    <w:rsid w:val="000D319F"/>
    <w:rsid w:val="000E4D0E"/>
    <w:rsid w:val="00110488"/>
    <w:rsid w:val="0012373F"/>
    <w:rsid w:val="00144B69"/>
    <w:rsid w:val="00153E86"/>
    <w:rsid w:val="001A108D"/>
    <w:rsid w:val="001B1BD1"/>
    <w:rsid w:val="001C3EF2"/>
    <w:rsid w:val="001D17F6"/>
    <w:rsid w:val="00204B42"/>
    <w:rsid w:val="0021265F"/>
    <w:rsid w:val="002231C3"/>
    <w:rsid w:val="0024417F"/>
    <w:rsid w:val="00250F8D"/>
    <w:rsid w:val="0028568D"/>
    <w:rsid w:val="002E1C97"/>
    <w:rsid w:val="002F5834"/>
    <w:rsid w:val="003006AB"/>
    <w:rsid w:val="00326EBF"/>
    <w:rsid w:val="00327FE4"/>
    <w:rsid w:val="0038144D"/>
    <w:rsid w:val="0038543F"/>
    <w:rsid w:val="003C4DDD"/>
    <w:rsid w:val="003D3D12"/>
    <w:rsid w:val="003E21DB"/>
    <w:rsid w:val="00407319"/>
    <w:rsid w:val="00427F63"/>
    <w:rsid w:val="00434D38"/>
    <w:rsid w:val="00447E9A"/>
    <w:rsid w:val="00466071"/>
    <w:rsid w:val="00494EB8"/>
    <w:rsid w:val="004C4A0A"/>
    <w:rsid w:val="004C55F0"/>
    <w:rsid w:val="00501220"/>
    <w:rsid w:val="00505A3D"/>
    <w:rsid w:val="00526268"/>
    <w:rsid w:val="00531195"/>
    <w:rsid w:val="005371EC"/>
    <w:rsid w:val="005B05F0"/>
    <w:rsid w:val="005E2415"/>
    <w:rsid w:val="005E403A"/>
    <w:rsid w:val="00644B51"/>
    <w:rsid w:val="00680656"/>
    <w:rsid w:val="00681375"/>
    <w:rsid w:val="00683F1B"/>
    <w:rsid w:val="00693734"/>
    <w:rsid w:val="0069597D"/>
    <w:rsid w:val="006B1119"/>
    <w:rsid w:val="006E3E46"/>
    <w:rsid w:val="006E4875"/>
    <w:rsid w:val="006E71B1"/>
    <w:rsid w:val="006F1404"/>
    <w:rsid w:val="0070593B"/>
    <w:rsid w:val="00705D89"/>
    <w:rsid w:val="00731A42"/>
    <w:rsid w:val="00743016"/>
    <w:rsid w:val="00767E69"/>
    <w:rsid w:val="0077079A"/>
    <w:rsid w:val="0078459C"/>
    <w:rsid w:val="00790E66"/>
    <w:rsid w:val="007A5599"/>
    <w:rsid w:val="007F3C32"/>
    <w:rsid w:val="00843966"/>
    <w:rsid w:val="00856233"/>
    <w:rsid w:val="00860F27"/>
    <w:rsid w:val="008B0560"/>
    <w:rsid w:val="008B2BFA"/>
    <w:rsid w:val="008D012C"/>
    <w:rsid w:val="008D2E97"/>
    <w:rsid w:val="008E6A3F"/>
    <w:rsid w:val="00923557"/>
    <w:rsid w:val="00936F03"/>
    <w:rsid w:val="00943B69"/>
    <w:rsid w:val="00944CB3"/>
    <w:rsid w:val="00953301"/>
    <w:rsid w:val="00986624"/>
    <w:rsid w:val="009A6143"/>
    <w:rsid w:val="009A7493"/>
    <w:rsid w:val="009B09D7"/>
    <w:rsid w:val="009D2473"/>
    <w:rsid w:val="009D35ED"/>
    <w:rsid w:val="009E356A"/>
    <w:rsid w:val="00A0008A"/>
    <w:rsid w:val="00A03CB6"/>
    <w:rsid w:val="00A1364C"/>
    <w:rsid w:val="00A21076"/>
    <w:rsid w:val="00A3739A"/>
    <w:rsid w:val="00A52DAF"/>
    <w:rsid w:val="00A738C2"/>
    <w:rsid w:val="00A84072"/>
    <w:rsid w:val="00A862E4"/>
    <w:rsid w:val="00B10A7F"/>
    <w:rsid w:val="00B16570"/>
    <w:rsid w:val="00B23B03"/>
    <w:rsid w:val="00B3349C"/>
    <w:rsid w:val="00B359E7"/>
    <w:rsid w:val="00B43EB7"/>
    <w:rsid w:val="00B53320"/>
    <w:rsid w:val="00BA6516"/>
    <w:rsid w:val="00BC6522"/>
    <w:rsid w:val="00BE27F1"/>
    <w:rsid w:val="00BF11B7"/>
    <w:rsid w:val="00C121D5"/>
    <w:rsid w:val="00C17349"/>
    <w:rsid w:val="00C351AA"/>
    <w:rsid w:val="00C7253F"/>
    <w:rsid w:val="00C77E86"/>
    <w:rsid w:val="00C90707"/>
    <w:rsid w:val="00C909C9"/>
    <w:rsid w:val="00CA54A7"/>
    <w:rsid w:val="00CA796F"/>
    <w:rsid w:val="00CC30D4"/>
    <w:rsid w:val="00D26A05"/>
    <w:rsid w:val="00D674A2"/>
    <w:rsid w:val="00D81793"/>
    <w:rsid w:val="00D97B98"/>
    <w:rsid w:val="00DC671F"/>
    <w:rsid w:val="00DE4DA7"/>
    <w:rsid w:val="00E33B38"/>
    <w:rsid w:val="00E45DBE"/>
    <w:rsid w:val="00E47FE5"/>
    <w:rsid w:val="00E550BF"/>
    <w:rsid w:val="00E574AF"/>
    <w:rsid w:val="00E65C08"/>
    <w:rsid w:val="00E84276"/>
    <w:rsid w:val="00EA7FE0"/>
    <w:rsid w:val="00ED67CF"/>
    <w:rsid w:val="00F24E6D"/>
    <w:rsid w:val="00F31BEC"/>
    <w:rsid w:val="00F63714"/>
    <w:rsid w:val="00F714DA"/>
    <w:rsid w:val="00F73632"/>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743016"/>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A7FE0"/>
    <w:pPr>
      <w:keepLines w:val="0"/>
      <w:spacing w:after="0"/>
    </w:pPr>
  </w:style>
  <w:style w:type="character" w:customStyle="1" w:styleId="Char0">
    <w:name w:val="尾注文本 Char"/>
    <w:basedOn w:val="a0"/>
    <w:link w:val="ab"/>
    <w:rsid w:val="00EA7FE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743016"/>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A7FE0"/>
    <w:pPr>
      <w:keepLines w:val="0"/>
      <w:spacing w:after="0"/>
    </w:pPr>
  </w:style>
  <w:style w:type="character" w:customStyle="1" w:styleId="Char0">
    <w:name w:val="尾注文本 Char"/>
    <w:basedOn w:val="a0"/>
    <w:link w:val="ab"/>
    <w:rsid w:val="00EA7FE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A823C-4B0F-4D5F-BAAA-94374D780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6385</Words>
  <Characters>6681</Characters>
  <Application>Microsoft Office Word</Application>
  <DocSecurity>0</DocSecurity>
  <Lines>242</Lines>
  <Paragraphs>83</Paragraphs>
  <ScaleCrop>false</ScaleCrop>
  <Company>DCM</Company>
  <LinksUpToDate>false</LinksUpToDate>
  <CharactersWithSpaces>6797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1608121</dc:title>
  <dc:subject>CED/C/BFA/CO/1</dc:subject>
  <dc:creator>tian</dc:creator>
  <cp:keywords/>
  <dc:description/>
  <cp:lastModifiedBy>Tian H.</cp:lastModifiedBy>
  <cp:revision>2</cp:revision>
  <cp:lastPrinted>2014-05-09T11:28:00Z</cp:lastPrinted>
  <dcterms:created xsi:type="dcterms:W3CDTF">2016-08-03T15:31:00Z</dcterms:created>
  <dcterms:modified xsi:type="dcterms:W3CDTF">2016-08-03T15:31:00Z</dcterms:modified>
</cp:coreProperties>
</file>