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7166222" w14:textId="77777777" w:rsidTr="00C7249D">
        <w:trPr>
          <w:trHeight w:hRule="exact" w:val="851"/>
        </w:trPr>
        <w:tc>
          <w:tcPr>
            <w:tcW w:w="1280" w:type="dxa"/>
            <w:tcBorders>
              <w:bottom w:val="single" w:sz="4" w:space="0" w:color="auto"/>
            </w:tcBorders>
          </w:tcPr>
          <w:p w14:paraId="6FE88AC9" w14:textId="77777777" w:rsidR="002D5AAC" w:rsidRPr="001359DC" w:rsidRDefault="002D5AAC" w:rsidP="009D43D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72135E8"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01DECE8" w14:textId="6081F48D" w:rsidR="002D5AAC" w:rsidRPr="001359DC" w:rsidRDefault="009D43DE" w:rsidP="009D43DE">
            <w:pPr>
              <w:jc w:val="right"/>
              <w:rPr>
                <w:lang w:val="es-ES"/>
              </w:rPr>
            </w:pPr>
            <w:r w:rsidRPr="009D43DE">
              <w:rPr>
                <w:sz w:val="40"/>
                <w:lang w:val="es-ES"/>
              </w:rPr>
              <w:t>A</w:t>
            </w:r>
            <w:r>
              <w:rPr>
                <w:lang w:val="es-ES"/>
              </w:rPr>
              <w:t>/HRC/RES/53/2</w:t>
            </w:r>
          </w:p>
        </w:tc>
      </w:tr>
      <w:tr w:rsidR="002D5AAC" w:rsidRPr="001359DC" w14:paraId="46B6C961" w14:textId="77777777" w:rsidTr="00C7249D">
        <w:trPr>
          <w:trHeight w:hRule="exact" w:val="2835"/>
        </w:trPr>
        <w:tc>
          <w:tcPr>
            <w:tcW w:w="1280" w:type="dxa"/>
            <w:tcBorders>
              <w:top w:val="single" w:sz="4" w:space="0" w:color="auto"/>
              <w:bottom w:val="single" w:sz="12" w:space="0" w:color="auto"/>
            </w:tcBorders>
          </w:tcPr>
          <w:p w14:paraId="30BFBB19" w14:textId="77777777" w:rsidR="002D5AAC" w:rsidRPr="001359DC" w:rsidRDefault="002E5067" w:rsidP="0008244E">
            <w:pPr>
              <w:spacing w:before="120"/>
              <w:jc w:val="center"/>
              <w:rPr>
                <w:lang w:val="es-ES"/>
              </w:rPr>
            </w:pPr>
            <w:r w:rsidRPr="001359DC">
              <w:rPr>
                <w:noProof/>
              </w:rPr>
              <w:drawing>
                <wp:inline distT="0" distB="0" distL="0" distR="0" wp14:anchorId="74A32D2A" wp14:editId="3308ACB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797497"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E93CE53" w14:textId="77777777" w:rsidR="002D5AAC" w:rsidRDefault="009D43DE" w:rsidP="0008244E">
            <w:pPr>
              <w:spacing w:before="240"/>
              <w:rPr>
                <w:lang w:val="es-ES"/>
              </w:rPr>
            </w:pPr>
            <w:r>
              <w:rPr>
                <w:lang w:val="es-ES"/>
              </w:rPr>
              <w:t>Distr. general</w:t>
            </w:r>
          </w:p>
          <w:p w14:paraId="69D5C672" w14:textId="38221164" w:rsidR="009D43DE" w:rsidRDefault="00C7249D" w:rsidP="009D43DE">
            <w:pPr>
              <w:spacing w:line="240" w:lineRule="exact"/>
              <w:rPr>
                <w:lang w:val="es-ES"/>
              </w:rPr>
            </w:pPr>
            <w:r>
              <w:rPr>
                <w:lang w:val="es-ES"/>
              </w:rPr>
              <w:t xml:space="preserve">20 </w:t>
            </w:r>
            <w:r w:rsidR="009D43DE">
              <w:rPr>
                <w:lang w:val="es-ES"/>
              </w:rPr>
              <w:t>de julio de 2023</w:t>
            </w:r>
          </w:p>
          <w:p w14:paraId="32758D86" w14:textId="77777777" w:rsidR="009D43DE" w:rsidRDefault="009D43DE" w:rsidP="009D43DE">
            <w:pPr>
              <w:spacing w:line="240" w:lineRule="exact"/>
              <w:rPr>
                <w:lang w:val="es-ES"/>
              </w:rPr>
            </w:pPr>
            <w:r>
              <w:rPr>
                <w:lang w:val="es-ES"/>
              </w:rPr>
              <w:t>Español</w:t>
            </w:r>
          </w:p>
          <w:p w14:paraId="3C7A9BC6" w14:textId="71A803D1" w:rsidR="009D43DE" w:rsidRPr="001359DC" w:rsidRDefault="009D43DE" w:rsidP="009D43DE">
            <w:pPr>
              <w:spacing w:line="240" w:lineRule="exact"/>
              <w:rPr>
                <w:lang w:val="es-ES"/>
              </w:rPr>
            </w:pPr>
            <w:r>
              <w:rPr>
                <w:lang w:val="es-ES"/>
              </w:rPr>
              <w:t>Original: inglés</w:t>
            </w:r>
          </w:p>
        </w:tc>
      </w:tr>
    </w:tbl>
    <w:p w14:paraId="24FC41CE" w14:textId="77777777" w:rsidR="00C7249D" w:rsidRPr="00C7249D" w:rsidRDefault="00C7249D" w:rsidP="00C7249D">
      <w:pPr>
        <w:spacing w:before="120"/>
        <w:rPr>
          <w:b/>
          <w:bCs/>
          <w:sz w:val="24"/>
          <w:szCs w:val="24"/>
          <w:lang w:val="en-GB"/>
        </w:rPr>
      </w:pPr>
      <w:r w:rsidRPr="00C7249D">
        <w:rPr>
          <w:b/>
          <w:bCs/>
          <w:sz w:val="24"/>
          <w:szCs w:val="24"/>
        </w:rPr>
        <w:t>Consejo de Derechos Humanos</w:t>
      </w:r>
    </w:p>
    <w:p w14:paraId="7C75318E" w14:textId="77777777" w:rsidR="00C7249D" w:rsidRPr="00C7249D" w:rsidRDefault="00C7249D" w:rsidP="00C7249D">
      <w:pPr>
        <w:rPr>
          <w:b/>
          <w:bCs/>
          <w:lang w:val="en-GB"/>
        </w:rPr>
      </w:pPr>
      <w:r w:rsidRPr="00C7249D">
        <w:rPr>
          <w:b/>
          <w:bCs/>
        </w:rPr>
        <w:t>53</w:t>
      </w:r>
      <w:r w:rsidRPr="00C7249D">
        <w:rPr>
          <w:b/>
          <w:bCs/>
          <w:vertAlign w:val="superscript"/>
        </w:rPr>
        <w:t>er</w:t>
      </w:r>
      <w:r w:rsidRPr="00C7249D">
        <w:rPr>
          <w:b/>
          <w:bCs/>
        </w:rPr>
        <w:t xml:space="preserve"> período de sesiones</w:t>
      </w:r>
    </w:p>
    <w:p w14:paraId="36FB1DDB" w14:textId="77777777" w:rsidR="00C7249D" w:rsidRPr="00C7249D" w:rsidRDefault="00C7249D" w:rsidP="00C7249D">
      <w:r w:rsidRPr="00C7249D">
        <w:t>19 de junio a 14 de julio de 2023</w:t>
      </w:r>
    </w:p>
    <w:p w14:paraId="5AB52B68" w14:textId="77777777" w:rsidR="00C7249D" w:rsidRPr="00C7249D" w:rsidRDefault="00C7249D" w:rsidP="00C7249D">
      <w:r w:rsidRPr="00C7249D">
        <w:t>Tema 2 de la agenda</w:t>
      </w:r>
    </w:p>
    <w:p w14:paraId="734F0E3E" w14:textId="77777777" w:rsidR="00C7249D" w:rsidRPr="00C7249D" w:rsidRDefault="00C7249D" w:rsidP="00C7249D">
      <w:pPr>
        <w:rPr>
          <w:b/>
          <w:bCs/>
        </w:rPr>
      </w:pPr>
      <w:r w:rsidRPr="00C7249D">
        <w:rPr>
          <w:b/>
          <w:bCs/>
        </w:rPr>
        <w:t>Informe anual del Alto Comisionado de las Naciones Unidas</w:t>
      </w:r>
      <w:r w:rsidRPr="00C7249D">
        <w:rPr>
          <w:b/>
          <w:bCs/>
        </w:rPr>
        <w:br/>
        <w:t>para los Derechos Humanos e informes de la Oficina del</w:t>
      </w:r>
      <w:r w:rsidRPr="00C7249D">
        <w:rPr>
          <w:b/>
          <w:bCs/>
        </w:rPr>
        <w:br/>
        <w:t>Alto Comisionado y del Secretario General</w:t>
      </w:r>
    </w:p>
    <w:p w14:paraId="3AE25C15" w14:textId="3432B91E" w:rsidR="00C7249D" w:rsidRPr="00C7249D" w:rsidRDefault="00C7249D" w:rsidP="00C7249D">
      <w:pPr>
        <w:pStyle w:val="HChG"/>
      </w:pPr>
      <w:r w:rsidRPr="00C7249D">
        <w:tab/>
      </w:r>
      <w:r>
        <w:tab/>
      </w:r>
      <w:r w:rsidRPr="00C7249D">
        <w:t xml:space="preserve">Resolución aprobada por el Consejo de Derechos Humanos </w:t>
      </w:r>
      <w:r>
        <w:br/>
      </w:r>
      <w:r w:rsidRPr="00C7249D">
        <w:t>el 12 de julio de 2023</w:t>
      </w:r>
    </w:p>
    <w:p w14:paraId="18F35957" w14:textId="2683C9DA" w:rsidR="00C7249D" w:rsidRPr="00C7249D" w:rsidRDefault="00C7249D" w:rsidP="00C7249D">
      <w:pPr>
        <w:pStyle w:val="H1G"/>
      </w:pPr>
      <w:r w:rsidRPr="00C7249D">
        <w:tab/>
        <w:t>53/2.</w:t>
      </w:r>
      <w:r>
        <w:tab/>
      </w:r>
      <w:r w:rsidRPr="00C7249D">
        <w:t>Situación de los derechos humanos en Eritrea</w:t>
      </w:r>
    </w:p>
    <w:p w14:paraId="4AB70B90" w14:textId="77777777" w:rsidR="00C7249D" w:rsidRPr="00C7249D" w:rsidRDefault="00C7249D" w:rsidP="00C7249D">
      <w:pPr>
        <w:pStyle w:val="SingleTxtG"/>
      </w:pPr>
      <w:r w:rsidRPr="00C7249D">
        <w:tab/>
      </w:r>
      <w:r w:rsidRPr="00C7249D">
        <w:rPr>
          <w:i/>
          <w:iCs/>
        </w:rPr>
        <w:t>El Consejo de Derechos Humanos</w:t>
      </w:r>
      <w:r w:rsidRPr="00C7249D">
        <w:t>,</w:t>
      </w:r>
    </w:p>
    <w:p w14:paraId="6B436C8D" w14:textId="77777777" w:rsidR="00C7249D" w:rsidRPr="00C7249D" w:rsidRDefault="00C7249D" w:rsidP="00C7249D">
      <w:pPr>
        <w:pStyle w:val="SingleTxtG"/>
      </w:pPr>
      <w:r w:rsidRPr="00C7249D">
        <w:tab/>
      </w:r>
      <w:r w:rsidRPr="00C7249D">
        <w:rPr>
          <w:i/>
          <w:iCs/>
        </w:rPr>
        <w:t>Guiado</w:t>
      </w:r>
      <w:r w:rsidRPr="00C7249D">
        <w:t xml:space="preserve"> por la Carta de las Naciones Unidas, la Declaración Universal de Derechos Humanos, los Pactos Internacionales de Derechos Humanos y otros instrumentos internacionales pertinentes de derechos humanos,</w:t>
      </w:r>
    </w:p>
    <w:p w14:paraId="14A843E1" w14:textId="77777777" w:rsidR="00C7249D" w:rsidRPr="00C7249D" w:rsidRDefault="00C7249D" w:rsidP="00C7249D">
      <w:pPr>
        <w:pStyle w:val="SingleTxtG"/>
      </w:pPr>
      <w:r w:rsidRPr="00C7249D">
        <w:tab/>
      </w:r>
      <w:r w:rsidRPr="00C7249D">
        <w:rPr>
          <w:i/>
          <w:iCs/>
        </w:rPr>
        <w:t>Recordando</w:t>
      </w:r>
      <w:r w:rsidRPr="00C7249D">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bookmarkStart w:id="0" w:name="gjdgxs" w:colFirst="0" w:colLast="0"/>
      <w:bookmarkEnd w:id="0"/>
    </w:p>
    <w:p w14:paraId="1640BC86" w14:textId="77777777" w:rsidR="00C7249D" w:rsidRPr="00C7249D" w:rsidRDefault="00C7249D" w:rsidP="00C7249D">
      <w:pPr>
        <w:pStyle w:val="SingleTxtG"/>
      </w:pPr>
      <w:r w:rsidRPr="00C7249D">
        <w:tab/>
      </w:r>
      <w:r w:rsidRPr="00C7249D">
        <w:rPr>
          <w:i/>
          <w:iCs/>
        </w:rPr>
        <w:t>Observando</w:t>
      </w:r>
      <w:r w:rsidRPr="00C7249D">
        <w:t xml:space="preserve"> los acontecimientos acaecidos en la región y sus consecuencias, incluidas las repercusiones para los derechos humanos en Eritrea,</w:t>
      </w:r>
    </w:p>
    <w:p w14:paraId="4C8D137B" w14:textId="77777777" w:rsidR="00C7249D" w:rsidRPr="00C7249D" w:rsidRDefault="00C7249D" w:rsidP="00C7249D">
      <w:pPr>
        <w:pStyle w:val="SingleTxtG"/>
      </w:pPr>
      <w:r w:rsidRPr="00C7249D">
        <w:tab/>
      </w:r>
      <w:r w:rsidRPr="00C7249D">
        <w:rPr>
          <w:i/>
          <w:iCs/>
        </w:rPr>
        <w:t>Expresando gran preocupación</w:t>
      </w:r>
      <w:r w:rsidRPr="00C7249D">
        <w:t xml:space="preserve"> porque continúan las violaciones y abusos de los derechos humanos, como señala en su informe el Relator Especial sobre la situación de los derechos humanos en Eritrea</w:t>
      </w:r>
      <w:r w:rsidRPr="00C7249D">
        <w:rPr>
          <w:sz w:val="18"/>
          <w:szCs w:val="18"/>
          <w:vertAlign w:val="superscript"/>
        </w:rPr>
        <w:footnoteReference w:id="1"/>
      </w:r>
      <w:r w:rsidRPr="00C7249D">
        <w:t>, y que entrañan, entre otras cosas, detenciones y reclusión en régimen de incomunicación arbitrarias, desapariciones forzadas y torturas, y la vulneración de los derechos a la libertad de expresión, a la libertad de pensamiento, de conciencia y de religión o creencias y a la libertad de reunión y de asociación pacíficas,</w:t>
      </w:r>
    </w:p>
    <w:p w14:paraId="5B31355E" w14:textId="77777777" w:rsidR="00C7249D" w:rsidRPr="00C7249D" w:rsidRDefault="00C7249D" w:rsidP="00C7249D">
      <w:pPr>
        <w:pStyle w:val="SingleTxtG"/>
        <w:rPr>
          <w:iCs/>
        </w:rPr>
      </w:pPr>
      <w:r w:rsidRPr="00C7249D">
        <w:tab/>
      </w:r>
      <w:r w:rsidRPr="00C7249D">
        <w:rPr>
          <w:i/>
          <w:iCs/>
        </w:rPr>
        <w:t>Expresando gran preocupación también</w:t>
      </w:r>
      <w:r w:rsidRPr="00C7249D">
        <w:t xml:space="preserve"> por la política de conscripción forzada y por tiempo indeterminado en el servicio nacional/militar y por las graves violaciones de los derechos humanos cometidas en el marco del servicio nacional, </w:t>
      </w:r>
    </w:p>
    <w:p w14:paraId="09D92F45" w14:textId="77777777" w:rsidR="00C7249D" w:rsidRPr="00C7249D" w:rsidRDefault="00C7249D" w:rsidP="00C7249D">
      <w:pPr>
        <w:pStyle w:val="SingleTxtG"/>
        <w:rPr>
          <w:iCs/>
        </w:rPr>
      </w:pPr>
      <w:r w:rsidRPr="00C7249D">
        <w:tab/>
      </w:r>
      <w:r w:rsidRPr="00C7249D">
        <w:rPr>
          <w:i/>
          <w:iCs/>
        </w:rPr>
        <w:t>Expresando gran preocupación además</w:t>
      </w:r>
      <w:r w:rsidRPr="00C7249D">
        <w:t xml:space="preserve"> por la falta de transparencia y rendición de cuentas hasta la fecha por parte del Gobierno de Eritrea en relación con las denuncias de violaciones y abusos cometidos por las fuerzas militares eritreas, </w:t>
      </w:r>
    </w:p>
    <w:p w14:paraId="6BF70E8E" w14:textId="77777777" w:rsidR="00C7249D" w:rsidRPr="00C7249D" w:rsidRDefault="00C7249D" w:rsidP="00C7249D">
      <w:pPr>
        <w:pStyle w:val="SingleTxtG"/>
      </w:pPr>
      <w:r w:rsidRPr="00C7249D">
        <w:tab/>
        <w:t>1.</w:t>
      </w:r>
      <w:r w:rsidRPr="00C7249D">
        <w:tab/>
      </w:r>
      <w:r w:rsidRPr="00C7249D">
        <w:rPr>
          <w:i/>
          <w:iCs/>
        </w:rPr>
        <w:t>Acoge con beneplácito</w:t>
      </w:r>
      <w:r w:rsidRPr="00C7249D">
        <w:t xml:space="preserve"> el informe del Relator Especial sobre la situación de los derechos humanos en Eritrea</w:t>
      </w:r>
      <w:r w:rsidRPr="00C7249D">
        <w:rPr>
          <w:sz w:val="18"/>
          <w:szCs w:val="18"/>
          <w:vertAlign w:val="superscript"/>
        </w:rPr>
        <w:footnoteReference w:id="2"/>
      </w:r>
      <w:r w:rsidRPr="00C7249D">
        <w:t xml:space="preserve"> y las conclusiones que en él presenta, e insta al Gobierno de </w:t>
      </w:r>
      <w:r w:rsidRPr="00C7249D">
        <w:lastRenderedPageBreak/>
        <w:t xml:space="preserve">Eritrea a adoptar inmediatamente medidas concretas para aplicar todas las recomendaciones del Relator Especial; </w:t>
      </w:r>
    </w:p>
    <w:p w14:paraId="7FF64908" w14:textId="77777777" w:rsidR="00C7249D" w:rsidRPr="00C7249D" w:rsidRDefault="00C7249D" w:rsidP="00C7249D">
      <w:pPr>
        <w:pStyle w:val="SingleTxtG"/>
      </w:pPr>
      <w:r w:rsidRPr="00C7249D">
        <w:tab/>
        <w:t>2.</w:t>
      </w:r>
      <w:r w:rsidRPr="00C7249D">
        <w:tab/>
      </w:r>
      <w:r w:rsidRPr="00C7249D">
        <w:rPr>
          <w:i/>
          <w:iCs/>
        </w:rPr>
        <w:t>Reitera</w:t>
      </w:r>
      <w:r w:rsidRPr="00C7249D">
        <w:t xml:space="preserve"> que todos los responsables de violaciones y abusos de los derechos humanos deben responder por sus actos; </w:t>
      </w:r>
    </w:p>
    <w:p w14:paraId="265CA408" w14:textId="77777777" w:rsidR="00C7249D" w:rsidRPr="00C7249D" w:rsidRDefault="00C7249D" w:rsidP="00C7249D">
      <w:pPr>
        <w:pStyle w:val="SingleTxtG"/>
      </w:pPr>
      <w:r w:rsidRPr="00C7249D">
        <w:tab/>
        <w:t>3.</w:t>
      </w:r>
      <w:r w:rsidRPr="00C7249D">
        <w:tab/>
      </w:r>
      <w:r w:rsidRPr="00C7249D">
        <w:rPr>
          <w:i/>
          <w:iCs/>
        </w:rPr>
        <w:t>Decide</w:t>
      </w:r>
      <w:r w:rsidRPr="00C7249D">
        <w:t xml:space="preserve"> prorrogar el mandato del Relator Especial sobre la situación de los derechos humanos en Eritrea por un nuevo período de un año;</w:t>
      </w:r>
    </w:p>
    <w:p w14:paraId="4B0D7E94" w14:textId="77777777" w:rsidR="00C7249D" w:rsidRPr="00C7249D" w:rsidRDefault="00C7249D" w:rsidP="00C7249D">
      <w:pPr>
        <w:pStyle w:val="SingleTxtG"/>
      </w:pPr>
      <w:r w:rsidRPr="00C7249D">
        <w:tab/>
        <w:t>4.</w:t>
      </w:r>
      <w:r w:rsidRPr="00C7249D">
        <w:tab/>
      </w:r>
      <w:r w:rsidRPr="00C7249D">
        <w:rPr>
          <w:i/>
          <w:iCs/>
        </w:rPr>
        <w:t>Solicita</w:t>
      </w:r>
      <w:r w:rsidRPr="00C7249D">
        <w:t xml:space="preserve"> al Relator Especial que presente un informe al Consejo de Derechos Humanos en su 56º período de sesiones y a la Asamblea General en su septuagésimo octavo período de sesiones;</w:t>
      </w:r>
    </w:p>
    <w:p w14:paraId="5FBDCC08" w14:textId="77777777" w:rsidR="00C7249D" w:rsidRPr="00C7249D" w:rsidRDefault="00C7249D" w:rsidP="00C7249D">
      <w:pPr>
        <w:pStyle w:val="SingleTxtG"/>
      </w:pPr>
      <w:r w:rsidRPr="00C7249D">
        <w:tab/>
        <w:t>5.</w:t>
      </w:r>
      <w:r w:rsidRPr="00C7249D">
        <w:tab/>
      </w:r>
      <w:r w:rsidRPr="00C7249D">
        <w:rPr>
          <w:i/>
          <w:iCs/>
        </w:rPr>
        <w:t>Decide</w:t>
      </w:r>
      <w:r w:rsidRPr="00C7249D">
        <w:t xml:space="preserve"> celebrar un diálogo interactivo ampliado sobre la situación de los derechos humanos en Eritrea en su 55º período de sesiones, con la participación, entre otros, del Relator Especial, la Oficina del Alto Comisionado de las Naciones Unidas para los Derechos Humanos, la sociedad civil y otras partes interesadas;</w:t>
      </w:r>
    </w:p>
    <w:p w14:paraId="0F4927B3" w14:textId="77777777" w:rsidR="00C7249D" w:rsidRPr="00C7249D" w:rsidRDefault="00C7249D" w:rsidP="00C7249D">
      <w:pPr>
        <w:pStyle w:val="SingleTxtG"/>
      </w:pPr>
      <w:r w:rsidRPr="00C7249D">
        <w:tab/>
        <w:t>6.</w:t>
      </w:r>
      <w:r w:rsidRPr="00C7249D">
        <w:tab/>
      </w:r>
      <w:r w:rsidRPr="00C7249D">
        <w:rPr>
          <w:i/>
          <w:iCs/>
        </w:rPr>
        <w:t>Exhorta</w:t>
      </w:r>
      <w:r w:rsidRPr="00C7249D">
        <w:t xml:space="preserve"> al Gobierno de Eritrea a cooperar plenamente con el Consejo de Derechos Humanos y sus mecanismos, en particular el Relator Especial, entre otras formas permitiéndole acceder al país y comprometiéndose a realizar progresos en relación con las recomendaciones incluidas en sus informes y con los parámetros e indicadores asociados propuestos en 2019</w:t>
      </w:r>
      <w:r w:rsidRPr="00C7249D">
        <w:rPr>
          <w:sz w:val="18"/>
          <w:szCs w:val="18"/>
          <w:vertAlign w:val="superscript"/>
        </w:rPr>
        <w:footnoteReference w:id="3"/>
      </w:r>
      <w:r w:rsidRPr="00C7249D">
        <w:t>, a saber:</w:t>
      </w:r>
    </w:p>
    <w:p w14:paraId="0484BAE0" w14:textId="77777777" w:rsidR="00C7249D" w:rsidRPr="00C7249D" w:rsidRDefault="00C7249D" w:rsidP="00C7249D">
      <w:pPr>
        <w:pStyle w:val="SingleTxtG"/>
      </w:pPr>
      <w:r w:rsidRPr="00C7249D">
        <w:tab/>
        <w:t>a)</w:t>
      </w:r>
      <w:r w:rsidRPr="00C7249D">
        <w:tab/>
        <w:t>Avances en la promoción del estado de derecho y el fortalecimiento de las instituciones nacionales de justicia y orden público;</w:t>
      </w:r>
    </w:p>
    <w:p w14:paraId="7301C35E" w14:textId="77777777" w:rsidR="00C7249D" w:rsidRPr="00C7249D" w:rsidRDefault="00C7249D" w:rsidP="00C7249D">
      <w:pPr>
        <w:pStyle w:val="SingleTxtG"/>
      </w:pPr>
      <w:r w:rsidRPr="00C7249D">
        <w:tab/>
        <w:t>b)</w:t>
      </w:r>
      <w:r w:rsidRPr="00C7249D">
        <w:tab/>
        <w:t>Compromiso claro de introducción de reformas en el servicio nacional/militar;</w:t>
      </w:r>
    </w:p>
    <w:p w14:paraId="25B0DC7E" w14:textId="77777777" w:rsidR="00C7249D" w:rsidRPr="00C7249D" w:rsidRDefault="00C7249D" w:rsidP="00C7249D">
      <w:pPr>
        <w:pStyle w:val="SingleTxtG"/>
      </w:pPr>
      <w:r w:rsidRPr="00C7249D">
        <w:tab/>
        <w:t>c)</w:t>
      </w:r>
      <w:r w:rsidRPr="00C7249D">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0D07A49E" w14:textId="77777777" w:rsidR="00C7249D" w:rsidRPr="00C7249D" w:rsidRDefault="00C7249D" w:rsidP="00C7249D">
      <w:pPr>
        <w:pStyle w:val="SingleTxtG"/>
      </w:pPr>
      <w:r w:rsidRPr="00C7249D">
        <w:tab/>
        <w:t>d)</w:t>
      </w:r>
      <w:r w:rsidRPr="00C7249D">
        <w:tab/>
        <w:t>Compromiso claro de hacer frente a todas las formas de violencia sexual y por razón de género y de promover los derechos de las mujeres y las niñas y la igualdad entre los géneros;</w:t>
      </w:r>
    </w:p>
    <w:p w14:paraId="794308E0" w14:textId="77777777" w:rsidR="00C7249D" w:rsidRPr="00C7249D" w:rsidRDefault="00C7249D" w:rsidP="00C7249D">
      <w:pPr>
        <w:pStyle w:val="SingleTxtG"/>
      </w:pPr>
      <w:r w:rsidRPr="00C7249D">
        <w:tab/>
        <w:t>e)</w:t>
      </w:r>
      <w:r w:rsidRPr="00C7249D">
        <w:tab/>
        <w:t>Fortalecimiento de la cooperación con los órganos especializados de derechos humanos de las Naciones Unidas, los organismos internacionales y la Comisión Africana de Derechos Humanos y de los Pueblos;</w:t>
      </w:r>
    </w:p>
    <w:p w14:paraId="1BB88485" w14:textId="77777777" w:rsidR="00C7249D" w:rsidRPr="00C7249D" w:rsidRDefault="00C7249D" w:rsidP="00C7249D">
      <w:pPr>
        <w:pStyle w:val="SingleTxtG"/>
      </w:pPr>
      <w:r w:rsidRPr="00C7249D">
        <w:tab/>
        <w:t>7.</w:t>
      </w:r>
      <w:r w:rsidRPr="00C7249D">
        <w:tab/>
      </w:r>
      <w:r w:rsidRPr="00C7249D">
        <w:rPr>
          <w:i/>
          <w:iCs/>
        </w:rPr>
        <w:t>Alienta</w:t>
      </w:r>
      <w:r w:rsidRPr="00C7249D">
        <w:t xml:space="preserve"> al Gobierno de Eritrea a aplicar las recomendaciones aceptadas por el Estado durante el tercer ciclo del examen periódico universal;</w:t>
      </w:r>
    </w:p>
    <w:p w14:paraId="10C0A1A2" w14:textId="77777777" w:rsidR="00C7249D" w:rsidRPr="00C7249D" w:rsidRDefault="00C7249D" w:rsidP="00C7249D">
      <w:pPr>
        <w:pStyle w:val="SingleTxtG"/>
      </w:pPr>
      <w:r w:rsidRPr="00C7249D">
        <w:tab/>
        <w:t>8.</w:t>
      </w:r>
      <w:r w:rsidRPr="00C7249D">
        <w:tab/>
      </w:r>
      <w:r w:rsidRPr="00C7249D">
        <w:rPr>
          <w:i/>
          <w:iCs/>
        </w:rPr>
        <w:t>Solicita</w:t>
      </w:r>
      <w:r w:rsidRPr="00C7249D">
        <w:t xml:space="preserve"> al Secretario General que proporcione al Relator Especial toda la información y los recursos necesarios para llevar a cabo su mandato;</w:t>
      </w:r>
    </w:p>
    <w:p w14:paraId="490589FC" w14:textId="77777777" w:rsidR="00C7249D" w:rsidRPr="00C7249D" w:rsidRDefault="00C7249D" w:rsidP="00C7249D">
      <w:pPr>
        <w:pStyle w:val="SingleTxtG"/>
      </w:pPr>
      <w:r w:rsidRPr="00C7249D">
        <w:tab/>
        <w:t>9.</w:t>
      </w:r>
      <w:r w:rsidRPr="00C7249D">
        <w:tab/>
      </w:r>
      <w:r w:rsidRPr="00C7249D">
        <w:rPr>
          <w:i/>
          <w:iCs/>
        </w:rPr>
        <w:t>Decide</w:t>
      </w:r>
      <w:r w:rsidRPr="00C7249D">
        <w:t xml:space="preserve"> seguir ocupándose de la cuestión.</w:t>
      </w:r>
    </w:p>
    <w:p w14:paraId="748B62FC" w14:textId="77777777" w:rsidR="00C7249D" w:rsidRPr="00C7249D" w:rsidRDefault="00C7249D" w:rsidP="00C7249D">
      <w:pPr>
        <w:pStyle w:val="SingleTxtG"/>
        <w:jc w:val="right"/>
        <w:rPr>
          <w:i/>
          <w:iCs/>
        </w:rPr>
      </w:pPr>
      <w:r w:rsidRPr="00C7249D">
        <w:rPr>
          <w:i/>
          <w:iCs/>
        </w:rPr>
        <w:t>34ª sesión</w:t>
      </w:r>
      <w:r w:rsidRPr="00C7249D">
        <w:rPr>
          <w:i/>
          <w:iCs/>
        </w:rPr>
        <w:br/>
        <w:t>12 de julio de 2023</w:t>
      </w:r>
    </w:p>
    <w:p w14:paraId="2261409B" w14:textId="77777777" w:rsidR="00C7249D" w:rsidRPr="00C7249D" w:rsidRDefault="00C7249D" w:rsidP="00C7249D">
      <w:pPr>
        <w:pStyle w:val="SingleTxtG"/>
      </w:pPr>
      <w:r w:rsidRPr="00C7249D">
        <w:t xml:space="preserve">[Aprobada en votación registrada por 18 votos contra 7 y 21 abstenciones. El resultado de la votación fue el siguiente: </w:t>
      </w:r>
    </w:p>
    <w:p w14:paraId="07F832E2" w14:textId="6CA70FC6" w:rsidR="00C7249D" w:rsidRPr="00C7249D" w:rsidRDefault="00C7249D" w:rsidP="00C7249D">
      <w:pPr>
        <w:pStyle w:val="SingleTxtG"/>
        <w:spacing w:after="0"/>
        <w:ind w:left="1701"/>
      </w:pPr>
      <w:r w:rsidRPr="00C7249D">
        <w:rPr>
          <w:i/>
          <w:iCs/>
        </w:rPr>
        <w:t>Votos a favor</w:t>
      </w:r>
      <w:r w:rsidRPr="00C7249D">
        <w:rPr>
          <w:i/>
        </w:rPr>
        <w:t>:</w:t>
      </w:r>
    </w:p>
    <w:p w14:paraId="57C4C0E5" w14:textId="107F1545" w:rsidR="00C7249D" w:rsidRPr="00C7249D" w:rsidRDefault="00F161AC" w:rsidP="00C7249D">
      <w:pPr>
        <w:pStyle w:val="SingleTxtG"/>
        <w:ind w:left="2268"/>
      </w:pPr>
      <w:bookmarkStart w:id="1" w:name="_Hlk116290610"/>
      <w:r w:rsidRPr="00C7249D">
        <w:t xml:space="preserve">Alemania, </w:t>
      </w:r>
      <w:r w:rsidR="00C7249D" w:rsidRPr="00C7249D">
        <w:t xml:space="preserve">Argentina, Bélgica, </w:t>
      </w:r>
      <w:r w:rsidRPr="00C7249D">
        <w:t xml:space="preserve">Chequia, </w:t>
      </w:r>
      <w:r w:rsidR="00C7249D" w:rsidRPr="00C7249D">
        <w:t xml:space="preserve">Chile, Costa Rica, </w:t>
      </w:r>
      <w:r w:rsidRPr="00C7249D">
        <w:t>Estados Unidos de América</w:t>
      </w:r>
      <w:r>
        <w:t xml:space="preserve">, </w:t>
      </w:r>
      <w:r w:rsidR="00C7249D" w:rsidRPr="00C7249D">
        <w:t xml:space="preserve">Finlandia, Francia, Honduras, Lituania, Luxemburgo, México, Montenegro, Paraguay, </w:t>
      </w:r>
      <w:r w:rsidRPr="00C7249D">
        <w:t>Reino Unido de Gran Bretaña e Irlanda del Norte</w:t>
      </w:r>
      <w:r>
        <w:t>,</w:t>
      </w:r>
      <w:r w:rsidRPr="00C7249D">
        <w:t xml:space="preserve"> </w:t>
      </w:r>
      <w:r w:rsidR="00C7249D" w:rsidRPr="00C7249D">
        <w:t>Rumania</w:t>
      </w:r>
      <w:r>
        <w:t xml:space="preserve"> y</w:t>
      </w:r>
      <w:r w:rsidR="00C7249D" w:rsidRPr="00C7249D">
        <w:t xml:space="preserve"> Ucrania</w:t>
      </w:r>
      <w:r>
        <w:t>.</w:t>
      </w:r>
    </w:p>
    <w:bookmarkEnd w:id="1"/>
    <w:p w14:paraId="32290542" w14:textId="77777777" w:rsidR="00C7249D" w:rsidRPr="00C7249D" w:rsidRDefault="00C7249D" w:rsidP="00C7249D">
      <w:pPr>
        <w:pStyle w:val="SingleTxtG"/>
        <w:spacing w:after="0"/>
        <w:ind w:left="1701"/>
      </w:pPr>
      <w:r w:rsidRPr="00C7249D">
        <w:rPr>
          <w:i/>
          <w:iCs/>
        </w:rPr>
        <w:t>Votos en contra:</w:t>
      </w:r>
    </w:p>
    <w:p w14:paraId="6ABB7650" w14:textId="70174A73" w:rsidR="00C7249D" w:rsidRPr="00C7249D" w:rsidRDefault="00C7249D" w:rsidP="00C7249D">
      <w:pPr>
        <w:pStyle w:val="SingleTxtG"/>
        <w:ind w:left="2268"/>
      </w:pPr>
      <w:bookmarkStart w:id="2" w:name="_Hlk116290627"/>
      <w:r w:rsidRPr="00C7249D">
        <w:t>China, Cuba, Eritrea, India, Pakistán, Somalia y Sudán</w:t>
      </w:r>
      <w:r w:rsidR="00F161AC">
        <w:t>.</w:t>
      </w:r>
    </w:p>
    <w:bookmarkEnd w:id="2"/>
    <w:p w14:paraId="34B6C3E3" w14:textId="673B6538" w:rsidR="00C7249D" w:rsidRPr="00C7249D" w:rsidRDefault="00C7249D" w:rsidP="00F161AC">
      <w:pPr>
        <w:pStyle w:val="SingleTxtG"/>
        <w:keepNext/>
        <w:spacing w:after="0"/>
        <w:ind w:left="1701"/>
      </w:pPr>
      <w:r w:rsidRPr="00C7249D">
        <w:rPr>
          <w:i/>
          <w:iCs/>
        </w:rPr>
        <w:lastRenderedPageBreak/>
        <w:t>Abstenciones</w:t>
      </w:r>
      <w:r w:rsidRPr="00C7249D">
        <w:rPr>
          <w:i/>
        </w:rPr>
        <w:t>:</w:t>
      </w:r>
    </w:p>
    <w:p w14:paraId="6285B9B9" w14:textId="5960D96F" w:rsidR="00C7249D" w:rsidRPr="00C7249D" w:rsidRDefault="00C7249D" w:rsidP="00C7249D">
      <w:pPr>
        <w:pStyle w:val="SingleTxtG"/>
        <w:ind w:left="2268"/>
      </w:pPr>
      <w:r w:rsidRPr="00C7249D">
        <w:t xml:space="preserve">Argelia, Bangladesh, Benin, Bolivia (Estado Plurinacional de), Camerún, Côte d’Ivoire, </w:t>
      </w:r>
      <w:r w:rsidR="00F161AC" w:rsidRPr="00C7249D">
        <w:t xml:space="preserve">Emiratos Árabes Unidos, </w:t>
      </w:r>
      <w:r w:rsidRPr="00C7249D">
        <w:t xml:space="preserve">Gabón, Georgia, Kazajstán, Kirguistán, Malasia, </w:t>
      </w:r>
      <w:r w:rsidR="00F161AC" w:rsidRPr="00C7249D">
        <w:t xml:space="preserve">Malawi, </w:t>
      </w:r>
      <w:r w:rsidRPr="00C7249D">
        <w:t>Maldivas, Marruecos, Nepal, Qatar, Senegal, Sudáfrica, Uzbekistán y Viet Nam</w:t>
      </w:r>
      <w:r w:rsidR="00F161AC">
        <w:t>.</w:t>
      </w:r>
      <w:r w:rsidRPr="00C7249D">
        <w:t>]</w:t>
      </w:r>
    </w:p>
    <w:p w14:paraId="6D586EE5" w14:textId="4E1A3348" w:rsidR="009D43DE" w:rsidRPr="00C7249D" w:rsidRDefault="00C7249D" w:rsidP="00C7249D">
      <w:pPr>
        <w:pStyle w:val="SingleTxtG"/>
        <w:suppressAutoHyphens/>
        <w:spacing w:before="240" w:after="0"/>
        <w:jc w:val="center"/>
        <w:rPr>
          <w:u w:val="single"/>
        </w:rPr>
      </w:pPr>
      <w:r>
        <w:rPr>
          <w:u w:val="single"/>
        </w:rPr>
        <w:tab/>
      </w:r>
      <w:r>
        <w:rPr>
          <w:u w:val="single"/>
        </w:rPr>
        <w:tab/>
      </w:r>
      <w:r>
        <w:rPr>
          <w:u w:val="single"/>
        </w:rPr>
        <w:tab/>
      </w:r>
    </w:p>
    <w:sectPr w:rsidR="009D43DE" w:rsidRPr="00C7249D" w:rsidSect="009D43D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87553" w14:textId="77777777" w:rsidR="00E72E10" w:rsidRPr="00A312BC" w:rsidRDefault="00E72E10" w:rsidP="00A312BC">
      <w:pPr>
        <w:pStyle w:val="Piedepgina"/>
      </w:pPr>
    </w:p>
  </w:endnote>
  <w:endnote w:type="continuationSeparator" w:id="0">
    <w:p w14:paraId="113A02A8" w14:textId="77777777" w:rsidR="00E72E10" w:rsidRPr="00A312BC" w:rsidRDefault="00E72E1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90D65" w14:textId="5CF525D3" w:rsidR="009D43DE" w:rsidRPr="009D43DE" w:rsidRDefault="009D43DE" w:rsidP="009D43DE">
    <w:pPr>
      <w:pStyle w:val="Piedepgina"/>
      <w:tabs>
        <w:tab w:val="right" w:pos="9638"/>
      </w:tabs>
    </w:pPr>
    <w:r w:rsidRPr="009D43DE">
      <w:rPr>
        <w:b/>
        <w:sz w:val="18"/>
      </w:rPr>
      <w:fldChar w:fldCharType="begin"/>
    </w:r>
    <w:r w:rsidRPr="009D43DE">
      <w:rPr>
        <w:b/>
        <w:sz w:val="18"/>
      </w:rPr>
      <w:instrText xml:space="preserve"> PAGE  \* MERGEFORMAT </w:instrText>
    </w:r>
    <w:r w:rsidRPr="009D43DE">
      <w:rPr>
        <w:b/>
        <w:sz w:val="18"/>
      </w:rPr>
      <w:fldChar w:fldCharType="separate"/>
    </w:r>
    <w:r w:rsidRPr="009D43DE">
      <w:rPr>
        <w:b/>
        <w:noProof/>
        <w:sz w:val="18"/>
      </w:rPr>
      <w:t>2</w:t>
    </w:r>
    <w:r w:rsidRPr="009D43DE">
      <w:rPr>
        <w:b/>
        <w:sz w:val="18"/>
      </w:rPr>
      <w:fldChar w:fldCharType="end"/>
    </w:r>
    <w:r>
      <w:rPr>
        <w:b/>
        <w:sz w:val="18"/>
      </w:rPr>
      <w:tab/>
    </w:r>
    <w:r>
      <w:t>GE.23-14215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5B0F" w14:textId="4A67F370" w:rsidR="009D43DE" w:rsidRPr="009D43DE" w:rsidRDefault="009D43DE" w:rsidP="009D43DE">
    <w:pPr>
      <w:pStyle w:val="Piedepgina"/>
      <w:tabs>
        <w:tab w:val="right" w:pos="9638"/>
      </w:tabs>
      <w:rPr>
        <w:b/>
        <w:sz w:val="18"/>
      </w:rPr>
    </w:pPr>
    <w:r>
      <w:t>GE.23-14215</w:t>
    </w:r>
    <w:r>
      <w:tab/>
    </w:r>
    <w:r w:rsidRPr="009D43DE">
      <w:rPr>
        <w:b/>
        <w:sz w:val="18"/>
      </w:rPr>
      <w:fldChar w:fldCharType="begin"/>
    </w:r>
    <w:r w:rsidRPr="009D43DE">
      <w:rPr>
        <w:b/>
        <w:sz w:val="18"/>
      </w:rPr>
      <w:instrText xml:space="preserve"> PAGE  \* MERGEFORMAT </w:instrText>
    </w:r>
    <w:r w:rsidRPr="009D43DE">
      <w:rPr>
        <w:b/>
        <w:sz w:val="18"/>
      </w:rPr>
      <w:fldChar w:fldCharType="separate"/>
    </w:r>
    <w:r w:rsidRPr="009D43DE">
      <w:rPr>
        <w:b/>
        <w:noProof/>
        <w:sz w:val="18"/>
      </w:rPr>
      <w:t>3</w:t>
    </w:r>
    <w:r w:rsidRPr="009D43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A258" w14:textId="5B9E8387" w:rsidR="00042B72" w:rsidRPr="009D43DE" w:rsidRDefault="009D43DE" w:rsidP="009D43D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8097C23" wp14:editId="6B7103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23-14215  (S)</w:t>
    </w:r>
    <w:r>
      <w:rPr>
        <w:noProof/>
        <w:sz w:val="20"/>
      </w:rPr>
      <w:drawing>
        <wp:anchor distT="0" distB="0" distL="114300" distR="114300" simplePos="0" relativeHeight="251658752" behindDoc="0" locked="0" layoutInCell="1" allowOverlap="1" wp14:anchorId="62D609A2" wp14:editId="1D7BB7E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100823    100823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64663" w14:textId="77777777" w:rsidR="00E72E10" w:rsidRPr="001075E9" w:rsidRDefault="00E72E10" w:rsidP="001075E9">
      <w:pPr>
        <w:tabs>
          <w:tab w:val="right" w:pos="2155"/>
        </w:tabs>
        <w:spacing w:after="80" w:line="240" w:lineRule="auto"/>
        <w:ind w:left="680"/>
        <w:rPr>
          <w:u w:val="single"/>
        </w:rPr>
      </w:pPr>
      <w:r>
        <w:rPr>
          <w:u w:val="single"/>
        </w:rPr>
        <w:tab/>
      </w:r>
    </w:p>
  </w:footnote>
  <w:footnote w:type="continuationSeparator" w:id="0">
    <w:p w14:paraId="0427821B" w14:textId="77777777" w:rsidR="00E72E10" w:rsidRDefault="00E72E10" w:rsidP="00407B78">
      <w:pPr>
        <w:tabs>
          <w:tab w:val="right" w:pos="2155"/>
        </w:tabs>
        <w:spacing w:after="80"/>
        <w:ind w:left="680"/>
        <w:rPr>
          <w:u w:val="single"/>
        </w:rPr>
      </w:pPr>
      <w:r>
        <w:rPr>
          <w:u w:val="single"/>
        </w:rPr>
        <w:tab/>
      </w:r>
    </w:p>
  </w:footnote>
  <w:footnote w:id="1">
    <w:p w14:paraId="124F3217" w14:textId="77777777" w:rsidR="00C7249D" w:rsidRPr="00CB4759" w:rsidRDefault="00C7249D" w:rsidP="00C7249D">
      <w:pPr>
        <w:pStyle w:val="Textonotapie"/>
        <w:rPr>
          <w:lang w:val="en-US"/>
        </w:rPr>
      </w:pPr>
      <w:r w:rsidRPr="00CB4759">
        <w:tab/>
      </w:r>
      <w:r w:rsidRPr="00C7249D">
        <w:rPr>
          <w:rStyle w:val="Refdenotaalpie"/>
        </w:rPr>
        <w:footnoteRef/>
      </w:r>
      <w:r w:rsidRPr="00CB4759">
        <w:tab/>
      </w:r>
      <w:hyperlink r:id="rId1" w:history="1">
        <w:r w:rsidRPr="00CB4759">
          <w:rPr>
            <w:rStyle w:val="Hipervnculovisitado"/>
            <w:color w:val="auto"/>
            <w:lang w:val="en-US"/>
          </w:rPr>
          <w:t>A/HRC/53/20</w:t>
        </w:r>
      </w:hyperlink>
      <w:r w:rsidRPr="00CB4759">
        <w:rPr>
          <w:lang w:val="en-US"/>
        </w:rPr>
        <w:t>.</w:t>
      </w:r>
    </w:p>
  </w:footnote>
  <w:footnote w:id="2">
    <w:p w14:paraId="03415827" w14:textId="77777777" w:rsidR="00C7249D" w:rsidRPr="00CB4759" w:rsidRDefault="00C7249D" w:rsidP="00C7249D">
      <w:pPr>
        <w:pStyle w:val="Textonotapie"/>
        <w:rPr>
          <w:i/>
          <w:iCs/>
          <w:lang w:val="en-US"/>
        </w:rPr>
      </w:pPr>
      <w:r w:rsidRPr="00CB4759">
        <w:rPr>
          <w:lang w:val="en-US"/>
        </w:rPr>
        <w:tab/>
      </w:r>
      <w:r w:rsidRPr="00C7249D">
        <w:rPr>
          <w:rStyle w:val="Refdenotaalpie"/>
        </w:rPr>
        <w:footnoteRef/>
      </w:r>
      <w:r w:rsidRPr="00CB4759">
        <w:rPr>
          <w:lang w:val="en-US"/>
        </w:rPr>
        <w:tab/>
      </w:r>
      <w:r w:rsidRPr="00CB4759">
        <w:rPr>
          <w:i/>
          <w:iCs/>
          <w:lang w:val="en-US"/>
        </w:rPr>
        <w:t>Ibid.</w:t>
      </w:r>
    </w:p>
  </w:footnote>
  <w:footnote w:id="3">
    <w:p w14:paraId="7CDF81B1" w14:textId="77777777" w:rsidR="00C7249D" w:rsidRPr="00CB4759" w:rsidRDefault="00C7249D" w:rsidP="00C7249D">
      <w:pPr>
        <w:pStyle w:val="Textonotapie"/>
        <w:rPr>
          <w:lang w:val="en-US"/>
        </w:rPr>
      </w:pPr>
      <w:r w:rsidRPr="00CB4759">
        <w:rPr>
          <w:lang w:val="en-US"/>
        </w:rPr>
        <w:tab/>
      </w:r>
      <w:r w:rsidRPr="00C7249D">
        <w:rPr>
          <w:rStyle w:val="Refdenotaalpie"/>
        </w:rPr>
        <w:footnoteRef/>
      </w:r>
      <w:r w:rsidRPr="00CB4759">
        <w:rPr>
          <w:lang w:val="en-US"/>
        </w:rPr>
        <w:tab/>
        <w:t xml:space="preserve">Véase </w:t>
      </w:r>
      <w:hyperlink r:id="rId2" w:history="1">
        <w:r w:rsidRPr="00CB4759">
          <w:rPr>
            <w:rStyle w:val="Hipervnculovisitado"/>
            <w:color w:val="auto"/>
            <w:lang w:val="en-US"/>
          </w:rPr>
          <w:t>A/HRC/41/53</w:t>
        </w:r>
      </w:hyperlink>
      <w:r w:rsidRPr="00CB4759">
        <w:rPr>
          <w:lang w:val="en-US"/>
        </w:rPr>
        <w:t>,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A8BAD" w14:textId="35B305DF" w:rsidR="009D43DE" w:rsidRPr="009D43DE" w:rsidRDefault="009D43DE">
    <w:pPr>
      <w:pStyle w:val="Encabezado"/>
    </w:pPr>
    <w:fldSimple w:instr=" TITLE  \* MERGEFORMAT ">
      <w:r w:rsidR="00EA2C8A">
        <w:t>A/HRC/RES/53/2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FD50E" w14:textId="650703E3" w:rsidR="009D43DE" w:rsidRPr="009D43DE" w:rsidRDefault="009D43DE" w:rsidP="009D43DE">
    <w:pPr>
      <w:pStyle w:val="Encabezado"/>
      <w:jc w:val="right"/>
    </w:pPr>
    <w:fldSimple w:instr=" TITLE  \* MERGEFORMAT ">
      <w:r w:rsidR="00EA2C8A">
        <w:t>A/HRC/RES/53/2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1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76E61"/>
    <w:rsid w:val="00894693"/>
    <w:rsid w:val="008A08D7"/>
    <w:rsid w:val="008B6909"/>
    <w:rsid w:val="00906890"/>
    <w:rsid w:val="00911BE4"/>
    <w:rsid w:val="00920A7C"/>
    <w:rsid w:val="00951972"/>
    <w:rsid w:val="009608F3"/>
    <w:rsid w:val="00982D57"/>
    <w:rsid w:val="009A24AC"/>
    <w:rsid w:val="009D43DE"/>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7249D"/>
    <w:rsid w:val="00C805C9"/>
    <w:rsid w:val="00C92939"/>
    <w:rsid w:val="00CA1679"/>
    <w:rsid w:val="00CB151C"/>
    <w:rsid w:val="00CD0C97"/>
    <w:rsid w:val="00CE5A1A"/>
    <w:rsid w:val="00CF55F6"/>
    <w:rsid w:val="00D33D63"/>
    <w:rsid w:val="00D90138"/>
    <w:rsid w:val="00E728B5"/>
    <w:rsid w:val="00E72E10"/>
    <w:rsid w:val="00E73F76"/>
    <w:rsid w:val="00EA2C8A"/>
    <w:rsid w:val="00EA2C9F"/>
    <w:rsid w:val="00ED0BDA"/>
    <w:rsid w:val="00EF1360"/>
    <w:rsid w:val="00EF3220"/>
    <w:rsid w:val="00F161AC"/>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98B35"/>
  <w15:docId w15:val="{ECB3BF4C-B71E-4135-B47B-962B4E876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HRC/41/53" TargetMode="External"/><Relationship Id="rId1" Type="http://schemas.openxmlformats.org/officeDocument/2006/relationships/hyperlink" Target="https://undocs.org/es/A/HRC/53/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3</Pages>
  <Words>882</Words>
  <Characters>4769</Characters>
  <Application>Microsoft Office Word</Application>
  <DocSecurity>0</DocSecurity>
  <Lines>97</Lines>
  <Paragraphs>43</Paragraphs>
  <ScaleCrop>false</ScaleCrop>
  <HeadingPairs>
    <vt:vector size="2" baseType="variant">
      <vt:variant>
        <vt:lpstr>Título</vt:lpstr>
      </vt:variant>
      <vt:variant>
        <vt:i4>1</vt:i4>
      </vt:variant>
    </vt:vector>
  </HeadingPairs>
  <TitlesOfParts>
    <vt:vector size="1" baseType="lpstr">
      <vt:lpstr>A/HRC/RES/53/2</vt:lpstr>
    </vt:vector>
  </TitlesOfParts>
  <Company>DCM</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A/HRC/RES/53/2</dc:title>
  <dc:subject/>
  <dc:creator>Javier RODRIGUEZ PEREZ</dc:creator>
  <cp:keywords/>
  <cp:lastModifiedBy>Javier Rodriguez Perez</cp:lastModifiedBy>
  <cp:revision>3</cp:revision>
  <cp:lastPrinted>2023-08-10T10:23:00Z</cp:lastPrinted>
  <dcterms:created xsi:type="dcterms:W3CDTF">2023-08-10T10:23:00Z</dcterms:created>
  <dcterms:modified xsi:type="dcterms:W3CDTF">2023-08-10T10:23:00Z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