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99CE9CE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2CA3BB7" w14:textId="77777777" w:rsidR="002D5AAC" w:rsidRDefault="002D5AAC" w:rsidP="00C4484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361B026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5AF8563" w14:textId="613EC801" w:rsidR="002D5AAC" w:rsidRDefault="00C4484A" w:rsidP="00C4484A">
            <w:pPr>
              <w:jc w:val="right"/>
            </w:pPr>
            <w:r w:rsidRPr="00C4484A">
              <w:rPr>
                <w:sz w:val="40"/>
              </w:rPr>
              <w:t>CED</w:t>
            </w:r>
            <w:r>
              <w:t>/C/URY/OAI/1</w:t>
            </w:r>
          </w:p>
        </w:tc>
      </w:tr>
      <w:tr w:rsidR="002D5AAC" w:rsidRPr="002E70C4" w14:paraId="02B2929A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C23835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F30CF3" wp14:editId="784487E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F3482F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7C3CAC1" w14:textId="77777777" w:rsidR="002D5AAC" w:rsidRPr="008C2BFD" w:rsidRDefault="00C4484A" w:rsidP="00877609">
            <w:pPr>
              <w:spacing w:before="240"/>
              <w:rPr>
                <w:lang w:val="en-US"/>
              </w:rPr>
            </w:pPr>
            <w:r w:rsidRPr="008C2BFD">
              <w:rPr>
                <w:lang w:val="en-US"/>
              </w:rPr>
              <w:t>Distr.: General</w:t>
            </w:r>
          </w:p>
          <w:p w14:paraId="23C91EA4" w14:textId="5C382512" w:rsidR="00C4484A" w:rsidRPr="002E70C4" w:rsidRDefault="008C2BFD" w:rsidP="00C4484A">
            <w:pPr>
              <w:spacing w:line="240" w:lineRule="exact"/>
              <w:rPr>
                <w:lang w:val="en-US"/>
              </w:rPr>
            </w:pPr>
            <w:r w:rsidRPr="002E70C4">
              <w:rPr>
                <w:lang w:val="en-US"/>
              </w:rPr>
              <w:t>20 October 2022</w:t>
            </w:r>
          </w:p>
          <w:p w14:paraId="7CF4E946" w14:textId="77777777" w:rsidR="00C4484A" w:rsidRPr="008C2BFD" w:rsidRDefault="00C4484A" w:rsidP="00C4484A">
            <w:pPr>
              <w:spacing w:line="240" w:lineRule="exact"/>
              <w:rPr>
                <w:lang w:val="en-US"/>
              </w:rPr>
            </w:pPr>
            <w:r w:rsidRPr="008C2BFD">
              <w:rPr>
                <w:lang w:val="en-US"/>
              </w:rPr>
              <w:t>Russian</w:t>
            </w:r>
          </w:p>
          <w:p w14:paraId="0C250161" w14:textId="3490DB52" w:rsidR="00C4484A" w:rsidRPr="008C2BFD" w:rsidRDefault="00C4484A" w:rsidP="00C4484A">
            <w:pPr>
              <w:spacing w:line="240" w:lineRule="exact"/>
              <w:rPr>
                <w:lang w:val="en-US"/>
              </w:rPr>
            </w:pPr>
            <w:r w:rsidRPr="008C2BFD">
              <w:rPr>
                <w:lang w:val="en-US"/>
              </w:rPr>
              <w:t>Original: English</w:t>
            </w:r>
          </w:p>
        </w:tc>
      </w:tr>
    </w:tbl>
    <w:p w14:paraId="07D91D9C" w14:textId="77777777" w:rsidR="00C4484A" w:rsidRPr="004A1AAB" w:rsidRDefault="00C4484A" w:rsidP="00C4484A">
      <w:pPr>
        <w:spacing w:before="120"/>
        <w:rPr>
          <w:b/>
          <w:sz w:val="24"/>
        </w:rPr>
      </w:pPr>
      <w:r w:rsidRPr="004A1AAB">
        <w:rPr>
          <w:b/>
          <w:sz w:val="24"/>
        </w:rPr>
        <w:t>Комитет по насильственным исчезновениям</w:t>
      </w:r>
    </w:p>
    <w:p w14:paraId="2F51A278" w14:textId="142DD0F5" w:rsidR="00C4484A" w:rsidRPr="004A1AAB" w:rsidRDefault="00C4484A" w:rsidP="00C4484A">
      <w:pPr>
        <w:pStyle w:val="HChG"/>
      </w:pPr>
      <w:r w:rsidRPr="004A1AAB">
        <w:tab/>
      </w:r>
      <w:r w:rsidRPr="004A1AAB">
        <w:tab/>
        <w:t>Заключительные замечания по дополнительной информации, представленной Уругваем в соответствии с</w:t>
      </w:r>
      <w:r>
        <w:t> </w:t>
      </w:r>
      <w:r w:rsidRPr="004A1AAB">
        <w:t>пунктом 4 статьи 29 Конвенции</w:t>
      </w:r>
      <w:r w:rsidRPr="00352944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9D2A34B" w14:textId="77777777" w:rsidR="00C4484A" w:rsidRPr="004A1AAB" w:rsidRDefault="00C4484A" w:rsidP="00C4484A">
      <w:pPr>
        <w:pStyle w:val="H1G"/>
      </w:pPr>
      <w:r w:rsidRPr="004A1AAB">
        <w:tab/>
        <w:t>A.</w:t>
      </w:r>
      <w:r w:rsidRPr="004A1AAB">
        <w:tab/>
        <w:t>Введение</w:t>
      </w:r>
    </w:p>
    <w:p w14:paraId="50CF5BF2" w14:textId="365FAAC5" w:rsidR="00C4484A" w:rsidRPr="004A1AAB" w:rsidRDefault="00C4484A" w:rsidP="00C4484A">
      <w:pPr>
        <w:pStyle w:val="SingleTxtG"/>
      </w:pPr>
      <w:r w:rsidRPr="004A1AAB">
        <w:t>1.</w:t>
      </w:r>
      <w:r w:rsidR="002548A9">
        <w:tab/>
      </w:r>
      <w:r w:rsidRPr="004A1AAB">
        <w:t>Комитет благодарит Уругвай за дополнительную информацию, своевременно предоставленную им в соответствии с пунктом 4 статьи 29 Конвенции</w:t>
      </w:r>
      <w:r w:rsidRPr="004A1AAB">
        <w:rPr>
          <w:rStyle w:val="aa"/>
        </w:rPr>
        <w:footnoteReference w:id="2"/>
      </w:r>
      <w:r w:rsidRPr="004A1AAB">
        <w:t xml:space="preserve"> в ответ на просьбу Комитета, содержавшуюся в его заключительных замечаниях 2013</w:t>
      </w:r>
      <w:r>
        <w:t> год</w:t>
      </w:r>
      <w:r w:rsidRPr="004A1AAB">
        <w:t>а</w:t>
      </w:r>
      <w:r w:rsidRPr="004A1AAB">
        <w:rPr>
          <w:rStyle w:val="aa"/>
        </w:rPr>
        <w:footnoteReference w:id="3"/>
      </w:r>
      <w:r w:rsidRPr="004A1AAB">
        <w:t>. Он</w:t>
      </w:r>
      <w:r>
        <w:t> </w:t>
      </w:r>
      <w:r w:rsidRPr="004A1AAB">
        <w:t>также выражает свою признательность за дополнительную письменную информацию, представленную в ответ на перечень вопросов, направленный государству-участнику 5 мая 2022</w:t>
      </w:r>
      <w:r>
        <w:t> год</w:t>
      </w:r>
      <w:r w:rsidRPr="004A1AAB">
        <w:t>а</w:t>
      </w:r>
      <w:r w:rsidRPr="004A1AAB">
        <w:rPr>
          <w:rStyle w:val="aa"/>
        </w:rPr>
        <w:footnoteReference w:id="4"/>
      </w:r>
      <w:r w:rsidRPr="004A1AAB">
        <w:t>, а также за открытый, плодотворный и конструктивный диалог, состоявшийся с делегацией государства-участника в ходе 409-го заседания Комитета 15 сентября 2022</w:t>
      </w:r>
      <w:r>
        <w:t> год</w:t>
      </w:r>
      <w:r w:rsidRPr="004A1AAB">
        <w:t>а</w:t>
      </w:r>
      <w:r w:rsidRPr="004A1AAB">
        <w:rPr>
          <w:rStyle w:val="aa"/>
        </w:rPr>
        <w:footnoteReference w:id="5"/>
      </w:r>
      <w:r w:rsidRPr="004A1AAB">
        <w:t xml:space="preserve">, о мерах, принятых для выполнения обязательств по Конвенции в отношении следующих тем: a) гармонизация законодательства; b) поиск и расследование и c) полное возмещение ущерба. Комитет также благодарит государство-участник за дополнительную письменную информацию, представленную после диалога. </w:t>
      </w:r>
    </w:p>
    <w:p w14:paraId="3E073BBD" w14:textId="0D33C491" w:rsidR="00C4484A" w:rsidRPr="004A1AAB" w:rsidRDefault="00C4484A" w:rsidP="00C4484A">
      <w:pPr>
        <w:pStyle w:val="SingleTxtG"/>
      </w:pPr>
      <w:r w:rsidRPr="004A1AAB">
        <w:t>2.</w:t>
      </w:r>
      <w:r w:rsidRPr="004A1AAB">
        <w:tab/>
        <w:t>На своем 420-м заседании, состоявшемся 23 сентября 2022</w:t>
      </w:r>
      <w:r>
        <w:t> год</w:t>
      </w:r>
      <w:r w:rsidRPr="004A1AAB">
        <w:t xml:space="preserve">а, Комитет принял следующие заключительные замечания. </w:t>
      </w:r>
    </w:p>
    <w:p w14:paraId="368B9FEC" w14:textId="77777777" w:rsidR="00C4484A" w:rsidRPr="004A1AAB" w:rsidRDefault="00C4484A" w:rsidP="00C4484A">
      <w:pPr>
        <w:pStyle w:val="H1G"/>
      </w:pPr>
      <w:r w:rsidRPr="004A1AAB">
        <w:tab/>
        <w:t>B.</w:t>
      </w:r>
      <w:r w:rsidRPr="004A1AAB">
        <w:tab/>
        <w:t xml:space="preserve">Позитивные аспекты </w:t>
      </w:r>
    </w:p>
    <w:p w14:paraId="2582E78B" w14:textId="77777777" w:rsidR="00C4484A" w:rsidRPr="004A1AAB" w:rsidRDefault="00C4484A" w:rsidP="00C4484A">
      <w:pPr>
        <w:pStyle w:val="SingleTxtG"/>
      </w:pPr>
      <w:r w:rsidRPr="004A1AAB">
        <w:t>3.</w:t>
      </w:r>
      <w:r w:rsidRPr="004A1AAB">
        <w:tab/>
        <w:t xml:space="preserve">Комитет с удовлетворением отмечает меры, принятые государством-участником после его предыдущих заключительных замечаний, которые включают следующее: </w:t>
      </w:r>
    </w:p>
    <w:p w14:paraId="29F98BED" w14:textId="6C716BCA" w:rsidR="00C4484A" w:rsidRPr="004A1AAB" w:rsidRDefault="00C4484A" w:rsidP="00C4484A">
      <w:pPr>
        <w:pStyle w:val="SingleTxtG"/>
        <w:rPr>
          <w:highlight w:val="yellow"/>
        </w:rPr>
      </w:pPr>
      <w:r w:rsidRPr="004A1AAB">
        <w:tab/>
        <w:t>a)</w:t>
      </w:r>
      <w:r w:rsidRPr="004A1AAB">
        <w:tab/>
        <w:t>обнародование Закона № 19.859 от декабря 2019</w:t>
      </w:r>
      <w:r>
        <w:t> год</w:t>
      </w:r>
      <w:r w:rsidRPr="004A1AAB">
        <w:t>а, в котором в порядке толкования заявлено, что право на получение бесплатной и пожизненной комплексной медицинской помощи в рамках Национальной интегрированной системы здравоохранения распространяется на ряд лиц, ставших жертвами нарушений прав человека в период с 1968</w:t>
      </w:r>
      <w:r>
        <w:t> год</w:t>
      </w:r>
      <w:r w:rsidRPr="004A1AAB">
        <w:t>а по 1985</w:t>
      </w:r>
      <w:r>
        <w:t> год</w:t>
      </w:r>
      <w:r w:rsidRPr="004A1AAB">
        <w:t>, а также на их детей и внуков;</w:t>
      </w:r>
    </w:p>
    <w:p w14:paraId="6579C110" w14:textId="152A4DAA" w:rsidR="00C4484A" w:rsidRPr="004A1AAB" w:rsidRDefault="00C4484A" w:rsidP="00C4484A">
      <w:pPr>
        <w:pStyle w:val="SingleTxtG"/>
      </w:pPr>
      <w:r w:rsidRPr="004A1AAB">
        <w:tab/>
        <w:t>b)</w:t>
      </w:r>
      <w:r w:rsidRPr="004A1AAB">
        <w:tab/>
        <w:t>обнародование Закона № 19.822 от сентября 2019</w:t>
      </w:r>
      <w:r>
        <w:t> год</w:t>
      </w:r>
      <w:r w:rsidRPr="004A1AAB">
        <w:t xml:space="preserve">а, возлагающего на Национальное правозащитное учреждение и Управление Народного защитника </w:t>
      </w:r>
      <w:r w:rsidRPr="004A1AAB">
        <w:lastRenderedPageBreak/>
        <w:t>полномочия по поиску лиц, задержанных или пропавших без вести в период с 1968</w:t>
      </w:r>
      <w:r>
        <w:t> год</w:t>
      </w:r>
      <w:r w:rsidRPr="004A1AAB">
        <w:t>а по 1985</w:t>
      </w:r>
      <w:r>
        <w:t> год</w:t>
      </w:r>
      <w:r w:rsidRPr="004A1AAB">
        <w:t>;</w:t>
      </w:r>
    </w:p>
    <w:p w14:paraId="0AF064F9" w14:textId="70246CC8" w:rsidR="00C4484A" w:rsidRPr="004A1AAB" w:rsidRDefault="00C4484A" w:rsidP="00C4484A">
      <w:pPr>
        <w:pStyle w:val="SingleTxtG"/>
      </w:pPr>
      <w:r w:rsidRPr="004A1AAB">
        <w:tab/>
        <w:t>c)</w:t>
      </w:r>
      <w:r w:rsidRPr="004A1AAB">
        <w:tab/>
        <w:t>обнародование Закона № 19.641 от июля 2018</w:t>
      </w:r>
      <w:r>
        <w:t> год</w:t>
      </w:r>
      <w:r w:rsidRPr="004A1AAB">
        <w:t>а об определении и создании мемориальных объектов для сохранения памяти о событиях недавнего прошлого;</w:t>
      </w:r>
    </w:p>
    <w:p w14:paraId="435E55FC" w14:textId="6E3B4E02" w:rsidR="00C4484A" w:rsidRPr="004A1AAB" w:rsidRDefault="00C4484A" w:rsidP="00C4484A">
      <w:pPr>
        <w:pStyle w:val="SingleTxtG"/>
        <w:rPr>
          <w:highlight w:val="yellow"/>
        </w:rPr>
      </w:pPr>
      <w:r w:rsidRPr="004A1AAB">
        <w:tab/>
        <w:t>d)</w:t>
      </w:r>
      <w:r w:rsidRPr="004A1AAB">
        <w:tab/>
        <w:t>обнародование Закона</w:t>
      </w:r>
      <w:r w:rsidR="005A1794">
        <w:rPr>
          <w:lang w:val="fr-CH"/>
        </w:rPr>
        <w:t> </w:t>
      </w:r>
      <w:r w:rsidRPr="004A1AAB">
        <w:t>№</w:t>
      </w:r>
      <w:r w:rsidR="005A1794">
        <w:rPr>
          <w:lang w:val="fr-CH"/>
        </w:rPr>
        <w:t> </w:t>
      </w:r>
      <w:r w:rsidRPr="004A1AAB">
        <w:t>19.550 от октября 2017</w:t>
      </w:r>
      <w:r>
        <w:t> год</w:t>
      </w:r>
      <w:r w:rsidRPr="004A1AAB">
        <w:t>а, уполномочивающего Генеральную прокуратуру на преобразование одного из национальных управлений прокуратуры в Специализированную прокуратуру по делам о преступлениях против человечности, и Постановления № 75/2018 от февраля 2018</w:t>
      </w:r>
      <w:r>
        <w:t> год</w:t>
      </w:r>
      <w:r w:rsidRPr="004A1AAB">
        <w:t>а о преобразовании 25-й уголовной прокуратуры Монтевидео в Специализированную прокуратуру по делам о преступлениях против человечности;</w:t>
      </w:r>
    </w:p>
    <w:p w14:paraId="151580DD" w14:textId="3BC1A626" w:rsidR="00C4484A" w:rsidRPr="004A1AAB" w:rsidRDefault="00C4484A" w:rsidP="00C4484A">
      <w:pPr>
        <w:pStyle w:val="SingleTxtG"/>
      </w:pPr>
      <w:r w:rsidRPr="004A1AAB">
        <w:tab/>
        <w:t>e)</w:t>
      </w:r>
      <w:r w:rsidRPr="004A1AAB">
        <w:tab/>
        <w:t>создание Межведомственной сети по подготовке докладов и последующей деятельности в рамках выполнения рекомендаций и замечаний в области прав человека и создание Системы контроля за выполнением рекомендаций для публичной регистрации действий государства по соблюдению и выполнению рекомендаций и замечаний универсальной системы защиты прав человека на основании Декрета исполнительной власти № 358/2016, изданного в ноябре 2016</w:t>
      </w:r>
      <w:r>
        <w:t> год</w:t>
      </w:r>
      <w:r w:rsidRPr="004A1AAB">
        <w:t>а;</w:t>
      </w:r>
    </w:p>
    <w:p w14:paraId="74FD495E" w14:textId="533E846F" w:rsidR="00C4484A" w:rsidRPr="004A1AAB" w:rsidRDefault="00C4484A" w:rsidP="00C4484A">
      <w:pPr>
        <w:pStyle w:val="SingleTxtG"/>
      </w:pPr>
      <w:r w:rsidRPr="004A1AAB">
        <w:tab/>
        <w:t>f)</w:t>
      </w:r>
      <w:r w:rsidRPr="004A1AAB">
        <w:tab/>
        <w:t>получение в мае 2016</w:t>
      </w:r>
      <w:r>
        <w:t> год</w:t>
      </w:r>
      <w:r w:rsidRPr="004A1AAB">
        <w:t xml:space="preserve">а аккредитации со статусом </w:t>
      </w:r>
      <w:r>
        <w:t>«</w:t>
      </w:r>
      <w:r w:rsidRPr="004A1AAB">
        <w:t>А</w:t>
      </w:r>
      <w:r>
        <w:t>»</w:t>
      </w:r>
      <w:r w:rsidRPr="004A1AAB">
        <w:t xml:space="preserve"> для Национального правозащитного учреждения и Управления Народного защитника от Глобального альянса национальных правозащитных учреждений;</w:t>
      </w:r>
    </w:p>
    <w:p w14:paraId="33F485FF" w14:textId="105163C0" w:rsidR="00C4484A" w:rsidRPr="004A1AAB" w:rsidRDefault="00C4484A" w:rsidP="00C4484A">
      <w:pPr>
        <w:pStyle w:val="SingleTxtG"/>
      </w:pPr>
      <w:r w:rsidRPr="004A1AAB">
        <w:tab/>
        <w:t>g)</w:t>
      </w:r>
      <w:r w:rsidRPr="004A1AAB">
        <w:tab/>
        <w:t>создание Специализированной группы по грубым нарушениям прав человека при Министерстве внутренних дел на основании Закона № 19.355, принятого в декабре 2015</w:t>
      </w:r>
      <w:r>
        <w:t> год</w:t>
      </w:r>
      <w:r w:rsidRPr="004A1AAB">
        <w:t>а;</w:t>
      </w:r>
    </w:p>
    <w:p w14:paraId="46C56260" w14:textId="67C90852" w:rsidR="00C4484A" w:rsidRPr="004A1AAB" w:rsidRDefault="00C4484A" w:rsidP="00C4484A">
      <w:pPr>
        <w:pStyle w:val="SingleTxtG"/>
      </w:pPr>
      <w:r w:rsidRPr="004A1AAB">
        <w:tab/>
        <w:t>h)</w:t>
      </w:r>
      <w:r w:rsidRPr="004A1AAB">
        <w:tab/>
        <w:t>создание Рабочей группы по установлению истины и справедливости на основании Декрета исполнительной власти № 131/2015, изданного в мае 2015</w:t>
      </w:r>
      <w:r>
        <w:t> год</w:t>
      </w:r>
      <w:r w:rsidRPr="004A1AAB">
        <w:t>а.</w:t>
      </w:r>
    </w:p>
    <w:p w14:paraId="1D5BD571" w14:textId="77777777" w:rsidR="00C4484A" w:rsidRPr="004A1AAB" w:rsidRDefault="00C4484A" w:rsidP="00C4484A">
      <w:pPr>
        <w:pStyle w:val="SingleTxtG"/>
      </w:pPr>
      <w:r w:rsidRPr="004A1AAB">
        <w:t>4.</w:t>
      </w:r>
      <w:r w:rsidRPr="004A1AAB">
        <w:tab/>
        <w:t xml:space="preserve">Комитет с удовлетворением отмечает, что государство-участник направило всем мандатариям специальных процедур Совета по правам человека постоянное приглашение для посещения страны. В этой связи Комитет приветствует недавнее посещение Уругвая Рабочей группой по насильственным или недобровольным исчезновениям, предварительные замечания которой Комитет с интересом принял к сведению, и призывает государство-участник продолжать сотрудничество с этим механизмом в рамках его мандата. </w:t>
      </w:r>
    </w:p>
    <w:p w14:paraId="67181E59" w14:textId="4B28EB0F" w:rsidR="00C4484A" w:rsidRPr="004A1AAB" w:rsidRDefault="00C4484A" w:rsidP="00C4484A">
      <w:pPr>
        <w:pStyle w:val="H1G"/>
      </w:pPr>
      <w:r w:rsidRPr="004A1AAB">
        <w:t xml:space="preserve"> </w:t>
      </w:r>
      <w:r w:rsidRPr="004A1AAB">
        <w:tab/>
        <w:t>C.</w:t>
      </w:r>
      <w:r w:rsidRPr="004A1AAB">
        <w:tab/>
        <w:t>Выполнение рекомендаций Комитета и развитие ситуации в</w:t>
      </w:r>
      <w:r w:rsidR="000A7696">
        <w:rPr>
          <w:lang w:val="fr-CH"/>
        </w:rPr>
        <w:t> </w:t>
      </w:r>
      <w:r w:rsidRPr="004A1AAB">
        <w:t xml:space="preserve">государстве-участнике </w:t>
      </w:r>
    </w:p>
    <w:p w14:paraId="2351356B" w14:textId="77777777" w:rsidR="00C4484A" w:rsidRPr="004A1AAB" w:rsidRDefault="00C4484A" w:rsidP="00C4484A">
      <w:pPr>
        <w:pStyle w:val="H23G"/>
      </w:pPr>
      <w:r w:rsidRPr="004A1AAB">
        <w:tab/>
        <w:t>1.</w:t>
      </w:r>
      <w:r w:rsidRPr="004A1AAB">
        <w:tab/>
        <w:t xml:space="preserve">Общая информация </w:t>
      </w:r>
    </w:p>
    <w:p w14:paraId="7D7B11B9" w14:textId="43A100FD" w:rsidR="00C4484A" w:rsidRPr="004A1AAB" w:rsidRDefault="00C4484A" w:rsidP="00C4484A">
      <w:pPr>
        <w:pStyle w:val="SingleTxtG"/>
      </w:pPr>
      <w:r w:rsidRPr="004A1AAB">
        <w:t>5.</w:t>
      </w:r>
      <w:r w:rsidRPr="004A1AAB">
        <w:tab/>
        <w:t>Комитет высоко оценивает и приветствует различные меры в области установления справедливости, истины и возмещения ущерба, принятые государством-участником после предыдущих заключительных замечаний. Однако он считает, что существующая нормативно-правовая основа, а также ее применение еще не в полной мере соответствуют Конвенции. Комитет призывает государство-участник принять во внимание его рекомендации, сформулированные в духе конструктивного сотрудничества, в целях дальнейшего укрепления существующей нормативно-правовой основы и обеспечения того, чтобы она, а также все акты, исходящие от властей государства-участника, соответствовали правам и обязательствам, предусмотренным в Конвенции. В этом контексте Комитет также рекомендует ему разработать национальную политику в отношении насильственных исчезновений, которая учитывала бы в своих стратегиях как уроки прошлого, так и вызовы, с</w:t>
      </w:r>
      <w:r>
        <w:t> </w:t>
      </w:r>
      <w:r w:rsidRPr="004A1AAB">
        <w:t>которыми оно сталкивается сегодня в деле поиска пропавших без вести лиц, расследования и наказания виновных в насильственных исчезновениях, совершенных в период с 1968</w:t>
      </w:r>
      <w:r>
        <w:t> год</w:t>
      </w:r>
      <w:r w:rsidRPr="004A1AAB">
        <w:t>а по 1985</w:t>
      </w:r>
      <w:r>
        <w:t> год</w:t>
      </w:r>
      <w:r w:rsidRPr="004A1AAB">
        <w:t xml:space="preserve">, и обеспечения права всех жертв на полное возмещение ущерба. </w:t>
      </w:r>
    </w:p>
    <w:p w14:paraId="7563EDD3" w14:textId="77777777" w:rsidR="00C4484A" w:rsidRPr="004A1AAB" w:rsidRDefault="00C4484A" w:rsidP="00C4484A">
      <w:pPr>
        <w:pStyle w:val="H23G"/>
      </w:pPr>
      <w:r w:rsidRPr="004A1AAB">
        <w:lastRenderedPageBreak/>
        <w:tab/>
        <w:t>2.</w:t>
      </w:r>
      <w:r w:rsidRPr="004A1AAB">
        <w:tab/>
        <w:t>Гармонизация законодательства</w:t>
      </w:r>
    </w:p>
    <w:p w14:paraId="15A7AF2A" w14:textId="77777777" w:rsidR="00C4484A" w:rsidRPr="004A1AAB" w:rsidRDefault="00C4484A" w:rsidP="00C4484A">
      <w:pPr>
        <w:pStyle w:val="H23G"/>
      </w:pPr>
      <w:r w:rsidRPr="004A1AAB">
        <w:tab/>
      </w:r>
      <w:r w:rsidRPr="004A1AAB">
        <w:tab/>
        <w:t xml:space="preserve">Самостоятельное преступление насильственного исчезновения </w:t>
      </w:r>
    </w:p>
    <w:p w14:paraId="5CF7AD4E" w14:textId="77777777" w:rsidR="00C4484A" w:rsidRPr="004A1AAB" w:rsidRDefault="00C4484A" w:rsidP="00C4484A">
      <w:pPr>
        <w:pStyle w:val="SingleTxtG"/>
      </w:pPr>
      <w:r w:rsidRPr="004A1AAB">
        <w:t>6.</w:t>
      </w:r>
      <w:r w:rsidRPr="004A1AAB">
        <w:tab/>
        <w:t>Комитет вновь выражает свое удовлетворение по поводу криминализации насильственного исчезновения в статье 21.1 Закона № 18.026 с определением, соответствующим определению, содержащемуся в статье 2 Конвенции. Однако он сожалеет, что государство-участник не выполнило его предыдущую рекомендацию по этому положению</w:t>
      </w:r>
      <w:r w:rsidRPr="004A1AAB">
        <w:rPr>
          <w:rStyle w:val="aa"/>
        </w:rPr>
        <w:footnoteReference w:id="6"/>
      </w:r>
      <w:r w:rsidRPr="004A1AAB">
        <w:t>, особенно в отношении необходимости того, чтобы минимальное наказание за преступление учитывало его особо тяжкий характер (статья 7).</w:t>
      </w:r>
    </w:p>
    <w:p w14:paraId="24C07B61" w14:textId="267F829F" w:rsidR="00C4484A" w:rsidRPr="004A1AAB" w:rsidRDefault="00C4484A" w:rsidP="00C4484A">
      <w:pPr>
        <w:pStyle w:val="SingleTxtG"/>
        <w:rPr>
          <w:b/>
          <w:bCs/>
        </w:rPr>
      </w:pPr>
      <w:r w:rsidRPr="004A1AAB">
        <w:t>7.</w:t>
      </w:r>
      <w:r w:rsidRPr="004A1AAB">
        <w:tab/>
      </w:r>
      <w:r w:rsidRPr="004A1AAB">
        <w:rPr>
          <w:b/>
        </w:rPr>
        <w:t>Комитет рекомендует государству-участнику принять необходимые законодательные меры в целях обеспечения того, чтобы минимальное наказание за преступление насильственного исчезновения соответствовало статье</w:t>
      </w:r>
      <w:r>
        <w:rPr>
          <w:b/>
        </w:rPr>
        <w:t> </w:t>
      </w:r>
      <w:r w:rsidRPr="004A1AAB">
        <w:rPr>
          <w:b/>
        </w:rPr>
        <w:t>7 Конвенции и должным образом учитывало его особо тяжкий характер</w:t>
      </w:r>
      <w:r w:rsidRPr="004A1AAB">
        <w:rPr>
          <w:b/>
          <w:bCs/>
        </w:rPr>
        <w:t>.</w:t>
      </w:r>
    </w:p>
    <w:p w14:paraId="0749FD40" w14:textId="1CBBB747" w:rsidR="00C4484A" w:rsidRPr="004A1AAB" w:rsidRDefault="00C4484A" w:rsidP="00C4484A">
      <w:pPr>
        <w:pStyle w:val="H23G"/>
      </w:pPr>
      <w:r w:rsidRPr="004A1AAB">
        <w:tab/>
      </w:r>
      <w:r w:rsidRPr="004A1AAB">
        <w:tab/>
        <w:t>Законопроект о домашнем аресте для привлеченных к ответственности и</w:t>
      </w:r>
      <w:r w:rsidR="0045646C">
        <w:rPr>
          <w:lang w:val="fr-CH"/>
        </w:rPr>
        <w:t> </w:t>
      </w:r>
      <w:r w:rsidRPr="004A1AAB">
        <w:t>осужденных старше 65 лет</w:t>
      </w:r>
    </w:p>
    <w:p w14:paraId="3C853EE4" w14:textId="5DDF271B" w:rsidR="00C4484A" w:rsidRPr="004A1AAB" w:rsidRDefault="00C4484A" w:rsidP="00C4484A">
      <w:pPr>
        <w:pStyle w:val="SingleTxtG"/>
      </w:pPr>
      <w:r w:rsidRPr="004A1AAB">
        <w:t>8.</w:t>
      </w:r>
      <w:r w:rsidRPr="004A1AAB">
        <w:tab/>
        <w:t>Комитет с обеспокоенностью отмечает существование законопроекта о домашнем аресте, предусматривающего замену по гуманитарным соображениям наказаний в виде лишения свободы режимом домашнего ареста для привлеченных к ответственности и осужденных старше 65 лет, к числу которых ex officio могут быть отнесены лица, привлеченные к ответственности и осужденные за совершение насильственных исчезновений в прошлом, с учетом того, что на них не обязательно будут распространяться исключения, предусмотренные этим законопроектом (статья</w:t>
      </w:r>
      <w:r w:rsidR="00F51620">
        <w:rPr>
          <w:lang w:val="fr-CH"/>
        </w:rPr>
        <w:t> </w:t>
      </w:r>
      <w:r w:rsidRPr="004A1AAB">
        <w:t>7).</w:t>
      </w:r>
    </w:p>
    <w:p w14:paraId="5ECA84F9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t>9.</w:t>
      </w:r>
      <w:r w:rsidRPr="004A1AAB">
        <w:tab/>
      </w:r>
      <w:r w:rsidRPr="004A1AAB">
        <w:rPr>
          <w:b/>
        </w:rPr>
        <w:t>Принимая во внимание тот факт, что уругвайское законодательство уже предусматривает правовые механизмы доступа к домашнему аресту</w:t>
      </w:r>
      <w:r w:rsidRPr="004A1AAB">
        <w:t xml:space="preserve"> </w:t>
      </w:r>
      <w:r w:rsidRPr="004A1AAB">
        <w:rPr>
          <w:b/>
        </w:rPr>
        <w:t>подвергшихся судебному преследованию и осужденных лиц, Комитет призывает государство-участник отозвать законопроект, регулирующий применение режима домашнего ареста в отношении привлеченных к ответственности и осужденных старше 65 лет.</w:t>
      </w:r>
      <w:r w:rsidRPr="004A1AAB">
        <w:rPr>
          <w:b/>
          <w:bCs/>
        </w:rPr>
        <w:t xml:space="preserve"> В случае продолжения рассмотрения законопроекта он рекомендует государству-участнику обеспечить его полное согласование с Конвенцией и другими соответствующими международными стандартами и не применять его ex officio в отношении любого лица, ответственного за участие в совершении насильственного исчезновения, независимо от даты его совершения и присвоенной ему юридической квалификации.</w:t>
      </w:r>
    </w:p>
    <w:p w14:paraId="1A5C1DA0" w14:textId="77777777" w:rsidR="00C4484A" w:rsidRPr="004A1AAB" w:rsidRDefault="00C4484A" w:rsidP="00C4484A">
      <w:pPr>
        <w:pStyle w:val="H23G"/>
      </w:pPr>
      <w:r w:rsidRPr="004A1AAB">
        <w:tab/>
      </w:r>
      <w:r w:rsidRPr="004A1AAB">
        <w:tab/>
      </w:r>
      <w:r w:rsidRPr="004A1AAB">
        <w:rPr>
          <w:bCs/>
          <w:iCs/>
        </w:rPr>
        <w:t xml:space="preserve">Хабеас корпус </w:t>
      </w:r>
    </w:p>
    <w:p w14:paraId="5AE93C72" w14:textId="0A6AF40D" w:rsidR="00C4484A" w:rsidRPr="004A1AAB" w:rsidRDefault="00C4484A" w:rsidP="00C4484A">
      <w:pPr>
        <w:pStyle w:val="SingleTxtG"/>
      </w:pPr>
      <w:r w:rsidRPr="004A1AAB">
        <w:t>10.</w:t>
      </w:r>
      <w:r w:rsidRPr="004A1AAB">
        <w:tab/>
        <w:t>Комитет напоминает о своих предыдущих заключительных замечаниях</w:t>
      </w:r>
      <w:r w:rsidRPr="004A1AAB">
        <w:rPr>
          <w:rStyle w:val="aa"/>
        </w:rPr>
        <w:footnoteReference w:id="7"/>
      </w:r>
      <w:r w:rsidRPr="004A1AAB">
        <w:t xml:space="preserve"> и в этой связи приветствует регулирование применения процедуры хабеас корпус в условиях тюремного заключения, предусмотренное в статьях</w:t>
      </w:r>
      <w:r w:rsidR="00EC439D">
        <w:rPr>
          <w:lang w:val="fr-CH"/>
        </w:rPr>
        <w:t> </w:t>
      </w:r>
      <w:r w:rsidRPr="004A1AAB">
        <w:t>351</w:t>
      </w:r>
      <w:r w:rsidR="00EC439D" w:rsidRPr="00EC439D">
        <w:t>–</w:t>
      </w:r>
      <w:r w:rsidRPr="004A1AAB">
        <w:t>357 нового Уголовно-процессуального кодекса</w:t>
      </w:r>
      <w:r w:rsidRPr="004A1AAB">
        <w:rPr>
          <w:rStyle w:val="aa"/>
        </w:rPr>
        <w:footnoteReference w:id="8"/>
      </w:r>
      <w:r w:rsidRPr="004A1AAB">
        <w:t xml:space="preserve">. Он также с удовлетворением отмечает представленную в ходе диалога информацию о том, что статья 17 Конституции Республики, предусматривающая процедуру хабеас корпус, является нормой, которая полностью включена в повседневную работу судов. Однако он обеспокоен тем, что применение процедуры хабеас корпус не регламентировано для случаев, когда лишение свободы происходит в контексте неуголовного судопроизводства. В этой связи он с обеспокоенностью отмечает, что в отсутствие регулирования таких случаев государство-участник утверждает, что решение о рассмотрении возможного </w:t>
      </w:r>
      <w:r w:rsidRPr="004A1AAB">
        <w:lastRenderedPageBreak/>
        <w:t>обжалования будет зависеть от судьи и его технической самостоятельности в каждом конкретном деле</w:t>
      </w:r>
      <w:r w:rsidRPr="004A1AAB">
        <w:rPr>
          <w:rStyle w:val="aa"/>
        </w:rPr>
        <w:footnoteReference w:id="9"/>
      </w:r>
      <w:r w:rsidRPr="004A1AAB">
        <w:t xml:space="preserve"> (статья 17).</w:t>
      </w:r>
    </w:p>
    <w:p w14:paraId="40C0B988" w14:textId="77777777" w:rsidR="00C4484A" w:rsidRPr="004A1AAB" w:rsidRDefault="00C4484A" w:rsidP="00C4484A">
      <w:pPr>
        <w:pStyle w:val="SingleTxtG"/>
      </w:pPr>
      <w:r w:rsidRPr="004A1AAB">
        <w:t>11.</w:t>
      </w:r>
      <w:r w:rsidRPr="004A1AAB">
        <w:tab/>
      </w:r>
      <w:r w:rsidRPr="004A1AAB">
        <w:rPr>
          <w:b/>
        </w:rPr>
        <w:t>Комитет рекомендует государству-участнику регламентировать применение процедуры хабеас корпус в отношении лишения свободы, которое может иметь место в контексте неуголовного судопроизводства, обеспечив полное соблюдение подпункта f) пункта 2 статьи 17 Конвенции.</w:t>
      </w:r>
      <w:r w:rsidRPr="004A1AAB">
        <w:t xml:space="preserve"> </w:t>
      </w:r>
    </w:p>
    <w:p w14:paraId="3C9A6143" w14:textId="77777777" w:rsidR="00C4484A" w:rsidRPr="004A1AAB" w:rsidRDefault="00C4484A" w:rsidP="00C4484A">
      <w:pPr>
        <w:pStyle w:val="H23G"/>
      </w:pPr>
      <w:r w:rsidRPr="004A1AAB">
        <w:tab/>
      </w:r>
      <w:r w:rsidRPr="004A1AAB">
        <w:tab/>
        <w:t xml:space="preserve">Определение жертвы </w:t>
      </w:r>
    </w:p>
    <w:p w14:paraId="09920C6D" w14:textId="54324232" w:rsidR="00C4484A" w:rsidRPr="004A1AAB" w:rsidRDefault="00C4484A" w:rsidP="00C4484A">
      <w:pPr>
        <w:pStyle w:val="SingleTxtG"/>
      </w:pPr>
      <w:r w:rsidRPr="004A1AAB">
        <w:t>12.</w:t>
      </w:r>
      <w:r w:rsidRPr="004A1AAB">
        <w:tab/>
        <w:t xml:space="preserve">Комитет отмечает, что статья 79.1 Уголовно-процессуального кодекса определяет жертву как </w:t>
      </w:r>
      <w:r>
        <w:t>«</w:t>
      </w:r>
      <w:r w:rsidRPr="004A1AAB">
        <w:t>лицо, пострадавшее от преступления</w:t>
      </w:r>
      <w:r>
        <w:t>»</w:t>
      </w:r>
      <w:r w:rsidRPr="004A1AAB">
        <w:t xml:space="preserve"> и что статья</w:t>
      </w:r>
      <w:r>
        <w:t> </w:t>
      </w:r>
      <w:r w:rsidRPr="004A1AAB">
        <w:t>80 Уголовно-процессуального кодекса устанавливает, кто может представлять интересы жертв в случае смерти или невозможности осуществления ими своих прав. В этой связи он принимает к сведению позицию, выраженную государством-участником в ходе диалога, согласно которой эти нормативные положения вместе со статьей</w:t>
      </w:r>
      <w:r>
        <w:t> </w:t>
      </w:r>
      <w:r w:rsidRPr="004A1AAB">
        <w:t>13 Закона № 18.026 об участии жертв в судебном разбирательстве позволяют охватить всех жертв насильственного исчезновения, так как речь идет о многосоставном преступлении. Однако Комитет считает, что этих нормативных положений будет недостаточно для охвата всех лиц, которым причинен непосредственный вред в результате насильственного исчезновения (статья 24).</w:t>
      </w:r>
    </w:p>
    <w:p w14:paraId="42F37735" w14:textId="3C948AEE" w:rsidR="00C4484A" w:rsidRPr="004A1AAB" w:rsidRDefault="00C4484A" w:rsidP="00C4484A">
      <w:pPr>
        <w:pStyle w:val="SingleTxtG"/>
        <w:rPr>
          <w:b/>
          <w:bCs/>
        </w:rPr>
      </w:pPr>
      <w:r w:rsidRPr="004A1AAB">
        <w:t>13.</w:t>
      </w:r>
      <w:r w:rsidRPr="004A1AAB">
        <w:tab/>
      </w:r>
      <w:r w:rsidRPr="004A1AAB">
        <w:rPr>
          <w:b/>
          <w:bCs/>
        </w:rPr>
        <w:t xml:space="preserve">Комитет рекомендует государству-участнику принять в своем внутреннем законодательстве определение жертвы, которое полностью соответствует определению, содержащемуся в пункте 1 статьи 24 Конвенции. Тем временем Комитет рекомендует государству-участнику обеспечить, чтобы термин </w:t>
      </w:r>
      <w:r>
        <w:rPr>
          <w:b/>
          <w:bCs/>
        </w:rPr>
        <w:t>«</w:t>
      </w:r>
      <w:r w:rsidRPr="004A1AAB">
        <w:rPr>
          <w:b/>
          <w:bCs/>
        </w:rPr>
        <w:t>потерпевший</w:t>
      </w:r>
      <w:r>
        <w:rPr>
          <w:b/>
          <w:bCs/>
        </w:rPr>
        <w:t>»</w:t>
      </w:r>
      <w:r w:rsidRPr="004A1AAB">
        <w:rPr>
          <w:b/>
          <w:bCs/>
        </w:rPr>
        <w:t>, содержащийся в действующем законодательстве, применялся на практике в соответствии с определением жертвы, закрепленным в Конвенции, и</w:t>
      </w:r>
      <w:r>
        <w:rPr>
          <w:b/>
          <w:bCs/>
        </w:rPr>
        <w:t> </w:t>
      </w:r>
      <w:r w:rsidRPr="004A1AAB">
        <w:rPr>
          <w:b/>
          <w:bCs/>
        </w:rPr>
        <w:t>гарантировать, чтобы любое физическое лицо, которому причинен непосредственный вред в результате насильственного исчезновения, без какого-либо исключения</w:t>
      </w:r>
      <w:r>
        <w:rPr>
          <w:b/>
          <w:bCs/>
        </w:rPr>
        <w:t>,</w:t>
      </w:r>
      <w:r w:rsidRPr="004A1AAB">
        <w:rPr>
          <w:b/>
          <w:bCs/>
        </w:rPr>
        <w:t xml:space="preserve"> могло осуществлять права, предусмотренные Конвенцией, в</w:t>
      </w:r>
      <w:r w:rsidR="00165797">
        <w:rPr>
          <w:b/>
          <w:bCs/>
          <w:lang w:val="fr-CH"/>
        </w:rPr>
        <w:t> </w:t>
      </w:r>
      <w:r w:rsidRPr="00187287">
        <w:rPr>
          <w:b/>
          <w:bCs/>
        </w:rPr>
        <w:t>частности, право на справедливость, истину и полное возмещение ущерба</w:t>
      </w:r>
      <w:r w:rsidRPr="004A1AAB">
        <w:rPr>
          <w:b/>
          <w:bCs/>
        </w:rPr>
        <w:t>.</w:t>
      </w:r>
    </w:p>
    <w:p w14:paraId="1130FC48" w14:textId="77777777" w:rsidR="00C4484A" w:rsidRPr="004A1AAB" w:rsidRDefault="00C4484A" w:rsidP="00C4484A">
      <w:pPr>
        <w:pStyle w:val="H23G"/>
      </w:pPr>
      <w:r w:rsidRPr="004A1AAB">
        <w:tab/>
      </w:r>
      <w:r w:rsidRPr="004A1AAB">
        <w:tab/>
        <w:t xml:space="preserve">Законодательство, касающееся неправомерного изъятия детей </w:t>
      </w:r>
    </w:p>
    <w:p w14:paraId="1F4B0956" w14:textId="77777777" w:rsidR="00C4484A" w:rsidRPr="004A1AAB" w:rsidRDefault="00C4484A" w:rsidP="00C4484A">
      <w:pPr>
        <w:pStyle w:val="SingleTxtG"/>
      </w:pPr>
      <w:r w:rsidRPr="004A1AAB">
        <w:t>14.</w:t>
      </w:r>
      <w:r w:rsidRPr="004A1AAB">
        <w:tab/>
        <w:t>Комитет вновь принимает к сведению информацию государства-участника об уголовных положениях, которые могут быть применены в отношении деяний, описанных в пункте 1 статьи 25 Конвенции, таких как отмена или презумпция гражданского состояния</w:t>
      </w:r>
      <w:r w:rsidRPr="004A1AAB">
        <w:rPr>
          <w:rStyle w:val="aa"/>
        </w:rPr>
        <w:footnoteReference w:id="10"/>
      </w:r>
      <w:r w:rsidRPr="004A1AAB">
        <w:t>, а также насильственное исчезновение с отягчающими обстоятельствами. Однако он сожалеет, что государство-участник не включило деяния, описанные в вышеупомянутой статье, в число конкретных преступлений, несмотря на рекомендацию, содержащуюся в его предыдущих заключительных замечаниях</w:t>
      </w:r>
      <w:r w:rsidRPr="004A1AAB">
        <w:rPr>
          <w:rStyle w:val="aa"/>
        </w:rPr>
        <w:footnoteReference w:id="11"/>
      </w:r>
      <w:r w:rsidRPr="004A1AAB">
        <w:t xml:space="preserve"> (статья 25).</w:t>
      </w:r>
    </w:p>
    <w:p w14:paraId="1CB1DE0B" w14:textId="528555B9" w:rsidR="00C4484A" w:rsidRPr="004A1AAB" w:rsidRDefault="00C4484A" w:rsidP="00C4484A">
      <w:pPr>
        <w:pStyle w:val="SingleTxtG"/>
        <w:rPr>
          <w:b/>
          <w:bCs/>
        </w:rPr>
      </w:pPr>
      <w:r w:rsidRPr="004A1AAB">
        <w:t>15.</w:t>
      </w:r>
      <w:r w:rsidRPr="004A1AAB">
        <w:tab/>
      </w:r>
      <w:r w:rsidRPr="004A1AAB">
        <w:rPr>
          <w:b/>
        </w:rPr>
        <w:t>Комитет рекомендует государству-участнику принять необходимые законодательные меры в целях квалификации в качестве конкретных преступлений деяния, описанные в пункте 1 статьи 25 Конвенции, и</w:t>
      </w:r>
      <w:r>
        <w:rPr>
          <w:b/>
        </w:rPr>
        <w:t> </w:t>
      </w:r>
      <w:r w:rsidRPr="004A1AAB">
        <w:rPr>
          <w:b/>
        </w:rPr>
        <w:t>установления применительно к ним надлежащих мер наказания с учетом их особо тяжкого характера.</w:t>
      </w:r>
      <w:r w:rsidRPr="004A1AAB">
        <w:t xml:space="preserve"> </w:t>
      </w:r>
    </w:p>
    <w:p w14:paraId="6EA00F81" w14:textId="77777777" w:rsidR="00C4484A" w:rsidRPr="004A1AAB" w:rsidRDefault="00C4484A" w:rsidP="00C4484A">
      <w:pPr>
        <w:pStyle w:val="H23G"/>
      </w:pPr>
      <w:r w:rsidRPr="004A1AAB">
        <w:tab/>
        <w:t>3.</w:t>
      </w:r>
      <w:r w:rsidRPr="004A1AAB">
        <w:tab/>
        <w:t xml:space="preserve">Поиск и расследование </w:t>
      </w:r>
    </w:p>
    <w:p w14:paraId="0D7FBAF5" w14:textId="77777777" w:rsidR="00C4484A" w:rsidRPr="004A1AAB" w:rsidRDefault="00C4484A" w:rsidP="00C4484A">
      <w:pPr>
        <w:pStyle w:val="H23G"/>
      </w:pPr>
      <w:r w:rsidRPr="004A1AAB">
        <w:tab/>
      </w:r>
      <w:r w:rsidRPr="004A1AAB">
        <w:tab/>
        <w:t xml:space="preserve">Расследование насильственных исчезновений, имевших место в прошлом </w:t>
      </w:r>
    </w:p>
    <w:p w14:paraId="7833FC7A" w14:textId="6E3199AF" w:rsidR="00C4484A" w:rsidRPr="004A1AAB" w:rsidRDefault="00C4484A" w:rsidP="00C4484A">
      <w:pPr>
        <w:pStyle w:val="SingleTxtG"/>
      </w:pPr>
      <w:r w:rsidRPr="004A1AAB">
        <w:t>16.</w:t>
      </w:r>
      <w:r w:rsidRPr="004A1AAB">
        <w:tab/>
        <w:t xml:space="preserve">Комитет принимает к сведению представленную государством-участником информацию об усилиях, предпринятых для расследования насильственных </w:t>
      </w:r>
      <w:r w:rsidRPr="004A1AAB">
        <w:lastRenderedPageBreak/>
        <w:t>исчезновений, которые могли иметь место в период с 1968</w:t>
      </w:r>
      <w:r>
        <w:t> год</w:t>
      </w:r>
      <w:r w:rsidRPr="004A1AAB">
        <w:t>а по 1985</w:t>
      </w:r>
      <w:r>
        <w:t> год</w:t>
      </w:r>
      <w:r w:rsidRPr="004A1AAB">
        <w:t>. Однако Комитет обеспокоен выводом Рабочей группы по насильственным или недобровольным исчезновениям, сделанным в ее недавних предварительных замечаниях по итогам посещения Уругвая, относительно системной безнаказанности, сохраняющейся в отношении этих случаев, а также медленным продвижением текущих расследований и судебных разбирательств</w:t>
      </w:r>
      <w:r w:rsidRPr="004A1AAB">
        <w:rPr>
          <w:rStyle w:val="aa"/>
        </w:rPr>
        <w:footnoteReference w:id="12"/>
      </w:r>
      <w:r w:rsidRPr="004A1AAB">
        <w:t>. В этой связи он с интересом воспринимает полученную в ходе диалога информацию о мерах, принятых для ускорения процессуальных действий. Он также с удовлетворением отмечает, что Специализированная прокуратура по делам о преступлениях против человечности выносит свои обвинительные заключения на основании квалификации преступления насильственного исчезновения. Вместе с тем Комитет обеспокоен тем, что до настоящего времени не было вынесено ни одного приговора за это преступление. В</w:t>
      </w:r>
      <w:r>
        <w:t> </w:t>
      </w:r>
      <w:r w:rsidRPr="004A1AAB">
        <w:t>этой связи Комитет напоминает о своей предыдущей рекомендации государству-участнику обеспечить, чтобы насильственные исчезновения расследовались как таковые, а виновные наказывались за это преступление, независимо от времени, истекшего с момента начала преступного деяния</w:t>
      </w:r>
      <w:r w:rsidRPr="004A1AAB">
        <w:rPr>
          <w:rStyle w:val="aa"/>
        </w:rPr>
        <w:footnoteReference w:id="13"/>
      </w:r>
      <w:r w:rsidRPr="00165797">
        <w:rPr>
          <w:rStyle w:val="aa"/>
          <w:sz w:val="20"/>
          <w:vertAlign w:val="baseline"/>
        </w:rPr>
        <w:t xml:space="preserve"> </w:t>
      </w:r>
      <w:r w:rsidRPr="00C4484A">
        <w:rPr>
          <w:rStyle w:val="aa"/>
          <w:sz w:val="20"/>
          <w:vertAlign w:val="baseline"/>
        </w:rPr>
        <w:t>(статьи 8, 12 и 24)</w:t>
      </w:r>
      <w:r w:rsidRPr="00C4484A">
        <w:t>.</w:t>
      </w:r>
      <w:r w:rsidRPr="004A1AAB">
        <w:t xml:space="preserve"> </w:t>
      </w:r>
    </w:p>
    <w:p w14:paraId="7D69CC5A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t>17.</w:t>
      </w:r>
      <w:r w:rsidRPr="004A1AAB">
        <w:tab/>
      </w:r>
      <w:r w:rsidRPr="004A1AAB">
        <w:rPr>
          <w:b/>
          <w:bCs/>
        </w:rPr>
        <w:t xml:space="preserve">Комитет настоятельно призывает государство-участник: </w:t>
      </w:r>
    </w:p>
    <w:p w14:paraId="5ED19899" w14:textId="03797DC6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a)</w:t>
      </w:r>
      <w:r w:rsidRPr="004A1AAB">
        <w:rPr>
          <w:b/>
          <w:bCs/>
        </w:rPr>
        <w:tab/>
        <w:t>принять необходимые меры для ускорения рассмотрения всех текущих судебных дел по расследованию насильственных исчезновений, которые могли иметь место в период с 1968</w:t>
      </w:r>
      <w:r>
        <w:rPr>
          <w:b/>
          <w:bCs/>
        </w:rPr>
        <w:t> год</w:t>
      </w:r>
      <w:r w:rsidRPr="004A1AAB">
        <w:rPr>
          <w:b/>
          <w:bCs/>
        </w:rPr>
        <w:t>а по 1985</w:t>
      </w:r>
      <w:r>
        <w:rPr>
          <w:b/>
          <w:bCs/>
        </w:rPr>
        <w:t> год</w:t>
      </w:r>
      <w:r w:rsidRPr="004A1AAB">
        <w:rPr>
          <w:b/>
          <w:bCs/>
        </w:rPr>
        <w:t xml:space="preserve">; </w:t>
      </w:r>
    </w:p>
    <w:p w14:paraId="29D801D2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b)</w:t>
      </w:r>
      <w:r w:rsidRPr="004A1AAB">
        <w:rPr>
          <w:b/>
          <w:bCs/>
        </w:rPr>
        <w:tab/>
        <w:t xml:space="preserve">обеспечить, чтобы предполагаемые виновники насильственных исчезновений были привлечены к судебной ответственности и, в случае признания их виновными, наказаны сообразно тяжести совершенных ими деяний; </w:t>
      </w:r>
    </w:p>
    <w:p w14:paraId="5ECA9FC4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c)</w:t>
      </w:r>
      <w:r w:rsidRPr="004A1AAB">
        <w:rPr>
          <w:b/>
          <w:bCs/>
        </w:rPr>
        <w:tab/>
        <w:t xml:space="preserve">обеспечить, чтобы все дела о насильственных исчезновениях, которые могли иметь место до вступления в силу Закона № 18.026 и которые не прекратились после его вступления в силу, расследовались на основании квалификации преступления насильственного исчезновения; </w:t>
      </w:r>
    </w:p>
    <w:p w14:paraId="1E60112D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d)</w:t>
      </w:r>
      <w:r w:rsidRPr="004A1AAB">
        <w:rPr>
          <w:b/>
          <w:bCs/>
        </w:rPr>
        <w:tab/>
        <w:t xml:space="preserve">обеспечить продолжение и активизацию сотрудничества и координацию деятельности органов, отвечающих за расследование исчезновений и поиск пропавших без вести лиц; </w:t>
      </w:r>
    </w:p>
    <w:p w14:paraId="667F9F32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e)</w:t>
      </w:r>
      <w:r w:rsidRPr="004A1AAB">
        <w:rPr>
          <w:b/>
          <w:bCs/>
        </w:rPr>
        <w:tab/>
        <w:t xml:space="preserve">обеспечить, чтобы учреждения, занимающиеся расследованием насильственных исчезновений, в частности Специализированная прокуратура по делам о преступлениях против человечности, продолжали располагать достаточными финансовыми, техническими и квалифицированными кадровыми ресурсами для оперативного и эффективного выполнения своих мандатов. </w:t>
      </w:r>
    </w:p>
    <w:p w14:paraId="490B35AD" w14:textId="77777777" w:rsidR="00C4484A" w:rsidRPr="004A1AAB" w:rsidRDefault="00C4484A" w:rsidP="00C4484A">
      <w:pPr>
        <w:pStyle w:val="H23G"/>
      </w:pPr>
      <w:r w:rsidRPr="004A1AAB">
        <w:tab/>
      </w:r>
      <w:r w:rsidRPr="004A1AAB">
        <w:tab/>
        <w:t xml:space="preserve">Поиск пропавших без вести лиц </w:t>
      </w:r>
    </w:p>
    <w:p w14:paraId="4E1718FF" w14:textId="14B28C27" w:rsidR="00C4484A" w:rsidRPr="004A1AAB" w:rsidRDefault="00C4484A" w:rsidP="00C4484A">
      <w:pPr>
        <w:pStyle w:val="SingleTxtG"/>
      </w:pPr>
      <w:r w:rsidRPr="004A1AAB">
        <w:t>18.</w:t>
      </w:r>
      <w:r w:rsidRPr="004A1AAB">
        <w:tab/>
        <w:t>Комитет приветствует информацию о мерах, принятых в государстве-участнике для розыска лиц, подвергшихся насильственному исчезновению в период с 1968</w:t>
      </w:r>
      <w:r>
        <w:t> год</w:t>
      </w:r>
      <w:r w:rsidRPr="004A1AAB">
        <w:t>а по 1985</w:t>
      </w:r>
      <w:r>
        <w:t> год</w:t>
      </w:r>
      <w:r w:rsidRPr="004A1AAB">
        <w:t>. В частности, он отмечает создание в 2015</w:t>
      </w:r>
      <w:r>
        <w:t> год</w:t>
      </w:r>
      <w:r w:rsidRPr="004A1AAB">
        <w:t>у Рабочей группы по установлению истины и справедливости, действие мандата которой закончилось в 2019</w:t>
      </w:r>
      <w:r>
        <w:t> год</w:t>
      </w:r>
      <w:r w:rsidRPr="004A1AAB">
        <w:t>у, и назначение в 2019</w:t>
      </w:r>
      <w:r>
        <w:t> год</w:t>
      </w:r>
      <w:r w:rsidRPr="004A1AAB">
        <w:t>у Национального правозащитного учреждения в качестве учреждения, отвечающего за поиск пропавших без вести лиц на территории Уругвая и за его пределами. Однако он обеспокоен медленным прогрессом в таких поисках, а также полученными утверждениями о препятствиях в деле розыска пропавших без вести лиц, включая утрату или порчу улик, и сведениями Национального правозащитного учреждения, представленными в апреле 2021</w:t>
      </w:r>
      <w:r>
        <w:t> год</w:t>
      </w:r>
      <w:r w:rsidRPr="004A1AAB">
        <w:t xml:space="preserve">а Межамериканскому суду по правам человека в связи с отказом бывших высокопоставленных военнослужащих предоставлять соответствующую </w:t>
      </w:r>
      <w:r w:rsidRPr="004A1AAB">
        <w:lastRenderedPageBreak/>
        <w:t>информацию</w:t>
      </w:r>
      <w:r w:rsidRPr="004A1AAB">
        <w:rPr>
          <w:rStyle w:val="aa"/>
        </w:rPr>
        <w:footnoteReference w:id="14"/>
      </w:r>
      <w:r w:rsidRPr="004A1AAB">
        <w:t xml:space="preserve">. С другой стороны, он с интересом отмечает содержание доклада об оценке деятельности Национального правозащитного учреждения и Управления Народного защитника, проведенной в соответствии с постановлением </w:t>
      </w:r>
      <w:r w:rsidRPr="004A6E7A">
        <w:t>Палаты сенаторов</w:t>
      </w:r>
      <w:r w:rsidRPr="004A1AAB">
        <w:t xml:space="preserve"> от 10 февраля 2021</w:t>
      </w:r>
      <w:r>
        <w:t> год</w:t>
      </w:r>
      <w:r w:rsidRPr="004A1AAB">
        <w:t xml:space="preserve">а (статьи 7, 12, 15 и 24). </w:t>
      </w:r>
    </w:p>
    <w:p w14:paraId="6726BEBC" w14:textId="0D53E60A" w:rsidR="00C4484A" w:rsidRPr="004A1AAB" w:rsidRDefault="00C4484A" w:rsidP="00C4484A">
      <w:pPr>
        <w:pStyle w:val="SingleTxtG"/>
        <w:rPr>
          <w:b/>
          <w:bCs/>
        </w:rPr>
      </w:pPr>
      <w:r w:rsidRPr="004A1AAB">
        <w:t>19.</w:t>
      </w:r>
      <w:r w:rsidRPr="004A1AAB">
        <w:tab/>
      </w:r>
      <w:r w:rsidRPr="004A1AAB">
        <w:rPr>
          <w:b/>
          <w:bCs/>
        </w:rPr>
        <w:t>Комитет призывает государство-участник при разработке и осуществлении комплексных стратегий поиска принимать во внимание Руководящие принципы поиска пропавших без вести лиц</w:t>
      </w:r>
      <w:r w:rsidRPr="004A1AAB">
        <w:rPr>
          <w:rStyle w:val="aa"/>
        </w:rPr>
        <w:footnoteReference w:id="15"/>
      </w:r>
      <w:r w:rsidRPr="004A1AAB">
        <w:rPr>
          <w:b/>
          <w:bCs/>
        </w:rPr>
        <w:t>. Он также рекомендует удвоить усилия по поиску, установлению местонахождения и освобождению тех лиц, которые могли подвергнуться насильственному исчезновению в период с 1968</w:t>
      </w:r>
      <w:r>
        <w:rPr>
          <w:b/>
          <w:bCs/>
        </w:rPr>
        <w:t> год</w:t>
      </w:r>
      <w:r w:rsidRPr="004A1AAB">
        <w:rPr>
          <w:b/>
          <w:bCs/>
        </w:rPr>
        <w:t>а по 1985</w:t>
      </w:r>
      <w:r>
        <w:rPr>
          <w:b/>
          <w:bCs/>
        </w:rPr>
        <w:t> год</w:t>
      </w:r>
      <w:r w:rsidRPr="004A1AAB">
        <w:rPr>
          <w:b/>
          <w:bCs/>
        </w:rPr>
        <w:t xml:space="preserve"> и которые до сих пор числятся пропавшими без вести, а в случае смерти </w:t>
      </w:r>
      <w:r w:rsidR="00307FF8" w:rsidRPr="004738A1">
        <w:rPr>
          <w:b/>
          <w:bCs/>
        </w:rPr>
        <w:t>—</w:t>
      </w:r>
      <w:r w:rsidRPr="004A1AAB">
        <w:rPr>
          <w:b/>
          <w:bCs/>
        </w:rPr>
        <w:t xml:space="preserve"> как можно скорее идентифицировать и вернуть их останки в достойных условиях. В связи с этим он рекомендует: </w:t>
      </w:r>
    </w:p>
    <w:p w14:paraId="547012CE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a)</w:t>
      </w:r>
      <w:r w:rsidRPr="004A1AAB">
        <w:rPr>
          <w:b/>
          <w:bCs/>
        </w:rPr>
        <w:tab/>
        <w:t xml:space="preserve">следить за надлежащим сохранением всех архивов и документов, которые могут иметь отношение к поиску пропавших без вести лиц и/или расследованию предполагаемых насильственных исчезновений, в том числе путем оперативного перевода их в цифровой формат; </w:t>
      </w:r>
    </w:p>
    <w:p w14:paraId="6A8E40E0" w14:textId="26FD004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b)</w:t>
      </w:r>
      <w:r w:rsidRPr="004A1AAB">
        <w:rPr>
          <w:b/>
          <w:bCs/>
        </w:rPr>
        <w:tab/>
        <w:t>обеспечить эффективный доступ к архивам, хранящимся в Секретариате по вопросам соблюдения прав человека в недавнем прошлом, и</w:t>
      </w:r>
      <w:r>
        <w:rPr>
          <w:b/>
          <w:bCs/>
        </w:rPr>
        <w:t> </w:t>
      </w:r>
      <w:r w:rsidRPr="004A1AAB">
        <w:rPr>
          <w:b/>
          <w:bCs/>
        </w:rPr>
        <w:t xml:space="preserve">ускорить их передачу Национальному правозащитному учреждению, с тем чтобы завершить этот процесс в кратчайшие сроки; </w:t>
      </w:r>
    </w:p>
    <w:p w14:paraId="6E5BBB9F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c)</w:t>
      </w:r>
      <w:r w:rsidRPr="004A1AAB">
        <w:rPr>
          <w:b/>
          <w:bCs/>
        </w:rPr>
        <w:tab/>
        <w:t xml:space="preserve">соответствующим государственным органам, в частности Министерству обороны, систематически, инициативно и без промедления искать и выявлять все архивы и документы, существование которых еще не было обнаружено органами, занимающимися поиском пропавших без вести лиц и/или расследованием предполагаемых насильственных исчезновений, и которые могут иметь отношение к таким задачам; </w:t>
      </w:r>
    </w:p>
    <w:p w14:paraId="5039B254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d)</w:t>
      </w:r>
      <w:r w:rsidRPr="004A1AAB">
        <w:rPr>
          <w:b/>
          <w:bCs/>
        </w:rPr>
        <w:tab/>
        <w:t xml:space="preserve">высшим органам государственной власти обратиться с публичным призывом ко всем, кто располагает информацией, которая может способствовать поиску пропавших без вести лиц, предоставить ее без промедления и без страха подвергнуться стигматизации, а также рассмотреть возможность учета смягчающих обстоятельств в отношении тех, кто участвовал в совершении насильственных исчезновений и предоставил достоверную и актуальную информацию для прояснения таких дел; </w:t>
      </w:r>
    </w:p>
    <w:p w14:paraId="507B2C30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e)</w:t>
      </w:r>
      <w:r w:rsidRPr="004A1AAB">
        <w:rPr>
          <w:b/>
          <w:bCs/>
        </w:rPr>
        <w:tab/>
        <w:t xml:space="preserve">обеспечить, чтобы все государственные субъекты активно, оперативно и надлежащим образом взаимодействовали с Национальным правозащитным учреждением и оказывали ему всю необходимую помощь, включая предоставление информации; </w:t>
      </w:r>
    </w:p>
    <w:p w14:paraId="205B07F4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f)</w:t>
      </w:r>
      <w:r w:rsidRPr="004A1AAB">
        <w:rPr>
          <w:b/>
          <w:bCs/>
        </w:rPr>
        <w:tab/>
        <w:t xml:space="preserve">обеспечить, чтобы Национальное правозащитное учреждение и любой другой орган, в полномочия которого входит поиск пропавших без вести лиц и идентификация их останков в случае смерти, продолжали иметь необходимые финансовые, технические и квалифицированные кадровые ресурсы для выполнения своих мандатов и, по мере возможности, увеличивать эти ресурсы; </w:t>
      </w:r>
    </w:p>
    <w:p w14:paraId="5F4CDF4D" w14:textId="43B82EBF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g)</w:t>
      </w:r>
      <w:r w:rsidRPr="004A1AAB">
        <w:rPr>
          <w:b/>
          <w:bCs/>
        </w:rPr>
        <w:tab/>
        <w:t xml:space="preserve">продолжать и укреплять сотрудничество с другими государствами-участниками в регионе в деле поиска лиц, исчезнувших в ходе так называемой операции </w:t>
      </w:r>
      <w:r>
        <w:rPr>
          <w:b/>
          <w:bCs/>
        </w:rPr>
        <w:t>«</w:t>
      </w:r>
      <w:r w:rsidRPr="004A1AAB">
        <w:rPr>
          <w:b/>
          <w:bCs/>
        </w:rPr>
        <w:t>Кондор</w:t>
      </w:r>
      <w:r>
        <w:rPr>
          <w:b/>
          <w:bCs/>
        </w:rPr>
        <w:t>»</w:t>
      </w:r>
      <w:r w:rsidRPr="004A1AAB">
        <w:rPr>
          <w:b/>
          <w:bCs/>
        </w:rPr>
        <w:t xml:space="preserve">, </w:t>
      </w:r>
      <w:r>
        <w:rPr>
          <w:b/>
          <w:bCs/>
        </w:rPr>
        <w:t>а</w:t>
      </w:r>
      <w:r w:rsidRPr="004A1AAB">
        <w:rPr>
          <w:b/>
          <w:bCs/>
        </w:rPr>
        <w:t xml:space="preserve"> в случае их гибели </w:t>
      </w:r>
      <w:r w:rsidR="004738A1" w:rsidRPr="0077799D">
        <w:rPr>
          <w:b/>
          <w:bCs/>
        </w:rPr>
        <w:t>—</w:t>
      </w:r>
      <w:r w:rsidRPr="004A1AAB">
        <w:rPr>
          <w:b/>
          <w:bCs/>
        </w:rPr>
        <w:t xml:space="preserve"> в идентификации и возвращении их останков в соответствии со статьей 15 Конвенции; </w:t>
      </w:r>
    </w:p>
    <w:p w14:paraId="231F67A3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lastRenderedPageBreak/>
        <w:tab/>
        <w:t>h)</w:t>
      </w:r>
      <w:r w:rsidRPr="004A1AAB">
        <w:rPr>
          <w:b/>
          <w:bCs/>
        </w:rPr>
        <w:tab/>
        <w:t xml:space="preserve">оказывать необходимую поддержку членам семей, участвующим в поисках уругвайцев, пропавших без вести за границей, используя дифференцированный подход; </w:t>
      </w:r>
    </w:p>
    <w:p w14:paraId="06D7A9D1" w14:textId="171DA818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i)</w:t>
      </w:r>
      <w:r w:rsidRPr="004A1AAB">
        <w:rPr>
          <w:b/>
          <w:bCs/>
        </w:rPr>
        <w:tab/>
        <w:t>выполнить рекомендации, содержащиеся в докладе об оценке</w:t>
      </w:r>
      <w:r w:rsidRPr="004A1AAB">
        <w:t xml:space="preserve"> </w:t>
      </w:r>
      <w:r w:rsidRPr="004A1AAB">
        <w:rPr>
          <w:b/>
          <w:bCs/>
        </w:rPr>
        <w:t xml:space="preserve">деятельности Национального правозащитного учреждения и Управления Народного защитника, проведенной в соответствии с постановлением </w:t>
      </w:r>
      <w:r w:rsidRPr="004A6E7A">
        <w:rPr>
          <w:b/>
          <w:bCs/>
        </w:rPr>
        <w:t>Палаты сенаторов</w:t>
      </w:r>
      <w:r w:rsidRPr="004A1AAB">
        <w:rPr>
          <w:b/>
          <w:bCs/>
        </w:rPr>
        <w:t xml:space="preserve"> от 10 февраля 2021</w:t>
      </w:r>
      <w:r>
        <w:rPr>
          <w:b/>
          <w:bCs/>
        </w:rPr>
        <w:t> год</w:t>
      </w:r>
      <w:r w:rsidRPr="004A1AAB">
        <w:rPr>
          <w:b/>
          <w:bCs/>
        </w:rPr>
        <w:t>а;</w:t>
      </w:r>
    </w:p>
    <w:p w14:paraId="1A9A62FC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j)</w:t>
      </w:r>
      <w:r w:rsidRPr="004A1AAB">
        <w:rPr>
          <w:b/>
          <w:bCs/>
        </w:rPr>
        <w:tab/>
        <w:t xml:space="preserve">обеспечить продолжение тщательных и усердных поисков до тех пор, пока не будет выяснена судьба и/или установлено местонахождение всех лиц, которые все еще числятся пропавшими без вести. </w:t>
      </w:r>
    </w:p>
    <w:p w14:paraId="2FD42FE5" w14:textId="77777777" w:rsidR="00C4484A" w:rsidRPr="004A1AAB" w:rsidRDefault="00C4484A" w:rsidP="00C4484A">
      <w:pPr>
        <w:pStyle w:val="H23G"/>
      </w:pPr>
      <w:r w:rsidRPr="004A1AAB">
        <w:tab/>
        <w:t>4.</w:t>
      </w:r>
      <w:r w:rsidRPr="004A1AAB">
        <w:tab/>
        <w:t>Полное возмещение ущерба</w:t>
      </w:r>
    </w:p>
    <w:p w14:paraId="7A3E2F91" w14:textId="77777777" w:rsidR="00C4484A" w:rsidRPr="004A1AAB" w:rsidRDefault="00C4484A" w:rsidP="00C4484A">
      <w:pPr>
        <w:pStyle w:val="H23G"/>
      </w:pPr>
      <w:r w:rsidRPr="004A1AAB">
        <w:tab/>
      </w:r>
      <w:r w:rsidRPr="004A1AAB">
        <w:tab/>
      </w:r>
      <w:r w:rsidRPr="004A1AAB">
        <w:tab/>
        <w:t>Право на возмещение ущерба</w:t>
      </w:r>
    </w:p>
    <w:p w14:paraId="3EB3C38A" w14:textId="68E628EB" w:rsidR="00C4484A" w:rsidRPr="004A1AAB" w:rsidRDefault="00C4484A" w:rsidP="00C4484A">
      <w:pPr>
        <w:pStyle w:val="SingleTxtG"/>
      </w:pPr>
      <w:r w:rsidRPr="004A1AAB">
        <w:t>20.</w:t>
      </w:r>
      <w:r w:rsidRPr="004A1AAB">
        <w:tab/>
        <w:t>Комитет с удовлетворением отмечает меры, принятые государством-участником после предыдущих заключительных замечаний в отношении возмещения ущерба в связи с нарушениями прав человека, имевшими место в период с 1968</w:t>
      </w:r>
      <w:r>
        <w:t> год</w:t>
      </w:r>
      <w:r w:rsidRPr="004A1AAB">
        <w:t>а по 1985</w:t>
      </w:r>
      <w:r>
        <w:t> год</w:t>
      </w:r>
      <w:r w:rsidRPr="004A1AAB">
        <w:t xml:space="preserve">. Однако он обеспокоен полученной информацией о препятствиях в осуществлении права на полное возмещение ущерба для всех жертв насильственных исчезновений, которые имели место в этот период. В этой связи он обеспокоен утверждениями, согласно которым: a) бремя доказывания будет возложено на жертв, которые должны будут продемонстрировать, что они получили </w:t>
      </w:r>
      <w:r>
        <w:t>«</w:t>
      </w:r>
      <w:r w:rsidRPr="004A1AAB">
        <w:t>очень серьезные</w:t>
      </w:r>
      <w:r>
        <w:t>»</w:t>
      </w:r>
      <w:r w:rsidRPr="004A1AAB">
        <w:t xml:space="preserve"> травмы; b) жертвы будут вынуждены выбирать между получением возмещения и получением пенсий, на которые они имели бы право как работники; c) жертвы должны будут отказаться от любых исков против государства в любой юрисдикции, если они воспользуются льготами по возмещению ущерба, предусмотренными </w:t>
      </w:r>
      <w:r>
        <w:br/>
      </w:r>
      <w:r w:rsidRPr="004A1AAB">
        <w:t>Законом № 18.596; и d) не будут признаны жертвами насильственного исчезновения пострадавшие от этой практики лица, которые впоследствии были освобождены, или лица, чье лишение свободы было урегулировано. Кроме того, Комитет обеспокоен утверждениями об актах вандализма в отношении мемориальных объектов, а также ссылкой на соблюдение принципа светскости как основание для отказа от рассмотрения в школах и учебных заведениях тематики грубых нарушений прав человека, имевших место в период с 1968</w:t>
      </w:r>
      <w:r>
        <w:t> год</w:t>
      </w:r>
      <w:r w:rsidRPr="004A1AAB">
        <w:t>а по 1985</w:t>
      </w:r>
      <w:r>
        <w:t> год</w:t>
      </w:r>
      <w:r w:rsidRPr="004A1AAB">
        <w:t xml:space="preserve">, включая насильственные исчезновения (статья 24). </w:t>
      </w:r>
    </w:p>
    <w:p w14:paraId="11615456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t>21.</w:t>
      </w:r>
      <w:r w:rsidRPr="004A1AAB">
        <w:tab/>
      </w:r>
      <w:r w:rsidRPr="004A1AAB">
        <w:rPr>
          <w:b/>
          <w:bCs/>
        </w:rPr>
        <w:t xml:space="preserve">Комитет рекомендует государству-участнику: </w:t>
      </w:r>
    </w:p>
    <w:p w14:paraId="5DED1A7E" w14:textId="73B2AD96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a)</w:t>
      </w:r>
      <w:r w:rsidRPr="004A1AAB">
        <w:rPr>
          <w:b/>
          <w:bCs/>
        </w:rPr>
        <w:tab/>
        <w:t>обеспечить и облегчить доступ всех физических лиц, которым был причинен непосредственный вред в результате насильственных исчезновений, имевших место в период с 1968</w:t>
      </w:r>
      <w:r>
        <w:rPr>
          <w:b/>
          <w:bCs/>
        </w:rPr>
        <w:t> год</w:t>
      </w:r>
      <w:r w:rsidRPr="004A1AAB">
        <w:rPr>
          <w:b/>
          <w:bCs/>
        </w:rPr>
        <w:t>а по 1985</w:t>
      </w:r>
      <w:r>
        <w:rPr>
          <w:b/>
          <w:bCs/>
        </w:rPr>
        <w:t> год</w:t>
      </w:r>
      <w:r w:rsidRPr="004A1AAB">
        <w:rPr>
          <w:b/>
          <w:bCs/>
        </w:rPr>
        <w:t xml:space="preserve">, независимо от их продолжительности, к полному возмещению ущерба, включая все меры, предусмотренные в пункте 5 статьи 24 Конвенции, и с учетом особых потребностей жертв, принимая во внимание, в частности, их пол, сексуальную ориентацию, гендерную идентичность, возраст, этническую принадлежность, социальное положение или инвалидность; </w:t>
      </w:r>
    </w:p>
    <w:p w14:paraId="6C1E36E7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b)</w:t>
      </w:r>
      <w:r w:rsidRPr="004A1AAB">
        <w:rPr>
          <w:b/>
          <w:bCs/>
        </w:rPr>
        <w:tab/>
        <w:t xml:space="preserve">выделять достаточные ресурсы для реализации права на полное возмещение ущерба всем жертвам насильственных исчезновений; </w:t>
      </w:r>
    </w:p>
    <w:p w14:paraId="5E2D21AB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c)</w:t>
      </w:r>
      <w:r w:rsidRPr="004A1AAB">
        <w:rPr>
          <w:b/>
          <w:bCs/>
        </w:rPr>
        <w:tab/>
        <w:t xml:space="preserve">оперативно, тщательно и эффективно расследовать все акты вандализма в отношении мемориальных объектов, наказывать виновных надлежащим образом и принять решительные меры для предотвращения дальнейших подобных актов; </w:t>
      </w:r>
    </w:p>
    <w:p w14:paraId="047190BD" w14:textId="4BD3D248" w:rsidR="00C4484A" w:rsidRPr="004A1AAB" w:rsidRDefault="00C4484A" w:rsidP="00C4484A">
      <w:pPr>
        <w:pStyle w:val="SingleTxtG"/>
        <w:rPr>
          <w:b/>
          <w:bCs/>
        </w:rPr>
      </w:pPr>
      <w:r w:rsidRPr="004A1AAB">
        <w:rPr>
          <w:b/>
          <w:bCs/>
        </w:rPr>
        <w:tab/>
        <w:t>d)</w:t>
      </w:r>
      <w:r w:rsidRPr="004A1AAB">
        <w:rPr>
          <w:b/>
          <w:bCs/>
        </w:rPr>
        <w:tab/>
        <w:t>принять образовательную политику для сохранения памяти о грубых нарушениях прав человека, имевших место в период с 1968</w:t>
      </w:r>
      <w:r>
        <w:rPr>
          <w:b/>
          <w:bCs/>
        </w:rPr>
        <w:t> год</w:t>
      </w:r>
      <w:r w:rsidRPr="004A1AAB">
        <w:rPr>
          <w:b/>
          <w:bCs/>
        </w:rPr>
        <w:t>а по 1985</w:t>
      </w:r>
      <w:r>
        <w:rPr>
          <w:b/>
          <w:bCs/>
        </w:rPr>
        <w:t> год</w:t>
      </w:r>
      <w:r w:rsidRPr="004A1AAB">
        <w:rPr>
          <w:b/>
          <w:bCs/>
        </w:rPr>
        <w:t xml:space="preserve">, включая насильственные исчезновения. </w:t>
      </w:r>
    </w:p>
    <w:p w14:paraId="13CA608E" w14:textId="77777777" w:rsidR="00C4484A" w:rsidRPr="004A1AAB" w:rsidRDefault="00C4484A" w:rsidP="00C4484A">
      <w:pPr>
        <w:pStyle w:val="H1G"/>
      </w:pPr>
      <w:r w:rsidRPr="004A1AAB">
        <w:lastRenderedPageBreak/>
        <w:tab/>
        <w:t>D.</w:t>
      </w:r>
      <w:r w:rsidRPr="004A1AAB">
        <w:tab/>
        <w:t>Осуществление прав и обязательств по Конвенции, распространение информации и последующие меры</w:t>
      </w:r>
    </w:p>
    <w:p w14:paraId="55E6DC69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t>22.</w:t>
      </w:r>
      <w:r w:rsidRPr="004A1AAB">
        <w:tab/>
      </w:r>
      <w:r w:rsidRPr="004A1AAB">
        <w:rPr>
          <w:b/>
          <w:bCs/>
        </w:rPr>
        <w:t xml:space="preserve">Комитет хотел бы напомнить об обязательствах, взятых на себя государствами при ратификации Конвенции, и настоятельно призывает государство-участник обеспечить, чтобы все принимаемые им меры, независимо от их характера и от какого органа они исходят, полностью соответствовали Конвенции и другим соответствующим международно-правовым документам. </w:t>
      </w:r>
    </w:p>
    <w:p w14:paraId="14A28429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t>23.</w:t>
      </w:r>
      <w:r w:rsidRPr="004A1AAB">
        <w:tab/>
      </w:r>
      <w:r w:rsidRPr="004A1AAB">
        <w:rPr>
          <w:b/>
          <w:bCs/>
        </w:rPr>
        <w:t xml:space="preserve">Комитет также подчеркивает особо пагубные последствия насильственных исчезновений для женщин и детей. Женщины, ставшие жертвами насильственных исчезновений, особенно подвержены сексуальному </w:t>
      </w:r>
      <w:r>
        <w:rPr>
          <w:b/>
          <w:bCs/>
        </w:rPr>
        <w:t xml:space="preserve">насилию </w:t>
      </w:r>
      <w:r w:rsidRPr="004A1AAB">
        <w:rPr>
          <w:b/>
          <w:bCs/>
        </w:rPr>
        <w:t xml:space="preserve">и другим видам гендерного насилия. В качестве же членов семьи пропавших без вести лиц женщины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при попытках выяснить местонахождение своих близких. Дети, ставшие жертвами насильственного исчезновения, независимо от того, подверглись ли они ему сами или страдают от последствий исчезновения членов семьи, особенно уязвимы к нарушению их прав человека. В этой связи Комитет обращает особое внимание на необходимость обеспечения государством-участником систематического учета гендерных вопросов и особых потребностей женщин и детей при выполнении рекомендаций, содержащихся в настоящих заключительных замечаниях, а также всех прав и обязанностей, предусмотренных Конвенцией. </w:t>
      </w:r>
    </w:p>
    <w:p w14:paraId="39B4CE78" w14:textId="77777777" w:rsidR="00C4484A" w:rsidRPr="004A1AAB" w:rsidRDefault="00C4484A" w:rsidP="00C4484A">
      <w:pPr>
        <w:pStyle w:val="SingleTxtG"/>
        <w:rPr>
          <w:b/>
          <w:bCs/>
        </w:rPr>
      </w:pPr>
      <w:r w:rsidRPr="004A1AAB">
        <w:t>24.</w:t>
      </w:r>
      <w:r w:rsidRPr="004A1AAB">
        <w:tab/>
      </w:r>
      <w:r w:rsidRPr="004A1AAB">
        <w:rPr>
          <w:b/>
        </w:rPr>
        <w:t>Государству-участнику рекомендуется обеспечить широкое распространение текста Конвенции, дополнительной информации, представленной в соответствии с пунктом 4 статьи 29 Конвенции, и настоящих заключительных замечаний в целях повышения осведомленности государственных органов, субъектов гражданского общества и населения в целом.</w:t>
      </w:r>
      <w:r w:rsidRPr="004A1AAB">
        <w:t xml:space="preserve"> </w:t>
      </w:r>
      <w:r w:rsidRPr="004A1AAB">
        <w:rPr>
          <w:b/>
          <w:bCs/>
        </w:rPr>
        <w:t xml:space="preserve">Комитет также призывает государство-участник поощрять участие гражданского общества в процессе выполнения рекомендаций, содержащихся в настоящих заключительных замечаниях. </w:t>
      </w:r>
    </w:p>
    <w:p w14:paraId="6861A68F" w14:textId="6B3B31F3" w:rsidR="00C4484A" w:rsidRPr="004A1AAB" w:rsidRDefault="00C4484A" w:rsidP="00C4484A">
      <w:pPr>
        <w:pStyle w:val="SingleTxtG"/>
        <w:rPr>
          <w:b/>
          <w:bCs/>
        </w:rPr>
      </w:pPr>
      <w:r w:rsidRPr="004A1AAB">
        <w:t>25.</w:t>
      </w:r>
      <w:r w:rsidRPr="004A1AAB">
        <w:tab/>
      </w:r>
      <w:r w:rsidRPr="004A1AAB">
        <w:rPr>
          <w:b/>
          <w:bCs/>
        </w:rPr>
        <w:t>В соответствии с пунктом 4 статьи 29 Конвенции Комитет просит государство-участник представить не позднее 23 сентября 2025</w:t>
      </w:r>
      <w:r>
        <w:rPr>
          <w:b/>
          <w:bCs/>
        </w:rPr>
        <w:t> год</w:t>
      </w:r>
      <w:r w:rsidRPr="004A1AAB">
        <w:rPr>
          <w:b/>
          <w:bCs/>
        </w:rPr>
        <w:t>а с целью рассмотрения в 2026</w:t>
      </w:r>
      <w:r>
        <w:rPr>
          <w:b/>
          <w:bCs/>
        </w:rPr>
        <w:t> год</w:t>
      </w:r>
      <w:r w:rsidRPr="004A1AAB">
        <w:rPr>
          <w:b/>
          <w:bCs/>
        </w:rPr>
        <w:t>у точную и обновленную информацию о принятии национальной политики в отношении насильственных исчезновений с учетом сформулированных в настоящих заключительных замечаниях рекомендаций по расследованию, розыску и возмещению ущерба (см. пункты 5, 17, 19 и 21). Комитет призывает государство-участник поощрять и облегчать участие гражданского общества, в частности организаций жертв насильственных исчезновений,</w:t>
      </w:r>
      <w:r w:rsidRPr="004A1AAB">
        <w:t xml:space="preserve"> </w:t>
      </w:r>
      <w:r w:rsidRPr="004A1AAB">
        <w:rPr>
          <w:b/>
          <w:bCs/>
        </w:rPr>
        <w:t xml:space="preserve">в процессе подготовки этой информации. Комитет также напоминает, что в соответствии с пунктом 4 статьи 29 Конвенции он может впоследствии запросить у государства-участника дополнительные сведения о выполнении Конвенции, включая информацию о мерах, принятых для выполнения всех рекомендаций, содержащихся в настоящих заключительных замечаниях. </w:t>
      </w:r>
    </w:p>
    <w:p w14:paraId="50CE0E3F" w14:textId="59E9C41E" w:rsidR="00381C24" w:rsidRPr="00BC18B2" w:rsidRDefault="00C4484A" w:rsidP="00C4484A">
      <w:pPr>
        <w:pStyle w:val="SingleTxtG"/>
        <w:spacing w:before="240" w:after="0"/>
        <w:jc w:val="center"/>
      </w:pPr>
      <w:r w:rsidRPr="004A1AAB">
        <w:rPr>
          <w:u w:val="single"/>
        </w:rPr>
        <w:tab/>
      </w:r>
      <w:r w:rsidRPr="004A1AAB">
        <w:rPr>
          <w:u w:val="single"/>
        </w:rPr>
        <w:tab/>
      </w:r>
      <w:r w:rsidRPr="004A1AAB">
        <w:rPr>
          <w:u w:val="single"/>
        </w:rPr>
        <w:tab/>
      </w:r>
    </w:p>
    <w:sectPr w:rsidR="00381C24" w:rsidRPr="00BC18B2" w:rsidSect="00C448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A8818" w14:textId="77777777" w:rsidR="00407075" w:rsidRPr="00A312BC" w:rsidRDefault="00407075" w:rsidP="00A312BC"/>
  </w:endnote>
  <w:endnote w:type="continuationSeparator" w:id="0">
    <w:p w14:paraId="5C3A7DFA" w14:textId="77777777" w:rsidR="00407075" w:rsidRPr="00A312BC" w:rsidRDefault="0040707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71193" w14:textId="1BF3584D" w:rsidR="00C4484A" w:rsidRPr="00C4484A" w:rsidRDefault="00C4484A">
    <w:pPr>
      <w:pStyle w:val="a8"/>
    </w:pPr>
    <w:r w:rsidRPr="00C4484A">
      <w:rPr>
        <w:b/>
        <w:sz w:val="18"/>
      </w:rPr>
      <w:fldChar w:fldCharType="begin"/>
    </w:r>
    <w:r w:rsidRPr="00C4484A">
      <w:rPr>
        <w:b/>
        <w:sz w:val="18"/>
      </w:rPr>
      <w:instrText xml:space="preserve"> PAGE  \* MERGEFORMAT </w:instrText>
    </w:r>
    <w:r w:rsidRPr="00C4484A">
      <w:rPr>
        <w:b/>
        <w:sz w:val="18"/>
      </w:rPr>
      <w:fldChar w:fldCharType="separate"/>
    </w:r>
    <w:r w:rsidRPr="00C4484A">
      <w:rPr>
        <w:b/>
        <w:noProof/>
        <w:sz w:val="18"/>
      </w:rPr>
      <w:t>2</w:t>
    </w:r>
    <w:r w:rsidRPr="00C4484A">
      <w:rPr>
        <w:b/>
        <w:sz w:val="18"/>
      </w:rPr>
      <w:fldChar w:fldCharType="end"/>
    </w:r>
    <w:r>
      <w:rPr>
        <w:b/>
        <w:sz w:val="18"/>
      </w:rPr>
      <w:tab/>
    </w:r>
    <w:r>
      <w:t>GE.22-17194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AF388" w14:textId="4744F1AD" w:rsidR="00C4484A" w:rsidRPr="00C4484A" w:rsidRDefault="00C4484A" w:rsidP="00C4484A">
    <w:pPr>
      <w:pStyle w:val="a8"/>
      <w:tabs>
        <w:tab w:val="clear" w:pos="9639"/>
        <w:tab w:val="right" w:pos="9638"/>
      </w:tabs>
      <w:rPr>
        <w:b/>
        <w:sz w:val="18"/>
      </w:rPr>
    </w:pPr>
    <w:r>
      <w:t>GE.22-17194</w:t>
    </w:r>
    <w:r>
      <w:tab/>
    </w:r>
    <w:r w:rsidRPr="00C4484A">
      <w:rPr>
        <w:b/>
        <w:sz w:val="18"/>
      </w:rPr>
      <w:fldChar w:fldCharType="begin"/>
    </w:r>
    <w:r w:rsidRPr="00C4484A">
      <w:rPr>
        <w:b/>
        <w:sz w:val="18"/>
      </w:rPr>
      <w:instrText xml:space="preserve"> PAGE  \* MERGEFORMAT </w:instrText>
    </w:r>
    <w:r w:rsidRPr="00C4484A">
      <w:rPr>
        <w:b/>
        <w:sz w:val="18"/>
      </w:rPr>
      <w:fldChar w:fldCharType="separate"/>
    </w:r>
    <w:r w:rsidRPr="00C4484A">
      <w:rPr>
        <w:b/>
        <w:noProof/>
        <w:sz w:val="18"/>
      </w:rPr>
      <w:t>3</w:t>
    </w:r>
    <w:r w:rsidRPr="00C4484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DD9D9" w14:textId="03D92B5D" w:rsidR="00042B72" w:rsidRPr="00C4484A" w:rsidRDefault="00C4484A" w:rsidP="00C4484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339497C" wp14:editId="73BC18A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22-17194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9B8BE3" wp14:editId="6E249E1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151222  191222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EFA57" w14:textId="77777777" w:rsidR="00407075" w:rsidRPr="001075E9" w:rsidRDefault="0040707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0F7AA4" w14:textId="77777777" w:rsidR="00407075" w:rsidRDefault="0040707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9053721" w14:textId="3078E2C4" w:rsidR="00C4484A" w:rsidRPr="005B6622" w:rsidRDefault="00C4484A" w:rsidP="00C4484A">
      <w:pPr>
        <w:pStyle w:val="ad"/>
        <w:rPr>
          <w:sz w:val="20"/>
        </w:rPr>
      </w:pPr>
      <w:r>
        <w:tab/>
      </w:r>
      <w:r w:rsidRPr="00352944">
        <w:rPr>
          <w:rStyle w:val="aa"/>
          <w:sz w:val="20"/>
          <w:vertAlign w:val="baseline"/>
        </w:rPr>
        <w:t>*</w:t>
      </w:r>
      <w:r w:rsidRPr="005B6622">
        <w:rPr>
          <w:rStyle w:val="aa"/>
        </w:rPr>
        <w:tab/>
      </w:r>
      <w:r w:rsidRPr="005B6622">
        <w:t>Принят</w:t>
      </w:r>
      <w:r>
        <w:t>ы</w:t>
      </w:r>
      <w:r w:rsidRPr="005B6622">
        <w:t xml:space="preserve"> Комитетом на его </w:t>
      </w:r>
      <w:r>
        <w:t>двадцать</w:t>
      </w:r>
      <w:r w:rsidRPr="005B6622">
        <w:t xml:space="preserve"> третьей сессии (12</w:t>
      </w:r>
      <w:r>
        <w:t>–</w:t>
      </w:r>
      <w:r w:rsidRPr="005B6622">
        <w:t xml:space="preserve">23 </w:t>
      </w:r>
      <w:r>
        <w:t>сентября</w:t>
      </w:r>
      <w:r w:rsidRPr="005B6622">
        <w:t xml:space="preserve"> 2022</w:t>
      </w:r>
      <w:r>
        <w:t> год</w:t>
      </w:r>
      <w:r w:rsidRPr="005B6622">
        <w:t>а).</w:t>
      </w:r>
    </w:p>
  </w:footnote>
  <w:footnote w:id="2">
    <w:p w14:paraId="5820EF96" w14:textId="77777777" w:rsidR="00C4484A" w:rsidRPr="005B39EF" w:rsidRDefault="00C4484A" w:rsidP="00C4484A">
      <w:pPr>
        <w:pStyle w:val="ad"/>
        <w:widowControl w:val="0"/>
        <w:rPr>
          <w:lang w:val="en-US"/>
        </w:rPr>
      </w:pPr>
      <w:r w:rsidRPr="005B6622">
        <w:tab/>
      </w:r>
      <w:r w:rsidRPr="00D15CC5">
        <w:rPr>
          <w:rStyle w:val="aa"/>
        </w:rPr>
        <w:footnoteRef/>
      </w:r>
      <w:r w:rsidRPr="005B39EF">
        <w:rPr>
          <w:lang w:val="en-US"/>
        </w:rPr>
        <w:tab/>
      </w:r>
      <w:hyperlink r:id="rId1" w:history="1">
        <w:r w:rsidRPr="005B39EF">
          <w:rPr>
            <w:rStyle w:val="af1"/>
            <w:lang w:val="en-US"/>
          </w:rPr>
          <w:t>CED/C/URY/AI/1</w:t>
        </w:r>
      </w:hyperlink>
      <w:r w:rsidRPr="005B39EF">
        <w:rPr>
          <w:lang w:val="en-US"/>
        </w:rPr>
        <w:t>.</w:t>
      </w:r>
    </w:p>
  </w:footnote>
  <w:footnote w:id="3">
    <w:p w14:paraId="02943E6A" w14:textId="77777777" w:rsidR="00C4484A" w:rsidRPr="005B6622" w:rsidRDefault="00C4484A" w:rsidP="00C4484A">
      <w:pPr>
        <w:pStyle w:val="ad"/>
        <w:widowControl w:val="0"/>
        <w:rPr>
          <w:lang w:val="en-US"/>
        </w:rPr>
      </w:pPr>
      <w:r w:rsidRPr="005B39EF">
        <w:rPr>
          <w:lang w:val="en-US"/>
        </w:rPr>
        <w:tab/>
      </w:r>
      <w:r w:rsidRPr="00D15CC5">
        <w:rPr>
          <w:rStyle w:val="aa"/>
        </w:rPr>
        <w:footnoteRef/>
      </w:r>
      <w:r w:rsidRPr="005B39EF">
        <w:rPr>
          <w:lang w:val="en-US"/>
        </w:rPr>
        <w:tab/>
      </w:r>
      <w:hyperlink r:id="rId2" w:history="1">
        <w:r w:rsidRPr="005B39EF">
          <w:rPr>
            <w:rStyle w:val="af1"/>
            <w:lang w:val="en-US"/>
          </w:rPr>
          <w:t>CED/C/URY/CO/1</w:t>
        </w:r>
      </w:hyperlink>
      <w:r w:rsidRPr="005B39EF">
        <w:rPr>
          <w:lang w:val="en-US"/>
        </w:rPr>
        <w:t xml:space="preserve">, </w:t>
      </w:r>
      <w:r>
        <w:t>п</w:t>
      </w:r>
      <w:r w:rsidRPr="005B39EF">
        <w:rPr>
          <w:lang w:val="en-US"/>
        </w:rPr>
        <w:t>. </w:t>
      </w:r>
      <w:r w:rsidRPr="005B6622">
        <w:rPr>
          <w:lang w:val="en-US"/>
        </w:rPr>
        <w:t>42.</w:t>
      </w:r>
    </w:p>
  </w:footnote>
  <w:footnote w:id="4">
    <w:p w14:paraId="0C2B11B9" w14:textId="77777777" w:rsidR="00C4484A" w:rsidRPr="005B6622" w:rsidRDefault="00C4484A" w:rsidP="00C4484A">
      <w:pPr>
        <w:pStyle w:val="ad"/>
        <w:widowControl w:val="0"/>
        <w:rPr>
          <w:lang w:val="en-US"/>
        </w:rPr>
      </w:pPr>
      <w:r w:rsidRPr="005B6622">
        <w:rPr>
          <w:lang w:val="en-US"/>
        </w:rPr>
        <w:tab/>
      </w:r>
      <w:r w:rsidRPr="00D15CC5">
        <w:rPr>
          <w:rStyle w:val="aa"/>
        </w:rPr>
        <w:footnoteRef/>
      </w:r>
      <w:r w:rsidRPr="005B6622">
        <w:rPr>
          <w:lang w:val="en-US"/>
        </w:rPr>
        <w:tab/>
      </w:r>
      <w:r>
        <w:t>См</w:t>
      </w:r>
      <w:r w:rsidRPr="00266643">
        <w:rPr>
          <w:lang w:val="en-US"/>
        </w:rPr>
        <w:t xml:space="preserve">. </w:t>
      </w:r>
      <w:r w:rsidRPr="005B6622">
        <w:rPr>
          <w:lang w:val="en-US"/>
        </w:rPr>
        <w:t xml:space="preserve">URL: </w:t>
      </w:r>
      <w:hyperlink r:id="rId3" w:history="1">
        <w:r w:rsidRPr="005B6622">
          <w:rPr>
            <w:rStyle w:val="af1"/>
            <w:lang w:val="en-US"/>
          </w:rPr>
          <w:t>https://tbinternet.ohchr.org/_layouts/15/treatybodyexternal/Download.aspx?symbolno=</w:t>
        </w:r>
        <w:r w:rsidRPr="005B6622">
          <w:rPr>
            <w:rStyle w:val="af1"/>
            <w:lang w:val="en-US"/>
          </w:rPr>
          <w:br/>
          <w:t>INT%2fCED%2fRLI%2fURY%2f49553&amp;Lang=es</w:t>
        </w:r>
      </w:hyperlink>
      <w:r w:rsidRPr="005B6622">
        <w:rPr>
          <w:lang w:val="en-US"/>
        </w:rPr>
        <w:t>.</w:t>
      </w:r>
    </w:p>
  </w:footnote>
  <w:footnote w:id="5">
    <w:p w14:paraId="6B5395F0" w14:textId="7707EAD0" w:rsidR="00C4484A" w:rsidRPr="005B39EF" w:rsidRDefault="00C4484A" w:rsidP="00C4484A">
      <w:pPr>
        <w:pStyle w:val="ad"/>
        <w:widowControl w:val="0"/>
        <w:rPr>
          <w:lang w:val="en-US"/>
        </w:rPr>
      </w:pPr>
      <w:r w:rsidRPr="005B6622">
        <w:rPr>
          <w:lang w:val="en-US"/>
        </w:rPr>
        <w:tab/>
      </w:r>
      <w:r w:rsidRPr="00D15CC5">
        <w:rPr>
          <w:rStyle w:val="aa"/>
        </w:rPr>
        <w:footnoteRef/>
      </w:r>
      <w:r w:rsidRPr="005B39EF">
        <w:rPr>
          <w:lang w:val="en-US"/>
        </w:rPr>
        <w:tab/>
      </w:r>
      <w:hyperlink r:id="rId4" w:history="1">
        <w:r w:rsidRPr="005B39EF">
          <w:rPr>
            <w:rStyle w:val="af1"/>
            <w:lang w:val="en-US"/>
          </w:rPr>
          <w:t>CED/C/SR.409</w:t>
        </w:r>
      </w:hyperlink>
      <w:r w:rsidRPr="005B39EF">
        <w:rPr>
          <w:lang w:val="en-US"/>
        </w:rPr>
        <w:t>.</w:t>
      </w:r>
    </w:p>
  </w:footnote>
  <w:footnote w:id="6">
    <w:p w14:paraId="00ABFDB6" w14:textId="77777777" w:rsidR="00C4484A" w:rsidRPr="00F3351B" w:rsidRDefault="00C4484A" w:rsidP="00C4484A">
      <w:pPr>
        <w:pStyle w:val="ad"/>
        <w:widowControl w:val="0"/>
        <w:rPr>
          <w:lang w:val="en-US"/>
        </w:rPr>
      </w:pPr>
      <w:r w:rsidRPr="005B39EF">
        <w:rPr>
          <w:lang w:val="en-US"/>
        </w:rPr>
        <w:tab/>
      </w:r>
      <w:r w:rsidRPr="00D15CC5">
        <w:rPr>
          <w:rStyle w:val="aa"/>
        </w:rPr>
        <w:footnoteRef/>
      </w:r>
      <w:r w:rsidRPr="005B39EF">
        <w:rPr>
          <w:lang w:val="en-US"/>
        </w:rPr>
        <w:t xml:space="preserve"> </w:t>
      </w:r>
      <w:r w:rsidRPr="005B39EF">
        <w:rPr>
          <w:lang w:val="en-US"/>
        </w:rPr>
        <w:tab/>
      </w:r>
      <w:hyperlink r:id="rId5" w:history="1">
        <w:r w:rsidRPr="005B39EF">
          <w:rPr>
            <w:rStyle w:val="af1"/>
            <w:lang w:val="en-US"/>
          </w:rPr>
          <w:t>CED/C/URY/CO/1</w:t>
        </w:r>
      </w:hyperlink>
      <w:r w:rsidRPr="005B39EF">
        <w:rPr>
          <w:lang w:val="en-US"/>
        </w:rPr>
        <w:t xml:space="preserve">, </w:t>
      </w:r>
      <w:r>
        <w:t>п</w:t>
      </w:r>
      <w:r w:rsidRPr="005B39EF">
        <w:rPr>
          <w:lang w:val="en-US"/>
        </w:rPr>
        <w:t>. </w:t>
      </w:r>
      <w:r w:rsidRPr="00F3351B">
        <w:rPr>
          <w:lang w:val="en-US"/>
        </w:rPr>
        <w:t>12.</w:t>
      </w:r>
    </w:p>
  </w:footnote>
  <w:footnote w:id="7">
    <w:p w14:paraId="6130D81A" w14:textId="77777777" w:rsidR="00C4484A" w:rsidRPr="00266643" w:rsidRDefault="00C4484A" w:rsidP="00C4484A">
      <w:pPr>
        <w:pStyle w:val="ad"/>
        <w:widowControl w:val="0"/>
      </w:pPr>
      <w:r w:rsidRPr="00F3351B">
        <w:rPr>
          <w:lang w:val="en-US"/>
        </w:rPr>
        <w:tab/>
      </w:r>
      <w:r w:rsidRPr="00D15CC5">
        <w:rPr>
          <w:rStyle w:val="aa"/>
        </w:rPr>
        <w:footnoteRef/>
      </w:r>
      <w:r w:rsidRPr="00503357">
        <w:t xml:space="preserve"> </w:t>
      </w:r>
      <w:r w:rsidRPr="00503357">
        <w:tab/>
        <w:t>Там же, п</w:t>
      </w:r>
      <w:r>
        <w:t>п.</w:t>
      </w:r>
      <w:r w:rsidRPr="00503357">
        <w:t xml:space="preserve"> 25 и 26.</w:t>
      </w:r>
    </w:p>
  </w:footnote>
  <w:footnote w:id="8">
    <w:p w14:paraId="29DF4500" w14:textId="014B9DB4" w:rsidR="00C4484A" w:rsidRPr="006B7AB4" w:rsidRDefault="00C4484A" w:rsidP="00C4484A">
      <w:pPr>
        <w:pStyle w:val="ad"/>
        <w:widowControl w:val="0"/>
      </w:pPr>
      <w:r w:rsidRPr="00266643">
        <w:tab/>
      </w:r>
      <w:r w:rsidRPr="00D15CC5">
        <w:rPr>
          <w:rStyle w:val="aa"/>
        </w:rPr>
        <w:footnoteRef/>
      </w:r>
      <w:r w:rsidRPr="006B7AB4">
        <w:t xml:space="preserve"> </w:t>
      </w:r>
      <w:r w:rsidRPr="006B7AB4">
        <w:tab/>
      </w:r>
      <w:hyperlink r:id="rId6" w:history="1">
        <w:r w:rsidRPr="001B08EC">
          <w:rPr>
            <w:rStyle w:val="af1"/>
          </w:rPr>
          <w:t>CED</w:t>
        </w:r>
        <w:r w:rsidRPr="006B7AB4">
          <w:rPr>
            <w:rStyle w:val="af1"/>
          </w:rPr>
          <w:t>/</w:t>
        </w:r>
        <w:r w:rsidRPr="001B08EC">
          <w:rPr>
            <w:rStyle w:val="af1"/>
          </w:rPr>
          <w:t>C</w:t>
        </w:r>
        <w:r w:rsidRPr="006B7AB4">
          <w:rPr>
            <w:rStyle w:val="af1"/>
          </w:rPr>
          <w:t>/</w:t>
        </w:r>
        <w:r w:rsidRPr="001B08EC">
          <w:rPr>
            <w:rStyle w:val="af1"/>
          </w:rPr>
          <w:t>URY</w:t>
        </w:r>
        <w:r w:rsidRPr="006B7AB4">
          <w:rPr>
            <w:rStyle w:val="af1"/>
          </w:rPr>
          <w:t>/</w:t>
        </w:r>
        <w:r w:rsidRPr="001B08EC">
          <w:rPr>
            <w:rStyle w:val="af1"/>
          </w:rPr>
          <w:t>AI</w:t>
        </w:r>
        <w:r w:rsidRPr="006B7AB4">
          <w:rPr>
            <w:rStyle w:val="af1"/>
          </w:rPr>
          <w:t>/1</w:t>
        </w:r>
      </w:hyperlink>
      <w:r w:rsidRPr="006B7AB4">
        <w:t xml:space="preserve">, </w:t>
      </w:r>
      <w:r>
        <w:t>пп</w:t>
      </w:r>
      <w:r w:rsidRPr="006B7AB4">
        <w:t>.</w:t>
      </w:r>
      <w:r>
        <w:t> </w:t>
      </w:r>
      <w:r w:rsidRPr="006B7AB4">
        <w:t>118</w:t>
      </w:r>
      <w:r w:rsidR="0077799D" w:rsidRPr="0090200B">
        <w:t>–</w:t>
      </w:r>
      <w:r w:rsidRPr="006B7AB4">
        <w:t xml:space="preserve">120, и ответы Уругвая на перечень вопросов Комитета, </w:t>
      </w:r>
      <w:r>
        <w:rPr>
          <w:lang w:val="fr-CH"/>
        </w:rPr>
        <w:t>URL</w:t>
      </w:r>
      <w:r>
        <w:t>:</w:t>
      </w:r>
      <w:r w:rsidRPr="006B7AB4">
        <w:t xml:space="preserve"> </w:t>
      </w:r>
      <w:hyperlink r:id="rId7" w:history="1">
        <w:r w:rsidR="0090200B" w:rsidRPr="00D447F9">
          <w:rPr>
            <w:rStyle w:val="af1"/>
          </w:rPr>
          <w:t>https://tbinternet.ohchr.org/_layouts/15/treatybodyexternal/Download.aspx?symbolno=INT%2fCED%2fRLI%2fURY%2f49553&amp;Lang=es</w:t>
        </w:r>
      </w:hyperlink>
      <w:r w:rsidRPr="006B7AB4">
        <w:t>.</w:t>
      </w:r>
    </w:p>
  </w:footnote>
  <w:footnote w:id="9">
    <w:p w14:paraId="7566D0FC" w14:textId="77777777" w:rsidR="00C4484A" w:rsidRPr="006B7AB4" w:rsidRDefault="00C4484A" w:rsidP="00C4484A">
      <w:pPr>
        <w:pStyle w:val="ad"/>
        <w:widowControl w:val="0"/>
      </w:pPr>
      <w:r w:rsidRPr="006B7AB4">
        <w:tab/>
      </w:r>
      <w:r w:rsidRPr="00D15CC5">
        <w:rPr>
          <w:rStyle w:val="aa"/>
        </w:rPr>
        <w:footnoteRef/>
      </w:r>
      <w:r w:rsidRPr="006B7AB4">
        <w:t xml:space="preserve"> </w:t>
      </w:r>
      <w:r w:rsidRPr="006B7AB4">
        <w:tab/>
        <w:t xml:space="preserve">Ответы Уругвая на перечень вопросов Комитета, URL: </w:t>
      </w:r>
      <w:hyperlink r:id="rId8" w:history="1">
        <w:r w:rsidRPr="00182626">
          <w:rPr>
            <w:rStyle w:val="af1"/>
          </w:rPr>
          <w:t>https://tbinternet.ohchr.org/_layouts/15/treatybodyexternal/Download.aspx?symbolno=INT%2fCED%2fRLI%2fURY%2f49553&amp;Lang=es</w:t>
        </w:r>
      </w:hyperlink>
      <w:r w:rsidRPr="006B7AB4">
        <w:t>.</w:t>
      </w:r>
    </w:p>
  </w:footnote>
  <w:footnote w:id="10">
    <w:p w14:paraId="046C5866" w14:textId="77777777" w:rsidR="00C4484A" w:rsidRPr="00A54AA3" w:rsidRDefault="00C4484A" w:rsidP="00C4484A">
      <w:pPr>
        <w:pStyle w:val="ad"/>
        <w:widowControl w:val="0"/>
        <w:rPr>
          <w:lang w:val="en-US"/>
        </w:rPr>
      </w:pPr>
      <w:r w:rsidRPr="006B7AB4">
        <w:tab/>
      </w:r>
      <w:r w:rsidRPr="00D15CC5">
        <w:rPr>
          <w:rStyle w:val="aa"/>
        </w:rPr>
        <w:footnoteRef/>
      </w:r>
      <w:r w:rsidRPr="005B39EF">
        <w:rPr>
          <w:lang w:val="en-US"/>
        </w:rPr>
        <w:t xml:space="preserve"> </w:t>
      </w:r>
      <w:r w:rsidRPr="005B39EF">
        <w:rPr>
          <w:lang w:val="en-US"/>
        </w:rPr>
        <w:tab/>
      </w:r>
      <w:hyperlink r:id="rId9" w:history="1">
        <w:r w:rsidRPr="005B39EF">
          <w:rPr>
            <w:rStyle w:val="af1"/>
            <w:lang w:val="en-US"/>
          </w:rPr>
          <w:t>CED/C/URY/CO/1</w:t>
        </w:r>
      </w:hyperlink>
      <w:r w:rsidRPr="005B39EF">
        <w:rPr>
          <w:lang w:val="en-US"/>
        </w:rPr>
        <w:t xml:space="preserve">, </w:t>
      </w:r>
      <w:r>
        <w:t>п</w:t>
      </w:r>
      <w:r w:rsidRPr="005B39EF">
        <w:rPr>
          <w:lang w:val="en-US"/>
        </w:rPr>
        <w:t>. </w:t>
      </w:r>
      <w:r w:rsidRPr="00A54AA3">
        <w:rPr>
          <w:lang w:val="en-US"/>
        </w:rPr>
        <w:t>33.</w:t>
      </w:r>
    </w:p>
  </w:footnote>
  <w:footnote w:id="11">
    <w:p w14:paraId="4B87F67A" w14:textId="77777777" w:rsidR="00C4484A" w:rsidRPr="00266643" w:rsidRDefault="00C4484A" w:rsidP="00C4484A">
      <w:pPr>
        <w:pStyle w:val="ad"/>
        <w:widowControl w:val="0"/>
      </w:pPr>
      <w:r w:rsidRPr="00A54AA3">
        <w:rPr>
          <w:lang w:val="en-US"/>
        </w:rPr>
        <w:tab/>
      </w:r>
      <w:r w:rsidRPr="00D15CC5">
        <w:rPr>
          <w:rStyle w:val="aa"/>
        </w:rPr>
        <w:footnoteRef/>
      </w:r>
      <w:r w:rsidRPr="00FB46D0">
        <w:tab/>
        <w:t>Там же, п</w:t>
      </w:r>
      <w:r>
        <w:t>.</w:t>
      </w:r>
      <w:r w:rsidRPr="00FB46D0">
        <w:t xml:space="preserve"> 34. </w:t>
      </w:r>
    </w:p>
  </w:footnote>
  <w:footnote w:id="12">
    <w:p w14:paraId="3A0793B7" w14:textId="77777777" w:rsidR="00C4484A" w:rsidRPr="00C4484A" w:rsidRDefault="00C4484A" w:rsidP="00C4484A">
      <w:pPr>
        <w:pStyle w:val="ad"/>
        <w:widowControl w:val="0"/>
      </w:pPr>
      <w:r w:rsidRPr="00266643">
        <w:tab/>
      </w:r>
      <w:r w:rsidRPr="00D15CC5">
        <w:rPr>
          <w:rStyle w:val="aa"/>
        </w:rPr>
        <w:footnoteRef/>
      </w:r>
      <w:r w:rsidRPr="00C4484A">
        <w:tab/>
      </w:r>
      <w:r>
        <w:t>См</w:t>
      </w:r>
      <w:r w:rsidRPr="00C4484A">
        <w:t xml:space="preserve">. </w:t>
      </w:r>
      <w:r w:rsidRPr="001C6A28">
        <w:rPr>
          <w:lang w:val="en-US"/>
        </w:rPr>
        <w:t>URL</w:t>
      </w:r>
      <w:r w:rsidRPr="00C4484A">
        <w:t xml:space="preserve">: </w:t>
      </w:r>
      <w:hyperlink r:id="rId10" w:history="1">
        <w:r w:rsidRPr="001C6A28">
          <w:rPr>
            <w:rStyle w:val="af1"/>
            <w:lang w:val="en-US"/>
          </w:rPr>
          <w:t>https</w:t>
        </w:r>
        <w:r w:rsidRPr="00C4484A">
          <w:rPr>
            <w:rStyle w:val="af1"/>
          </w:rPr>
          <w:t>://</w:t>
        </w:r>
        <w:r w:rsidRPr="001C6A28">
          <w:rPr>
            <w:rStyle w:val="af1"/>
            <w:lang w:val="en-US"/>
          </w:rPr>
          <w:t>www</w:t>
        </w:r>
        <w:r w:rsidRPr="00C4484A">
          <w:rPr>
            <w:rStyle w:val="af1"/>
          </w:rPr>
          <w:t>.</w:t>
        </w:r>
        <w:r w:rsidRPr="001C6A28">
          <w:rPr>
            <w:rStyle w:val="af1"/>
            <w:lang w:val="en-US"/>
          </w:rPr>
          <w:t>ohchr</w:t>
        </w:r>
        <w:r w:rsidRPr="00C4484A">
          <w:rPr>
            <w:rStyle w:val="af1"/>
          </w:rPr>
          <w:t>.</w:t>
        </w:r>
        <w:r w:rsidRPr="001C6A28">
          <w:rPr>
            <w:rStyle w:val="af1"/>
            <w:lang w:val="en-US"/>
          </w:rPr>
          <w:t>org</w:t>
        </w:r>
        <w:r w:rsidRPr="00C4484A">
          <w:rPr>
            <w:rStyle w:val="af1"/>
          </w:rPr>
          <w:t>/</w:t>
        </w:r>
        <w:r w:rsidRPr="001C6A28">
          <w:rPr>
            <w:rStyle w:val="af1"/>
            <w:lang w:val="en-US"/>
          </w:rPr>
          <w:t>sites</w:t>
        </w:r>
        <w:r w:rsidRPr="00C4484A">
          <w:rPr>
            <w:rStyle w:val="af1"/>
          </w:rPr>
          <w:t>/</w:t>
        </w:r>
        <w:r w:rsidRPr="001C6A28">
          <w:rPr>
            <w:rStyle w:val="af1"/>
            <w:lang w:val="en-US"/>
          </w:rPr>
          <w:t>default</w:t>
        </w:r>
        <w:r w:rsidRPr="00C4484A">
          <w:rPr>
            <w:rStyle w:val="af1"/>
          </w:rPr>
          <w:t>/</w:t>
        </w:r>
        <w:r w:rsidRPr="001C6A28">
          <w:rPr>
            <w:rStyle w:val="af1"/>
            <w:lang w:val="en-US"/>
          </w:rPr>
          <w:t>files</w:t>
        </w:r>
        <w:r w:rsidRPr="00C4484A">
          <w:rPr>
            <w:rStyle w:val="af1"/>
          </w:rPr>
          <w:t>/</w:t>
        </w:r>
        <w:r w:rsidRPr="001C6A28">
          <w:rPr>
            <w:rStyle w:val="af1"/>
            <w:lang w:val="en-US"/>
          </w:rPr>
          <w:t>documents</w:t>
        </w:r>
        <w:r w:rsidRPr="00C4484A">
          <w:rPr>
            <w:rStyle w:val="af1"/>
          </w:rPr>
          <w:t>/</w:t>
        </w:r>
        <w:r w:rsidRPr="001C6A28">
          <w:rPr>
            <w:rStyle w:val="af1"/>
            <w:lang w:val="en-US"/>
          </w:rPr>
          <w:t>issues</w:t>
        </w:r>
        <w:r w:rsidRPr="00C4484A">
          <w:rPr>
            <w:rStyle w:val="af1"/>
          </w:rPr>
          <w:t>/</w:t>
        </w:r>
        <w:r w:rsidRPr="001C6A28">
          <w:rPr>
            <w:rStyle w:val="af1"/>
            <w:lang w:val="en-US"/>
          </w:rPr>
          <w:t>wgeid</w:t>
        </w:r>
        <w:r w:rsidRPr="00C4484A">
          <w:rPr>
            <w:rStyle w:val="af1"/>
          </w:rPr>
          <w:t>/2022-07-14/</w:t>
        </w:r>
        <w:r w:rsidRPr="001C6A28">
          <w:rPr>
            <w:rStyle w:val="af1"/>
            <w:lang w:val="en-US"/>
          </w:rPr>
          <w:t>Observaciones</w:t>
        </w:r>
        <w:r w:rsidRPr="00C4484A">
          <w:rPr>
            <w:rStyle w:val="af1"/>
          </w:rPr>
          <w:t>-</w:t>
        </w:r>
        <w:r w:rsidRPr="001C6A28">
          <w:rPr>
            <w:rStyle w:val="af1"/>
            <w:lang w:val="en-US"/>
          </w:rPr>
          <w:t>preliminares</w:t>
        </w:r>
        <w:r w:rsidRPr="00C4484A">
          <w:rPr>
            <w:rStyle w:val="af1"/>
          </w:rPr>
          <w:t>-</w:t>
        </w:r>
        <w:r w:rsidRPr="001C6A28">
          <w:rPr>
            <w:rStyle w:val="af1"/>
            <w:lang w:val="en-US"/>
          </w:rPr>
          <w:t>GDTFI</w:t>
        </w:r>
        <w:r w:rsidRPr="00C4484A">
          <w:rPr>
            <w:rStyle w:val="af1"/>
          </w:rPr>
          <w:t>-</w:t>
        </w:r>
        <w:r w:rsidRPr="001C6A28">
          <w:rPr>
            <w:rStyle w:val="af1"/>
            <w:lang w:val="en-US"/>
          </w:rPr>
          <w:t>Uruguay</w:t>
        </w:r>
        <w:r w:rsidRPr="00C4484A">
          <w:rPr>
            <w:rStyle w:val="af1"/>
          </w:rPr>
          <w:t>.</w:t>
        </w:r>
        <w:r w:rsidRPr="001C6A28">
          <w:rPr>
            <w:rStyle w:val="af1"/>
            <w:lang w:val="en-US"/>
          </w:rPr>
          <w:t>pdf</w:t>
        </w:r>
      </w:hyperlink>
      <w:r w:rsidRPr="00C4484A">
        <w:t xml:space="preserve">. </w:t>
      </w:r>
    </w:p>
  </w:footnote>
  <w:footnote w:id="13">
    <w:p w14:paraId="4FBAB4D0" w14:textId="77777777" w:rsidR="00C4484A" w:rsidRPr="001C6A28" w:rsidRDefault="00C4484A" w:rsidP="00C4484A">
      <w:pPr>
        <w:pStyle w:val="ad"/>
        <w:widowControl w:val="0"/>
        <w:rPr>
          <w:lang w:val="en-US"/>
        </w:rPr>
      </w:pPr>
      <w:r w:rsidRPr="00C4484A">
        <w:tab/>
      </w:r>
      <w:r w:rsidRPr="00D15CC5">
        <w:rPr>
          <w:rStyle w:val="aa"/>
        </w:rPr>
        <w:footnoteRef/>
      </w:r>
      <w:r w:rsidRPr="001C6A28">
        <w:rPr>
          <w:lang w:val="en-US"/>
        </w:rPr>
        <w:t xml:space="preserve"> </w:t>
      </w:r>
      <w:r w:rsidRPr="001C6A28">
        <w:rPr>
          <w:lang w:val="en-US"/>
        </w:rPr>
        <w:tab/>
      </w:r>
      <w:hyperlink r:id="rId11" w:history="1">
        <w:r w:rsidRPr="005B39EF">
          <w:rPr>
            <w:rStyle w:val="af1"/>
            <w:lang w:val="en-US"/>
          </w:rPr>
          <w:t>CED</w:t>
        </w:r>
        <w:r w:rsidRPr="001C6A28">
          <w:rPr>
            <w:rStyle w:val="af1"/>
            <w:lang w:val="en-US"/>
          </w:rPr>
          <w:t>/</w:t>
        </w:r>
        <w:r w:rsidRPr="005B39EF">
          <w:rPr>
            <w:rStyle w:val="af1"/>
            <w:lang w:val="en-US"/>
          </w:rPr>
          <w:t>C</w:t>
        </w:r>
        <w:r w:rsidRPr="001C6A28">
          <w:rPr>
            <w:rStyle w:val="af1"/>
            <w:lang w:val="en-US"/>
          </w:rPr>
          <w:t>/</w:t>
        </w:r>
        <w:r w:rsidRPr="005B39EF">
          <w:rPr>
            <w:rStyle w:val="af1"/>
            <w:lang w:val="en-US"/>
          </w:rPr>
          <w:t>URY</w:t>
        </w:r>
        <w:r w:rsidRPr="001C6A28">
          <w:rPr>
            <w:rStyle w:val="af1"/>
            <w:lang w:val="en-US"/>
          </w:rPr>
          <w:t>/</w:t>
        </w:r>
        <w:r w:rsidRPr="005B39EF">
          <w:rPr>
            <w:rStyle w:val="af1"/>
            <w:lang w:val="en-US"/>
          </w:rPr>
          <w:t>CO</w:t>
        </w:r>
        <w:r w:rsidRPr="001C6A28">
          <w:rPr>
            <w:rStyle w:val="af1"/>
            <w:lang w:val="en-US"/>
          </w:rPr>
          <w:t>/1</w:t>
        </w:r>
      </w:hyperlink>
      <w:r w:rsidRPr="001C6A28">
        <w:rPr>
          <w:lang w:val="en-US"/>
        </w:rPr>
        <w:t xml:space="preserve">, </w:t>
      </w:r>
      <w:r>
        <w:t>п</w:t>
      </w:r>
      <w:r w:rsidRPr="001C6A28">
        <w:rPr>
          <w:lang w:val="en-US"/>
        </w:rPr>
        <w:t>.</w:t>
      </w:r>
      <w:r w:rsidRPr="005B39EF">
        <w:rPr>
          <w:lang w:val="en-US"/>
        </w:rPr>
        <w:t> </w:t>
      </w:r>
      <w:r w:rsidRPr="001C6A28">
        <w:rPr>
          <w:lang w:val="en-US"/>
        </w:rPr>
        <w:t>14.</w:t>
      </w:r>
    </w:p>
  </w:footnote>
  <w:footnote w:id="14">
    <w:p w14:paraId="48B76787" w14:textId="5EFE8E1C" w:rsidR="00C4484A" w:rsidRPr="000853F2" w:rsidRDefault="00C4484A" w:rsidP="00C4484A">
      <w:pPr>
        <w:pStyle w:val="ad"/>
        <w:widowControl w:val="0"/>
      </w:pPr>
      <w:r w:rsidRPr="001C6A28">
        <w:rPr>
          <w:lang w:val="en-US"/>
        </w:rPr>
        <w:tab/>
      </w:r>
      <w:r w:rsidRPr="00D15CC5">
        <w:rPr>
          <w:rStyle w:val="aa"/>
        </w:rPr>
        <w:footnoteRef/>
      </w:r>
      <w:r w:rsidRPr="00A54AA3">
        <w:t xml:space="preserve"> </w:t>
      </w:r>
      <w:r w:rsidRPr="00A54AA3">
        <w:tab/>
        <w:t>Ответы Уругвая на перечень вопросов Ко</w:t>
      </w:r>
      <w:r w:rsidRPr="000853F2">
        <w:t xml:space="preserve">митета, </w:t>
      </w:r>
      <w:r>
        <w:t>URL:</w:t>
      </w:r>
      <w:r w:rsidRPr="000853F2">
        <w:t xml:space="preserve"> </w:t>
      </w:r>
      <w:hyperlink r:id="rId12" w:history="1">
        <w:r w:rsidR="0090200B" w:rsidRPr="00D447F9">
          <w:rPr>
            <w:rStyle w:val="af1"/>
          </w:rPr>
          <w:t>https://tbinternet.ohchr.org/_layouts/15/treatybodyexternal/Download.aspx?symbolno=INT%2fCED%2fRLI%2fURY%2f49553&amp;Lang=es</w:t>
        </w:r>
      </w:hyperlink>
      <w:r w:rsidRPr="000853F2">
        <w:t>.</w:t>
      </w:r>
    </w:p>
  </w:footnote>
  <w:footnote w:id="15">
    <w:p w14:paraId="3F0B8953" w14:textId="77777777" w:rsidR="00C4484A" w:rsidRPr="001B08EC" w:rsidRDefault="00C4484A" w:rsidP="00C4484A">
      <w:pPr>
        <w:pStyle w:val="ad"/>
        <w:widowControl w:val="0"/>
      </w:pPr>
      <w:r w:rsidRPr="000853F2">
        <w:tab/>
      </w:r>
      <w:r w:rsidRPr="00D15CC5">
        <w:rPr>
          <w:rStyle w:val="aa"/>
        </w:rPr>
        <w:footnoteRef/>
      </w:r>
      <w:r w:rsidRPr="001B08EC">
        <w:tab/>
      </w:r>
      <w:hyperlink r:id="rId13" w:history="1">
        <w:r w:rsidRPr="001B08EC">
          <w:rPr>
            <w:rStyle w:val="af1"/>
          </w:rPr>
          <w:t>CED/C/7</w:t>
        </w:r>
      </w:hyperlink>
      <w:r w:rsidRPr="001B08EC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60EC0" w14:textId="30251EB7" w:rsidR="00C4484A" w:rsidRPr="00C4484A" w:rsidRDefault="0090200B">
    <w:pPr>
      <w:pStyle w:val="a5"/>
    </w:pPr>
    <w:fldSimple w:instr=" TITLE  \* MERGEFORMAT ">
      <w:r w:rsidR="003B493F">
        <w:t>CED/C/URY/OAI/1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E2156" w14:textId="082FC590" w:rsidR="00C4484A" w:rsidRPr="00C4484A" w:rsidRDefault="0090200B" w:rsidP="00C4484A">
    <w:pPr>
      <w:pStyle w:val="a5"/>
      <w:jc w:val="right"/>
    </w:pPr>
    <w:fldSimple w:instr=" TITLE  \* MERGEFORMAT ">
      <w:r w:rsidR="003B493F">
        <w:t>CED/C/URY/OAI/1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80F46" w14:textId="77777777" w:rsidR="00C4484A" w:rsidRDefault="00C4484A" w:rsidP="00C4484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075"/>
    <w:rsid w:val="00003B7F"/>
    <w:rsid w:val="00033EE1"/>
    <w:rsid w:val="00042B72"/>
    <w:rsid w:val="00046E2F"/>
    <w:rsid w:val="00052360"/>
    <w:rsid w:val="000558BD"/>
    <w:rsid w:val="000A7696"/>
    <w:rsid w:val="000B57E7"/>
    <w:rsid w:val="000B6373"/>
    <w:rsid w:val="000F09DF"/>
    <w:rsid w:val="000F2F61"/>
    <w:rsid w:val="000F61B2"/>
    <w:rsid w:val="001075E9"/>
    <w:rsid w:val="00165797"/>
    <w:rsid w:val="00180183"/>
    <w:rsid w:val="0018024D"/>
    <w:rsid w:val="0018649F"/>
    <w:rsid w:val="00196389"/>
    <w:rsid w:val="001B3EF6"/>
    <w:rsid w:val="001C7A89"/>
    <w:rsid w:val="00206F9C"/>
    <w:rsid w:val="00215F21"/>
    <w:rsid w:val="002548A9"/>
    <w:rsid w:val="00277A08"/>
    <w:rsid w:val="002A2EFC"/>
    <w:rsid w:val="002C0E18"/>
    <w:rsid w:val="002D5AAC"/>
    <w:rsid w:val="002E5067"/>
    <w:rsid w:val="002E70C4"/>
    <w:rsid w:val="002F405F"/>
    <w:rsid w:val="002F7EEC"/>
    <w:rsid w:val="00301299"/>
    <w:rsid w:val="00305C08"/>
    <w:rsid w:val="00307FB6"/>
    <w:rsid w:val="00307FF8"/>
    <w:rsid w:val="00317339"/>
    <w:rsid w:val="00322004"/>
    <w:rsid w:val="003402C2"/>
    <w:rsid w:val="00352944"/>
    <w:rsid w:val="00381C24"/>
    <w:rsid w:val="003958D0"/>
    <w:rsid w:val="003B00E5"/>
    <w:rsid w:val="003B493F"/>
    <w:rsid w:val="003D578C"/>
    <w:rsid w:val="00407075"/>
    <w:rsid w:val="00407B78"/>
    <w:rsid w:val="00424203"/>
    <w:rsid w:val="00452493"/>
    <w:rsid w:val="00454E07"/>
    <w:rsid w:val="0045646C"/>
    <w:rsid w:val="00472C5C"/>
    <w:rsid w:val="004738A1"/>
    <w:rsid w:val="00475A37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A1794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7601E9"/>
    <w:rsid w:val="0077799D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8C2BFD"/>
    <w:rsid w:val="0090200B"/>
    <w:rsid w:val="00906890"/>
    <w:rsid w:val="00911BE4"/>
    <w:rsid w:val="00942A43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739BE"/>
    <w:rsid w:val="00BC18B2"/>
    <w:rsid w:val="00BD33EE"/>
    <w:rsid w:val="00C106D6"/>
    <w:rsid w:val="00C4484A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77255"/>
    <w:rsid w:val="00D90028"/>
    <w:rsid w:val="00D90138"/>
    <w:rsid w:val="00DB0902"/>
    <w:rsid w:val="00DD78D1"/>
    <w:rsid w:val="00DE32CD"/>
    <w:rsid w:val="00DF71B9"/>
    <w:rsid w:val="00E61978"/>
    <w:rsid w:val="00E73F76"/>
    <w:rsid w:val="00E93F8F"/>
    <w:rsid w:val="00EA2C9F"/>
    <w:rsid w:val="00EA420E"/>
    <w:rsid w:val="00EC439D"/>
    <w:rsid w:val="00ED0BDA"/>
    <w:rsid w:val="00EF1360"/>
    <w:rsid w:val="00EF3220"/>
    <w:rsid w:val="00F41C74"/>
    <w:rsid w:val="00F42968"/>
    <w:rsid w:val="00F43903"/>
    <w:rsid w:val="00F51620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D6CDB"/>
  <w15:docId w15:val="{B671DD60-C414-4FD5-A4A9-07C8E873D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link w:val="4GCharChar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HChGChar">
    <w:name w:val="_ H _Ch_G Char"/>
    <w:link w:val="HChG"/>
    <w:rsid w:val="00C4484A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C4484A"/>
    <w:rPr>
      <w:lang w:val="ru-RU" w:eastAsia="en-US"/>
    </w:rPr>
  </w:style>
  <w:style w:type="paragraph" w:customStyle="1" w:styleId="4GCharChar">
    <w:name w:val="4_G Char Char"/>
    <w:aliases w:val="4_G Char Char Char,ftref Char Char Char Char,ftref Char Char Char Char Char,Heading 2 Char1 Char Char Char Char Char,Heading 2 Char2 Char Char Char Char Char Char,Heading 2 Char Char Char Char Char1 Char Char Char Char,ftref Char Char"/>
    <w:basedOn w:val="a"/>
    <w:link w:val="aa"/>
    <w:rsid w:val="00C4484A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  <w:style w:type="character" w:styleId="af3">
    <w:name w:val="Unresolved Mention"/>
    <w:basedOn w:val="a0"/>
    <w:uiPriority w:val="99"/>
    <w:semiHidden/>
    <w:unhideWhenUsed/>
    <w:rsid w:val="00902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INT%2fCED%2fRLI%2fURY%2f49553&amp;Lang=es" TargetMode="External"/><Relationship Id="rId13" Type="http://schemas.openxmlformats.org/officeDocument/2006/relationships/hyperlink" Target="https://undocs.org/ru/CED/C/7" TargetMode="External"/><Relationship Id="rId3" Type="http://schemas.openxmlformats.org/officeDocument/2006/relationships/hyperlink" Target="https://tbinternet.ohchr.org/_layouts/15/treatybodyexternal/Download.aspx?symbolno=INT%2fCED%2fRLI%2fURY%2f49553&amp;Lang=es" TargetMode="External"/><Relationship Id="rId7" Type="http://schemas.openxmlformats.org/officeDocument/2006/relationships/hyperlink" Target="https://tbinternet.ohchr.org/_layouts/15/treatybodyexternal/Download.aspx?symbolno=INT%2fCED%2fRLI%2fURY%2f49553&amp;Lang=es" TargetMode="External"/><Relationship Id="rId12" Type="http://schemas.openxmlformats.org/officeDocument/2006/relationships/hyperlink" Target="https://tbinternet.ohchr.org/_layouts/15/treatybodyexternal/Download.aspx?symbolno=INT%2fCED%2fRLI%2fURY%2f49553&amp;Lang=es" TargetMode="External"/><Relationship Id="rId2" Type="http://schemas.openxmlformats.org/officeDocument/2006/relationships/hyperlink" Target="https://undocs.org/ru/CED/C/URY/CO/1" TargetMode="External"/><Relationship Id="rId1" Type="http://schemas.openxmlformats.org/officeDocument/2006/relationships/hyperlink" Target="https://undocs.org/es/CED/C/URY/AI/1" TargetMode="External"/><Relationship Id="rId6" Type="http://schemas.openxmlformats.org/officeDocument/2006/relationships/hyperlink" Target="https://undocs.org/es/CED/C/URY/AI/1" TargetMode="External"/><Relationship Id="rId11" Type="http://schemas.openxmlformats.org/officeDocument/2006/relationships/hyperlink" Target="https://undocs.org/ru/CED/C/URY/CO/1" TargetMode="External"/><Relationship Id="rId5" Type="http://schemas.openxmlformats.org/officeDocument/2006/relationships/hyperlink" Target="https://undocs.org/ru/CED/C/URY/CO/1" TargetMode="External"/><Relationship Id="rId10" Type="http://schemas.openxmlformats.org/officeDocument/2006/relationships/hyperlink" Target="https://www.ohchr.org/sites/default/files/documents/issues/wgeid/2022-07-14/Observaciones-preliminares-GDTFI-Uruguay.pdf" TargetMode="External"/><Relationship Id="rId4" Type="http://schemas.openxmlformats.org/officeDocument/2006/relationships/hyperlink" Target="https://undocs.org/en/CED/C/SR.409" TargetMode="External"/><Relationship Id="rId9" Type="http://schemas.openxmlformats.org/officeDocument/2006/relationships/hyperlink" Target="https://undocs.org/ru/CED/C/URY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14</TotalTime>
  <Pages>8</Pages>
  <Words>2997</Words>
  <Characters>20892</Characters>
  <Application>Microsoft Office Word</Application>
  <DocSecurity>0</DocSecurity>
  <Lines>375</Lines>
  <Paragraphs>77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CED/C/URY/OAI/1</vt:lpstr>
      <vt:lpstr>A/</vt:lpstr>
      <vt:lpstr>A/</vt:lpstr>
    </vt:vector>
  </TitlesOfParts>
  <Company>DCM</Company>
  <LinksUpToDate>false</LinksUpToDate>
  <CharactersWithSpaces>23909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CED/C/URY/OAI/1</dc:title>
  <dc:subject/>
  <dc:creator>Olga OVTCHINNIKOVA</dc:creator>
  <cp:keywords/>
  <cp:lastModifiedBy>Olga Ovchinnikova</cp:lastModifiedBy>
  <cp:revision>3</cp:revision>
  <cp:lastPrinted>2022-12-19T07:55:00Z</cp:lastPrinted>
  <dcterms:created xsi:type="dcterms:W3CDTF">2022-12-19T07:55:00Z</dcterms:created>
  <dcterms:modified xsi:type="dcterms:W3CDTF">2022-12-19T08:01:00Z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