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48AF30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785BFCD" w14:textId="77777777" w:rsidR="002D5AAC" w:rsidRDefault="002D5AAC" w:rsidP="003110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11BC25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0FC27AE" w14:textId="38A7C985" w:rsidR="002D5AAC" w:rsidRDefault="003110D6" w:rsidP="003110D6">
            <w:pPr>
              <w:jc w:val="right"/>
            </w:pPr>
            <w:r w:rsidRPr="003110D6">
              <w:rPr>
                <w:sz w:val="40"/>
              </w:rPr>
              <w:t>A</w:t>
            </w:r>
            <w:r>
              <w:t>/HRC/RES/55/19</w:t>
            </w:r>
          </w:p>
        </w:tc>
      </w:tr>
      <w:tr w:rsidR="002D5AAC" w:rsidRPr="003110D6" w14:paraId="7250940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9A7C4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9057975" wp14:editId="42116C7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9EB21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5329405" w14:textId="77777777" w:rsidR="002D5AAC" w:rsidRDefault="003110D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9B071A5" w14:textId="77777777" w:rsidR="003110D6" w:rsidRDefault="003110D6" w:rsidP="003110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April 2024</w:t>
            </w:r>
          </w:p>
          <w:p w14:paraId="4925504C" w14:textId="77777777" w:rsidR="003110D6" w:rsidRDefault="003110D6" w:rsidP="003110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92317B1" w14:textId="38588F4D" w:rsidR="003110D6" w:rsidRPr="00E71476" w:rsidRDefault="003110D6" w:rsidP="003110D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84BA943" w14:textId="77777777" w:rsidR="00DF71B9" w:rsidRPr="003110D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F6C338E" w14:textId="77777777" w:rsidR="003110D6" w:rsidRPr="002F5916" w:rsidRDefault="003110D6" w:rsidP="003110D6">
      <w:pPr>
        <w:rPr>
          <w:b/>
        </w:rPr>
      </w:pPr>
      <w:r>
        <w:rPr>
          <w:b/>
          <w:bCs/>
        </w:rPr>
        <w:t>Пятьдесят пятая сессия</w:t>
      </w:r>
    </w:p>
    <w:p w14:paraId="45027DCA" w14:textId="77777777" w:rsidR="003110D6" w:rsidRPr="002F5916" w:rsidRDefault="003110D6" w:rsidP="003110D6">
      <w:r>
        <w:t>26 февраля — 5 апреля 2024 года</w:t>
      </w:r>
    </w:p>
    <w:p w14:paraId="0BA098DC" w14:textId="77777777" w:rsidR="003110D6" w:rsidRPr="002F5916" w:rsidRDefault="003110D6" w:rsidP="003110D6">
      <w:r>
        <w:t>Пункт 4 повестки дня</w:t>
      </w:r>
    </w:p>
    <w:p w14:paraId="2B14E7AC" w14:textId="77777777" w:rsidR="003110D6" w:rsidRPr="002F5916" w:rsidRDefault="003110D6" w:rsidP="003110D6">
      <w:pPr>
        <w:rPr>
          <w:b/>
        </w:rPr>
      </w:pPr>
      <w:r>
        <w:rPr>
          <w:b/>
          <w:bCs/>
        </w:rPr>
        <w:t>Ситуации в области прав человека,</w:t>
      </w:r>
      <w:r>
        <w:rPr>
          <w:b/>
          <w:bCs/>
        </w:rPr>
        <w:br/>
        <w:t>требующие внимания со стороны Совета</w:t>
      </w:r>
    </w:p>
    <w:p w14:paraId="43B0D513" w14:textId="1E1D2B3B" w:rsidR="003110D6" w:rsidRDefault="003110D6" w:rsidP="003110D6">
      <w:pPr>
        <w:pStyle w:val="HChG"/>
      </w:pPr>
      <w:r>
        <w:tab/>
      </w:r>
      <w:r>
        <w:tab/>
      </w:r>
      <w:r w:rsidRPr="003716E7">
        <w:t xml:space="preserve">Резолюция, принятая Советом по правам человека </w:t>
      </w:r>
      <w:r>
        <w:br/>
      </w:r>
      <w:r w:rsidRPr="003716E7">
        <w:t>4 апреля 2024 года</w:t>
      </w:r>
    </w:p>
    <w:p w14:paraId="5C086A5B" w14:textId="5027BCE0" w:rsidR="003110D6" w:rsidRPr="00B14D61" w:rsidRDefault="003110D6" w:rsidP="003110D6">
      <w:pPr>
        <w:pStyle w:val="H1G"/>
      </w:pPr>
      <w:r>
        <w:tab/>
      </w:r>
      <w:r w:rsidRPr="00B14D61">
        <w:t>55/</w:t>
      </w:r>
      <w:r w:rsidRPr="00D006B7">
        <w:t>19</w:t>
      </w:r>
      <w:r w:rsidRPr="003110D6">
        <w:t>.</w:t>
      </w:r>
      <w:r>
        <w:tab/>
      </w:r>
      <w:r w:rsidRPr="00B14D61">
        <w:t>Положение в области прав человека в Исламской Республике Иран</w:t>
      </w:r>
    </w:p>
    <w:p w14:paraId="49E4F9BA" w14:textId="77777777" w:rsidR="003110D6" w:rsidRPr="00824307" w:rsidRDefault="003110D6" w:rsidP="003110D6">
      <w:pPr>
        <w:spacing w:after="120"/>
        <w:ind w:left="1134" w:right="1134"/>
        <w:jc w:val="both"/>
        <w:rPr>
          <w:rFonts w:eastAsia="SimSun"/>
          <w:i/>
          <w:iCs/>
        </w:rPr>
      </w:pPr>
      <w:r w:rsidRPr="002F5916">
        <w:rPr>
          <w:i/>
          <w:iCs/>
        </w:rPr>
        <w:tab/>
      </w:r>
      <w:r w:rsidRPr="002F5916">
        <w:rPr>
          <w:i/>
          <w:iCs/>
        </w:rPr>
        <w:tab/>
        <w:t>Совет по правам человека</w:t>
      </w:r>
      <w:r w:rsidRPr="00B14D61">
        <w:t>,</w:t>
      </w:r>
    </w:p>
    <w:p w14:paraId="704D3826" w14:textId="77777777" w:rsidR="003110D6" w:rsidRPr="00CC08A4" w:rsidRDefault="003110D6" w:rsidP="003110D6">
      <w:pPr>
        <w:pStyle w:val="SingleTxtG"/>
      </w:pPr>
      <w:r>
        <w:tab/>
      </w:r>
      <w:r w:rsidRPr="002F5916"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5D6FF301" w14:textId="77777777" w:rsidR="003110D6" w:rsidRPr="00CC08A4" w:rsidRDefault="003110D6" w:rsidP="003110D6">
      <w:pPr>
        <w:pStyle w:val="SingleTxtG"/>
      </w:pPr>
      <w:r>
        <w:tab/>
      </w:r>
      <w:r w:rsidRPr="002F5916">
        <w:rPr>
          <w:i/>
          <w:iCs/>
        </w:rPr>
        <w:t>ссылаясь</w:t>
      </w:r>
      <w:r>
        <w:t xml:space="preserve"> на все соответствующие резолюции, принятые Советом по правам человека и Генеральной Ассамблеей, в частности самые последние из них, включая резолюции Совета </w:t>
      </w:r>
      <w:hyperlink r:id="rId8" w:history="1">
        <w:r w:rsidRPr="00B14D61">
          <w:rPr>
            <w:rStyle w:val="af1"/>
          </w:rPr>
          <w:t>52/27</w:t>
        </w:r>
      </w:hyperlink>
      <w:r>
        <w:t xml:space="preserve"> от 4 апреля 2023 года и </w:t>
      </w:r>
      <w:hyperlink r:id="rId9" w:history="1">
        <w:r w:rsidRPr="00B14D61">
          <w:rPr>
            <w:rStyle w:val="af1"/>
          </w:rPr>
          <w:t>S-35/1</w:t>
        </w:r>
      </w:hyperlink>
      <w:r>
        <w:t xml:space="preserve"> от 24 ноября 2022 года и резолюцию </w:t>
      </w:r>
      <w:hyperlink r:id="rId10" w:history="1">
        <w:r w:rsidRPr="00B14D61">
          <w:rPr>
            <w:rStyle w:val="af1"/>
          </w:rPr>
          <w:t>78/220</w:t>
        </w:r>
      </w:hyperlink>
      <w:r>
        <w:t xml:space="preserve"> Ассамблеи от 19 декабря 2023 года о положении в области прав человека в Исламской Республике Иран,</w:t>
      </w:r>
    </w:p>
    <w:p w14:paraId="2ACA481A" w14:textId="77777777" w:rsidR="003110D6" w:rsidRPr="00CC08A4" w:rsidRDefault="003110D6" w:rsidP="003110D6">
      <w:pPr>
        <w:pStyle w:val="SingleTxtG"/>
      </w:pPr>
      <w:r>
        <w:tab/>
      </w:r>
      <w:r w:rsidRPr="008A4F1D">
        <w:rPr>
          <w:i/>
          <w:iCs/>
        </w:rPr>
        <w:t>приветствуя</w:t>
      </w:r>
      <w:r>
        <w:t xml:space="preserve"> доклад и рекомендации Специального докладчика по вопросу о положении в области прав человека в Исламской Республике Иран, представленные Совету по правам человека</w:t>
      </w:r>
      <w:r w:rsidRPr="00AF0978">
        <w:rPr>
          <w:rStyle w:val="aa"/>
        </w:rPr>
        <w:footnoteReference w:id="1"/>
      </w:r>
      <w:r>
        <w:t>, и особо отмечая, что рекомендации, включенные в этот доклад, должны быть надлежащим образом рассмотрены правительством Исламской Республики Иран,</w:t>
      </w:r>
    </w:p>
    <w:p w14:paraId="2D3CE603" w14:textId="77777777" w:rsidR="003110D6" w:rsidRPr="002F5916" w:rsidRDefault="003110D6" w:rsidP="003110D6">
      <w:pPr>
        <w:pStyle w:val="SingleTxtG"/>
      </w:pPr>
      <w:r>
        <w:tab/>
      </w:r>
      <w:r w:rsidRPr="008A4F1D">
        <w:rPr>
          <w:i/>
          <w:iCs/>
        </w:rPr>
        <w:t>приветствуя также</w:t>
      </w:r>
      <w:r>
        <w:t xml:space="preserve"> работу, проделанную к настоящему времени Независимой международной миссией по установлению фактов относительно Исламской Республики Иран по расследованию предполагаемых нарушений прав человека, связанных с протестами, начавшимися 16 сентября 2022 года, особенно в отношении женщин и детей</w:t>
      </w:r>
      <w:r w:rsidRPr="00AF0978">
        <w:rPr>
          <w:rStyle w:val="aa"/>
        </w:rPr>
        <w:footnoteReference w:id="2"/>
      </w:r>
      <w:r>
        <w:t>, и признавая, что ей необходимо больше времени для завершения выполнения своего мандата,</w:t>
      </w:r>
    </w:p>
    <w:p w14:paraId="1450CF65" w14:textId="77777777" w:rsidR="003110D6" w:rsidRPr="002F5916" w:rsidRDefault="003110D6" w:rsidP="003110D6">
      <w:pPr>
        <w:pStyle w:val="SingleTxtG"/>
      </w:pPr>
      <w:r>
        <w:tab/>
      </w:r>
      <w:r w:rsidRPr="00006CF0">
        <w:rPr>
          <w:i/>
          <w:iCs/>
        </w:rPr>
        <w:t>глубоко сожалея</w:t>
      </w:r>
      <w:r>
        <w:t xml:space="preserve"> по поводу отказа в предоставлении доступа Специальному докладчику и Независимой международной миссии по установлению фактов для посещения Исламской Республики Иран,</w:t>
      </w:r>
    </w:p>
    <w:p w14:paraId="7B31020C" w14:textId="77777777" w:rsidR="003110D6" w:rsidRPr="002F5916" w:rsidRDefault="003110D6" w:rsidP="003110D6">
      <w:pPr>
        <w:pStyle w:val="SingleTxtG"/>
      </w:pPr>
      <w:r>
        <w:tab/>
      </w:r>
      <w:r w:rsidRPr="00B13D6C"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</w:t>
      </w:r>
      <w:r>
        <w:lastRenderedPageBreak/>
        <w:t>Совета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22287495" w14:textId="77777777" w:rsidR="003110D6" w:rsidRPr="002F5916" w:rsidRDefault="003110D6" w:rsidP="003110D6">
      <w:pPr>
        <w:pStyle w:val="SingleTxtG"/>
      </w:pPr>
      <w:r>
        <w:tab/>
        <w:t>1.</w:t>
      </w:r>
      <w:r>
        <w:tab/>
      </w:r>
      <w:r w:rsidRPr="00B13D6C">
        <w:rPr>
          <w:i/>
          <w:iCs/>
        </w:rPr>
        <w:t>постановляет</w:t>
      </w:r>
      <w:r>
        <w:t xml:space="preserve"> продлить срок действия мандата Специального докладчика по вопросу о положении в области прав человека в Исламской Республике Иран еще на один год, чтобы продолжать следить за текущим положением в области прав человека, включая гражданские, политические, экономические, социальные и культурные права, и оценивать прогресс в осуществлении рекомендаций, вынесенных Специальным докладчиком, и просит Специального докладчика представить доклад о выполнении мандата Совету по правам человека на его пятьдесят восьмой сессии и Генеральной Ассамблее на ее семьдесят девятой сессии;</w:t>
      </w:r>
    </w:p>
    <w:p w14:paraId="050D331A" w14:textId="77777777" w:rsidR="003110D6" w:rsidRPr="002F5916" w:rsidRDefault="003110D6" w:rsidP="003110D6">
      <w:pPr>
        <w:pStyle w:val="SingleTxtG"/>
      </w:pPr>
      <w:r>
        <w:tab/>
        <w:t>2.</w:t>
      </w:r>
      <w:r>
        <w:tab/>
      </w:r>
      <w:r w:rsidRPr="004F51D2">
        <w:rPr>
          <w:i/>
          <w:iCs/>
        </w:rPr>
        <w:t>постановляет также</w:t>
      </w:r>
      <w:r>
        <w:t xml:space="preserve"> продлить мандат Независимой международной миссии по установлению фактов относительно Исламской Республики Иран еще на один год, чтобы позволить ей завершить выполнение своего мандата, в том числе путем обеспечения того, чтобы большое количество свидетельств нарушений прав человека в Исламской Республике Иран, связанных с протестами, начавшимися 16</w:t>
      </w:r>
      <w:r>
        <w:rPr>
          <w:lang w:val="en-US"/>
        </w:rPr>
        <w:t> </w:t>
      </w:r>
      <w:r>
        <w:t>сентября 2022 года, особенно в отношении женщин и детей, было полностью и эффективно задокументировано, проверено, обобщено и сохранено, и просит Независимую международную миссию по установлению фактов представить доклад и рекомендации Совету по правам человека на его пятьдесят восьмой сессии в ходе совместного интерактивного диалога со Специальным докладчиком;</w:t>
      </w:r>
    </w:p>
    <w:p w14:paraId="666E1E0C" w14:textId="77777777" w:rsidR="003110D6" w:rsidRPr="00CC08A4" w:rsidRDefault="003110D6" w:rsidP="003110D6">
      <w:pPr>
        <w:pStyle w:val="SingleTxtG"/>
      </w:pPr>
      <w:r>
        <w:tab/>
        <w:t>3.</w:t>
      </w:r>
      <w:r>
        <w:tab/>
      </w:r>
      <w:r w:rsidRPr="00572D3A">
        <w:rPr>
          <w:i/>
          <w:iCs/>
        </w:rPr>
        <w:t>призывает</w:t>
      </w:r>
      <w:r>
        <w:t xml:space="preserve"> правительство Исламской Республики Иран в полной мере сотрудничать со Специальным докладчиком и Независимой международной миссией по установлению фактов, обеспечить им беспрепятственный доступ в страну и предоставить любую информацию, необходимую для выполнения их мандатов в соответствии с постоянным приглашением;</w:t>
      </w:r>
    </w:p>
    <w:p w14:paraId="298395A4" w14:textId="77777777" w:rsidR="003110D6" w:rsidRPr="00CC08A4" w:rsidRDefault="003110D6" w:rsidP="003110D6">
      <w:pPr>
        <w:pStyle w:val="SingleTxtG"/>
      </w:pPr>
      <w:r>
        <w:tab/>
        <w:t>4.</w:t>
      </w:r>
      <w:r>
        <w:tab/>
      </w:r>
      <w:r w:rsidRPr="00727BFF">
        <w:rPr>
          <w:i/>
          <w:iCs/>
        </w:rPr>
        <w:t>рекомендует</w:t>
      </w:r>
      <w:r>
        <w:t xml:space="preserve"> Специальному докладчику и Независимой международной миссии по установлению фактов тесно сотрудничать в целях поощрения синергизма;</w:t>
      </w:r>
      <w:bookmarkStart w:id="0" w:name="OLE_LINK11"/>
      <w:bookmarkStart w:id="1" w:name="OLE_LINK8"/>
      <w:bookmarkEnd w:id="0"/>
      <w:bookmarkEnd w:id="1"/>
    </w:p>
    <w:p w14:paraId="381081E8" w14:textId="77777777" w:rsidR="003110D6" w:rsidRDefault="003110D6" w:rsidP="003110D6">
      <w:pPr>
        <w:pStyle w:val="SingleTxtG"/>
      </w:pPr>
      <w:r>
        <w:tab/>
        <w:t>5.</w:t>
      </w:r>
      <w:r>
        <w:tab/>
      </w:r>
      <w:r w:rsidRPr="00727BFF">
        <w:rPr>
          <w:i/>
          <w:iCs/>
        </w:rPr>
        <w:t>просит</w:t>
      </w:r>
      <w:r>
        <w:t xml:space="preserve"> Генерального секретаря предоставить Специальному докладчику и Независимой международной миссии по установлению фактов ресурсы, необходимые для выполнения их мандатов.</w:t>
      </w:r>
    </w:p>
    <w:p w14:paraId="6C546623" w14:textId="77777777" w:rsidR="003110D6" w:rsidRPr="00D006B7" w:rsidRDefault="003110D6" w:rsidP="003110D6">
      <w:pPr>
        <w:pStyle w:val="SingleTxtG"/>
        <w:jc w:val="right"/>
        <w:rPr>
          <w:i/>
          <w:iCs/>
        </w:rPr>
      </w:pPr>
      <w:r w:rsidRPr="00D006B7">
        <w:rPr>
          <w:i/>
          <w:iCs/>
        </w:rPr>
        <w:t>54-е заседание</w:t>
      </w:r>
      <w:r>
        <w:rPr>
          <w:i/>
          <w:iCs/>
        </w:rPr>
        <w:br/>
      </w:r>
      <w:r w:rsidRPr="00D006B7">
        <w:rPr>
          <w:i/>
          <w:iCs/>
        </w:rPr>
        <w:t xml:space="preserve"> 4 апреля 2024 года</w:t>
      </w:r>
    </w:p>
    <w:p w14:paraId="7CDF4A24" w14:textId="78BB51D0" w:rsidR="003110D6" w:rsidRPr="00A63C81" w:rsidRDefault="003110D6" w:rsidP="003110D6">
      <w:pPr>
        <w:pStyle w:val="SingleTxtG"/>
      </w:pPr>
      <w:r w:rsidRPr="00A63C81">
        <w:t xml:space="preserve">[Принята в результате заносимого в отчет о заседании голосования 24 голосами </w:t>
      </w:r>
      <w:r w:rsidR="00D40E23">
        <w:br/>
      </w:r>
      <w:r w:rsidRPr="00A63C81">
        <w:t>против 8 при 15 воздержавшихся.</w:t>
      </w:r>
      <w:r w:rsidRPr="00974A94">
        <w:t xml:space="preserve"> Голоса распределились следующим образом:</w:t>
      </w:r>
    </w:p>
    <w:p w14:paraId="1D2C49FB" w14:textId="77777777" w:rsidR="003110D6" w:rsidRDefault="003110D6" w:rsidP="003110D6">
      <w:pPr>
        <w:pStyle w:val="SingleTxtG"/>
        <w:spacing w:after="0"/>
        <w:rPr>
          <w:i/>
          <w:iCs/>
        </w:rPr>
      </w:pPr>
      <w:r w:rsidRPr="00D006B7">
        <w:rPr>
          <w:i/>
          <w:iCs/>
        </w:rPr>
        <w:t>Голосовали за:</w:t>
      </w:r>
    </w:p>
    <w:p w14:paraId="471EE23F" w14:textId="77777777" w:rsidR="003110D6" w:rsidRPr="00D006B7" w:rsidRDefault="003110D6" w:rsidP="003110D6">
      <w:pPr>
        <w:pStyle w:val="SingleTxtG"/>
        <w:ind w:left="1701"/>
      </w:pPr>
      <w:r w:rsidRPr="00D006B7">
        <w:t>Албания, Аргентина, Бельгия, Бенин, Болгария, Гамбия, Германия, Гондурас, Доминиканская Республика, Коста-Рика, Литва, Люксембург, Малави, Марокко, Нидерланды (Королевство), Парагвай, Румыния, Соединенные Штаты Америки, Сомали, Финляндия, Франция, Черногория, Чили, Япония.</w:t>
      </w:r>
    </w:p>
    <w:p w14:paraId="06DA7058" w14:textId="77777777" w:rsidR="003110D6" w:rsidRPr="00D006B7" w:rsidRDefault="003110D6" w:rsidP="003110D6">
      <w:pPr>
        <w:pStyle w:val="SingleTxtG"/>
        <w:spacing w:after="0"/>
        <w:rPr>
          <w:i/>
          <w:iCs/>
        </w:rPr>
      </w:pPr>
      <w:r w:rsidRPr="00D006B7">
        <w:rPr>
          <w:i/>
          <w:iCs/>
        </w:rPr>
        <w:t>Голосовали против:</w:t>
      </w:r>
    </w:p>
    <w:p w14:paraId="05149133" w14:textId="77777777" w:rsidR="003110D6" w:rsidRPr="00D006B7" w:rsidRDefault="003110D6" w:rsidP="003110D6">
      <w:pPr>
        <w:pStyle w:val="SingleTxtG"/>
        <w:ind w:left="1701"/>
      </w:pPr>
      <w:r w:rsidRPr="00D006B7">
        <w:t>Алжир, Бурунди, Вьетнам, Индонезия, Китай, Куба, Судан, Эритрея.</w:t>
      </w:r>
    </w:p>
    <w:p w14:paraId="011311F8" w14:textId="77777777" w:rsidR="003110D6" w:rsidRPr="00D006B7" w:rsidRDefault="003110D6" w:rsidP="003110D6">
      <w:pPr>
        <w:pStyle w:val="SingleTxtG"/>
        <w:spacing w:after="0"/>
        <w:rPr>
          <w:i/>
          <w:iCs/>
        </w:rPr>
      </w:pPr>
      <w:r w:rsidRPr="00D006B7">
        <w:rPr>
          <w:i/>
          <w:iCs/>
        </w:rPr>
        <w:t>Воздержались:</w:t>
      </w:r>
    </w:p>
    <w:p w14:paraId="53A512A9" w14:textId="77FEC3D8" w:rsidR="003110D6" w:rsidRPr="00D006B7" w:rsidRDefault="003110D6" w:rsidP="003110D6">
      <w:pPr>
        <w:pStyle w:val="SingleTxtG"/>
        <w:ind w:left="1701"/>
      </w:pPr>
      <w:r w:rsidRPr="00D006B7">
        <w:t xml:space="preserve">Бангладеш, Бразилия, Гана, Грузия, Индия, Камерун, Катар, Казахстан, </w:t>
      </w:r>
      <w:r>
        <w:br/>
      </w:r>
      <w:r w:rsidRPr="00D006B7">
        <w:t>Кот-д'Ивуар, Кувейт, Кыргызстан, Малайзия, Мальдивские Острова, Объединенные Арабские Эмираты, Южная Африка.]</w:t>
      </w:r>
    </w:p>
    <w:p w14:paraId="5CE822B6" w14:textId="77777777" w:rsidR="003110D6" w:rsidRPr="00F15FC0" w:rsidRDefault="003110D6" w:rsidP="003110D6">
      <w:pPr>
        <w:spacing w:before="240"/>
        <w:ind w:left="1134" w:right="1134"/>
        <w:jc w:val="center"/>
        <w:rPr>
          <w:u w:val="single"/>
        </w:rPr>
      </w:pPr>
      <w:r w:rsidRPr="002F5916">
        <w:rPr>
          <w:u w:val="single"/>
        </w:rPr>
        <w:tab/>
      </w:r>
      <w:r w:rsidRPr="002F5916">
        <w:rPr>
          <w:u w:val="single"/>
        </w:rPr>
        <w:tab/>
      </w:r>
      <w:r w:rsidRPr="002F5916">
        <w:rPr>
          <w:u w:val="single"/>
        </w:rPr>
        <w:tab/>
      </w:r>
      <w:r w:rsidRPr="002F5916">
        <w:rPr>
          <w:u w:val="single"/>
        </w:rPr>
        <w:tab/>
      </w:r>
    </w:p>
    <w:p w14:paraId="31A08C33" w14:textId="77777777" w:rsidR="00CB0692" w:rsidRPr="003110D6" w:rsidRDefault="00CB0692" w:rsidP="002E5067"/>
    <w:sectPr w:rsidR="00CB0692" w:rsidRPr="003110D6" w:rsidSect="003110D6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4252A" w14:textId="77777777" w:rsidR="00297971" w:rsidRPr="00A312BC" w:rsidRDefault="00297971" w:rsidP="00A312BC"/>
  </w:endnote>
  <w:endnote w:type="continuationSeparator" w:id="0">
    <w:p w14:paraId="00DB65D6" w14:textId="77777777" w:rsidR="00297971" w:rsidRPr="00A312BC" w:rsidRDefault="0029797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16C91" w14:textId="27D72DA2" w:rsidR="003110D6" w:rsidRPr="003110D6" w:rsidRDefault="003110D6">
    <w:pPr>
      <w:pStyle w:val="a8"/>
    </w:pPr>
    <w:r w:rsidRPr="003110D6">
      <w:rPr>
        <w:b/>
        <w:sz w:val="18"/>
      </w:rPr>
      <w:fldChar w:fldCharType="begin"/>
    </w:r>
    <w:r w:rsidRPr="003110D6">
      <w:rPr>
        <w:b/>
        <w:sz w:val="18"/>
      </w:rPr>
      <w:instrText xml:space="preserve"> PAGE  \* MERGEFORMAT </w:instrText>
    </w:r>
    <w:r w:rsidRPr="003110D6">
      <w:rPr>
        <w:b/>
        <w:sz w:val="18"/>
      </w:rPr>
      <w:fldChar w:fldCharType="separate"/>
    </w:r>
    <w:r w:rsidRPr="003110D6">
      <w:rPr>
        <w:b/>
        <w:noProof/>
        <w:sz w:val="18"/>
      </w:rPr>
      <w:t>2</w:t>
    </w:r>
    <w:r w:rsidRPr="003110D6">
      <w:rPr>
        <w:b/>
        <w:sz w:val="18"/>
      </w:rPr>
      <w:fldChar w:fldCharType="end"/>
    </w:r>
    <w:r>
      <w:rPr>
        <w:b/>
        <w:sz w:val="18"/>
      </w:rPr>
      <w:tab/>
    </w:r>
    <w:r>
      <w:t>GE.24-06311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E3B2" w14:textId="6E7C544F" w:rsidR="003110D6" w:rsidRPr="003110D6" w:rsidRDefault="003110D6" w:rsidP="003110D6">
    <w:pPr>
      <w:pStyle w:val="a8"/>
      <w:tabs>
        <w:tab w:val="clear" w:pos="9639"/>
        <w:tab w:val="right" w:pos="9638"/>
      </w:tabs>
      <w:rPr>
        <w:b/>
        <w:sz w:val="18"/>
      </w:rPr>
    </w:pPr>
    <w:r>
      <w:t>GE.24-06311</w:t>
    </w:r>
    <w:r>
      <w:tab/>
    </w:r>
    <w:r w:rsidRPr="003110D6">
      <w:rPr>
        <w:b/>
        <w:sz w:val="18"/>
      </w:rPr>
      <w:fldChar w:fldCharType="begin"/>
    </w:r>
    <w:r w:rsidRPr="003110D6">
      <w:rPr>
        <w:b/>
        <w:sz w:val="18"/>
      </w:rPr>
      <w:instrText xml:space="preserve"> PAGE  \* MERGEFORMAT </w:instrText>
    </w:r>
    <w:r w:rsidRPr="003110D6">
      <w:rPr>
        <w:b/>
        <w:sz w:val="18"/>
      </w:rPr>
      <w:fldChar w:fldCharType="separate"/>
    </w:r>
    <w:r w:rsidRPr="003110D6">
      <w:rPr>
        <w:b/>
        <w:noProof/>
        <w:sz w:val="18"/>
      </w:rPr>
      <w:t>3</w:t>
    </w:r>
    <w:r w:rsidRPr="003110D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A5015" w14:textId="590965D8" w:rsidR="00042B72" w:rsidRPr="003110D6" w:rsidRDefault="003110D6" w:rsidP="003110D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BCEE867" wp14:editId="03815DA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24-06311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9B04A7D" wp14:editId="4D920D4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110424  110424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B382C" w14:textId="77777777" w:rsidR="00297971" w:rsidRPr="001075E9" w:rsidRDefault="0029797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59097F" w14:textId="77777777" w:rsidR="00297971" w:rsidRDefault="0029797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8892C2" w14:textId="77777777" w:rsidR="003110D6" w:rsidRPr="00B14D61" w:rsidRDefault="003110D6" w:rsidP="003110D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824307">
        <w:rPr>
          <w:lang w:val="en-US"/>
        </w:rPr>
        <w:tab/>
      </w:r>
      <w:hyperlink r:id="rId1" w:history="1">
        <w:r w:rsidRPr="00B14D61">
          <w:rPr>
            <w:rStyle w:val="af1"/>
            <w:lang w:val="en-US"/>
          </w:rPr>
          <w:t>A/HRC/55/62</w:t>
        </w:r>
      </w:hyperlink>
      <w:r w:rsidRPr="00824307">
        <w:rPr>
          <w:lang w:val="en-US"/>
        </w:rPr>
        <w:t>.</w:t>
      </w:r>
    </w:p>
  </w:footnote>
  <w:footnote w:id="2">
    <w:p w14:paraId="2272F2DF" w14:textId="77777777" w:rsidR="003110D6" w:rsidRPr="00B14D61" w:rsidRDefault="003110D6" w:rsidP="003110D6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824307">
        <w:rPr>
          <w:lang w:val="en-US"/>
        </w:rPr>
        <w:tab/>
      </w:r>
      <w:r>
        <w:rPr>
          <w:rStyle w:val="aa"/>
        </w:rPr>
        <w:footnoteRef/>
      </w:r>
      <w:r w:rsidRPr="00824307">
        <w:rPr>
          <w:lang w:val="en-US"/>
        </w:rPr>
        <w:tab/>
      </w:r>
      <w:r>
        <w:t>См</w:t>
      </w:r>
      <w:r w:rsidRPr="00824307">
        <w:rPr>
          <w:lang w:val="en-US"/>
        </w:rPr>
        <w:t xml:space="preserve">. </w:t>
      </w:r>
      <w:hyperlink r:id="rId2" w:history="1">
        <w:r w:rsidRPr="00B14D61">
          <w:rPr>
            <w:rStyle w:val="af1"/>
            <w:lang w:val="en-US"/>
          </w:rPr>
          <w:t>A/HRC/55/67</w:t>
        </w:r>
      </w:hyperlink>
      <w:r w:rsidRPr="00824307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F408" w14:textId="0CD464A2" w:rsidR="003110D6" w:rsidRPr="003110D6" w:rsidRDefault="003110D6">
    <w:pPr>
      <w:pStyle w:val="a5"/>
    </w:pPr>
    <w:fldSimple w:instr=" TITLE  \* MERGEFORMAT ">
      <w:r w:rsidR="00525CC1">
        <w:t>A/HRC/RES/55/19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4C546" w14:textId="6F8E7174" w:rsidR="003110D6" w:rsidRPr="003110D6" w:rsidRDefault="003110D6" w:rsidP="003110D6">
    <w:pPr>
      <w:pStyle w:val="a5"/>
      <w:jc w:val="right"/>
    </w:pPr>
    <w:fldSimple w:instr=" TITLE  \* MERGEFORMAT ">
      <w:r w:rsidR="00525CC1">
        <w:t>A/HRC/RES/55/19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99644317">
    <w:abstractNumId w:val="16"/>
  </w:num>
  <w:num w:numId="2" w16cid:durableId="1964651373">
    <w:abstractNumId w:val="11"/>
  </w:num>
  <w:num w:numId="3" w16cid:durableId="602345914">
    <w:abstractNumId w:val="10"/>
  </w:num>
  <w:num w:numId="4" w16cid:durableId="884371274">
    <w:abstractNumId w:val="17"/>
  </w:num>
  <w:num w:numId="5" w16cid:durableId="1710450018">
    <w:abstractNumId w:val="13"/>
  </w:num>
  <w:num w:numId="6" w16cid:durableId="622688884">
    <w:abstractNumId w:val="8"/>
  </w:num>
  <w:num w:numId="7" w16cid:durableId="1266618872">
    <w:abstractNumId w:val="3"/>
  </w:num>
  <w:num w:numId="8" w16cid:durableId="739014548">
    <w:abstractNumId w:val="2"/>
  </w:num>
  <w:num w:numId="9" w16cid:durableId="2137210663">
    <w:abstractNumId w:val="1"/>
  </w:num>
  <w:num w:numId="10" w16cid:durableId="456219550">
    <w:abstractNumId w:val="0"/>
  </w:num>
  <w:num w:numId="11" w16cid:durableId="940533043">
    <w:abstractNumId w:val="9"/>
  </w:num>
  <w:num w:numId="12" w16cid:durableId="177937153">
    <w:abstractNumId w:val="7"/>
  </w:num>
  <w:num w:numId="13" w16cid:durableId="1211183697">
    <w:abstractNumId w:val="6"/>
  </w:num>
  <w:num w:numId="14" w16cid:durableId="846753747">
    <w:abstractNumId w:val="5"/>
  </w:num>
  <w:num w:numId="15" w16cid:durableId="1199971688">
    <w:abstractNumId w:val="4"/>
  </w:num>
  <w:num w:numId="16" w16cid:durableId="1106969126">
    <w:abstractNumId w:val="15"/>
  </w:num>
  <w:num w:numId="17" w16cid:durableId="2047485857">
    <w:abstractNumId w:val="12"/>
  </w:num>
  <w:num w:numId="18" w16cid:durableId="1832332757">
    <w:abstractNumId w:val="14"/>
  </w:num>
  <w:num w:numId="19" w16cid:durableId="262763689">
    <w:abstractNumId w:val="15"/>
  </w:num>
  <w:num w:numId="20" w16cid:durableId="486214151">
    <w:abstractNumId w:val="12"/>
  </w:num>
  <w:num w:numId="21" w16cid:durableId="26538501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97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97971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10D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E3D0E"/>
    <w:rsid w:val="0050108D"/>
    <w:rsid w:val="00513081"/>
    <w:rsid w:val="00517901"/>
    <w:rsid w:val="00525CC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0E9F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53D50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40E2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4C162F"/>
  <w15:docId w15:val="{3DE26D87-4583-4BC6-A89B-9EEDA925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RES/52/27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undocs.org/ru/A/RES/78/2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HRC/RES/S-35/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HRC/55/67" TargetMode="External"/><Relationship Id="rId1" Type="http://schemas.openxmlformats.org/officeDocument/2006/relationships/hyperlink" Target="http://undocs.org/ru/A/HRC/55/6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633</Words>
  <Characters>4305</Characters>
  <Application>Microsoft Office Word</Application>
  <DocSecurity>0</DocSecurity>
  <Lines>90</Lines>
  <Paragraphs>34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A/HRC/RES/55/19</dc:title>
  <dc:subject/>
  <dc:creator>Sharkina</dc:creator>
  <cp:keywords/>
  <cp:lastModifiedBy>Sharkina</cp:lastModifiedBy>
  <cp:revision>3</cp:revision>
  <cp:lastPrinted>2024-04-11T15:24:00Z</cp:lastPrinted>
  <dcterms:created xsi:type="dcterms:W3CDTF">2024-04-11T15:24:00Z</dcterms:created>
  <dcterms:modified xsi:type="dcterms:W3CDTF">2024-04-11T15:24:00Z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