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44879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7995AA1" w14:textId="77777777" w:rsidR="002D5AAC" w:rsidRDefault="002D5AAC" w:rsidP="00D852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13699F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BDA3DF" w14:textId="77777777" w:rsidR="002D5AAC" w:rsidRDefault="00D85211" w:rsidP="00D85211">
            <w:pPr>
              <w:jc w:val="right"/>
            </w:pPr>
            <w:r w:rsidRPr="00D85211">
              <w:rPr>
                <w:sz w:val="40"/>
              </w:rPr>
              <w:t>A</w:t>
            </w:r>
            <w:r>
              <w:t>/HRC/RES/43/20</w:t>
            </w:r>
          </w:p>
        </w:tc>
      </w:tr>
      <w:tr w:rsidR="002D5AAC" w:rsidRPr="0013715D" w14:paraId="0563A93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13779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0502E7" wp14:editId="5D4D4A5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DEADE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EC126B2" w14:textId="77777777" w:rsidR="002D5AAC" w:rsidRDefault="00D8521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F6369C" w14:textId="77777777" w:rsidR="00D85211" w:rsidRDefault="00FD2B1C" w:rsidP="00D852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July 2020</w:t>
            </w:r>
          </w:p>
          <w:p w14:paraId="5A99BE23" w14:textId="77777777" w:rsidR="00D85211" w:rsidRDefault="00D85211" w:rsidP="00D852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72018C9" w14:textId="77777777" w:rsidR="00D85211" w:rsidRPr="00E71476" w:rsidRDefault="00D85211" w:rsidP="00D852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B5F86C9" w14:textId="77777777" w:rsidR="00D85211" w:rsidRPr="00D85211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7AC2A4C2" w14:textId="77777777" w:rsidR="00D85211" w:rsidRPr="00E405E3" w:rsidRDefault="00D85211" w:rsidP="00D85211">
      <w:pPr>
        <w:rPr>
          <w:b/>
        </w:rPr>
      </w:pPr>
      <w:r>
        <w:rPr>
          <w:b/>
          <w:bCs/>
        </w:rPr>
        <w:t>Сорок третья сессия</w:t>
      </w:r>
    </w:p>
    <w:p w14:paraId="18379B38" w14:textId="77777777" w:rsidR="00D85211" w:rsidRPr="001B6E4F" w:rsidRDefault="00D85211" w:rsidP="00D85211">
      <w:pPr>
        <w:rPr>
          <w:szCs w:val="20"/>
        </w:rPr>
      </w:pPr>
      <w:r>
        <w:t xml:space="preserve">24 февраля </w:t>
      </w:r>
      <w:r w:rsidR="000117A0" w:rsidRPr="001B6E4F">
        <w:rPr>
          <w:szCs w:val="20"/>
        </w:rPr>
        <w:t>—</w:t>
      </w:r>
      <w:r w:rsidRPr="001B6E4F">
        <w:rPr>
          <w:szCs w:val="20"/>
        </w:rPr>
        <w:t xml:space="preserve"> </w:t>
      </w:r>
      <w:r w:rsidRPr="001B6E4F">
        <w:rPr>
          <w:color w:val="333333"/>
          <w:szCs w:val="20"/>
          <w:shd w:val="clear" w:color="auto" w:fill="FFFFFF"/>
        </w:rPr>
        <w:t>13 марта и 15–23 июня</w:t>
      </w:r>
      <w:r w:rsidRPr="001B6E4F">
        <w:rPr>
          <w:szCs w:val="20"/>
        </w:rPr>
        <w:t xml:space="preserve"> 2020 года</w:t>
      </w:r>
    </w:p>
    <w:p w14:paraId="284A66D2" w14:textId="77777777" w:rsidR="00D85211" w:rsidRPr="00E405E3" w:rsidRDefault="00D85211" w:rsidP="00D85211">
      <w:r>
        <w:t>Пункт 3 повестки дня</w:t>
      </w:r>
    </w:p>
    <w:p w14:paraId="495757F6" w14:textId="77777777" w:rsidR="00D85211" w:rsidRPr="00E405E3" w:rsidRDefault="00D85211" w:rsidP="00D85211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>гражданских,</w:t>
      </w:r>
      <w:r w:rsidRPr="006379A9">
        <w:rPr>
          <w:b/>
          <w:bCs/>
        </w:rPr>
        <w:t xml:space="preserve"> </w:t>
      </w:r>
      <w:r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  <w:t>социальных и культурных прав,</w:t>
      </w:r>
      <w:r>
        <w:rPr>
          <w:b/>
          <w:bCs/>
        </w:rPr>
        <w:br/>
        <w:t>включая право на развитие</w:t>
      </w:r>
    </w:p>
    <w:p w14:paraId="36D651C2" w14:textId="77777777" w:rsidR="00D85211" w:rsidRPr="009F3268" w:rsidRDefault="00D85211" w:rsidP="00F03595">
      <w:pPr>
        <w:pStyle w:val="HChG"/>
        <w:rPr>
          <w:color w:val="000000" w:themeColor="text1"/>
        </w:rPr>
      </w:pPr>
      <w:r w:rsidRPr="009F3268">
        <w:rPr>
          <w:color w:val="000000" w:themeColor="text1"/>
        </w:rPr>
        <w:tab/>
      </w:r>
      <w:r w:rsidRPr="009F3268">
        <w:rPr>
          <w:color w:val="000000" w:themeColor="text1"/>
        </w:rPr>
        <w:tab/>
      </w:r>
      <w:r>
        <w:t>Резолюция, принятая Советом по правам человека 22</w:t>
      </w:r>
      <w:r w:rsidR="00F03595">
        <w:rPr>
          <w:lang w:val="en-US"/>
        </w:rPr>
        <w:t> </w:t>
      </w:r>
      <w:r>
        <w:t>июня 2020 года</w:t>
      </w:r>
    </w:p>
    <w:p w14:paraId="570B4DB3" w14:textId="77777777" w:rsidR="00D85211" w:rsidRPr="00E405E3" w:rsidRDefault="00F03595" w:rsidP="00F03595">
      <w:pPr>
        <w:pStyle w:val="H1G"/>
      </w:pPr>
      <w:r>
        <w:tab/>
      </w:r>
      <w:r w:rsidR="00D85211">
        <w:t>43</w:t>
      </w:r>
      <w:r w:rsidR="00D85211" w:rsidRPr="008207DB">
        <w:t>/</w:t>
      </w:r>
      <w:r w:rsidR="00D85211" w:rsidRPr="00161E6A">
        <w:t>20.</w:t>
      </w:r>
      <w:r w:rsidR="00D85211">
        <w:tab/>
        <w:t xml:space="preserve">Пытки и другие жестокие, бесчеловечные или унижающие достоинство виды обращения и наказания: мандат Специального докладчика </w:t>
      </w:r>
    </w:p>
    <w:p w14:paraId="67B0BE24" w14:textId="77777777" w:rsidR="00D85211" w:rsidRPr="00D96C22" w:rsidRDefault="00D85211" w:rsidP="00D85211">
      <w:pPr>
        <w:spacing w:after="120"/>
        <w:ind w:left="1134" w:right="1134"/>
        <w:jc w:val="both"/>
        <w:rPr>
          <w:szCs w:val="20"/>
        </w:rPr>
      </w:pPr>
      <w:r>
        <w:tab/>
      </w:r>
      <w:r w:rsidRPr="00D96C22">
        <w:rPr>
          <w:szCs w:val="20"/>
        </w:rPr>
        <w:tab/>
      </w:r>
      <w:r w:rsidRPr="00D96C22">
        <w:rPr>
          <w:i/>
          <w:iCs/>
          <w:szCs w:val="20"/>
        </w:rPr>
        <w:t>Совет по правам человека</w:t>
      </w:r>
      <w:r w:rsidRPr="00D96C22">
        <w:rPr>
          <w:iCs/>
          <w:szCs w:val="20"/>
        </w:rPr>
        <w:t>,</w:t>
      </w:r>
    </w:p>
    <w:p w14:paraId="027B5D6C" w14:textId="77777777" w:rsidR="00D85211" w:rsidRPr="00D96C22" w:rsidRDefault="00D85211" w:rsidP="00D85211">
      <w:pPr>
        <w:pStyle w:val="SingleTxtG"/>
        <w:ind w:firstLine="567"/>
      </w:pPr>
      <w:r w:rsidRPr="00D96C22">
        <w:rPr>
          <w:i/>
          <w:iCs/>
        </w:rPr>
        <w:t>ссылаясь</w:t>
      </w:r>
      <w:r w:rsidRPr="00D96C22">
        <w:t xml:space="preserve"> на международное право прав человека, стандарты и руководящие принципы, касающиеся пыток и других жестоких, бесчеловечных или унижающих достоинство видов обращения и наказания,</w:t>
      </w:r>
    </w:p>
    <w:p w14:paraId="51BBB2C1" w14:textId="77777777" w:rsidR="00D85211" w:rsidRPr="00D96C22" w:rsidRDefault="00D85211" w:rsidP="00D85211">
      <w:pPr>
        <w:pStyle w:val="SingleTxtG"/>
        <w:ind w:firstLine="567"/>
      </w:pPr>
      <w:r w:rsidRPr="00D96C22">
        <w:rPr>
          <w:i/>
          <w:iCs/>
        </w:rPr>
        <w:t>вновь подтверждая</w:t>
      </w:r>
      <w:r w:rsidRPr="00D96C22">
        <w:t>, что никто не должен подвергаться пыткам или другим жестоким, бесчеловечным или унижающим достоинство видам обращения и наказания,</w:t>
      </w:r>
    </w:p>
    <w:p w14:paraId="28C56AA3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</w:r>
      <w:r w:rsidRPr="00D96C22">
        <w:rPr>
          <w:i/>
          <w:iCs/>
        </w:rPr>
        <w:t>напоминая</w:t>
      </w:r>
      <w:r w:rsidRPr="00D96C22">
        <w:t xml:space="preserve">, что в соответствии с международным правом свобода от пыток и других жестоких, бесчеловечных или унижающих достоинство видов обращения и наказания является не допускающим отступлений правом, которое должно соблюдаться и защищаться в любых обстоятельствах, в том числе в периоды международного и внутреннего вооруженного конфликта или внутренних беспорядков или во время любого иного чрезвычайного положения в государстве, что </w:t>
      </w:r>
      <w:r w:rsidRPr="00D96C22">
        <w:rPr>
          <w:color w:val="333333"/>
          <w:shd w:val="clear" w:color="auto" w:fill="FFFFFF"/>
        </w:rPr>
        <w:t>абсолютный</w:t>
      </w:r>
      <w:r w:rsidRPr="00D96C22">
        <w:t xml:space="preserve"> запрет пыток и других жестоких, бесчеловечных или унижающих достоинство видов обращения и наказания устанавливается в соответствующих международных договорах и что на правовые и процессуальные гарантии в отношении недопустимости таких актов не должны распространяться меры, которые позволяли бы обходить это право,</w:t>
      </w:r>
    </w:p>
    <w:p w14:paraId="3898B580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</w:r>
      <w:r w:rsidRPr="00D96C22">
        <w:rPr>
          <w:i/>
          <w:iCs/>
        </w:rPr>
        <w:t>напоминая также</w:t>
      </w:r>
      <w:r w:rsidRPr="00D96C22">
        <w:t>, что запрет пыток является императивной нормой международного права и что международные, региональные и внутренние суды признали, что запрещение жестокого, бесчеловечного или унижающего достоинство обращения и наказания является частью международного обычного права,</w:t>
      </w:r>
    </w:p>
    <w:p w14:paraId="5577B183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</w:r>
      <w:r w:rsidRPr="00D96C22">
        <w:rPr>
          <w:i/>
          <w:iCs/>
        </w:rPr>
        <w:t>признавая</w:t>
      </w:r>
      <w:r w:rsidRPr="00D96C22">
        <w:t xml:space="preserve"> важность работы Специального докладчика по вопросу о пытках и других жестоких, бесчеловечных или унижающих достоинство видах обращения и наказания в деле предупреждения пыток и других жестоких, бесчеловечных или унижающих достоинство видов обращения и наказания и борьбы с ними,</w:t>
      </w:r>
    </w:p>
    <w:p w14:paraId="6BE1C967" w14:textId="77777777" w:rsidR="00D85211" w:rsidRPr="00D96C22" w:rsidRDefault="00D85211" w:rsidP="00D85211">
      <w:pPr>
        <w:pStyle w:val="SingleTxtG"/>
      </w:pPr>
      <w:r w:rsidRPr="00D96C22">
        <w:lastRenderedPageBreak/>
        <w:tab/>
      </w:r>
      <w:r w:rsidRPr="00D96C22">
        <w:tab/>
      </w:r>
      <w:r w:rsidRPr="00D96C22">
        <w:rPr>
          <w:i/>
          <w:iCs/>
        </w:rPr>
        <w:t>ссылаясь</w:t>
      </w:r>
      <w:r w:rsidRPr="00D96C22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4FF853F3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1.</w:t>
      </w:r>
      <w:r w:rsidRPr="00D96C22">
        <w:tab/>
      </w:r>
      <w:r w:rsidRPr="00D96C22">
        <w:rPr>
          <w:i/>
        </w:rPr>
        <w:t>постановляет</w:t>
      </w:r>
      <w:r w:rsidRPr="00D96C22">
        <w:t xml:space="preserve"> продлить мандат Специального докладчика по вопросу о пытках и других жестоких, бесчеловечных или унижающих достоинство видах обращения и наказания еще на три года в целях:</w:t>
      </w:r>
    </w:p>
    <w:p w14:paraId="04B981E6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a)</w:t>
      </w:r>
      <w:r w:rsidRPr="00D96C22">
        <w:tab/>
        <w:t>поиска, получения и рассмотрения информации правительств, межправительственных организаций и организаций гражданского общества, отдельных лиц и групп лиц, касающейся вопросов и утверждений о пытках и других жестоких, бесчеловечных или унижающих достоинство видах обращения и наказания, и принятия на основе этой информации соответствующих мер;</w:t>
      </w:r>
    </w:p>
    <w:p w14:paraId="5BB90841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b)</w:t>
      </w:r>
      <w:r w:rsidRPr="00D96C22">
        <w:tab/>
        <w:t>проведения поездок в страны с согласия или по приглашению правительств и продолжения развития диалога с ними, а также осуществления контроля над выполнением рекомендаций, вынесенных в докладах после посещений их стран;</w:t>
      </w:r>
    </w:p>
    <w:p w14:paraId="647E8C30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c)</w:t>
      </w:r>
      <w:r w:rsidRPr="00D96C22">
        <w:tab/>
        <w:t>проведения всеобъемлющего анализа тенденций, событий и проблем в связи с борьбой против пыток и других жестоких, бесчеловечных или унижающих достоинство видов обращения и наказания и их предупреждением и представления рекомендаций и соображений относительно надлежащих мер по предупреждению и искоренению такой практики;</w:t>
      </w:r>
    </w:p>
    <w:p w14:paraId="65D500D3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d)</w:t>
      </w:r>
      <w:r w:rsidRPr="00D96C22">
        <w:tab/>
        <w:t>выявления, обмена и содействия распространению наилучших практических методов предупреждения, наказания и искоренения пыток и других жестоких, бесчеловечных или унижающих достоинство видов обращения и наказания;</w:t>
      </w:r>
    </w:p>
    <w:p w14:paraId="378D945E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e)</w:t>
      </w:r>
      <w:r w:rsidRPr="00D96C22">
        <w:tab/>
        <w:t>учета гендерных аспектов и применения подхода, ориентированного в первую очередь на жертв, в рамках всей деятельности, охватываемой его/ее мандатом;</w:t>
      </w:r>
    </w:p>
    <w:p w14:paraId="4D819B56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f)</w:t>
      </w:r>
      <w:r w:rsidRPr="00D96C22">
        <w:tab/>
        <w:t>продолжения сотрудничества с Комитетом против пыток, Подкомитетом по предупреждению пыток и соответствующими механизмами и органами Организации Объединенных Наций, а также в соответствующих случаях региональными организациями и механизмами, национальными правозащитными учреждениями, национальными превентивными механизмами и гражданским обществом, включая неправительственные организации, и содействия поощрению более активного сотрудничества между вышеуказанными субъектами;</w:t>
      </w:r>
    </w:p>
    <w:p w14:paraId="00310D22" w14:textId="420A8F01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g)</w:t>
      </w:r>
      <w:r w:rsidRPr="00D96C22">
        <w:tab/>
        <w:t xml:space="preserve">представления докладов обо всей своей деятельности, замечаниях, выводах и рекомендациях Совету по правам человека в соответствии с его программой работы и раз в год </w:t>
      </w:r>
      <w:r w:rsidR="00822A56" w:rsidRPr="00D96C22">
        <w:t>—</w:t>
      </w:r>
      <w:r w:rsidRPr="00D96C22">
        <w:t xml:space="preserve"> Генеральной Ассамблее относительно общих тенденций и событий в связи с его/ее мандатом с целью получения максимальной пользы от процесса представления докладов;</w:t>
      </w:r>
    </w:p>
    <w:p w14:paraId="74D1917D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2.</w:t>
      </w:r>
      <w:r w:rsidRPr="00D96C22">
        <w:tab/>
      </w:r>
      <w:r w:rsidRPr="00D96C22">
        <w:rPr>
          <w:i/>
          <w:iCs/>
        </w:rPr>
        <w:t>настоятельно призывает</w:t>
      </w:r>
      <w:r w:rsidRPr="00D96C22">
        <w:t xml:space="preserve"> государства:</w:t>
      </w:r>
    </w:p>
    <w:p w14:paraId="26C754D6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a)</w:t>
      </w:r>
      <w:r w:rsidRPr="00D96C22">
        <w:tab/>
        <w:t>сотрудничать в полной мере со Специальным докладчиком и помогать ему/ей в выполнении возложенных на него/нее задач, предоставлять всю запрашиваемую им/ею необходимую информацию и в полной мере и оперативно реагировать на его/ее призывы к незамедлительным действиям и настоятельно призывает те правительства, которые еще не ответили на сообщения, препровожденные им Специальным докладчиком, безотлагательно представить свои ответы;</w:t>
      </w:r>
    </w:p>
    <w:p w14:paraId="480E514F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b)</w:t>
      </w:r>
      <w:r w:rsidRPr="00D96C22">
        <w:tab/>
        <w:t>положительно реагировать на просьбы Специального докладчика об организации поездок в их страны и установить конструктивный диалог со Специальным докладчиком в отношении запрашиваемых посещений их стран;</w:t>
      </w:r>
    </w:p>
    <w:p w14:paraId="68522D0C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c)</w:t>
      </w:r>
      <w:r w:rsidRPr="00D96C22">
        <w:tab/>
        <w:t xml:space="preserve">обеспечить, в качестве важного элемента предупреждения и пресечения пыток и других жестоких, бесчеловечных или унижающих достоинство видов обращения и наказания, чтобы никакие органы или официальные должностные лица не отдавали приказы, не применяли, не разрешали или не допускали какие-либо </w:t>
      </w:r>
      <w:r w:rsidRPr="00D96C22">
        <w:lastRenderedPageBreak/>
        <w:t>санкции, репрессалии и запугивание или не причиняли иной вред в отношении любых лиц, групп или ассоциаций, включая лиц, лишенных свободы, за то, что они находятся в контакте, пытаются установить контакт или были в контакте со Специальным докладчиком или любым другим международным или национальным наблюдательным или превентивным органом, работающим в области предупреждения и пресечения пыток и других жестоких, бесчеловечных или унижающих достоинство видов обращения и наказания;</w:t>
      </w:r>
    </w:p>
    <w:p w14:paraId="33970E09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d)</w:t>
      </w:r>
      <w:r w:rsidRPr="00D96C22">
        <w:tab/>
        <w:t>обеспечить принятие надлежащих последующих мер в связи с рекомендациями и выводами Специального докладчика;</w:t>
      </w:r>
    </w:p>
    <w:p w14:paraId="45023F98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e)</w:t>
      </w:r>
      <w:r w:rsidRPr="00D96C22">
        <w:tab/>
        <w:t>использовать ориентированный в первую очередь на жертв и учитывающий гендерную проблематику подход в борьбе с пытками и другими жестокими, бесчеловечными или унижающими достоинство видами обращения и наказания, уделяя особое внимание мнениям и нуждам жертв при выработке политики и осуществлении других мероприятий, связанных с реабилитацией, профилактикой и привлечением к ответственности за пытки и другие жестокие, бесчеловечные или унижающие достоинство виды обращения и наказания и за насилие на гендерной почве, которое представляет собой пытки или другие жестокие, бесчеловечные или унижающие достоинство виды обращения и наказания;</w:t>
      </w:r>
    </w:p>
    <w:p w14:paraId="024E7946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f)</w:t>
      </w:r>
      <w:r w:rsidRPr="00D96C22">
        <w:tab/>
        <w:t>в приоритетном порядке стать участниками Конвенции против пыток и других жестоких, бесчеловечных или унижающих достоинство видов обращения и наказания и Факультативного протокола к ней и своевременно назначить или учредить независимые и эффективные национальные превентивные механизмы для предупреждения пыток и других жестоких, бесчеловечных или унижающих достоинство видов обращения и наказания;</w:t>
      </w:r>
    </w:p>
    <w:p w14:paraId="178F17BF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g)</w:t>
      </w:r>
      <w:r w:rsidRPr="00D96C22">
        <w:tab/>
        <w:t>обеспечивать принятие надлежащих последующих мер в связи с выводами, рекомендациями, просьбами о предоставлении дополнительной информации и соображениями по индивидуальным сообщениям соответствующих договорных органов, в том числе Комитета против пыток и Подкомитета по предупреждению пыток;</w:t>
      </w:r>
    </w:p>
    <w:p w14:paraId="678EBF65" w14:textId="77777777" w:rsidR="00D85211" w:rsidRPr="00D96C22" w:rsidRDefault="00D85211" w:rsidP="00D85211">
      <w:pPr>
        <w:pStyle w:val="SingleTxtG"/>
      </w:pPr>
      <w:r w:rsidRPr="00D96C22">
        <w:tab/>
      </w:r>
      <w:r w:rsidRPr="00D96C22">
        <w:tab/>
        <w:t>h)</w:t>
      </w:r>
      <w:r w:rsidRPr="00D96C22">
        <w:tab/>
        <w:t>рассмотреть возможность оказания надлежащей поддержки Фонду добровольных взносов Организации Объединенных Наций для жертв пыток и Специальному фонду, созданному на основании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6A5181B2" w14:textId="77777777" w:rsidR="00D85211" w:rsidRPr="00E405E3" w:rsidRDefault="00D85211" w:rsidP="00D85211">
      <w:pPr>
        <w:pStyle w:val="SingleTxtG"/>
      </w:pPr>
      <w:r>
        <w:tab/>
      </w:r>
      <w:r>
        <w:tab/>
        <w:t>3.</w:t>
      </w:r>
      <w:r>
        <w:tab/>
      </w:r>
      <w:r>
        <w:rPr>
          <w:i/>
          <w:iCs/>
        </w:rPr>
        <w:t>с удовлетворением принимает к сведению</w:t>
      </w:r>
      <w:r>
        <w:t xml:space="preserve"> доклад Специального докладчика</w:t>
      </w:r>
      <w:r w:rsidRPr="0074262F">
        <w:rPr>
          <w:sz w:val="18"/>
          <w:szCs w:val="18"/>
          <w:vertAlign w:val="superscript"/>
        </w:rPr>
        <w:footnoteReference w:id="1"/>
      </w:r>
      <w:r>
        <w:t>;</w:t>
      </w:r>
    </w:p>
    <w:p w14:paraId="53E97B1B" w14:textId="77777777" w:rsidR="00D85211" w:rsidRPr="00E405E3" w:rsidRDefault="00D85211" w:rsidP="00D85211">
      <w:pPr>
        <w:pStyle w:val="SingleTxtG"/>
      </w:pPr>
      <w:r>
        <w:tab/>
      </w:r>
      <w:r>
        <w:tab/>
        <w:t>4.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обеспечить в общих бюджетных рамках Организации Объединенных Наций выделение надлежащего и стабильного числа сотрудников и необходимые технические средства и ресурсы для Специального докладчика, учитывая выраженную государствами-членами твердую поддержку предупреждения пыток и борьбы с пытками и оказания помощи жертвам пыток;</w:t>
      </w:r>
    </w:p>
    <w:p w14:paraId="3F2494CC" w14:textId="77777777" w:rsidR="00D85211" w:rsidRDefault="00D85211" w:rsidP="00D85211">
      <w:pPr>
        <w:pStyle w:val="SingleTxtG"/>
      </w:pPr>
      <w:r>
        <w:tab/>
      </w:r>
      <w:r>
        <w:tab/>
        <w:t>5.</w:t>
      </w:r>
      <w:r>
        <w:tab/>
      </w:r>
      <w:r w:rsidRPr="00FC553F">
        <w:rPr>
          <w:i/>
        </w:rPr>
        <w:t>постановляет</w:t>
      </w:r>
      <w:r>
        <w:t xml:space="preserve"> продолжить рассмотрение этого вопроса в соответствии со своей годовой программой работы.</w:t>
      </w:r>
    </w:p>
    <w:p w14:paraId="796D35B7" w14:textId="77777777" w:rsidR="00D85211" w:rsidRPr="00A27BD2" w:rsidRDefault="00D85211" w:rsidP="00F03595">
      <w:pPr>
        <w:pStyle w:val="SingleTxtG"/>
        <w:jc w:val="right"/>
        <w:rPr>
          <w:i/>
          <w:iCs/>
          <w:color w:val="333333"/>
        </w:rPr>
      </w:pPr>
      <w:r w:rsidRPr="00A27BD2">
        <w:rPr>
          <w:i/>
          <w:iCs/>
          <w:color w:val="333333"/>
        </w:rPr>
        <w:t>45-е заседание</w:t>
      </w:r>
      <w:r w:rsidR="00F03595" w:rsidRPr="00A27BD2">
        <w:rPr>
          <w:i/>
          <w:iCs/>
          <w:color w:val="333333"/>
        </w:rPr>
        <w:br/>
      </w:r>
      <w:r w:rsidRPr="00A27BD2">
        <w:rPr>
          <w:i/>
          <w:iCs/>
          <w:color w:val="333333"/>
        </w:rPr>
        <w:t>22 июня 2020 года</w:t>
      </w:r>
    </w:p>
    <w:p w14:paraId="6DB2A4FD" w14:textId="04C322B8" w:rsidR="00D85211" w:rsidRDefault="00D85211" w:rsidP="00D85211">
      <w:pPr>
        <w:pStyle w:val="SingleTxtG"/>
        <w:rPr>
          <w:color w:val="333333"/>
          <w:shd w:val="clear" w:color="auto" w:fill="FFFFFF"/>
        </w:rPr>
      </w:pPr>
      <w:r w:rsidRPr="006868A3">
        <w:rPr>
          <w:color w:val="333333"/>
          <w:shd w:val="clear" w:color="auto" w:fill="FFFFFF"/>
        </w:rPr>
        <w:t>[Принята без голосования.]</w:t>
      </w:r>
    </w:p>
    <w:p w14:paraId="79707352" w14:textId="6747CA45" w:rsidR="00CB0692" w:rsidRPr="006868A3" w:rsidRDefault="0013715D" w:rsidP="0013715D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6868A3" w:rsidSect="00D852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2A505" w14:textId="77777777" w:rsidR="001B1B22" w:rsidRPr="00A312BC" w:rsidRDefault="001B1B22" w:rsidP="00A312BC"/>
  </w:endnote>
  <w:endnote w:type="continuationSeparator" w:id="0">
    <w:p w14:paraId="32711A8E" w14:textId="77777777" w:rsidR="001B1B22" w:rsidRPr="00A312BC" w:rsidRDefault="001B1B2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AA981" w14:textId="77777777" w:rsidR="00D85211" w:rsidRPr="00D85211" w:rsidRDefault="00D85211">
    <w:pPr>
      <w:pStyle w:val="a8"/>
    </w:pPr>
    <w:r w:rsidRPr="00D85211">
      <w:rPr>
        <w:b/>
        <w:sz w:val="18"/>
      </w:rPr>
      <w:fldChar w:fldCharType="begin"/>
    </w:r>
    <w:r w:rsidRPr="00D85211">
      <w:rPr>
        <w:b/>
        <w:sz w:val="18"/>
      </w:rPr>
      <w:instrText xml:space="preserve"> PAGE  \* MERGEFORMAT </w:instrText>
    </w:r>
    <w:r w:rsidRPr="00D85211">
      <w:rPr>
        <w:b/>
        <w:sz w:val="18"/>
      </w:rPr>
      <w:fldChar w:fldCharType="separate"/>
    </w:r>
    <w:r w:rsidRPr="00D85211">
      <w:rPr>
        <w:b/>
        <w:noProof/>
        <w:sz w:val="18"/>
      </w:rPr>
      <w:t>2</w:t>
    </w:r>
    <w:r w:rsidRPr="00D85211">
      <w:rPr>
        <w:b/>
        <w:sz w:val="18"/>
      </w:rPr>
      <w:fldChar w:fldCharType="end"/>
    </w:r>
    <w:r>
      <w:rPr>
        <w:b/>
        <w:sz w:val="18"/>
      </w:rPr>
      <w:tab/>
    </w:r>
    <w:r>
      <w:t>GE.20-08875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B352B" w14:textId="77777777" w:rsidR="00D85211" w:rsidRPr="00D85211" w:rsidRDefault="00D85211" w:rsidP="00D85211">
    <w:pPr>
      <w:pStyle w:val="a8"/>
      <w:tabs>
        <w:tab w:val="clear" w:pos="9639"/>
        <w:tab w:val="right" w:pos="9638"/>
      </w:tabs>
      <w:rPr>
        <w:b/>
        <w:sz w:val="18"/>
      </w:rPr>
    </w:pPr>
    <w:r>
      <w:t>GE.20-08875</w:t>
    </w:r>
    <w:r>
      <w:tab/>
    </w:r>
    <w:r w:rsidRPr="00D85211">
      <w:rPr>
        <w:b/>
        <w:sz w:val="18"/>
      </w:rPr>
      <w:fldChar w:fldCharType="begin"/>
    </w:r>
    <w:r w:rsidRPr="00D85211">
      <w:rPr>
        <w:b/>
        <w:sz w:val="18"/>
      </w:rPr>
      <w:instrText xml:space="preserve"> PAGE  \* MERGEFORMAT </w:instrText>
    </w:r>
    <w:r w:rsidRPr="00D85211">
      <w:rPr>
        <w:b/>
        <w:sz w:val="18"/>
      </w:rPr>
      <w:fldChar w:fldCharType="separate"/>
    </w:r>
    <w:r w:rsidRPr="00D85211">
      <w:rPr>
        <w:b/>
        <w:noProof/>
        <w:sz w:val="18"/>
      </w:rPr>
      <w:t>3</w:t>
    </w:r>
    <w:r w:rsidRPr="00D852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F9CE4" w14:textId="77777777" w:rsidR="00042B72" w:rsidRPr="00D85211" w:rsidRDefault="00D85211" w:rsidP="00D8521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6A2B6E" wp14:editId="0210E1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20-08875  (R)</w:t>
    </w:r>
    <w:r>
      <w:rPr>
        <w:lang w:val="en-US"/>
      </w:rPr>
      <w:t xml:space="preserve">  060820  060820</w:t>
    </w:r>
    <w:r>
      <w:br/>
    </w:r>
    <w:r w:rsidRPr="00D85211">
      <w:rPr>
        <w:rFonts w:ascii="C39T30Lfz" w:hAnsi="C39T30Lfz"/>
        <w:kern w:val="14"/>
        <w:sz w:val="56"/>
      </w:rPr>
      <w:t></w:t>
    </w:r>
    <w:r w:rsidRPr="00D85211">
      <w:rPr>
        <w:rFonts w:ascii="C39T30Lfz" w:hAnsi="C39T30Lfz"/>
        <w:kern w:val="14"/>
        <w:sz w:val="56"/>
      </w:rPr>
      <w:t></w:t>
    </w:r>
    <w:r w:rsidRPr="00D85211">
      <w:rPr>
        <w:rFonts w:ascii="C39T30Lfz" w:hAnsi="C39T30Lfz"/>
        <w:kern w:val="14"/>
        <w:sz w:val="56"/>
      </w:rPr>
      <w:t></w:t>
    </w:r>
    <w:r w:rsidRPr="00D85211">
      <w:rPr>
        <w:rFonts w:ascii="C39T30Lfz" w:hAnsi="C39T30Lfz"/>
        <w:kern w:val="14"/>
        <w:sz w:val="56"/>
      </w:rPr>
      <w:t></w:t>
    </w:r>
    <w:r w:rsidRPr="00D85211">
      <w:rPr>
        <w:rFonts w:ascii="C39T30Lfz" w:hAnsi="C39T30Lfz"/>
        <w:kern w:val="14"/>
        <w:sz w:val="56"/>
      </w:rPr>
      <w:t></w:t>
    </w:r>
    <w:r w:rsidRPr="00D85211">
      <w:rPr>
        <w:rFonts w:ascii="C39T30Lfz" w:hAnsi="C39T30Lfz"/>
        <w:kern w:val="14"/>
        <w:sz w:val="56"/>
      </w:rPr>
      <w:t></w:t>
    </w:r>
    <w:r w:rsidRPr="00D85211">
      <w:rPr>
        <w:rFonts w:ascii="C39T30Lfz" w:hAnsi="C39T30Lfz"/>
        <w:kern w:val="14"/>
        <w:sz w:val="56"/>
      </w:rPr>
      <w:t></w:t>
    </w:r>
    <w:r w:rsidRPr="00D85211">
      <w:rPr>
        <w:rFonts w:ascii="C39T30Lfz" w:hAnsi="C39T30Lfz"/>
        <w:kern w:val="14"/>
        <w:sz w:val="56"/>
      </w:rPr>
      <w:t></w:t>
    </w:r>
    <w:r w:rsidRPr="00D8521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8506384" wp14:editId="1F06A8C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3/2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2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793D0" w14:textId="77777777" w:rsidR="001B1B22" w:rsidRPr="001075E9" w:rsidRDefault="001B1B2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3C2F54" w14:textId="77777777" w:rsidR="001B1B22" w:rsidRDefault="001B1B2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D84B9DF" w14:textId="77777777" w:rsidR="00D85211" w:rsidRDefault="00D85211" w:rsidP="00D85211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A/HRC/43/49.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09CB4" w14:textId="7DF15B7B" w:rsidR="00D85211" w:rsidRPr="00D85211" w:rsidRDefault="00D96C22">
    <w:pPr>
      <w:pStyle w:val="a5"/>
    </w:pPr>
    <w:fldSimple w:instr=" TITLE  \* MERGEFORMAT ">
      <w:r w:rsidR="001A36A6">
        <w:t>A/HRC/RES/43/20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3CBF1" w14:textId="1455E4FA" w:rsidR="00D85211" w:rsidRPr="00D85211" w:rsidRDefault="00D96C22" w:rsidP="00D85211">
    <w:pPr>
      <w:pStyle w:val="a5"/>
      <w:jc w:val="right"/>
    </w:pPr>
    <w:fldSimple w:instr=" TITLE  \* MERGEFORMAT ">
      <w:r w:rsidR="001A36A6">
        <w:t>A/HRC/RES/43/20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23940" w14:textId="77777777" w:rsidR="00D85211" w:rsidRDefault="00D85211" w:rsidP="00D8521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22"/>
    <w:rsid w:val="000117A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715D"/>
    <w:rsid w:val="00180183"/>
    <w:rsid w:val="0018024D"/>
    <w:rsid w:val="0018649F"/>
    <w:rsid w:val="00196389"/>
    <w:rsid w:val="001A36A6"/>
    <w:rsid w:val="001B1B22"/>
    <w:rsid w:val="001B3EF6"/>
    <w:rsid w:val="001B6E4F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1959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868A3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2A56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27BD2"/>
    <w:rsid w:val="00A312BC"/>
    <w:rsid w:val="00A84021"/>
    <w:rsid w:val="00A84D35"/>
    <w:rsid w:val="00A85617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5211"/>
    <w:rsid w:val="00D90028"/>
    <w:rsid w:val="00D90138"/>
    <w:rsid w:val="00D96C22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03595"/>
    <w:rsid w:val="00F43903"/>
    <w:rsid w:val="00F94155"/>
    <w:rsid w:val="00F9783F"/>
    <w:rsid w:val="00FD057A"/>
    <w:rsid w:val="00FD2B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EB7DB0"/>
  <w15:docId w15:val="{2EFDD08F-0165-45F3-8F40-9C64FF3C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1104</Words>
  <Characters>7535</Characters>
  <Application>Microsoft Office Word</Application>
  <DocSecurity>0</DocSecurity>
  <Lines>148</Lines>
  <Paragraphs>43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A/HRC/RES/43/20</vt:lpstr>
      <vt:lpstr>A/</vt:lpstr>
      <vt:lpstr>A/</vt:lpstr>
      <vt:lpstr>A/</vt:lpstr>
    </vt:vector>
  </TitlesOfParts>
  <Company>DCM</Company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A/HRC/RES/43/20</dc:title>
  <dc:subject/>
  <dc:creator>Olga OVTCHINNIKOVA</dc:creator>
  <cp:keywords/>
  <cp:lastModifiedBy>Ioulia Goussarova</cp:lastModifiedBy>
  <cp:revision>3</cp:revision>
  <cp:lastPrinted>2020-08-06T14:37:00Z</cp:lastPrinted>
  <dcterms:created xsi:type="dcterms:W3CDTF">2020-08-06T14:37:00Z</dcterms:created>
  <dcterms:modified xsi:type="dcterms:W3CDTF">2020-08-06T14:38:00Z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