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66F" w:rsidRPr="00895D0A" w:rsidRDefault="00E8766F" w:rsidP="00E8766F">
      <w:pPr>
        <w:spacing w:line="240" w:lineRule="auto"/>
        <w:rPr>
          <w:sz w:val="6"/>
        </w:rPr>
        <w:sectPr w:rsidR="00E8766F" w:rsidRPr="00895D0A" w:rsidSect="00044E6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95D0A">
        <w:rPr>
          <w:rStyle w:val="CommentReference"/>
          <w:szCs w:val="20"/>
        </w:rPr>
        <w:commentReference w:id="0"/>
      </w:r>
      <w:bookmarkStart w:id="1" w:name="_GoBack"/>
      <w:bookmarkEnd w:id="1"/>
    </w:p>
    <w:p w:rsidR="00E8766F" w:rsidRDefault="00E8766F" w:rsidP="00E8766F">
      <w:pPr>
        <w:pStyle w:val="H1"/>
      </w:pPr>
      <w:r w:rsidRPr="00895D0A">
        <w:lastRenderedPageBreak/>
        <w:t>Comité para la Eliminación de la Discriminación Racial</w:t>
      </w:r>
    </w:p>
    <w:p w:rsidR="00FD1B26" w:rsidRPr="00FD1B26" w:rsidRDefault="00FD1B26" w:rsidP="00FD1B26">
      <w:pPr>
        <w:spacing w:line="120" w:lineRule="exact"/>
        <w:rPr>
          <w:sz w:val="10"/>
        </w:rPr>
      </w:pPr>
    </w:p>
    <w:p w:rsidR="00FD1B26" w:rsidRPr="00FD1B26" w:rsidRDefault="00FD1B26" w:rsidP="00FD1B26">
      <w:pPr>
        <w:spacing w:line="120" w:lineRule="exact"/>
        <w:rPr>
          <w:sz w:val="10"/>
        </w:rPr>
      </w:pPr>
    </w:p>
    <w:p w:rsidR="00FD1B26" w:rsidRPr="00FD1B26" w:rsidRDefault="00FD1B26" w:rsidP="00FD1B26">
      <w:pPr>
        <w:spacing w:line="120" w:lineRule="exact"/>
        <w:rPr>
          <w:sz w:val="10"/>
        </w:rPr>
      </w:pPr>
    </w:p>
    <w:p w:rsidR="00895D0A" w:rsidRDefault="00FD1B26" w:rsidP="00FD1B26">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es-BO"/>
        </w:rPr>
      </w:pPr>
      <w:r>
        <w:rPr>
          <w:lang w:val="es-BO"/>
        </w:rPr>
        <w:tab/>
      </w:r>
      <w:r>
        <w:rPr>
          <w:lang w:val="es-BO"/>
        </w:rPr>
        <w:tab/>
      </w:r>
      <w:r w:rsidR="00895D0A" w:rsidRPr="00895D0A">
        <w:rPr>
          <w:lang w:val="es-BO"/>
        </w:rPr>
        <w:t>Examen de los infor</w:t>
      </w:r>
      <w:r>
        <w:rPr>
          <w:lang w:val="es-BO"/>
        </w:rPr>
        <w:t>mes presentados por los Estados </w:t>
      </w:r>
      <w:r w:rsidR="00895D0A" w:rsidRPr="00895D0A">
        <w:rPr>
          <w:lang w:val="es-BO"/>
        </w:rPr>
        <w:t>partes</w:t>
      </w:r>
      <w:r>
        <w:rPr>
          <w:lang w:val="es-BO"/>
        </w:rPr>
        <w:t xml:space="preserve"> en virtud del artículo 9 de la </w:t>
      </w:r>
      <w:r w:rsidR="00895D0A" w:rsidRPr="00895D0A">
        <w:rPr>
          <w:lang w:val="es-BO"/>
        </w:rPr>
        <w:t>Convención</w:t>
      </w:r>
    </w:p>
    <w:p w:rsidR="00FD1B26" w:rsidRPr="00FD1B26" w:rsidRDefault="00FD1B26" w:rsidP="00FD1B26">
      <w:pPr>
        <w:pStyle w:val="SingleTxt"/>
        <w:spacing w:after="0" w:line="120" w:lineRule="exact"/>
        <w:rPr>
          <w:b/>
          <w:sz w:val="10"/>
          <w:lang w:val="es-BO"/>
        </w:rPr>
      </w:pPr>
    </w:p>
    <w:p w:rsidR="00FD1B26" w:rsidRPr="00FD1B26" w:rsidRDefault="00FD1B26" w:rsidP="00FD1B26">
      <w:pPr>
        <w:pStyle w:val="SingleTxt"/>
        <w:spacing w:after="0" w:line="120" w:lineRule="exact"/>
        <w:rPr>
          <w:b/>
          <w:sz w:val="10"/>
          <w:lang w:val="es-BO"/>
        </w:rPr>
      </w:pPr>
    </w:p>
    <w:p w:rsidR="00895D0A" w:rsidRDefault="00FD1B26" w:rsidP="00FD1B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95D0A" w:rsidRPr="00895D0A">
        <w:rPr>
          <w:lang w:val="es-BO"/>
        </w:rPr>
        <w:t>Informes periódicos 19</w:t>
      </w:r>
      <w:r>
        <w:rPr>
          <w:lang w:val="es-BO"/>
        </w:rPr>
        <w:t>º</w:t>
      </w:r>
      <w:r w:rsidR="00895D0A" w:rsidRPr="00895D0A">
        <w:rPr>
          <w:lang w:val="es-BO"/>
        </w:rPr>
        <w:t xml:space="preserve"> y 20</w:t>
      </w:r>
      <w:r>
        <w:rPr>
          <w:lang w:val="es-BO"/>
        </w:rPr>
        <w:t>º</w:t>
      </w:r>
      <w:r w:rsidR="00895D0A" w:rsidRPr="00895D0A">
        <w:rPr>
          <w:lang w:val="es-BO"/>
        </w:rPr>
        <w:t xml:space="preserve"> que los Estados debían presentar en 2015</w:t>
      </w:r>
    </w:p>
    <w:p w:rsidR="00FD1B26" w:rsidRPr="00FD1B26" w:rsidRDefault="00FD1B26" w:rsidP="00FD1B26">
      <w:pPr>
        <w:pStyle w:val="SingleTxt"/>
        <w:spacing w:after="0" w:line="120" w:lineRule="exact"/>
        <w:rPr>
          <w:b/>
          <w:sz w:val="10"/>
          <w:lang w:val="es-BO"/>
        </w:rPr>
      </w:pPr>
    </w:p>
    <w:p w:rsidR="00FD1B26" w:rsidRPr="00FD1B26" w:rsidRDefault="00FD1B26" w:rsidP="00FD1B26">
      <w:pPr>
        <w:pStyle w:val="SingleTxt"/>
        <w:spacing w:after="0" w:line="120" w:lineRule="exact"/>
        <w:rPr>
          <w:b/>
          <w:sz w:val="10"/>
          <w:lang w:val="es-BO"/>
        </w:rPr>
      </w:pPr>
    </w:p>
    <w:p w:rsidR="00895D0A" w:rsidRDefault="00FD1B26" w:rsidP="00FD1B26">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vertAlign w:val="superscript"/>
          <w:lang w:val="es-BO"/>
        </w:rPr>
      </w:pPr>
      <w:r>
        <w:rPr>
          <w:lang w:val="es-BO"/>
        </w:rPr>
        <w:tab/>
      </w:r>
      <w:r>
        <w:rPr>
          <w:lang w:val="es-BO"/>
        </w:rPr>
        <w:tab/>
      </w:r>
      <w:r w:rsidR="00895D0A" w:rsidRPr="00895D0A">
        <w:rPr>
          <w:lang w:val="es-BO"/>
        </w:rPr>
        <w:t>Italia</w:t>
      </w:r>
      <w:r w:rsidRPr="00FD1B26">
        <w:rPr>
          <w:rStyle w:val="FootnoteReference"/>
          <w:b w:val="0"/>
          <w:spacing w:val="4"/>
          <w:sz w:val="20"/>
          <w:szCs w:val="20"/>
          <w:vertAlign w:val="baseline"/>
          <w:lang w:val="es-BO"/>
        </w:rPr>
        <w:footnoteReference w:customMarkFollows="1" w:id="1"/>
        <w:t>*</w:t>
      </w:r>
    </w:p>
    <w:p w:rsidR="00FD1B26" w:rsidRPr="00FD1B26" w:rsidRDefault="00FD1B26" w:rsidP="00FD1B26">
      <w:pPr>
        <w:pStyle w:val="SingleTxt"/>
        <w:spacing w:after="0" w:line="120" w:lineRule="exact"/>
        <w:rPr>
          <w:b/>
          <w:sz w:val="10"/>
          <w:lang w:val="es-BO"/>
        </w:rPr>
      </w:pPr>
    </w:p>
    <w:p w:rsidR="00FD1B26" w:rsidRPr="00FD1B26" w:rsidRDefault="00FD1B26" w:rsidP="00FD1B26">
      <w:pPr>
        <w:pStyle w:val="SingleTxt"/>
        <w:spacing w:after="0" w:line="120" w:lineRule="exact"/>
        <w:rPr>
          <w:b/>
          <w:sz w:val="10"/>
          <w:lang w:val="es-BO"/>
        </w:rPr>
      </w:pPr>
    </w:p>
    <w:p w:rsidR="00895D0A" w:rsidRPr="00895D0A" w:rsidRDefault="00895D0A" w:rsidP="00FD1B26">
      <w:pPr>
        <w:pStyle w:val="SingleTxt"/>
        <w:jc w:val="right"/>
        <w:rPr>
          <w:lang w:val="es-BO"/>
        </w:rPr>
      </w:pPr>
      <w:r w:rsidRPr="00895D0A">
        <w:rPr>
          <w:lang w:val="es-BO"/>
        </w:rPr>
        <w:t>[Fecha de recepción: 6 de febrero de 2015]</w:t>
      </w:r>
    </w:p>
    <w:p w:rsidR="00FD1B26" w:rsidRDefault="00FD1B26">
      <w:pPr>
        <w:suppressAutoHyphens w:val="0"/>
        <w:spacing w:line="240" w:lineRule="auto"/>
        <w:rPr>
          <w:lang w:val="es-BO"/>
        </w:rPr>
      </w:pPr>
      <w:r>
        <w:rPr>
          <w:lang w:val="es-BO"/>
        </w:rPr>
        <w:br w:type="page"/>
      </w:r>
    </w:p>
    <w:p w:rsidR="00BB211B" w:rsidRPr="00BB211B" w:rsidRDefault="00BB211B" w:rsidP="00BB211B">
      <w:pPr>
        <w:pStyle w:val="HCh"/>
        <w:spacing w:after="120"/>
        <w:rPr>
          <w:b w:val="0"/>
          <w:lang w:val="es-BO"/>
        </w:rPr>
      </w:pPr>
      <w:r>
        <w:rPr>
          <w:b w:val="0"/>
          <w:lang w:val="es-BO"/>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B211B" w:rsidRPr="00BB211B" w:rsidTr="00BB211B">
        <w:tc>
          <w:tcPr>
            <w:tcW w:w="1060" w:type="dxa"/>
            <w:shd w:val="clear" w:color="auto" w:fill="auto"/>
          </w:tcPr>
          <w:p w:rsidR="00BB211B" w:rsidRPr="00BB211B" w:rsidRDefault="00BB211B" w:rsidP="00BB211B">
            <w:pPr>
              <w:spacing w:after="120" w:line="240" w:lineRule="auto"/>
              <w:jc w:val="right"/>
              <w:rPr>
                <w:i/>
                <w:sz w:val="14"/>
                <w:lang w:val="es-BO"/>
              </w:rPr>
            </w:pPr>
          </w:p>
        </w:tc>
        <w:tc>
          <w:tcPr>
            <w:tcW w:w="7056" w:type="dxa"/>
            <w:shd w:val="clear" w:color="auto" w:fill="auto"/>
          </w:tcPr>
          <w:p w:rsidR="00BB211B" w:rsidRPr="00BB211B" w:rsidRDefault="00BB211B" w:rsidP="00BB211B">
            <w:pPr>
              <w:spacing w:after="120" w:line="240" w:lineRule="auto"/>
              <w:rPr>
                <w:i/>
                <w:sz w:val="14"/>
                <w:lang w:val="es-BO"/>
              </w:rPr>
            </w:pPr>
          </w:p>
        </w:tc>
        <w:tc>
          <w:tcPr>
            <w:tcW w:w="994" w:type="dxa"/>
            <w:shd w:val="clear" w:color="auto" w:fill="auto"/>
          </w:tcPr>
          <w:p w:rsidR="00BB211B" w:rsidRPr="00BB211B" w:rsidRDefault="00BB211B" w:rsidP="00BB211B">
            <w:pPr>
              <w:spacing w:after="120" w:line="240" w:lineRule="auto"/>
              <w:jc w:val="right"/>
              <w:rPr>
                <w:i/>
                <w:sz w:val="14"/>
                <w:lang w:val="es-BO"/>
              </w:rPr>
            </w:pPr>
            <w:r>
              <w:rPr>
                <w:i/>
                <w:sz w:val="14"/>
                <w:lang w:val="es-BO"/>
              </w:rPr>
              <w:t>Párrafos</w:t>
            </w:r>
          </w:p>
        </w:tc>
        <w:tc>
          <w:tcPr>
            <w:tcW w:w="792" w:type="dxa"/>
            <w:shd w:val="clear" w:color="auto" w:fill="auto"/>
          </w:tcPr>
          <w:p w:rsidR="00BB211B" w:rsidRPr="00BB211B" w:rsidRDefault="00BB211B" w:rsidP="00BB211B">
            <w:pPr>
              <w:spacing w:after="120" w:line="240" w:lineRule="auto"/>
              <w:jc w:val="right"/>
              <w:rPr>
                <w:i/>
                <w:sz w:val="14"/>
                <w:lang w:val="es-BO"/>
              </w:rPr>
            </w:pPr>
            <w:r>
              <w:rPr>
                <w:i/>
                <w:sz w:val="14"/>
                <w:lang w:val="es-BO"/>
              </w:rPr>
              <w:t>Página</w:t>
            </w:r>
          </w:p>
        </w:tc>
      </w:tr>
      <w:tr w:rsidR="00BB211B" w:rsidRPr="00BB211B" w:rsidTr="00BB211B">
        <w:tc>
          <w:tcPr>
            <w:tcW w:w="8116" w:type="dxa"/>
            <w:gridSpan w:val="2"/>
            <w:shd w:val="clear" w:color="auto" w:fill="auto"/>
          </w:tcPr>
          <w:p w:rsidR="00BB211B" w:rsidRPr="00BB211B" w:rsidRDefault="00BB211B" w:rsidP="00BB211B">
            <w:pPr>
              <w:pStyle w:val="ListParagraph"/>
              <w:numPr>
                <w:ilvl w:val="0"/>
                <w:numId w:val="20"/>
              </w:numPr>
              <w:tabs>
                <w:tab w:val="clear" w:pos="1296"/>
                <w:tab w:val="right" w:pos="1080"/>
                <w:tab w:val="left" w:pos="1300"/>
                <w:tab w:val="left" w:pos="1740"/>
                <w:tab w:val="left" w:pos="2180"/>
                <w:tab w:val="right" w:leader="dot" w:pos="9245"/>
              </w:tabs>
              <w:spacing w:after="120"/>
            </w:pPr>
            <w:r>
              <w:tab/>
            </w:r>
            <w:r w:rsidRPr="00BB211B">
              <w:t>Introducción</w:t>
            </w:r>
            <w:r>
              <w:rPr>
                <w:spacing w:val="60"/>
                <w:sz w:val="17"/>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1–7</w:t>
            </w:r>
          </w:p>
        </w:tc>
        <w:tc>
          <w:tcPr>
            <w:tcW w:w="792" w:type="dxa"/>
            <w:shd w:val="clear" w:color="auto" w:fill="auto"/>
            <w:vAlign w:val="bottom"/>
          </w:tcPr>
          <w:p w:rsidR="00BB211B" w:rsidRPr="00BB211B" w:rsidRDefault="00DD1BE2" w:rsidP="00BB211B">
            <w:pPr>
              <w:spacing w:after="120"/>
              <w:jc w:val="right"/>
              <w:rPr>
                <w:lang w:val="es-BO"/>
              </w:rPr>
            </w:pPr>
            <w:r>
              <w:rPr>
                <w:lang w:val="es-BO"/>
              </w:rPr>
              <w:t>3</w:t>
            </w:r>
          </w:p>
        </w:tc>
      </w:tr>
      <w:tr w:rsidR="00BB211B" w:rsidRPr="00BB211B" w:rsidTr="00BB211B">
        <w:tc>
          <w:tcPr>
            <w:tcW w:w="8116" w:type="dxa"/>
            <w:gridSpan w:val="2"/>
            <w:shd w:val="clear" w:color="auto" w:fill="auto"/>
          </w:tcPr>
          <w:p w:rsidR="00BB211B" w:rsidRDefault="00BB211B" w:rsidP="00BB211B">
            <w:pPr>
              <w:pStyle w:val="ListParagraph"/>
              <w:numPr>
                <w:ilvl w:val="0"/>
                <w:numId w:val="20"/>
              </w:numPr>
              <w:tabs>
                <w:tab w:val="clear" w:pos="1296"/>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BB211B">
              <w:t>Aplicación de la Parte I de la Convención</w:t>
            </w:r>
            <w:r>
              <w:rPr>
                <w:spacing w:val="60"/>
                <w:sz w:val="17"/>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8–82</w:t>
            </w:r>
          </w:p>
        </w:tc>
        <w:tc>
          <w:tcPr>
            <w:tcW w:w="792" w:type="dxa"/>
            <w:shd w:val="clear" w:color="auto" w:fill="auto"/>
            <w:vAlign w:val="bottom"/>
          </w:tcPr>
          <w:p w:rsidR="00BB211B" w:rsidRPr="00BB211B" w:rsidRDefault="00DD1BE2" w:rsidP="00BB211B">
            <w:pPr>
              <w:spacing w:after="120"/>
              <w:jc w:val="right"/>
              <w:rPr>
                <w:lang w:val="es-BO"/>
              </w:rPr>
            </w:pPr>
            <w:r>
              <w:rPr>
                <w:lang w:val="es-BO"/>
              </w:rPr>
              <w:t>4</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right" w:leader="dot" w:pos="9245"/>
              </w:tabs>
              <w:spacing w:after="120"/>
              <w:ind w:left="1296"/>
              <w:rPr>
                <w:spacing w:val="60"/>
                <w:sz w:val="17"/>
              </w:rPr>
            </w:pPr>
            <w:r>
              <w:t>Artículo 1</w:t>
            </w:r>
            <w:r>
              <w:rPr>
                <w:spacing w:val="60"/>
                <w:sz w:val="17"/>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12–17</w:t>
            </w:r>
          </w:p>
        </w:tc>
        <w:tc>
          <w:tcPr>
            <w:tcW w:w="792" w:type="dxa"/>
            <w:shd w:val="clear" w:color="auto" w:fill="auto"/>
            <w:vAlign w:val="bottom"/>
          </w:tcPr>
          <w:p w:rsidR="00BB211B" w:rsidRPr="00BB211B" w:rsidRDefault="00DD1BE2" w:rsidP="00BB211B">
            <w:pPr>
              <w:spacing w:after="120"/>
              <w:jc w:val="right"/>
              <w:rPr>
                <w:lang w:val="es-BO"/>
              </w:rPr>
            </w:pPr>
            <w:r>
              <w:rPr>
                <w:lang w:val="es-BO"/>
              </w:rPr>
              <w:t>4</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right" w:leader="dot" w:pos="9245"/>
              </w:tabs>
              <w:spacing w:after="120"/>
              <w:ind w:left="1296"/>
              <w:rPr>
                <w:spacing w:val="60"/>
                <w:sz w:val="17"/>
              </w:rPr>
            </w:pPr>
            <w:r>
              <w:t>Artículo 2</w:t>
            </w:r>
            <w:r>
              <w:rPr>
                <w:spacing w:val="60"/>
                <w:sz w:val="17"/>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18–53</w:t>
            </w:r>
          </w:p>
        </w:tc>
        <w:tc>
          <w:tcPr>
            <w:tcW w:w="792" w:type="dxa"/>
            <w:shd w:val="clear" w:color="auto" w:fill="auto"/>
            <w:vAlign w:val="bottom"/>
          </w:tcPr>
          <w:p w:rsidR="00BB211B" w:rsidRPr="00BB211B" w:rsidRDefault="00DD1BE2" w:rsidP="00BB211B">
            <w:pPr>
              <w:spacing w:after="120"/>
              <w:jc w:val="right"/>
              <w:rPr>
                <w:lang w:val="es-BO"/>
              </w:rPr>
            </w:pPr>
            <w:r>
              <w:rPr>
                <w:lang w:val="es-BO"/>
              </w:rPr>
              <w:t>6</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right" w:leader="dot" w:pos="9245"/>
              </w:tabs>
              <w:spacing w:after="120"/>
              <w:ind w:left="1296"/>
              <w:rPr>
                <w:spacing w:val="60"/>
                <w:sz w:val="17"/>
              </w:rPr>
            </w:pPr>
            <w:r>
              <w:t>Artículo 3</w:t>
            </w:r>
            <w:r>
              <w:rPr>
                <w:spacing w:val="60"/>
                <w:sz w:val="17"/>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54–57</w:t>
            </w:r>
          </w:p>
        </w:tc>
        <w:tc>
          <w:tcPr>
            <w:tcW w:w="792" w:type="dxa"/>
            <w:shd w:val="clear" w:color="auto" w:fill="auto"/>
            <w:vAlign w:val="bottom"/>
          </w:tcPr>
          <w:p w:rsidR="00BB211B" w:rsidRPr="00BB211B" w:rsidRDefault="00DD1BE2" w:rsidP="00BB211B">
            <w:pPr>
              <w:spacing w:after="120"/>
              <w:jc w:val="right"/>
              <w:rPr>
                <w:lang w:val="es-BO"/>
              </w:rPr>
            </w:pPr>
            <w:r>
              <w:rPr>
                <w:lang w:val="es-BO"/>
              </w:rPr>
              <w:t>12</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right" w:leader="dot" w:pos="9245"/>
              </w:tabs>
              <w:spacing w:after="120"/>
              <w:ind w:left="1296"/>
              <w:rPr>
                <w:spacing w:val="60"/>
                <w:sz w:val="17"/>
              </w:rPr>
            </w:pPr>
            <w:r>
              <w:t>Artículo 4</w:t>
            </w:r>
            <w:r>
              <w:rPr>
                <w:spacing w:val="60"/>
                <w:sz w:val="17"/>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58–82</w:t>
            </w:r>
          </w:p>
        </w:tc>
        <w:tc>
          <w:tcPr>
            <w:tcW w:w="792" w:type="dxa"/>
            <w:shd w:val="clear" w:color="auto" w:fill="auto"/>
            <w:vAlign w:val="bottom"/>
          </w:tcPr>
          <w:p w:rsidR="00BB211B" w:rsidRPr="00BB211B" w:rsidRDefault="00DD1BE2" w:rsidP="00BB211B">
            <w:pPr>
              <w:spacing w:after="120"/>
              <w:jc w:val="right"/>
              <w:rPr>
                <w:lang w:val="es-BO"/>
              </w:rPr>
            </w:pPr>
            <w:r>
              <w:rPr>
                <w:lang w:val="es-BO"/>
              </w:rPr>
              <w:t>13</w:t>
            </w:r>
          </w:p>
        </w:tc>
      </w:tr>
      <w:tr w:rsidR="00BB211B" w:rsidRPr="00BB211B" w:rsidTr="00BB211B">
        <w:tc>
          <w:tcPr>
            <w:tcW w:w="8116" w:type="dxa"/>
            <w:gridSpan w:val="2"/>
            <w:shd w:val="clear" w:color="auto" w:fill="auto"/>
          </w:tcPr>
          <w:p w:rsidR="00BB211B" w:rsidRDefault="00BB211B" w:rsidP="00BB211B">
            <w:pPr>
              <w:pStyle w:val="ListParagraph"/>
              <w:numPr>
                <w:ilvl w:val="0"/>
                <w:numId w:val="20"/>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Pr="00BB211B">
              <w:rPr>
                <w:lang w:val="es-ES"/>
              </w:rPr>
              <w:t>Datos recopilados en el marco de derechos concretos</w:t>
            </w:r>
            <w:r>
              <w:rPr>
                <w:spacing w:val="60"/>
                <w:sz w:val="17"/>
                <w:lang w:val="es-ES"/>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83–156</w:t>
            </w:r>
          </w:p>
        </w:tc>
        <w:tc>
          <w:tcPr>
            <w:tcW w:w="792" w:type="dxa"/>
            <w:shd w:val="clear" w:color="auto" w:fill="auto"/>
            <w:vAlign w:val="bottom"/>
          </w:tcPr>
          <w:p w:rsidR="00BB211B" w:rsidRPr="00BB211B" w:rsidRDefault="00DD1BE2" w:rsidP="00BB211B">
            <w:pPr>
              <w:spacing w:after="120"/>
              <w:jc w:val="right"/>
              <w:rPr>
                <w:lang w:val="es-BO"/>
              </w:rPr>
            </w:pPr>
            <w:r>
              <w:rPr>
                <w:lang w:val="es-BO"/>
              </w:rPr>
              <w:t>18</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rPr>
            </w:pPr>
            <w:r>
              <w:t>A.</w:t>
            </w:r>
            <w:r>
              <w:tab/>
            </w:r>
            <w:r w:rsidRPr="00BB211B">
              <w:rPr>
                <w:lang w:val="es-ES"/>
              </w:rPr>
              <w:t>Derechos políticos y</w:t>
            </w:r>
            <w:r>
              <w:rPr>
                <w:spacing w:val="60"/>
                <w:sz w:val="17"/>
                <w:lang w:val="es-ES"/>
              </w:rPr>
              <w:tab/>
            </w:r>
          </w:p>
        </w:tc>
        <w:tc>
          <w:tcPr>
            <w:tcW w:w="994" w:type="dxa"/>
            <w:shd w:val="clear" w:color="auto" w:fill="auto"/>
            <w:vAlign w:val="bottom"/>
          </w:tcPr>
          <w:p w:rsidR="00BB211B" w:rsidRPr="00BB211B" w:rsidRDefault="00DD1BE2" w:rsidP="00BB211B">
            <w:pPr>
              <w:spacing w:after="120"/>
              <w:jc w:val="right"/>
              <w:rPr>
                <w:lang w:val="es-BO"/>
              </w:rPr>
            </w:pPr>
            <w:r>
              <w:rPr>
                <w:lang w:val="es-BO"/>
              </w:rPr>
              <w:t>91–124</w:t>
            </w:r>
          </w:p>
        </w:tc>
        <w:tc>
          <w:tcPr>
            <w:tcW w:w="792" w:type="dxa"/>
            <w:shd w:val="clear" w:color="auto" w:fill="auto"/>
            <w:vAlign w:val="bottom"/>
          </w:tcPr>
          <w:p w:rsidR="00BB211B" w:rsidRPr="00BB211B" w:rsidRDefault="00DD1BE2" w:rsidP="00BB211B">
            <w:pPr>
              <w:spacing w:after="120"/>
              <w:jc w:val="right"/>
              <w:rPr>
                <w:lang w:val="es-BO"/>
              </w:rPr>
            </w:pPr>
            <w:r>
              <w:rPr>
                <w:lang w:val="es-BO"/>
              </w:rPr>
              <w:t>19</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t>B.</w:t>
            </w:r>
            <w:r>
              <w:tab/>
            </w:r>
            <w:r w:rsidRPr="00BB211B">
              <w:rPr>
                <w:lang w:val="es-ES"/>
              </w:rPr>
              <w:t>Otros derechos civiles</w:t>
            </w:r>
            <w:r>
              <w:rPr>
                <w:spacing w:val="60"/>
                <w:sz w:val="17"/>
                <w:lang w:val="es-ES"/>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91–124</w:t>
            </w:r>
          </w:p>
        </w:tc>
        <w:tc>
          <w:tcPr>
            <w:tcW w:w="792" w:type="dxa"/>
            <w:shd w:val="clear" w:color="auto" w:fill="auto"/>
            <w:vAlign w:val="bottom"/>
          </w:tcPr>
          <w:p w:rsidR="00BB211B" w:rsidRPr="00BB211B" w:rsidRDefault="00DD1BE2" w:rsidP="00BB211B">
            <w:pPr>
              <w:spacing w:after="120"/>
              <w:jc w:val="right"/>
              <w:rPr>
                <w:lang w:val="es-BO"/>
              </w:rPr>
            </w:pPr>
            <w:r>
              <w:rPr>
                <w:lang w:val="es-BO"/>
              </w:rPr>
              <w:t>19</w:t>
            </w:r>
          </w:p>
        </w:tc>
      </w:tr>
      <w:tr w:rsidR="00BB211B" w:rsidRPr="00BB211B" w:rsidTr="00BB211B">
        <w:tc>
          <w:tcPr>
            <w:tcW w:w="8116" w:type="dxa"/>
            <w:gridSpan w:val="2"/>
            <w:shd w:val="clear" w:color="auto" w:fill="auto"/>
          </w:tcPr>
          <w:p w:rsidR="00BB211B" w:rsidRPr="00BB211B" w:rsidRDefault="00BB211B" w:rsidP="00BB211B">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t>C.</w:t>
            </w:r>
            <w:r>
              <w:tab/>
            </w:r>
            <w:r w:rsidRPr="00BB211B">
              <w:rPr>
                <w:lang w:val="es-ES"/>
              </w:rPr>
              <w:t>Derechos económicos, sociales y culturales</w:t>
            </w:r>
            <w:r>
              <w:rPr>
                <w:spacing w:val="60"/>
                <w:sz w:val="17"/>
                <w:lang w:val="es-ES"/>
              </w:rPr>
              <w:tab/>
            </w:r>
          </w:p>
        </w:tc>
        <w:tc>
          <w:tcPr>
            <w:tcW w:w="994" w:type="dxa"/>
            <w:shd w:val="clear" w:color="auto" w:fill="auto"/>
            <w:vAlign w:val="bottom"/>
          </w:tcPr>
          <w:p w:rsidR="00BB211B" w:rsidRPr="00BB211B" w:rsidRDefault="009F275F" w:rsidP="00BB211B">
            <w:pPr>
              <w:spacing w:after="120"/>
              <w:jc w:val="right"/>
              <w:rPr>
                <w:lang w:val="es-BO"/>
              </w:rPr>
            </w:pPr>
            <w:r>
              <w:rPr>
                <w:lang w:val="es-BO"/>
              </w:rPr>
              <w:t>125–156</w:t>
            </w:r>
          </w:p>
        </w:tc>
        <w:tc>
          <w:tcPr>
            <w:tcW w:w="792" w:type="dxa"/>
            <w:shd w:val="clear" w:color="auto" w:fill="auto"/>
            <w:vAlign w:val="bottom"/>
          </w:tcPr>
          <w:p w:rsidR="00BB211B" w:rsidRPr="00BB211B" w:rsidRDefault="00DD1BE2" w:rsidP="00BB211B">
            <w:pPr>
              <w:spacing w:after="120"/>
              <w:jc w:val="right"/>
              <w:rPr>
                <w:lang w:val="es-BO"/>
              </w:rPr>
            </w:pPr>
            <w:r>
              <w:rPr>
                <w:lang w:val="es-BO"/>
              </w:rPr>
              <w:t>25</w:t>
            </w:r>
          </w:p>
        </w:tc>
      </w:tr>
      <w:tr w:rsidR="00BD4AF2" w:rsidRPr="00BB211B" w:rsidTr="00BD4AF2">
        <w:tc>
          <w:tcPr>
            <w:tcW w:w="8116" w:type="dxa"/>
            <w:gridSpan w:val="2"/>
            <w:shd w:val="clear" w:color="auto" w:fill="auto"/>
          </w:tcPr>
          <w:p w:rsidR="00BD4AF2" w:rsidRDefault="00BD4AF2" w:rsidP="00BD4AF2">
            <w:pPr>
              <w:pStyle w:val="ListParagraph"/>
              <w:numPr>
                <w:ilvl w:val="0"/>
                <w:numId w:val="20"/>
              </w:numPr>
              <w:tabs>
                <w:tab w:val="clear" w:pos="1296"/>
                <w:tab w:val="right" w:pos="1080"/>
                <w:tab w:val="left" w:pos="1300"/>
                <w:tab w:val="left" w:pos="1740"/>
                <w:tab w:val="left" w:pos="2180"/>
                <w:tab w:val="left" w:pos="2620"/>
                <w:tab w:val="right" w:leader="dot" w:pos="9245"/>
              </w:tabs>
              <w:spacing w:after="120"/>
            </w:pPr>
            <w:r>
              <w:tab/>
            </w:r>
            <w:r w:rsidRPr="00BD4AF2">
              <w:rPr>
                <w:lang w:val="es-ES"/>
              </w:rPr>
              <w:t>Información por los grupos pertinentes de víctimas o posibles víctimas de la discriminación racial</w:t>
            </w:r>
            <w:r>
              <w:rPr>
                <w:spacing w:val="60"/>
                <w:sz w:val="17"/>
                <w:lang w:val="es-ES"/>
              </w:rPr>
              <w:tab/>
            </w:r>
          </w:p>
        </w:tc>
        <w:tc>
          <w:tcPr>
            <w:tcW w:w="994" w:type="dxa"/>
            <w:shd w:val="clear" w:color="auto" w:fill="auto"/>
            <w:vAlign w:val="bottom"/>
          </w:tcPr>
          <w:p w:rsidR="00BD4AF2" w:rsidRPr="00BB211B" w:rsidRDefault="009F275F" w:rsidP="00BD4AF2">
            <w:pPr>
              <w:spacing w:after="120"/>
              <w:jc w:val="right"/>
              <w:rPr>
                <w:lang w:val="es-BO"/>
              </w:rPr>
            </w:pPr>
            <w:r>
              <w:rPr>
                <w:lang w:val="es-BO"/>
              </w:rPr>
              <w:t>157–</w:t>
            </w:r>
            <w:r w:rsidR="0043473B">
              <w:rPr>
                <w:lang w:val="es-BO"/>
              </w:rPr>
              <w:t>207</w:t>
            </w:r>
          </w:p>
        </w:tc>
        <w:tc>
          <w:tcPr>
            <w:tcW w:w="792" w:type="dxa"/>
            <w:shd w:val="clear" w:color="auto" w:fill="auto"/>
            <w:vAlign w:val="bottom"/>
          </w:tcPr>
          <w:p w:rsidR="00BD4AF2" w:rsidRPr="00BB211B" w:rsidRDefault="00DD1BE2" w:rsidP="00BD4AF2">
            <w:pPr>
              <w:spacing w:after="120"/>
              <w:jc w:val="right"/>
              <w:rPr>
                <w:lang w:val="es-BO"/>
              </w:rPr>
            </w:pPr>
            <w:r>
              <w:rPr>
                <w:lang w:val="es-BO"/>
              </w:rPr>
              <w:t>32</w:t>
            </w:r>
          </w:p>
        </w:tc>
      </w:tr>
      <w:tr w:rsidR="00BD4AF2" w:rsidRPr="00BB211B" w:rsidTr="00BD4AF2">
        <w:tc>
          <w:tcPr>
            <w:tcW w:w="8116" w:type="dxa"/>
            <w:gridSpan w:val="2"/>
            <w:shd w:val="clear" w:color="auto" w:fill="auto"/>
          </w:tcPr>
          <w:p w:rsidR="00BD4AF2" w:rsidRPr="00BD4AF2" w:rsidRDefault="00BD4AF2" w:rsidP="00BD4AF2">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t>A.</w:t>
            </w:r>
            <w:r>
              <w:tab/>
            </w:r>
            <w:r w:rsidRPr="00BD4AF2">
              <w:rPr>
                <w:lang w:val="es-ES"/>
              </w:rPr>
              <w:t>Refugiados y desplazados</w:t>
            </w:r>
            <w:r>
              <w:rPr>
                <w:spacing w:val="60"/>
                <w:sz w:val="17"/>
                <w:lang w:val="es-ES"/>
              </w:rPr>
              <w:tab/>
            </w:r>
          </w:p>
        </w:tc>
        <w:tc>
          <w:tcPr>
            <w:tcW w:w="994" w:type="dxa"/>
            <w:shd w:val="clear" w:color="auto" w:fill="auto"/>
            <w:vAlign w:val="bottom"/>
          </w:tcPr>
          <w:p w:rsidR="00BD4AF2" w:rsidRPr="00BB211B" w:rsidRDefault="00DD1BE2" w:rsidP="00BD4AF2">
            <w:pPr>
              <w:spacing w:after="120"/>
              <w:jc w:val="right"/>
              <w:rPr>
                <w:lang w:val="es-BO"/>
              </w:rPr>
            </w:pPr>
            <w:r>
              <w:rPr>
                <w:lang w:val="es-BO"/>
              </w:rPr>
              <w:t>157–168</w:t>
            </w:r>
          </w:p>
        </w:tc>
        <w:tc>
          <w:tcPr>
            <w:tcW w:w="792" w:type="dxa"/>
            <w:shd w:val="clear" w:color="auto" w:fill="auto"/>
            <w:vAlign w:val="bottom"/>
          </w:tcPr>
          <w:p w:rsidR="00BD4AF2" w:rsidRPr="00BB211B" w:rsidRDefault="00DD1BE2" w:rsidP="00BD4AF2">
            <w:pPr>
              <w:spacing w:after="120"/>
              <w:jc w:val="right"/>
              <w:rPr>
                <w:lang w:val="es-BO"/>
              </w:rPr>
            </w:pPr>
            <w:r>
              <w:rPr>
                <w:lang w:val="es-BO"/>
              </w:rPr>
              <w:t>32</w:t>
            </w:r>
          </w:p>
        </w:tc>
      </w:tr>
      <w:tr w:rsidR="00BD4AF2" w:rsidRPr="00BB211B" w:rsidTr="00BD4AF2">
        <w:tc>
          <w:tcPr>
            <w:tcW w:w="8116" w:type="dxa"/>
            <w:gridSpan w:val="2"/>
            <w:shd w:val="clear" w:color="auto" w:fill="auto"/>
          </w:tcPr>
          <w:p w:rsidR="00BD4AF2" w:rsidRPr="00BD4AF2" w:rsidRDefault="00BD4AF2" w:rsidP="00BD4AF2">
            <w:pPr>
              <w:pStyle w:val="ListParagraph"/>
              <w:tabs>
                <w:tab w:val="right" w:pos="1080"/>
                <w:tab w:val="left" w:pos="1300"/>
                <w:tab w:val="left" w:pos="1740"/>
                <w:tab w:val="left" w:pos="2180"/>
                <w:tab w:val="left" w:pos="2620"/>
                <w:tab w:val="right" w:leader="dot" w:pos="9245"/>
              </w:tabs>
              <w:spacing w:after="120"/>
              <w:ind w:left="1296"/>
              <w:rPr>
                <w:spacing w:val="60"/>
                <w:sz w:val="17"/>
              </w:rPr>
            </w:pPr>
            <w:r>
              <w:t>B.</w:t>
            </w:r>
            <w:r>
              <w:tab/>
            </w:r>
            <w:r w:rsidRPr="00BD4AF2">
              <w:rPr>
                <w:lang w:val="es-ES"/>
              </w:rPr>
              <w:t>No ciudadanos</w:t>
            </w:r>
            <w:r>
              <w:rPr>
                <w:spacing w:val="60"/>
                <w:sz w:val="17"/>
                <w:lang w:val="es-ES"/>
              </w:rPr>
              <w:tab/>
            </w:r>
          </w:p>
        </w:tc>
        <w:tc>
          <w:tcPr>
            <w:tcW w:w="994" w:type="dxa"/>
            <w:shd w:val="clear" w:color="auto" w:fill="auto"/>
            <w:vAlign w:val="bottom"/>
          </w:tcPr>
          <w:p w:rsidR="00BD4AF2" w:rsidRPr="00BB211B" w:rsidRDefault="009F275F" w:rsidP="00BD4AF2">
            <w:pPr>
              <w:spacing w:after="120"/>
              <w:jc w:val="right"/>
              <w:rPr>
                <w:lang w:val="es-BO"/>
              </w:rPr>
            </w:pPr>
            <w:r>
              <w:rPr>
                <w:lang w:val="es-BO"/>
              </w:rPr>
              <w:t>157–168</w:t>
            </w:r>
          </w:p>
        </w:tc>
        <w:tc>
          <w:tcPr>
            <w:tcW w:w="792" w:type="dxa"/>
            <w:shd w:val="clear" w:color="auto" w:fill="auto"/>
            <w:vAlign w:val="bottom"/>
          </w:tcPr>
          <w:p w:rsidR="00BD4AF2" w:rsidRPr="00BB211B" w:rsidRDefault="00DD1BE2" w:rsidP="00BD4AF2">
            <w:pPr>
              <w:spacing w:after="120"/>
              <w:jc w:val="right"/>
              <w:rPr>
                <w:lang w:val="es-BO"/>
              </w:rPr>
            </w:pPr>
            <w:r>
              <w:rPr>
                <w:lang w:val="es-BO"/>
              </w:rPr>
              <w:t>32</w:t>
            </w:r>
          </w:p>
        </w:tc>
      </w:tr>
      <w:tr w:rsidR="00BD4AF2" w:rsidRPr="00BB211B" w:rsidTr="00BD4AF2">
        <w:tc>
          <w:tcPr>
            <w:tcW w:w="8116" w:type="dxa"/>
            <w:gridSpan w:val="2"/>
            <w:shd w:val="clear" w:color="auto" w:fill="auto"/>
          </w:tcPr>
          <w:p w:rsidR="00BD4AF2" w:rsidRPr="00BD4AF2" w:rsidRDefault="00BD4AF2" w:rsidP="00BD4AF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t>C.</w:t>
            </w:r>
            <w:r>
              <w:tab/>
            </w:r>
            <w:r w:rsidRPr="00BD4AF2">
              <w:rPr>
                <w:lang w:val="es-ES"/>
              </w:rPr>
              <w:t>Las minorías, incluidos los romaníes</w:t>
            </w:r>
            <w:r>
              <w:rPr>
                <w:spacing w:val="60"/>
                <w:sz w:val="17"/>
                <w:lang w:val="es-ES"/>
              </w:rPr>
              <w:tab/>
            </w:r>
          </w:p>
        </w:tc>
        <w:tc>
          <w:tcPr>
            <w:tcW w:w="994" w:type="dxa"/>
            <w:shd w:val="clear" w:color="auto" w:fill="auto"/>
            <w:vAlign w:val="bottom"/>
          </w:tcPr>
          <w:p w:rsidR="00BD4AF2" w:rsidRPr="00BB211B" w:rsidRDefault="009F275F" w:rsidP="00BD4AF2">
            <w:pPr>
              <w:spacing w:after="120"/>
              <w:jc w:val="right"/>
              <w:rPr>
                <w:lang w:val="es-BO"/>
              </w:rPr>
            </w:pPr>
            <w:r>
              <w:rPr>
                <w:lang w:val="es-BO"/>
              </w:rPr>
              <w:t>169–</w:t>
            </w:r>
            <w:r w:rsidR="0043473B">
              <w:rPr>
                <w:lang w:val="es-BO"/>
              </w:rPr>
              <w:t>181</w:t>
            </w:r>
          </w:p>
        </w:tc>
        <w:tc>
          <w:tcPr>
            <w:tcW w:w="792" w:type="dxa"/>
            <w:shd w:val="clear" w:color="auto" w:fill="auto"/>
            <w:vAlign w:val="bottom"/>
          </w:tcPr>
          <w:p w:rsidR="00BD4AF2" w:rsidRPr="00BB211B" w:rsidRDefault="00DD1BE2" w:rsidP="00BD4AF2">
            <w:pPr>
              <w:spacing w:after="120"/>
              <w:jc w:val="right"/>
              <w:rPr>
                <w:lang w:val="es-BO"/>
              </w:rPr>
            </w:pPr>
            <w:r>
              <w:rPr>
                <w:lang w:val="es-BO"/>
              </w:rPr>
              <w:t>35</w:t>
            </w:r>
          </w:p>
        </w:tc>
      </w:tr>
      <w:tr w:rsidR="00BD4AF2" w:rsidRPr="00BB211B" w:rsidTr="00BD4AF2">
        <w:tc>
          <w:tcPr>
            <w:tcW w:w="8116" w:type="dxa"/>
            <w:gridSpan w:val="2"/>
            <w:shd w:val="clear" w:color="auto" w:fill="auto"/>
          </w:tcPr>
          <w:p w:rsidR="00BD4AF2" w:rsidRPr="00BD4AF2" w:rsidRDefault="00BD4AF2" w:rsidP="00BD4AF2">
            <w:pPr>
              <w:pStyle w:val="ListParagraph"/>
              <w:tabs>
                <w:tab w:val="right" w:pos="1080"/>
                <w:tab w:val="left" w:pos="1300"/>
                <w:tab w:val="left" w:pos="1740"/>
                <w:tab w:val="left" w:pos="2180"/>
                <w:tab w:val="right" w:leader="dot" w:pos="9245"/>
              </w:tabs>
              <w:spacing w:after="120"/>
              <w:ind w:left="1296"/>
              <w:rPr>
                <w:spacing w:val="60"/>
                <w:sz w:val="17"/>
              </w:rPr>
            </w:pPr>
            <w:r>
              <w:t>D.</w:t>
            </w:r>
            <w:r>
              <w:tab/>
            </w:r>
            <w:r w:rsidRPr="00BD4AF2">
              <w:rPr>
                <w:lang w:val="es-ES"/>
              </w:rPr>
              <w:t>La mujer</w:t>
            </w:r>
            <w:r>
              <w:rPr>
                <w:spacing w:val="60"/>
                <w:sz w:val="17"/>
                <w:lang w:val="es-ES"/>
              </w:rPr>
              <w:tab/>
            </w:r>
          </w:p>
        </w:tc>
        <w:tc>
          <w:tcPr>
            <w:tcW w:w="994" w:type="dxa"/>
            <w:shd w:val="clear" w:color="auto" w:fill="auto"/>
            <w:vAlign w:val="bottom"/>
          </w:tcPr>
          <w:p w:rsidR="00BD4AF2" w:rsidRPr="00BB211B" w:rsidRDefault="0043473B" w:rsidP="00BD4AF2">
            <w:pPr>
              <w:spacing w:after="120"/>
              <w:jc w:val="right"/>
              <w:rPr>
                <w:lang w:val="es-BO"/>
              </w:rPr>
            </w:pPr>
            <w:r>
              <w:rPr>
                <w:lang w:val="es-BO"/>
              </w:rPr>
              <w:t>182–194</w:t>
            </w:r>
          </w:p>
        </w:tc>
        <w:tc>
          <w:tcPr>
            <w:tcW w:w="792" w:type="dxa"/>
            <w:shd w:val="clear" w:color="auto" w:fill="auto"/>
            <w:vAlign w:val="bottom"/>
          </w:tcPr>
          <w:p w:rsidR="00BD4AF2" w:rsidRPr="00BB211B" w:rsidRDefault="00DD1BE2" w:rsidP="00BD4AF2">
            <w:pPr>
              <w:spacing w:after="120"/>
              <w:jc w:val="right"/>
              <w:rPr>
                <w:lang w:val="es-BO"/>
              </w:rPr>
            </w:pPr>
            <w:r>
              <w:rPr>
                <w:lang w:val="es-BO"/>
              </w:rPr>
              <w:t>38</w:t>
            </w:r>
          </w:p>
        </w:tc>
      </w:tr>
      <w:tr w:rsidR="00BD4AF2" w:rsidRPr="00BB211B" w:rsidTr="00BD4AF2">
        <w:tc>
          <w:tcPr>
            <w:tcW w:w="8116" w:type="dxa"/>
            <w:gridSpan w:val="2"/>
            <w:shd w:val="clear" w:color="auto" w:fill="auto"/>
          </w:tcPr>
          <w:p w:rsidR="00BD4AF2" w:rsidRPr="00BD4AF2" w:rsidRDefault="00BD4AF2" w:rsidP="00BD4AF2">
            <w:pPr>
              <w:pStyle w:val="ListParagraph"/>
              <w:tabs>
                <w:tab w:val="right" w:pos="1080"/>
                <w:tab w:val="left" w:pos="1300"/>
                <w:tab w:val="left" w:pos="1740"/>
                <w:tab w:val="right" w:leader="dot" w:pos="9245"/>
              </w:tabs>
              <w:spacing w:after="120"/>
              <w:ind w:left="1296"/>
              <w:rPr>
                <w:spacing w:val="60"/>
                <w:sz w:val="17"/>
              </w:rPr>
            </w:pPr>
            <w:r w:rsidRPr="00BD4AF2">
              <w:rPr>
                <w:lang w:val="es-ES"/>
              </w:rPr>
              <w:t>Artículo 6</w:t>
            </w:r>
            <w:r>
              <w:rPr>
                <w:spacing w:val="60"/>
                <w:sz w:val="17"/>
                <w:lang w:val="es-ES"/>
              </w:rPr>
              <w:tab/>
            </w:r>
          </w:p>
        </w:tc>
        <w:tc>
          <w:tcPr>
            <w:tcW w:w="994" w:type="dxa"/>
            <w:shd w:val="clear" w:color="auto" w:fill="auto"/>
            <w:vAlign w:val="bottom"/>
          </w:tcPr>
          <w:p w:rsidR="00BD4AF2" w:rsidRPr="00BB211B" w:rsidRDefault="0043473B" w:rsidP="0043473B">
            <w:pPr>
              <w:spacing w:after="120"/>
              <w:jc w:val="right"/>
              <w:rPr>
                <w:lang w:val="es-BO"/>
              </w:rPr>
            </w:pPr>
            <w:r>
              <w:rPr>
                <w:lang w:val="es-BO"/>
              </w:rPr>
              <w:t>195</w:t>
            </w:r>
          </w:p>
        </w:tc>
        <w:tc>
          <w:tcPr>
            <w:tcW w:w="792" w:type="dxa"/>
            <w:shd w:val="clear" w:color="auto" w:fill="auto"/>
            <w:vAlign w:val="bottom"/>
          </w:tcPr>
          <w:p w:rsidR="00BD4AF2" w:rsidRPr="00BB211B" w:rsidRDefault="00DD1BE2" w:rsidP="00BD4AF2">
            <w:pPr>
              <w:spacing w:after="120"/>
              <w:jc w:val="right"/>
              <w:rPr>
                <w:lang w:val="es-BO"/>
              </w:rPr>
            </w:pPr>
            <w:r>
              <w:rPr>
                <w:lang w:val="es-BO"/>
              </w:rPr>
              <w:t>41</w:t>
            </w:r>
          </w:p>
        </w:tc>
      </w:tr>
      <w:tr w:rsidR="00BD4AF2" w:rsidRPr="00BB211B" w:rsidTr="00BD4AF2">
        <w:tc>
          <w:tcPr>
            <w:tcW w:w="8116" w:type="dxa"/>
            <w:gridSpan w:val="2"/>
            <w:shd w:val="clear" w:color="auto" w:fill="auto"/>
          </w:tcPr>
          <w:p w:rsidR="00BD4AF2" w:rsidRPr="009F275F" w:rsidRDefault="00BD4AF2" w:rsidP="009F275F">
            <w:pPr>
              <w:pStyle w:val="ListParagraph"/>
              <w:tabs>
                <w:tab w:val="right" w:pos="1080"/>
                <w:tab w:val="left" w:pos="1300"/>
                <w:tab w:val="left" w:pos="1740"/>
                <w:tab w:val="right" w:leader="dot" w:pos="9245"/>
              </w:tabs>
              <w:spacing w:after="120"/>
              <w:ind w:left="1296"/>
              <w:rPr>
                <w:spacing w:val="60"/>
                <w:sz w:val="17"/>
                <w:lang w:val="es-ES"/>
              </w:rPr>
            </w:pPr>
            <w:r>
              <w:rPr>
                <w:lang w:val="es-ES"/>
              </w:rPr>
              <w:t>Artículo 7</w:t>
            </w:r>
            <w:r w:rsidR="009F275F">
              <w:rPr>
                <w:spacing w:val="60"/>
                <w:sz w:val="17"/>
                <w:lang w:val="es-ES"/>
              </w:rPr>
              <w:tab/>
            </w:r>
          </w:p>
        </w:tc>
        <w:tc>
          <w:tcPr>
            <w:tcW w:w="994" w:type="dxa"/>
            <w:shd w:val="clear" w:color="auto" w:fill="auto"/>
            <w:vAlign w:val="bottom"/>
          </w:tcPr>
          <w:p w:rsidR="00BD4AF2" w:rsidRPr="00BB211B" w:rsidRDefault="0043473B" w:rsidP="00BD4AF2">
            <w:pPr>
              <w:spacing w:after="120"/>
              <w:jc w:val="right"/>
              <w:rPr>
                <w:lang w:val="es-BO"/>
              </w:rPr>
            </w:pPr>
            <w:r>
              <w:rPr>
                <w:lang w:val="es-BO"/>
              </w:rPr>
              <w:t>196–207</w:t>
            </w:r>
          </w:p>
        </w:tc>
        <w:tc>
          <w:tcPr>
            <w:tcW w:w="792" w:type="dxa"/>
            <w:shd w:val="clear" w:color="auto" w:fill="auto"/>
            <w:vAlign w:val="bottom"/>
          </w:tcPr>
          <w:p w:rsidR="00BD4AF2" w:rsidRPr="00BB211B" w:rsidRDefault="00DD1BE2" w:rsidP="00BD4AF2">
            <w:pPr>
              <w:spacing w:after="120"/>
              <w:jc w:val="right"/>
              <w:rPr>
                <w:lang w:val="es-BO"/>
              </w:rPr>
            </w:pPr>
            <w:r>
              <w:rPr>
                <w:lang w:val="es-BO"/>
              </w:rPr>
              <w:t>43</w:t>
            </w:r>
          </w:p>
        </w:tc>
      </w:tr>
    </w:tbl>
    <w:p w:rsidR="00BB211B" w:rsidRPr="00BB211B" w:rsidRDefault="00BB211B" w:rsidP="00BB211B">
      <w:pPr>
        <w:rPr>
          <w:lang w:val="es-BO"/>
        </w:rPr>
      </w:pPr>
    </w:p>
    <w:p w:rsidR="00BB211B" w:rsidRDefault="00BB211B">
      <w:pPr>
        <w:suppressAutoHyphens w:val="0"/>
        <w:spacing w:line="240" w:lineRule="auto"/>
        <w:rPr>
          <w:lang w:val="es-BO"/>
        </w:rPr>
      </w:pPr>
    </w:p>
    <w:p w:rsidR="00492626" w:rsidRDefault="00492626">
      <w:pPr>
        <w:suppressAutoHyphens w:val="0"/>
        <w:spacing w:line="240" w:lineRule="auto"/>
        <w:rPr>
          <w:kern w:val="14"/>
          <w:lang w:val="es-BO"/>
        </w:rPr>
      </w:pPr>
      <w:r>
        <w:rPr>
          <w:lang w:val="es-BO"/>
        </w:rPr>
        <w:br w:type="page"/>
      </w:r>
    </w:p>
    <w:p w:rsidR="00895D0A" w:rsidRDefault="00492626" w:rsidP="004926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95D0A" w:rsidRPr="00895D0A">
        <w:rPr>
          <w:lang w:val="es-BO"/>
        </w:rPr>
        <w:t>I.</w:t>
      </w:r>
      <w:r>
        <w:rPr>
          <w:lang w:val="es-BO"/>
        </w:rPr>
        <w:tab/>
      </w:r>
      <w:r w:rsidR="00895D0A" w:rsidRPr="00895D0A">
        <w:rPr>
          <w:lang w:val="es-BO"/>
        </w:rPr>
        <w:t>Introducción</w:t>
      </w:r>
    </w:p>
    <w:p w:rsidR="00492626" w:rsidRPr="00492626" w:rsidRDefault="00492626" w:rsidP="00492626">
      <w:pPr>
        <w:pStyle w:val="SingleTxt"/>
        <w:spacing w:after="0" w:line="120" w:lineRule="exact"/>
        <w:rPr>
          <w:b/>
          <w:sz w:val="10"/>
          <w:lang w:val="es-BO"/>
        </w:rPr>
      </w:pPr>
    </w:p>
    <w:p w:rsidR="00492626" w:rsidRPr="00492626" w:rsidRDefault="00492626" w:rsidP="00492626">
      <w:pPr>
        <w:pStyle w:val="SingleTxt"/>
        <w:spacing w:after="0" w:line="120" w:lineRule="exact"/>
        <w:rPr>
          <w:b/>
          <w:sz w:val="10"/>
          <w:lang w:val="es-BO"/>
        </w:rPr>
      </w:pP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Los informes periódicos 16º a 18º combinados de Italia se presentaron en 2011 (CERD/C/ITA/16-18). El Comité para la Eliminación de la Discriminación Racial examinó </w:t>
      </w:r>
      <w:r w:rsidR="00F6677C">
        <w:rPr>
          <w:lang w:val="es-BO"/>
        </w:rPr>
        <w:t>estos</w:t>
      </w:r>
      <w:r w:rsidRPr="00895D0A">
        <w:rPr>
          <w:lang w:val="es-BO"/>
        </w:rPr>
        <w:t xml:space="preserve"> informes en sus sesiones 2156ª y 2157ª (CERD/C/SR.2156 y 2157), celebradas el 5 de marzo de 2012. En su 2164ª ses</w:t>
      </w:r>
      <w:r w:rsidR="00395940">
        <w:rPr>
          <w:lang w:val="es-BO"/>
        </w:rPr>
        <w:t>ión, celebrada el 9 de marzo de </w:t>
      </w:r>
      <w:r w:rsidRPr="00895D0A">
        <w:rPr>
          <w:lang w:val="es-BO"/>
        </w:rPr>
        <w:t xml:space="preserve">2012, aprobó sus observaciones finales (CERD/C/ITA/CO/16-18). En los presentes informes periódicos 19º y 20º </w:t>
      </w:r>
      <w:r w:rsidR="00F6677C">
        <w:rPr>
          <w:lang w:val="es-BO"/>
        </w:rPr>
        <w:t>figuran</w:t>
      </w:r>
      <w:r w:rsidRPr="00895D0A">
        <w:rPr>
          <w:lang w:val="es-BO"/>
        </w:rPr>
        <w:t xml:space="preserve"> las respuestas pertinentes a las observaciones del Comité.</w:t>
      </w:r>
    </w:p>
    <w:p w:rsidR="00895D0A" w:rsidRPr="00395940" w:rsidRDefault="00895D0A" w:rsidP="00492626">
      <w:pPr>
        <w:pStyle w:val="SingleTxt"/>
        <w:numPr>
          <w:ilvl w:val="0"/>
          <w:numId w:val="15"/>
        </w:numPr>
        <w:tabs>
          <w:tab w:val="clear" w:pos="475"/>
          <w:tab w:val="num" w:pos="1742"/>
        </w:tabs>
        <w:suppressAutoHyphens w:val="0"/>
        <w:ind w:left="1267"/>
        <w:rPr>
          <w:spacing w:val="2"/>
          <w:lang w:val="es-BO"/>
        </w:rPr>
      </w:pPr>
      <w:r w:rsidRPr="00395940">
        <w:rPr>
          <w:lang w:val="es-BO"/>
        </w:rPr>
        <w:t xml:space="preserve">Además, a raíz de la solicitud formulada en el </w:t>
      </w:r>
      <w:r w:rsidR="00395940">
        <w:rPr>
          <w:lang w:val="es-BO"/>
        </w:rPr>
        <w:t xml:space="preserve">párrafo 35 de las observaciones </w:t>
      </w:r>
      <w:r w:rsidRPr="00395940">
        <w:rPr>
          <w:spacing w:val="3"/>
          <w:lang w:val="es-BO"/>
        </w:rPr>
        <w:t>finales, aprobadas por el Comité para la Eliminación de la Discriminación R</w:t>
      </w:r>
      <w:r w:rsidR="00395940" w:rsidRPr="00395940">
        <w:rPr>
          <w:spacing w:val="3"/>
          <w:lang w:val="es-BO"/>
        </w:rPr>
        <w:t>acial el 9</w:t>
      </w:r>
      <w:r w:rsidR="00395940">
        <w:rPr>
          <w:spacing w:val="3"/>
          <w:lang w:val="es-BO"/>
        </w:rPr>
        <w:t> </w:t>
      </w:r>
      <w:r w:rsidRPr="00395940">
        <w:rPr>
          <w:spacing w:val="3"/>
          <w:lang w:val="es-BO"/>
        </w:rPr>
        <w:t>de marzo de 2012, en lo tocante a las recomendacio</w:t>
      </w:r>
      <w:r w:rsidR="00395940" w:rsidRPr="00395940">
        <w:rPr>
          <w:spacing w:val="3"/>
          <w:lang w:val="es-BO"/>
        </w:rPr>
        <w:t xml:space="preserve">nes que figuran en los párrafos 13 </w:t>
      </w:r>
      <w:r w:rsidR="00395940" w:rsidRPr="00395940">
        <w:rPr>
          <w:spacing w:val="2"/>
          <w:lang w:val="es-BO"/>
        </w:rPr>
        <w:t xml:space="preserve">y </w:t>
      </w:r>
      <w:r w:rsidRPr="00395940">
        <w:rPr>
          <w:spacing w:val="2"/>
          <w:lang w:val="es-BO"/>
        </w:rPr>
        <w:t xml:space="preserve">15 de esas observaciones, Italia proporcionó la información solicitada, de conformidad con el artículo 9, párrafo 1, de la Convención y </w:t>
      </w:r>
      <w:r w:rsidR="00F6677C" w:rsidRPr="00395940">
        <w:rPr>
          <w:spacing w:val="2"/>
          <w:lang w:val="es-BO"/>
        </w:rPr>
        <w:t xml:space="preserve">con </w:t>
      </w:r>
      <w:r w:rsidRPr="00395940">
        <w:rPr>
          <w:spacing w:val="2"/>
          <w:lang w:val="es-BO"/>
        </w:rPr>
        <w:t>el artículo 65 del reglamento enmendado del Comité (CERD/C/ITA/CO/16-18/Add.1, 9 de julio de 2013).</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El Gobierno de Italia hizo </w:t>
      </w:r>
      <w:r w:rsidR="00F6677C">
        <w:rPr>
          <w:lang w:val="es-BO"/>
        </w:rPr>
        <w:t>partícipe</w:t>
      </w:r>
      <w:r w:rsidRPr="00895D0A">
        <w:rPr>
          <w:lang w:val="es-BO"/>
        </w:rPr>
        <w:t xml:space="preserve"> a la sociedad civil </w:t>
      </w:r>
      <w:r w:rsidR="00F6677C">
        <w:rPr>
          <w:lang w:val="es-BO"/>
        </w:rPr>
        <w:t>desde las fases iniciales en el</w:t>
      </w:r>
      <w:r w:rsidRPr="00895D0A">
        <w:rPr>
          <w:lang w:val="es-BO"/>
        </w:rPr>
        <w:t xml:space="preserve"> proceso de redacción del informe nacional que debía presentar al Consejo de Derechos Humanos en el marco del segundo ciclo del examen periódico universal, celebrado en julio de 2014. En varios párrafos del informe nacional se hace referencia a la discriminación y a las políticas para combatirla.</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Según datos recientes sobre la población extranjera </w:t>
      </w:r>
      <w:r w:rsidR="00F6677C">
        <w:rPr>
          <w:lang w:val="es-BO"/>
        </w:rPr>
        <w:t>en</w:t>
      </w:r>
      <w:r w:rsidRPr="00895D0A">
        <w:rPr>
          <w:lang w:val="es-BO"/>
        </w:rPr>
        <w:t xml:space="preserve"> Italia, recogidos en 2014 por el Instituto Nacional de Estadística, en 2013 emigraron a Italia 307.000 personas, frente a las 351.000 registradas el año anterior. </w:t>
      </w:r>
      <w:r w:rsidR="00D124C4">
        <w:rPr>
          <w:lang w:val="es-BO"/>
        </w:rPr>
        <w:t>Este desc</w:t>
      </w:r>
      <w:r w:rsidR="00F6677C">
        <w:rPr>
          <w:lang w:val="es-BO"/>
        </w:rPr>
        <w:t>enso</w:t>
      </w:r>
      <w:r w:rsidRPr="00895D0A">
        <w:rPr>
          <w:lang w:val="es-BO"/>
        </w:rPr>
        <w:t xml:space="preserve"> se debe principalmente a la disminución del número de inmigrantes extranjeros (de 321.000 en 2012 a 279.000 en 2013). Los inmigrantes que ingresaron en mayor número en el país fueron los de nacionalidad rumana (58.000), marroquí (20.000), china (17.000) y ucraniana (14.000). </w:t>
      </w:r>
      <w:r w:rsidR="00F6677C">
        <w:rPr>
          <w:lang w:val="es-BO"/>
        </w:rPr>
        <w:t>Disminuyó el número</w:t>
      </w:r>
      <w:r w:rsidRPr="00895D0A">
        <w:rPr>
          <w:lang w:val="es-BO"/>
        </w:rPr>
        <w:t xml:space="preserve"> de inmigrantes procedentes del Ecuador (37% menos que el año anterior), Côte d’Ivoire (36%), Rumania (29%) y la ex República Yugoslava de Macedonia (26%).</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Entre los extranjeros residentes en Italia, la lengua materna de uso más común es el rumano: casi 800.000 personas hablan rumano desde su primera infancia (21,9% de los ciudadanos extranjeros de 6 años de edad y más). Otras lenguas maternas predominantes son el árabe (con más de 475.000 hablantes, </w:t>
      </w:r>
      <w:r w:rsidR="00F6677C">
        <w:rPr>
          <w:lang w:val="es-BO"/>
        </w:rPr>
        <w:t>o sea el</w:t>
      </w:r>
      <w:r w:rsidRPr="00895D0A">
        <w:rPr>
          <w:lang w:val="es-BO"/>
        </w:rPr>
        <w:t xml:space="preserve"> 13,1%), el albanés (380.000 hablantes) y el español (255.000 hablantes).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Por lo que respecta a las minorías nacionales, el balance sobre </w:t>
      </w:r>
      <w:r w:rsidR="00F6677C">
        <w:rPr>
          <w:lang w:val="es-BO"/>
        </w:rPr>
        <w:t>la</w:t>
      </w:r>
      <w:r w:rsidRPr="00895D0A">
        <w:rPr>
          <w:lang w:val="es-BO"/>
        </w:rPr>
        <w:t xml:space="preserve"> aplicación de la Ley núm. 482/1999 (</w:t>
      </w:r>
      <w:r w:rsidR="00DD1A63">
        <w:rPr>
          <w:lang w:val="es-BO"/>
        </w:rPr>
        <w:t>“</w:t>
      </w:r>
      <w:r w:rsidRPr="00895D0A">
        <w:rPr>
          <w:lang w:val="es-BO"/>
        </w:rPr>
        <w:t>Disposiciones de protección de las minorías lingüísticas históricas</w:t>
      </w:r>
      <w:r w:rsidR="00DD1A63">
        <w:rPr>
          <w:lang w:val="es-BO"/>
        </w:rPr>
        <w:t>”</w:t>
      </w:r>
      <w:r w:rsidRPr="00895D0A">
        <w:rPr>
          <w:lang w:val="es-BO"/>
        </w:rPr>
        <w:t xml:space="preserve">) arroja resultados positivos, como demuestra la creciente demanda del uso de lenguas minoritarias, la mayor </w:t>
      </w:r>
      <w:r w:rsidR="00F6677C">
        <w:rPr>
          <w:lang w:val="es-BO"/>
        </w:rPr>
        <w:t>conciencia respecto de su valor</w:t>
      </w:r>
      <w:r w:rsidRPr="00895D0A">
        <w:rPr>
          <w:lang w:val="es-BO"/>
        </w:rPr>
        <w:t xml:space="preserve"> </w:t>
      </w:r>
      <w:r w:rsidR="00F6677C">
        <w:rPr>
          <w:lang w:val="es-BO"/>
        </w:rPr>
        <w:t>y</w:t>
      </w:r>
      <w:r w:rsidRPr="00895D0A">
        <w:rPr>
          <w:lang w:val="es-BO"/>
        </w:rPr>
        <w:t xml:space="preserve"> las iniciativas </w:t>
      </w:r>
      <w:r w:rsidR="00F6677C">
        <w:rPr>
          <w:lang w:val="es-BO"/>
        </w:rPr>
        <w:t>de</w:t>
      </w:r>
      <w:r w:rsidRPr="00895D0A">
        <w:rPr>
          <w:lang w:val="es-BO"/>
        </w:rPr>
        <w:t xml:space="preserve"> preserva</w:t>
      </w:r>
      <w:r w:rsidR="00F6677C">
        <w:rPr>
          <w:lang w:val="es-BO"/>
        </w:rPr>
        <w:t>ción</w:t>
      </w:r>
      <w:r w:rsidRPr="00895D0A">
        <w:rPr>
          <w:lang w:val="es-BO"/>
        </w:rPr>
        <w:t xml:space="preserve"> </w:t>
      </w:r>
      <w:r w:rsidR="00F6677C">
        <w:rPr>
          <w:lang w:val="es-BO"/>
        </w:rPr>
        <w:t>d</w:t>
      </w:r>
      <w:r w:rsidRPr="00895D0A">
        <w:rPr>
          <w:lang w:val="es-BO"/>
        </w:rPr>
        <w:t xml:space="preserve">el patrimonio escrito. </w:t>
      </w:r>
      <w:r w:rsidR="00F6677C">
        <w:rPr>
          <w:lang w:val="es-BO"/>
        </w:rPr>
        <w:t>En otros términos</w:t>
      </w:r>
      <w:r w:rsidRPr="00895D0A">
        <w:rPr>
          <w:lang w:val="es-BO"/>
        </w:rPr>
        <w:t>, conviene subrayar que en casi todas las regiones donde viven comunidades que habla</w:t>
      </w:r>
      <w:r w:rsidR="00F6677C">
        <w:rPr>
          <w:lang w:val="es-BO"/>
        </w:rPr>
        <w:t>n</w:t>
      </w:r>
      <w:r w:rsidRPr="00895D0A">
        <w:rPr>
          <w:lang w:val="es-BO"/>
        </w:rPr>
        <w:t xml:space="preserve"> una lengua minoritaria, se han promulgado disposiciones de protección en el marco de las responsabilidades constitucionales de las regiones, en consonancia con los principios generales establecidos a</w:t>
      </w:r>
      <w:r w:rsidR="00F6677C">
        <w:rPr>
          <w:lang w:val="es-BO"/>
        </w:rPr>
        <w:t xml:space="preserve"> nivel europeo e internacional.</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Por lo que atañe a la protección de las comunidades romaní y sinti, el Gobierno de Italia aplica una estrategia nacional para la inclusión de esas comunidades en el entorno social en sus cuatro ámbitos de acción, </w:t>
      </w:r>
      <w:r w:rsidR="00F53E08">
        <w:rPr>
          <w:lang w:val="es-BO"/>
        </w:rPr>
        <w:t>mejorando la</w:t>
      </w:r>
      <w:r w:rsidRPr="00895D0A">
        <w:rPr>
          <w:lang w:val="es-BO"/>
        </w:rPr>
        <w:t xml:space="preserve"> escolarización de los menores de edad y </w:t>
      </w:r>
      <w:r w:rsidR="00F53E08">
        <w:rPr>
          <w:lang w:val="es-BO"/>
        </w:rPr>
        <w:t>proporcionando</w:t>
      </w:r>
      <w:r w:rsidRPr="00895D0A">
        <w:rPr>
          <w:lang w:val="es-BO"/>
        </w:rPr>
        <w:t xml:space="preserve"> oportunidades de empleo. Para más información, véase la sección C del presente informe.</w:t>
      </w:r>
    </w:p>
    <w:p w:rsidR="00895D0A" w:rsidRDefault="00492626" w:rsidP="004926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t>II.</w:t>
      </w:r>
      <w:r>
        <w:rPr>
          <w:lang w:val="es-BO"/>
        </w:rPr>
        <w:tab/>
      </w:r>
      <w:r w:rsidR="00895D0A" w:rsidRPr="00895D0A">
        <w:rPr>
          <w:lang w:val="es-BO"/>
        </w:rPr>
        <w:t>Aplicación de la Parte I de la Convención</w:t>
      </w:r>
    </w:p>
    <w:p w:rsidR="00492626" w:rsidRPr="00492626" w:rsidRDefault="00492626" w:rsidP="00492626">
      <w:pPr>
        <w:pStyle w:val="SingleTxt"/>
        <w:keepNext/>
        <w:keepLines/>
        <w:spacing w:after="0" w:line="120" w:lineRule="exact"/>
        <w:rPr>
          <w:b/>
          <w:sz w:val="10"/>
          <w:lang w:val="es-BO"/>
        </w:rPr>
      </w:pPr>
    </w:p>
    <w:p w:rsidR="00492626" w:rsidRPr="00492626" w:rsidRDefault="00492626" w:rsidP="00492626">
      <w:pPr>
        <w:pStyle w:val="SingleTxt"/>
        <w:keepNext/>
        <w:keepLines/>
        <w:spacing w:after="0" w:line="120" w:lineRule="exact"/>
        <w:rPr>
          <w:b/>
          <w:sz w:val="10"/>
          <w:lang w:val="es-BO"/>
        </w:rPr>
      </w:pPr>
    </w:p>
    <w:p w:rsidR="00895D0A" w:rsidRPr="00895D0A" w:rsidRDefault="007639E9" w:rsidP="00492626">
      <w:pPr>
        <w:pStyle w:val="SingleTxt"/>
        <w:numPr>
          <w:ilvl w:val="0"/>
          <w:numId w:val="15"/>
        </w:numPr>
        <w:tabs>
          <w:tab w:val="clear" w:pos="475"/>
          <w:tab w:val="num" w:pos="1742"/>
        </w:tabs>
        <w:suppressAutoHyphens w:val="0"/>
        <w:ind w:left="1267"/>
        <w:rPr>
          <w:lang w:val="es-BO"/>
        </w:rPr>
      </w:pPr>
      <w:r>
        <w:rPr>
          <w:lang w:val="es-BO"/>
        </w:rPr>
        <w:t>Pronto concluirá la elaborac</w:t>
      </w:r>
      <w:r w:rsidR="00895D0A" w:rsidRPr="00895D0A">
        <w:rPr>
          <w:lang w:val="es-BO"/>
        </w:rPr>
        <w:t xml:space="preserve">ión del Plan de Lucha contra el Racismo, la Xenofobia y las Formas Conexas de Intolerancia, que se aplicará </w:t>
      </w:r>
      <w:r w:rsidR="00F53E08">
        <w:rPr>
          <w:lang w:val="es-BO"/>
        </w:rPr>
        <w:t>en</w:t>
      </w:r>
      <w:r w:rsidR="00895D0A" w:rsidRPr="00895D0A">
        <w:rPr>
          <w:lang w:val="es-BO"/>
        </w:rPr>
        <w:t xml:space="preserve"> el </w:t>
      </w:r>
      <w:r w:rsidR="00F53E08">
        <w:rPr>
          <w:lang w:val="es-BO"/>
        </w:rPr>
        <w:t>trienio 2015</w:t>
      </w:r>
      <w:r w:rsidR="00F53E08">
        <w:rPr>
          <w:lang w:val="es-BO"/>
        </w:rPr>
        <w:noBreakHyphen/>
      </w:r>
      <w:r w:rsidR="00895D0A" w:rsidRPr="00895D0A">
        <w:rPr>
          <w:lang w:val="es-BO"/>
        </w:rPr>
        <w:t>2017.</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B1717E">
        <w:rPr>
          <w:spacing w:val="3"/>
          <w:lang w:val="es-BO"/>
        </w:rPr>
        <w:t xml:space="preserve">Este Plan tiene plenamente en cuenta los instrumentos internacionales y nacionales pertinentes que abordan la discriminación por motivos de </w:t>
      </w:r>
      <w:r w:rsidR="00DD1A63" w:rsidRPr="00B1717E">
        <w:rPr>
          <w:spacing w:val="3"/>
          <w:lang w:val="es-BO"/>
        </w:rPr>
        <w:t>“</w:t>
      </w:r>
      <w:r w:rsidRPr="00B1717E">
        <w:rPr>
          <w:spacing w:val="3"/>
          <w:lang w:val="es-BO"/>
        </w:rPr>
        <w:t>raza</w:t>
      </w:r>
      <w:r w:rsidR="00DD1A63" w:rsidRPr="00B1717E">
        <w:rPr>
          <w:spacing w:val="3"/>
          <w:lang w:val="es-BO"/>
        </w:rPr>
        <w:t>”</w:t>
      </w:r>
      <w:r w:rsidR="00B1717E" w:rsidRPr="00B1717E">
        <w:rPr>
          <w:spacing w:val="3"/>
          <w:lang w:val="es-BO"/>
        </w:rPr>
        <w:t xml:space="preserve">, color, </w:t>
      </w:r>
      <w:r w:rsidRPr="00B1717E">
        <w:rPr>
          <w:spacing w:val="3"/>
          <w:lang w:val="es-BO"/>
        </w:rPr>
        <w:t>ascendencia, origen nacional o étnico, cr</w:t>
      </w:r>
      <w:r w:rsidR="00F53E08" w:rsidRPr="00B1717E">
        <w:rPr>
          <w:spacing w:val="3"/>
          <w:lang w:val="es-BO"/>
        </w:rPr>
        <w:t>eencias personales y religiosas</w:t>
      </w:r>
      <w:r w:rsidRPr="00B1717E">
        <w:rPr>
          <w:spacing w:val="3"/>
          <w:lang w:val="es-BO"/>
        </w:rPr>
        <w:t xml:space="preserve"> e idioma, como la Constitución de Italia, en particular su artículo 3, el Decreto </w:t>
      </w:r>
      <w:r w:rsidR="00F53E08" w:rsidRPr="00B1717E">
        <w:rPr>
          <w:spacing w:val="3"/>
          <w:lang w:val="es-BO"/>
        </w:rPr>
        <w:t>Ley</w:t>
      </w:r>
      <w:r w:rsidR="00B1717E" w:rsidRPr="00B1717E">
        <w:rPr>
          <w:spacing w:val="3"/>
          <w:lang w:val="es-BO"/>
        </w:rPr>
        <w:t xml:space="preserve"> núm. </w:t>
      </w:r>
      <w:r w:rsidRPr="00B1717E">
        <w:rPr>
          <w:spacing w:val="3"/>
          <w:lang w:val="es-BO"/>
        </w:rPr>
        <w:t>215/2003 (</w:t>
      </w:r>
      <w:r w:rsidR="00F53E08" w:rsidRPr="00B1717E">
        <w:rPr>
          <w:spacing w:val="3"/>
          <w:lang w:val="es-BO"/>
        </w:rPr>
        <w:t>de conformidad con</w:t>
      </w:r>
      <w:r w:rsidRPr="00B1717E">
        <w:rPr>
          <w:spacing w:val="3"/>
          <w:lang w:val="es-BO"/>
        </w:rPr>
        <w:t xml:space="preserve"> la Directiva 2000/43/EC), el Decreto </w:t>
      </w:r>
      <w:r w:rsidR="00F53E08" w:rsidRPr="00B1717E">
        <w:rPr>
          <w:spacing w:val="3"/>
          <w:lang w:val="es-BO"/>
        </w:rPr>
        <w:t>Ley</w:t>
      </w:r>
      <w:r w:rsidRPr="00B1717E">
        <w:rPr>
          <w:spacing w:val="3"/>
          <w:lang w:val="es-BO"/>
        </w:rPr>
        <w:t xml:space="preserve"> núm. 216/2003</w:t>
      </w:r>
      <w:r w:rsidRPr="00895D0A">
        <w:rPr>
          <w:lang w:val="es-BO"/>
        </w:rPr>
        <w:t xml:space="preserve"> (</w:t>
      </w:r>
      <w:r w:rsidR="00F53E08">
        <w:rPr>
          <w:lang w:val="es-BO"/>
        </w:rPr>
        <w:t>de conformidad con</w:t>
      </w:r>
      <w:r w:rsidRPr="00895D0A">
        <w:rPr>
          <w:lang w:val="es-BO"/>
        </w:rPr>
        <w:t xml:space="preserve"> la Directiva 2000/78/EC) y el artículo 43 de la Ley núm. 40/1998. Este Plan también será el resultado de la labor de la Oficina Nacional contra la Discriminación Racial (UNAR), en especial de su Centro de Contacto. </w:t>
      </w:r>
      <w:r w:rsidR="00F53E08">
        <w:rPr>
          <w:lang w:val="es-BO"/>
        </w:rPr>
        <w:t>Así pues</w:t>
      </w:r>
      <w:r w:rsidRPr="00895D0A">
        <w:rPr>
          <w:lang w:val="es-BO"/>
        </w:rPr>
        <w:t xml:space="preserve">, en lo referente al ámbito de aplicación el Plan tendrá en cuenta tanto a los ciudadanos extranjeros que residen en Italia como a los ciudadanos italianos de origen extranjero, incluidos los </w:t>
      </w:r>
      <w:r w:rsidR="00F53E08">
        <w:rPr>
          <w:lang w:val="es-BO"/>
        </w:rPr>
        <w:t>miembros de</w:t>
      </w:r>
      <w:r w:rsidRPr="00895D0A">
        <w:rPr>
          <w:lang w:val="es-BO"/>
        </w:rPr>
        <w:t xml:space="preserve"> minorías religiosas, étnicas y lingüísticas. Desde una perspectiva temática, el Plan contempla ocho prioridades y ámbitos temáticos qu</w:t>
      </w:r>
      <w:r w:rsidR="00F53E08">
        <w:rPr>
          <w:lang w:val="es-BO"/>
        </w:rPr>
        <w:t>e abarcan, entre otras cosas, lo</w:t>
      </w:r>
      <w:r w:rsidRPr="00895D0A">
        <w:rPr>
          <w:lang w:val="es-BO"/>
        </w:rPr>
        <w:t xml:space="preserve">s </w:t>
      </w:r>
      <w:r w:rsidR="00F53E08">
        <w:rPr>
          <w:lang w:val="es-BO"/>
        </w:rPr>
        <w:t>motivos</w:t>
      </w:r>
      <w:r w:rsidRPr="00895D0A">
        <w:rPr>
          <w:lang w:val="es-BO"/>
        </w:rPr>
        <w:t xml:space="preserve"> de preocupación, las iniciativas y los objetivos </w:t>
      </w:r>
      <w:r w:rsidR="00F53E08">
        <w:rPr>
          <w:lang w:val="es-BO"/>
        </w:rPr>
        <w:t>que deben alcanzarse, entre otra</w:t>
      </w:r>
      <w:r w:rsidRPr="00895D0A">
        <w:rPr>
          <w:lang w:val="es-BO"/>
        </w:rPr>
        <w:t xml:space="preserve">s </w:t>
      </w:r>
      <w:r w:rsidR="00F53E08">
        <w:rPr>
          <w:lang w:val="es-BO"/>
        </w:rPr>
        <w:t>cosas adoptando</w:t>
      </w:r>
      <w:r w:rsidRPr="00895D0A">
        <w:rPr>
          <w:lang w:val="es-BO"/>
        </w:rPr>
        <w:t xml:space="preserve"> medidas de acción afirmativa acordes a la </w:t>
      </w:r>
      <w:r w:rsidR="00F53E08">
        <w:rPr>
          <w:lang w:val="es-BO"/>
        </w:rPr>
        <w:t>legislación</w:t>
      </w:r>
      <w:r w:rsidRPr="00895D0A">
        <w:rPr>
          <w:lang w:val="es-BO"/>
        </w:rPr>
        <w:t xml:space="preserve"> en vigor. Los ámbitos principales son los siguientes: el trabajo y el empleo; la vivienda; la educación; la salud; las relaciones con la </w:t>
      </w:r>
      <w:r w:rsidR="00F53E08" w:rsidRPr="00895D0A">
        <w:rPr>
          <w:lang w:val="es-BO"/>
        </w:rPr>
        <w:t>administración pública</w:t>
      </w:r>
      <w:r w:rsidRPr="00895D0A">
        <w:rPr>
          <w:lang w:val="es-BO"/>
        </w:rPr>
        <w:t>; la aplicación de la ley; el deporte, y los medios de comunicación.</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sociedad civil y las asociaciones y organizaciones no gubernamentales (ONG) desempeñan el papel que les </w:t>
      </w:r>
      <w:r w:rsidR="00F53E08">
        <w:rPr>
          <w:lang w:val="es-BO"/>
        </w:rPr>
        <w:t>fue</w:t>
      </w:r>
      <w:r w:rsidRPr="00895D0A">
        <w:rPr>
          <w:lang w:val="es-BO"/>
        </w:rPr>
        <w:t xml:space="preserve"> atribuido </w:t>
      </w:r>
      <w:r w:rsidR="00F53E08">
        <w:rPr>
          <w:lang w:val="es-BO"/>
        </w:rPr>
        <w:t>en</w:t>
      </w:r>
      <w:r w:rsidRPr="00895D0A">
        <w:rPr>
          <w:lang w:val="es-BO"/>
        </w:rPr>
        <w:t xml:space="preserve"> el proceso inicial de la elaboración del Plan, y que se ha renovado con ocasión de las medidas de </w:t>
      </w:r>
      <w:r w:rsidR="00F53E08">
        <w:rPr>
          <w:lang w:val="es-BO"/>
        </w:rPr>
        <w:t>reactivación</w:t>
      </w:r>
      <w:r w:rsidRPr="00895D0A">
        <w:rPr>
          <w:lang w:val="es-BO"/>
        </w:rPr>
        <w:t xml:space="preserve"> promovidas en octubre de 2014, cuando la UNAR volvió a convocar al grupo de trabajo nacional encargado de definir los contenidos del Plan.</w:t>
      </w:r>
    </w:p>
    <w:p w:rsid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Entretanto, la UNAR financió, por segundo año consecutivo, el </w:t>
      </w:r>
      <w:r w:rsidR="00DD1A63">
        <w:rPr>
          <w:i/>
          <w:lang w:val="es-BO"/>
        </w:rPr>
        <w:t>“</w:t>
      </w:r>
      <w:r w:rsidRPr="00895D0A">
        <w:rPr>
          <w:i/>
          <w:lang w:val="es-BO"/>
        </w:rPr>
        <w:t>Dossier Statistico Immigrazione</w:t>
      </w:r>
      <w:r w:rsidR="00DD1A63">
        <w:rPr>
          <w:i/>
          <w:lang w:val="es-BO"/>
        </w:rPr>
        <w:t>”</w:t>
      </w:r>
      <w:r w:rsidRPr="00895D0A">
        <w:rPr>
          <w:lang w:val="es-BO"/>
        </w:rPr>
        <w:t xml:space="preserve">, subtitulado </w:t>
      </w:r>
      <w:r w:rsidR="00DD1A63">
        <w:rPr>
          <w:lang w:val="es-BO"/>
        </w:rPr>
        <w:t>“</w:t>
      </w:r>
      <w:r w:rsidRPr="00895D0A">
        <w:rPr>
          <w:lang w:val="es-BO"/>
        </w:rPr>
        <w:t>De la discriminación a los derechos</w:t>
      </w:r>
      <w:r w:rsidR="00DD1A63">
        <w:rPr>
          <w:lang w:val="es-BO"/>
        </w:rPr>
        <w:t>”</w:t>
      </w:r>
      <w:r w:rsidRPr="00895D0A">
        <w:rPr>
          <w:lang w:val="es-BO"/>
        </w:rPr>
        <w:t xml:space="preserve">, </w:t>
      </w:r>
      <w:r w:rsidR="00F53E08">
        <w:rPr>
          <w:lang w:val="es-BO"/>
        </w:rPr>
        <w:t>y contribuyó al mismo</w:t>
      </w:r>
      <w:r w:rsidRPr="00895D0A">
        <w:rPr>
          <w:lang w:val="es-BO"/>
        </w:rPr>
        <w:t xml:space="preserve">. Gracias a la larga experiencia acumulada por el centro de investigación y estudios IDOS en </w:t>
      </w:r>
      <w:r w:rsidR="00F53E08">
        <w:rPr>
          <w:lang w:val="es-BO"/>
        </w:rPr>
        <w:t>materia de</w:t>
      </w:r>
      <w:r w:rsidRPr="00895D0A">
        <w:rPr>
          <w:lang w:val="es-BO"/>
        </w:rPr>
        <w:t xml:space="preserve"> inmigración, el informe proporciona datos actualizados </w:t>
      </w:r>
      <w:r w:rsidR="00F53E08">
        <w:rPr>
          <w:lang w:val="es-BO"/>
        </w:rPr>
        <w:t>sobre el</w:t>
      </w:r>
      <w:r w:rsidRPr="00895D0A">
        <w:rPr>
          <w:lang w:val="es-BO"/>
        </w:rPr>
        <w:t xml:space="preserve"> marco estadístico </w:t>
      </w:r>
      <w:r w:rsidR="00F53E08">
        <w:rPr>
          <w:lang w:val="es-BO"/>
        </w:rPr>
        <w:t>de</w:t>
      </w:r>
      <w:r w:rsidRPr="00895D0A">
        <w:rPr>
          <w:lang w:val="es-BO"/>
        </w:rPr>
        <w:t xml:space="preserve"> la migración, los extranjeros residentes en Italia, la </w:t>
      </w:r>
      <w:r w:rsidR="00F53E08">
        <w:rPr>
          <w:lang w:val="es-BO"/>
        </w:rPr>
        <w:t>incorporación</w:t>
      </w:r>
      <w:r w:rsidRPr="00895D0A">
        <w:rPr>
          <w:lang w:val="es-BO"/>
        </w:rPr>
        <w:t xml:space="preserve"> de los inmigrantes </w:t>
      </w:r>
      <w:r w:rsidR="00F53E08">
        <w:rPr>
          <w:lang w:val="es-BO"/>
        </w:rPr>
        <w:t>a</w:t>
      </w:r>
      <w:r w:rsidRPr="00895D0A">
        <w:rPr>
          <w:lang w:val="es-BO"/>
        </w:rPr>
        <w:t>l mercado laboral y la sociedad, la diversidad religiosa y la aplicación del principio de igualdad de oportunidades.</w:t>
      </w:r>
    </w:p>
    <w:p w:rsidR="00492626" w:rsidRPr="00492626" w:rsidRDefault="00492626" w:rsidP="00492626">
      <w:pPr>
        <w:pStyle w:val="SingleTxt"/>
        <w:tabs>
          <w:tab w:val="clear" w:pos="1742"/>
        </w:tabs>
        <w:suppressAutoHyphens w:val="0"/>
        <w:spacing w:after="0" w:line="120" w:lineRule="exact"/>
        <w:rPr>
          <w:sz w:val="10"/>
          <w:lang w:val="es-BO"/>
        </w:rPr>
      </w:pPr>
    </w:p>
    <w:p w:rsidR="00492626" w:rsidRPr="00492626" w:rsidRDefault="00492626" w:rsidP="00492626">
      <w:pPr>
        <w:pStyle w:val="SingleTxt"/>
        <w:suppressAutoHyphens w:val="0"/>
        <w:spacing w:after="0" w:line="120" w:lineRule="exact"/>
        <w:rPr>
          <w:sz w:val="10"/>
          <w:lang w:val="es-BO"/>
        </w:rPr>
      </w:pPr>
    </w:p>
    <w:p w:rsidR="00895D0A" w:rsidRDefault="00492626" w:rsidP="004926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t>Artículo 1</w:t>
      </w:r>
      <w:r>
        <w:rPr>
          <w:lang w:val="es-BO"/>
        </w:rPr>
        <w:br/>
        <w:t>D</w:t>
      </w:r>
      <w:r w:rsidR="00895D0A" w:rsidRPr="00895D0A">
        <w:rPr>
          <w:lang w:val="es-BO"/>
        </w:rPr>
        <w:t>efinición de discriminación racial</w:t>
      </w:r>
    </w:p>
    <w:p w:rsidR="00492626" w:rsidRPr="00492626" w:rsidRDefault="00492626" w:rsidP="00492626">
      <w:pPr>
        <w:pStyle w:val="SingleTxt"/>
        <w:spacing w:after="0" w:line="120" w:lineRule="exact"/>
        <w:rPr>
          <w:b/>
          <w:sz w:val="10"/>
          <w:lang w:val="es-BO"/>
        </w:rPr>
      </w:pPr>
    </w:p>
    <w:p w:rsidR="00492626" w:rsidRPr="00492626" w:rsidRDefault="00492626" w:rsidP="00492626">
      <w:pPr>
        <w:pStyle w:val="SingleTxt"/>
        <w:spacing w:after="0" w:line="120" w:lineRule="exact"/>
        <w:rPr>
          <w:b/>
          <w:sz w:val="10"/>
          <w:lang w:val="es-BO"/>
        </w:rPr>
      </w:pP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El principio de no discriminación es uno de los pilares fundamentales de la Constitución </w:t>
      </w:r>
      <w:r w:rsidR="008871B2">
        <w:rPr>
          <w:lang w:val="es-BO"/>
        </w:rPr>
        <w:t>italiana</w:t>
      </w:r>
      <w:r w:rsidRPr="00895D0A">
        <w:rPr>
          <w:lang w:val="es-BO"/>
        </w:rPr>
        <w:t xml:space="preserve">. </w:t>
      </w:r>
      <w:r w:rsidR="008871B2">
        <w:rPr>
          <w:lang w:val="es-BO"/>
        </w:rPr>
        <w:t>A</w:t>
      </w:r>
      <w:r w:rsidRPr="00895D0A">
        <w:rPr>
          <w:lang w:val="es-BO"/>
        </w:rPr>
        <w:t xml:space="preserve"> este </w:t>
      </w:r>
      <w:r w:rsidR="008871B2">
        <w:rPr>
          <w:lang w:val="es-BO"/>
        </w:rPr>
        <w:t>respecto</w:t>
      </w:r>
      <w:r w:rsidRPr="00895D0A">
        <w:rPr>
          <w:lang w:val="es-BO"/>
        </w:rPr>
        <w:t>, el Gobierno de Italia ha elaborado una normativa amplia incorporando en su legislac</w:t>
      </w:r>
      <w:r w:rsidR="00B1717E">
        <w:rPr>
          <w:lang w:val="es-BO"/>
        </w:rPr>
        <w:t xml:space="preserve">ión las Directivas 2000/43/EC y </w:t>
      </w:r>
      <w:r w:rsidRPr="00895D0A">
        <w:rPr>
          <w:lang w:val="es-BO"/>
        </w:rPr>
        <w:t>2000/78/EC de la Unión Europea a fin de prohibir todas las formas de discriminación basadas en la raza o el origen étnico, en todas las esferas o sectores, tanto privados como públicos, y reglamentar la prohibición de la discriminación por motivos de religión o de creencias, edad u orientación sexual en relación con el empleo y la ocupación.</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La Constitución de Italia de 1948 abarca todos los derechos fundamentales consagrados en los instrumentos jurídicos y las convenciones internacionales y regionales.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El objetivo del ordenamiento jurídico italiano es brindar un marco eficaz de garantías para proteger plena y ampliamente los derechos fundamentales de las personas, proporcionándoles una gran diversidad de medios de protección basados en el principio de no discriminación previsto en el artículo 3 de la Constitución: </w:t>
      </w:r>
      <w:r w:rsidR="00DD1A63">
        <w:rPr>
          <w:lang w:val="es-BO"/>
        </w:rPr>
        <w:t>“</w:t>
      </w:r>
      <w:r w:rsidRPr="00895D0A">
        <w:rPr>
          <w:lang w:val="es-BO"/>
        </w:rPr>
        <w:t xml:space="preserve">Todos los ciudadanos tienen la misma dignidad social y son iguales ante la ley, sin distinción de sexo, raza, lengua, religión, opiniones políticas </w:t>
      </w:r>
      <w:r w:rsidR="00F4671E">
        <w:rPr>
          <w:lang w:val="es-BO"/>
        </w:rPr>
        <w:t>o</w:t>
      </w:r>
      <w:r w:rsidRPr="00895D0A">
        <w:rPr>
          <w:lang w:val="es-BO"/>
        </w:rPr>
        <w:t xml:space="preserve"> circunstancias personales o sociales</w:t>
      </w:r>
      <w:r w:rsidR="00DD1A63">
        <w:rPr>
          <w:lang w:val="es-BO"/>
        </w:rPr>
        <w:t>”</w:t>
      </w:r>
      <w:r w:rsidRPr="00895D0A">
        <w:rPr>
          <w:lang w:val="es-BO"/>
        </w:rPr>
        <w:t xml:space="preserve">. El ámbito principal de aplicación de la Constitución se </w:t>
      </w:r>
      <w:r w:rsidR="00F4671E">
        <w:rPr>
          <w:lang w:val="es-BO"/>
        </w:rPr>
        <w:t>infiere</w:t>
      </w:r>
      <w:r w:rsidRPr="00895D0A">
        <w:rPr>
          <w:lang w:val="es-BO"/>
        </w:rPr>
        <w:t xml:space="preserve"> del segundo párrafo de ese artículo que, además de establecer el principio autónomo de la llamada igualdad </w:t>
      </w:r>
      <w:r w:rsidR="00DD1A63">
        <w:rPr>
          <w:lang w:val="es-BO"/>
        </w:rPr>
        <w:t>“</w:t>
      </w:r>
      <w:r w:rsidRPr="00895D0A">
        <w:rPr>
          <w:lang w:val="es-BO"/>
        </w:rPr>
        <w:t>fundamental</w:t>
      </w:r>
      <w:r w:rsidR="00DD1A63">
        <w:rPr>
          <w:lang w:val="es-BO"/>
        </w:rPr>
        <w:t>”</w:t>
      </w:r>
      <w:r w:rsidRPr="00895D0A">
        <w:rPr>
          <w:lang w:val="es-BO"/>
        </w:rPr>
        <w:t xml:space="preserve"> y la igualdad de oportunidades para todos los ciudadanos en la vida social, económica y política, expresa una regla de interpretación que debe reflejarse en la aplicación del principio de la llamada igualdad </w:t>
      </w:r>
      <w:r w:rsidR="00DD1A63">
        <w:rPr>
          <w:lang w:val="es-BO"/>
        </w:rPr>
        <w:t>“</w:t>
      </w:r>
      <w:r w:rsidRPr="00895D0A">
        <w:rPr>
          <w:lang w:val="es-BO"/>
        </w:rPr>
        <w:t>formal</w:t>
      </w:r>
      <w:r w:rsidR="00DD1A63">
        <w:rPr>
          <w:lang w:val="es-BO"/>
        </w:rPr>
        <w:t>”</w:t>
      </w:r>
      <w:r w:rsidRPr="00895D0A">
        <w:rPr>
          <w:lang w:val="es-BO"/>
        </w:rPr>
        <w:t xml:space="preserve">. De hecho, en el párrafo 2 se describe la garantía de no discriminación respecto de los resultados que se han alcanzado o se alcanzarán en las relaciones de vida concretas gracias al imperativo constitucional primordial de suprimir los límites </w:t>
      </w:r>
      <w:r w:rsidR="00DD1A63">
        <w:rPr>
          <w:i/>
          <w:lang w:val="es-BO"/>
        </w:rPr>
        <w:t>“</w:t>
      </w:r>
      <w:r w:rsidR="00F4671E">
        <w:rPr>
          <w:i/>
          <w:lang w:val="es-BO"/>
        </w:rPr>
        <w:t>d</w:t>
      </w:r>
      <w:r w:rsidRPr="00F4671E">
        <w:rPr>
          <w:i/>
          <w:lang w:val="es-BO"/>
        </w:rPr>
        <w:t>e facto</w:t>
      </w:r>
      <w:r w:rsidR="00DD1A63">
        <w:rPr>
          <w:i/>
          <w:lang w:val="es-BO"/>
        </w:rPr>
        <w:t>”</w:t>
      </w:r>
      <w:r w:rsidR="00F4671E">
        <w:rPr>
          <w:i/>
          <w:lang w:val="es-BO"/>
        </w:rPr>
        <w:t xml:space="preserve"> </w:t>
      </w:r>
      <w:r w:rsidRPr="00895D0A">
        <w:rPr>
          <w:lang w:val="es-BO"/>
        </w:rPr>
        <w:t xml:space="preserve">a la igualdad y perseguir el objetivo último de la libre determinación </w:t>
      </w:r>
      <w:r w:rsidR="00DD1A63">
        <w:rPr>
          <w:lang w:val="es-BO"/>
        </w:rPr>
        <w:t>“</w:t>
      </w:r>
      <w:r w:rsidRPr="00895D0A">
        <w:rPr>
          <w:lang w:val="es-BO"/>
        </w:rPr>
        <w:t>plena</w:t>
      </w:r>
      <w:r w:rsidR="00DD1A63">
        <w:rPr>
          <w:lang w:val="es-BO"/>
        </w:rPr>
        <w:t>”</w:t>
      </w:r>
      <w:r w:rsidRPr="00895D0A">
        <w:rPr>
          <w:lang w:val="es-BO"/>
        </w:rPr>
        <w:t xml:space="preserve"> del individuo y su participación </w:t>
      </w:r>
      <w:r w:rsidR="00DD1A63">
        <w:rPr>
          <w:lang w:val="es-BO"/>
        </w:rPr>
        <w:t>“</w:t>
      </w:r>
      <w:r w:rsidRPr="00895D0A">
        <w:rPr>
          <w:lang w:val="es-BO"/>
        </w:rPr>
        <w:t>efectiva</w:t>
      </w:r>
      <w:r w:rsidR="00DD1A63">
        <w:rPr>
          <w:lang w:val="es-BO"/>
        </w:rPr>
        <w:t>”</w:t>
      </w:r>
      <w:r w:rsidRPr="00895D0A">
        <w:rPr>
          <w:lang w:val="es-BO"/>
        </w:rPr>
        <w:t xml:space="preserve"> en la vida comunitaria.</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Asimismo, es bien sabido que la Unión Europea, a lo largo de toda su historia, se ha ido dotando de una base jurídica estable como instrumento para luchar contra todas las formas de discriminación. Desde esta perspectiva, la aplicación del principio de igualdad de trato por la Comisión Europea ha dado lugar a la promulgación de dos directivas destinadas a proteger los derechos contra todas las formas de discriminación: la Directiva 2000/43/EC, que prohíbe todas las formas de discriminación basada en la raza o el origen étnico, en cualquier ámbito o sec</w:t>
      </w:r>
      <w:r w:rsidR="00F4671E">
        <w:rPr>
          <w:lang w:val="es-BO"/>
        </w:rPr>
        <w:t>tor, tanto público como privado,</w:t>
      </w:r>
      <w:r w:rsidRPr="00895D0A">
        <w:rPr>
          <w:lang w:val="es-BO"/>
        </w:rPr>
        <w:t xml:space="preserve"> y la Directiva 2000/78/EC, que reglamenta la prohibición de la discriminación por motivos de religión o credo, discapacidad, edad u orientación sexual en el ámbito del empleo y la ocupación.</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De acuerdo con los principios rectores previstos en el artículo 29 de la Ley Comunitaria </w:t>
      </w:r>
      <w:r w:rsidR="00AA5CC8">
        <w:rPr>
          <w:lang w:val="es-BO"/>
        </w:rPr>
        <w:t>núm.</w:t>
      </w:r>
      <w:r w:rsidRPr="00895D0A">
        <w:rPr>
          <w:lang w:val="es-BO"/>
        </w:rPr>
        <w:t xml:space="preserve"> 39/2002, el Gobierno de Italia no tardó en incorporar los contenidos de la primera Directiva mediante la adopción del Decreto </w:t>
      </w:r>
      <w:r w:rsidR="00F4671E">
        <w:rPr>
          <w:lang w:val="es-BO"/>
        </w:rPr>
        <w:t>Ley</w:t>
      </w:r>
      <w:r w:rsidR="00AA5CC8">
        <w:rPr>
          <w:lang w:val="es-BO"/>
        </w:rPr>
        <w:t xml:space="preserve"> núm.</w:t>
      </w:r>
      <w:r w:rsidRPr="00895D0A">
        <w:rPr>
          <w:lang w:val="es-BO"/>
        </w:rPr>
        <w:t xml:space="preserve"> 215, de 9 de julio de 2003. Con este Decreto, las normativas nacionales se han dotado de unas importantes disposiciones reglamentarias y administrativas que aseguran la aplicación de instrumentos eficaces de protección contra todas las formas de discriminación por motivos de raza u origen étnico, en consonancia con una estrategia integral basada en el principio de igualdad de trato en los sectores público y privado en lo tocante al acceso al empleo, la ocupación, la orientación y formación profesional, la afiliación a organizaciones de trabajadores o de empleadores, la protección social, la atención de la salud, las prestaciones sociales, la educación, los bienes y los servicios y la protección judicial de las víctimas a través de demandas civiles por discriminación, que permiten obtener indemnización por daños y en las que la prueba pr</w:t>
      </w:r>
      <w:r w:rsidR="00B1717E">
        <w:rPr>
          <w:lang w:val="es-BO"/>
        </w:rPr>
        <w:t>esuntiva favorece a la víctima.</w:t>
      </w:r>
    </w:p>
    <w:p w:rsid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Como se recordó</w:t>
      </w:r>
      <w:r w:rsidR="00F4671E">
        <w:rPr>
          <w:lang w:val="es-BO"/>
        </w:rPr>
        <w:t xml:space="preserve"> anteriormente</w:t>
      </w:r>
      <w:r w:rsidRPr="00895D0A">
        <w:rPr>
          <w:lang w:val="es-BO"/>
        </w:rPr>
        <w:t xml:space="preserve">, también el Plan de Lucha contra el Racismo, la Xenofobia y las Formas Conexas de Intolerancia, que </w:t>
      </w:r>
      <w:r w:rsidR="00F4671E">
        <w:rPr>
          <w:lang w:val="es-BO"/>
        </w:rPr>
        <w:t>no se ha concluido todavía</w:t>
      </w:r>
      <w:r w:rsidRPr="00895D0A">
        <w:rPr>
          <w:lang w:val="es-BO"/>
        </w:rPr>
        <w:t>, parte de una definición clara y distinta de la lucha contra el racismo, la xenofobia y las</w:t>
      </w:r>
      <w:r w:rsidR="00F4671E">
        <w:rPr>
          <w:lang w:val="es-BO"/>
        </w:rPr>
        <w:t xml:space="preserve"> formas conexas de intolerancia,</w:t>
      </w:r>
      <w:r w:rsidRPr="00895D0A">
        <w:rPr>
          <w:lang w:val="es-BO"/>
        </w:rPr>
        <w:t xml:space="preserve"> se centra en la discriminación por motivos de raza, color, origen étnico o nacional, religión o creencia, y tiene en cuenta asimismo las </w:t>
      </w:r>
      <w:r w:rsidR="00F4671E">
        <w:rPr>
          <w:lang w:val="es-BO"/>
        </w:rPr>
        <w:t>peculiaridades</w:t>
      </w:r>
      <w:r w:rsidRPr="00895D0A">
        <w:rPr>
          <w:lang w:val="es-BO"/>
        </w:rPr>
        <w:t xml:space="preserve"> culturales y de género. </w:t>
      </w:r>
      <w:r w:rsidR="00F4671E">
        <w:rPr>
          <w:lang w:val="es-BO"/>
        </w:rPr>
        <w:t>E</w:t>
      </w:r>
      <w:r w:rsidRPr="00895D0A">
        <w:rPr>
          <w:lang w:val="es-BO"/>
        </w:rPr>
        <w:t xml:space="preserve">l Plan explica el marco legal internacional y nacional en vigor, ofrece un resumen estadístico </w:t>
      </w:r>
      <w:r w:rsidR="00F4671E">
        <w:rPr>
          <w:lang w:val="es-BO"/>
        </w:rPr>
        <w:t>de</w:t>
      </w:r>
      <w:r w:rsidRPr="00895D0A">
        <w:rPr>
          <w:lang w:val="es-BO"/>
        </w:rPr>
        <w:t xml:space="preserve"> las </w:t>
      </w:r>
      <w:r w:rsidR="00F4671E" w:rsidRPr="00895D0A">
        <w:rPr>
          <w:lang w:val="es-BO"/>
        </w:rPr>
        <w:t xml:space="preserve">víctimas </w:t>
      </w:r>
      <w:r w:rsidRPr="00895D0A">
        <w:rPr>
          <w:lang w:val="es-BO"/>
        </w:rPr>
        <w:t>potenciales de discriminación y señala la necesidad de elaborar indicadores específicos para abordar esta cuestión.</w:t>
      </w:r>
    </w:p>
    <w:p w:rsidR="00895D0A" w:rsidRDefault="00492626" w:rsidP="004926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F4671E">
        <w:rPr>
          <w:lang w:val="es-BO"/>
        </w:rPr>
        <w:t>Artículo 2</w:t>
      </w:r>
      <w:r w:rsidR="00F4671E">
        <w:rPr>
          <w:lang w:val="es-BO"/>
        </w:rPr>
        <w:br/>
        <w:t>M</w:t>
      </w:r>
      <w:r w:rsidR="00895D0A" w:rsidRPr="00895D0A">
        <w:rPr>
          <w:lang w:val="es-BO"/>
        </w:rPr>
        <w:t>arco legal y políticas g</w:t>
      </w:r>
      <w:r w:rsidR="00F4671E">
        <w:rPr>
          <w:lang w:val="es-BO"/>
        </w:rPr>
        <w:t xml:space="preserve">enerales para la eliminación de </w:t>
      </w:r>
      <w:r w:rsidR="00895D0A" w:rsidRPr="00895D0A">
        <w:rPr>
          <w:lang w:val="es-BO"/>
        </w:rPr>
        <w:t>la discriminación racial</w:t>
      </w:r>
    </w:p>
    <w:p w:rsidR="00492626" w:rsidRPr="00492626" w:rsidRDefault="00492626" w:rsidP="00492626">
      <w:pPr>
        <w:pStyle w:val="SingleTxt"/>
        <w:keepNext/>
        <w:keepLines/>
        <w:spacing w:after="0" w:line="120" w:lineRule="exact"/>
        <w:rPr>
          <w:b/>
          <w:sz w:val="10"/>
          <w:lang w:val="es-BO"/>
        </w:rPr>
      </w:pPr>
    </w:p>
    <w:p w:rsidR="00492626" w:rsidRPr="00492626" w:rsidRDefault="00492626" w:rsidP="00492626">
      <w:pPr>
        <w:pStyle w:val="SingleTxt"/>
        <w:keepNext/>
        <w:keepLines/>
        <w:spacing w:after="0" w:line="120" w:lineRule="exact"/>
        <w:rPr>
          <w:b/>
          <w:sz w:val="10"/>
          <w:lang w:val="es-BO"/>
        </w:rPr>
      </w:pP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Como se</w:t>
      </w:r>
      <w:r w:rsidR="00F4671E">
        <w:rPr>
          <w:lang w:val="es-BO"/>
        </w:rPr>
        <w:t xml:space="preserve"> ha</w:t>
      </w:r>
      <w:r w:rsidRPr="00895D0A">
        <w:rPr>
          <w:lang w:val="es-BO"/>
        </w:rPr>
        <w:t xml:space="preserve"> menciona</w:t>
      </w:r>
      <w:r w:rsidR="00F4671E">
        <w:rPr>
          <w:lang w:val="es-BO"/>
        </w:rPr>
        <w:t>do</w:t>
      </w:r>
      <w:r w:rsidRPr="00895D0A">
        <w:rPr>
          <w:lang w:val="es-BO"/>
        </w:rPr>
        <w:t xml:space="preserve"> </w:t>
      </w:r>
      <w:r w:rsidR="00F4671E">
        <w:rPr>
          <w:lang w:val="es-BO"/>
        </w:rPr>
        <w:t>anteriormente</w:t>
      </w:r>
      <w:r w:rsidRPr="00895D0A">
        <w:rPr>
          <w:lang w:val="es-BO"/>
        </w:rPr>
        <w:t xml:space="preserve">, </w:t>
      </w:r>
      <w:r w:rsidR="00F4671E" w:rsidRPr="00895D0A">
        <w:rPr>
          <w:lang w:val="es-BO"/>
        </w:rPr>
        <w:t xml:space="preserve">en Italia </w:t>
      </w:r>
      <w:r w:rsidRPr="00895D0A">
        <w:rPr>
          <w:lang w:val="es-BO"/>
        </w:rPr>
        <w:t>se han adoptado varias medidas legislativas para combatir determinadas fo</w:t>
      </w:r>
      <w:r w:rsidR="00F4671E">
        <w:rPr>
          <w:lang w:val="es-BO"/>
        </w:rPr>
        <w:t xml:space="preserve">rmas de discriminación racial, </w:t>
      </w:r>
      <w:r w:rsidRPr="00895D0A">
        <w:rPr>
          <w:lang w:val="es-BO"/>
        </w:rPr>
        <w:t>into</w:t>
      </w:r>
      <w:r w:rsidR="00F4671E">
        <w:rPr>
          <w:lang w:val="es-BO"/>
        </w:rPr>
        <w:t>lerancia y</w:t>
      </w:r>
      <w:r w:rsidRPr="00895D0A">
        <w:rPr>
          <w:lang w:val="es-BO"/>
        </w:rPr>
        <w:t xml:space="preserve"> actitudes xenófobas.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Muy recientemente, la Presidencia italiana del Consejo de la Unión Europea y la Comisión Europea organizaron una conferencia conjunta de alto nivel sobre la no discriminación y la igualdad, </w:t>
      </w:r>
      <w:r w:rsidR="00F4671E">
        <w:rPr>
          <w:lang w:val="es-BO"/>
        </w:rPr>
        <w:t>con el lema</w:t>
      </w:r>
      <w:r w:rsidRPr="00895D0A">
        <w:rPr>
          <w:lang w:val="es-BO"/>
        </w:rPr>
        <w:t xml:space="preserve"> </w:t>
      </w:r>
      <w:r w:rsidR="00DD1A63">
        <w:rPr>
          <w:b/>
          <w:lang w:val="es-BO"/>
        </w:rPr>
        <w:t>“</w:t>
      </w:r>
      <w:r w:rsidR="008A01D4" w:rsidRPr="008A01D4">
        <w:rPr>
          <w:b/>
          <w:lang w:val="es-BO"/>
        </w:rPr>
        <w:t>Configurar</w:t>
      </w:r>
      <w:r w:rsidR="008A01D4">
        <w:rPr>
          <w:lang w:val="es-BO"/>
        </w:rPr>
        <w:t xml:space="preserve"> </w:t>
      </w:r>
      <w:r w:rsidRPr="00895D0A">
        <w:rPr>
          <w:b/>
          <w:lang w:val="es-BO"/>
        </w:rPr>
        <w:t xml:space="preserve">el futuro de las políticas </w:t>
      </w:r>
      <w:r w:rsidR="008A01D4">
        <w:rPr>
          <w:b/>
          <w:lang w:val="es-BO"/>
        </w:rPr>
        <w:t>de</w:t>
      </w:r>
      <w:r w:rsidRPr="00895D0A">
        <w:rPr>
          <w:b/>
          <w:lang w:val="es-BO"/>
        </w:rPr>
        <w:t xml:space="preserve"> igualdad en la Unión Europea</w:t>
      </w:r>
      <w:r w:rsidR="00DD1A63">
        <w:rPr>
          <w:b/>
          <w:lang w:val="es-BO"/>
        </w:rPr>
        <w:t>”</w:t>
      </w:r>
      <w:r w:rsidRPr="00895D0A">
        <w:rPr>
          <w:lang w:val="es-BO"/>
        </w:rPr>
        <w:t>, que se celebró en Roma los días 6 y 7 de noviembre de 2014. En ella participaron 250 delegados de alto nivel (representantes de gobierno</w:t>
      </w:r>
      <w:r w:rsidR="008A01D4">
        <w:rPr>
          <w:lang w:val="es-BO"/>
        </w:rPr>
        <w:t>s</w:t>
      </w:r>
      <w:r w:rsidRPr="00895D0A">
        <w:rPr>
          <w:lang w:val="es-BO"/>
        </w:rPr>
        <w:t xml:space="preserve">, interlocutores sociales, empresas, miembros de la sociedad civil, medios de comunicación, </w:t>
      </w:r>
      <w:r w:rsidR="008A01D4">
        <w:rPr>
          <w:lang w:val="es-BO"/>
        </w:rPr>
        <w:t>miembros del cuerpo académico</w:t>
      </w:r>
      <w:r w:rsidRPr="00895D0A">
        <w:rPr>
          <w:lang w:val="es-BO"/>
        </w:rPr>
        <w:t xml:space="preserve"> y expertos independientes) </w:t>
      </w:r>
      <w:r w:rsidR="008A01D4">
        <w:rPr>
          <w:lang w:val="es-BO"/>
        </w:rPr>
        <w:t>de países pertenecientes o</w:t>
      </w:r>
      <w:r w:rsidRPr="00895D0A">
        <w:rPr>
          <w:lang w:val="es-BO"/>
        </w:rPr>
        <w:t xml:space="preserve"> no a la Unión Europea. Durante la conferencia se celebraron </w:t>
      </w:r>
      <w:r w:rsidR="008A01D4">
        <w:rPr>
          <w:lang w:val="es-BO"/>
        </w:rPr>
        <w:t>cinco sesiones de paneles, entre ello</w:t>
      </w:r>
      <w:r w:rsidRPr="00895D0A">
        <w:rPr>
          <w:lang w:val="es-BO"/>
        </w:rPr>
        <w:t xml:space="preserve">s un </w:t>
      </w:r>
      <w:r w:rsidR="008A01D4">
        <w:rPr>
          <w:lang w:val="es-BO"/>
        </w:rPr>
        <w:t>panel</w:t>
      </w:r>
      <w:r w:rsidRPr="00895D0A">
        <w:rPr>
          <w:lang w:val="es-BO"/>
        </w:rPr>
        <w:t xml:space="preserve"> ministerial y una sesión destinada a debat</w:t>
      </w:r>
      <w:r w:rsidR="008A01D4">
        <w:rPr>
          <w:lang w:val="es-BO"/>
        </w:rPr>
        <w:t>ir</w:t>
      </w:r>
      <w:r w:rsidRPr="00895D0A">
        <w:rPr>
          <w:lang w:val="es-BO"/>
        </w:rPr>
        <w:t xml:space="preserve"> la iniciativa para el establecimiento por la Comisión Europea del Grupo de Alto Nivel sobre la No Discriminación, la Igualdad y la Di</w:t>
      </w:r>
      <w:r w:rsidR="008A01D4">
        <w:rPr>
          <w:lang w:val="es-BO"/>
        </w:rPr>
        <w:t>versidad en 2015. Se trataron lo</w:t>
      </w:r>
      <w:r w:rsidRPr="00895D0A">
        <w:rPr>
          <w:lang w:val="es-BO"/>
        </w:rPr>
        <w:t xml:space="preserve">s siguientes </w:t>
      </w:r>
      <w:r w:rsidR="008A01D4">
        <w:rPr>
          <w:lang w:val="es-BO"/>
        </w:rPr>
        <w:t>temas</w:t>
      </w:r>
      <w:r w:rsidRPr="00895D0A">
        <w:rPr>
          <w:lang w:val="es-BO"/>
        </w:rPr>
        <w:t>: ig</w:t>
      </w:r>
      <w:r w:rsidR="008A01D4">
        <w:rPr>
          <w:lang w:val="es-BO"/>
        </w:rPr>
        <w:t>ualdad y</w:t>
      </w:r>
      <w:r w:rsidRPr="00895D0A">
        <w:rPr>
          <w:lang w:val="es-BO"/>
        </w:rPr>
        <w:t xml:space="preserve"> no discriminación en el marco de la recuperación económica, nuev</w:t>
      </w:r>
      <w:r w:rsidR="008A01D4">
        <w:rPr>
          <w:lang w:val="es-BO"/>
        </w:rPr>
        <w:t>a</w:t>
      </w:r>
      <w:r w:rsidRPr="00895D0A">
        <w:rPr>
          <w:lang w:val="es-BO"/>
        </w:rPr>
        <w:t xml:space="preserve">s </w:t>
      </w:r>
      <w:r w:rsidR="008A01D4">
        <w:rPr>
          <w:lang w:val="es-BO"/>
        </w:rPr>
        <w:t>directrices</w:t>
      </w:r>
      <w:r w:rsidRPr="00895D0A">
        <w:rPr>
          <w:lang w:val="es-BO"/>
        </w:rPr>
        <w:t xml:space="preserve"> para la gestión de la diversidad, y nuevas posibilidades para evaluar la igualdad y la diversidad, con miras a un cambio cultural y a perspectivas futuras </w:t>
      </w:r>
      <w:r w:rsidR="008A01D4">
        <w:rPr>
          <w:lang w:val="es-BO"/>
        </w:rPr>
        <w:t>de</w:t>
      </w:r>
      <w:r w:rsidRPr="00895D0A">
        <w:rPr>
          <w:lang w:val="es-BO"/>
        </w:rPr>
        <w:t xml:space="preserve">l acceso a la justicia. También se celebraron sesiones de intervenciones espontáneas para que personas y organizaciones de </w:t>
      </w:r>
      <w:r w:rsidR="008A01D4">
        <w:rPr>
          <w:lang w:val="es-BO"/>
        </w:rPr>
        <w:t>distinta</w:t>
      </w:r>
      <w:r w:rsidRPr="00895D0A">
        <w:rPr>
          <w:lang w:val="es-BO"/>
        </w:rPr>
        <w:t xml:space="preserve">s </w:t>
      </w:r>
      <w:r w:rsidR="008A01D4">
        <w:rPr>
          <w:lang w:val="es-BO"/>
        </w:rPr>
        <w:t>procedencias</w:t>
      </w:r>
      <w:r w:rsidRPr="00895D0A">
        <w:rPr>
          <w:lang w:val="es-BO"/>
        </w:rPr>
        <w:t xml:space="preserve"> tuvieran la oportunidad de </w:t>
      </w:r>
      <w:r w:rsidR="008A01D4">
        <w:rPr>
          <w:lang w:val="es-BO"/>
        </w:rPr>
        <w:t>exponer</w:t>
      </w:r>
      <w:r w:rsidRPr="00895D0A">
        <w:rPr>
          <w:lang w:val="es-BO"/>
        </w:rPr>
        <w:t xml:space="preserve"> sus puntos de vista </w:t>
      </w:r>
      <w:r w:rsidR="008A01D4">
        <w:rPr>
          <w:lang w:val="es-BO"/>
        </w:rPr>
        <w:t>sobre</w:t>
      </w:r>
      <w:r w:rsidRPr="00895D0A">
        <w:rPr>
          <w:lang w:val="es-BO"/>
        </w:rPr>
        <w:t xml:space="preserve"> sus ambiciones y su situación actual. En </w:t>
      </w:r>
      <w:r w:rsidR="008A01D4">
        <w:rPr>
          <w:lang w:val="es-BO"/>
        </w:rPr>
        <w:t>estas</w:t>
      </w:r>
      <w:r w:rsidRPr="00895D0A">
        <w:rPr>
          <w:lang w:val="es-BO"/>
        </w:rPr>
        <w:t xml:space="preserve"> sesiones se </w:t>
      </w:r>
      <w:r w:rsidR="008A01D4">
        <w:rPr>
          <w:lang w:val="es-BO"/>
        </w:rPr>
        <w:t>consideraron</w:t>
      </w:r>
      <w:r w:rsidRPr="00895D0A">
        <w:rPr>
          <w:lang w:val="es-BO"/>
        </w:rPr>
        <w:t xml:space="preserve"> los siguientes motivos de discriminación: la etnia, la religión, la orientación sexual, la identidad de género y la edad.</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En la conferencia de alto nivel se expresó preocupación en reiteradas ocasiones </w:t>
      </w:r>
      <w:r w:rsidR="008A01D4">
        <w:rPr>
          <w:lang w:val="es-BO"/>
        </w:rPr>
        <w:t>por</w:t>
      </w:r>
      <w:r w:rsidRPr="00895D0A">
        <w:rPr>
          <w:lang w:val="es-BO"/>
        </w:rPr>
        <w:t xml:space="preserve"> la aplicación efectiva de </w:t>
      </w:r>
      <w:r w:rsidR="008A01D4">
        <w:rPr>
          <w:lang w:val="es-BO"/>
        </w:rPr>
        <w:t>las leyes antidiscriminatorias</w:t>
      </w:r>
      <w:r w:rsidRPr="00895D0A">
        <w:rPr>
          <w:lang w:val="es-BO"/>
        </w:rPr>
        <w:t xml:space="preserve"> en vigor. </w:t>
      </w:r>
      <w:r w:rsidR="008A01D4">
        <w:rPr>
          <w:lang w:val="es-BO"/>
        </w:rPr>
        <w:t>El hecho de que hubieran pocas</w:t>
      </w:r>
      <w:r w:rsidRPr="00895D0A">
        <w:rPr>
          <w:lang w:val="es-BO"/>
        </w:rPr>
        <w:t xml:space="preserve"> denuncias de casos de discriminación en la práctica se </w:t>
      </w:r>
      <w:r w:rsidR="008A01D4">
        <w:rPr>
          <w:lang w:val="es-BO"/>
        </w:rPr>
        <w:t>consideró</w:t>
      </w:r>
      <w:r w:rsidRPr="00895D0A">
        <w:rPr>
          <w:lang w:val="es-BO"/>
        </w:rPr>
        <w:t xml:space="preserve"> una amenaza para la eficacia de </w:t>
      </w:r>
      <w:r w:rsidR="008A01D4">
        <w:rPr>
          <w:lang w:val="es-BO"/>
        </w:rPr>
        <w:t>las leyes</w:t>
      </w:r>
      <w:r w:rsidRPr="00895D0A">
        <w:rPr>
          <w:lang w:val="es-BO"/>
        </w:rPr>
        <w:t xml:space="preserve">. Por otra parte, se consideró que todas las partes interesadas tenían un papel importante que desempeñar </w:t>
      </w:r>
      <w:r w:rsidR="008A01D4">
        <w:rPr>
          <w:lang w:val="es-BO"/>
        </w:rPr>
        <w:t>en el fomento</w:t>
      </w:r>
      <w:r w:rsidRPr="00895D0A">
        <w:rPr>
          <w:lang w:val="es-BO"/>
        </w:rPr>
        <w:t xml:space="preserve"> </w:t>
      </w:r>
      <w:r w:rsidR="008A01D4">
        <w:rPr>
          <w:lang w:val="es-BO"/>
        </w:rPr>
        <w:t xml:space="preserve">de </w:t>
      </w:r>
      <w:r w:rsidRPr="00895D0A">
        <w:rPr>
          <w:lang w:val="es-BO"/>
        </w:rPr>
        <w:t>la confianza entre las personas discrimina</w:t>
      </w:r>
      <w:r w:rsidR="008A01D4">
        <w:rPr>
          <w:lang w:val="es-BO"/>
        </w:rPr>
        <w:t>das</w:t>
      </w:r>
      <w:r w:rsidRPr="00895D0A">
        <w:rPr>
          <w:lang w:val="es-BO"/>
        </w:rPr>
        <w:t xml:space="preserve">, </w:t>
      </w:r>
      <w:r w:rsidR="008A01D4">
        <w:rPr>
          <w:lang w:val="es-BO"/>
        </w:rPr>
        <w:t>para</w:t>
      </w:r>
      <w:r w:rsidRPr="00895D0A">
        <w:rPr>
          <w:lang w:val="es-BO"/>
        </w:rPr>
        <w:t xml:space="preserve"> hacer más efectivos sus derechos. Se sugirió que el Grupo de Alto Nivel sobre la No Discriminación, la Igualdad y la Diversidad </w:t>
      </w:r>
      <w:r w:rsidR="00161928">
        <w:rPr>
          <w:lang w:val="es-BO"/>
        </w:rPr>
        <w:t>podría ser un</w:t>
      </w:r>
      <w:r w:rsidRPr="00895D0A">
        <w:rPr>
          <w:lang w:val="es-BO"/>
        </w:rPr>
        <w:t xml:space="preserve"> foro principal </w:t>
      </w:r>
      <w:r w:rsidR="00161928">
        <w:rPr>
          <w:lang w:val="es-BO"/>
        </w:rPr>
        <w:t>para concebir y movilizar una respuesta eficaz</w:t>
      </w:r>
      <w:r w:rsidR="00B1717E">
        <w:rPr>
          <w:lang w:val="es-BO"/>
        </w:rPr>
        <w:t xml:space="preserve"> al bajo índice de denuncias.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w:t>
      </w:r>
      <w:r w:rsidR="00DD1A63">
        <w:rPr>
          <w:b/>
          <w:lang w:val="es-BO"/>
        </w:rPr>
        <w:t>“</w:t>
      </w:r>
      <w:r w:rsidRPr="00895D0A">
        <w:rPr>
          <w:b/>
          <w:lang w:val="es-BO"/>
        </w:rPr>
        <w:t>Declaración de Roma</w:t>
      </w:r>
      <w:r w:rsidRPr="00161928">
        <w:rPr>
          <w:b/>
          <w:lang w:val="es-BO"/>
        </w:rPr>
        <w:t>”</w:t>
      </w:r>
      <w:r w:rsidRPr="00895D0A">
        <w:rPr>
          <w:lang w:val="es-BO"/>
        </w:rPr>
        <w:t xml:space="preserve">, </w:t>
      </w:r>
      <w:r w:rsidR="00161928">
        <w:rPr>
          <w:lang w:val="es-BO"/>
        </w:rPr>
        <w:t>redactada</w:t>
      </w:r>
      <w:r w:rsidRPr="00895D0A">
        <w:rPr>
          <w:lang w:val="es-BO"/>
        </w:rPr>
        <w:t xml:space="preserve"> por la Presidencia italiana del Consejo de la Unión Europea y aprobada al finalizar la conferencia, </w:t>
      </w:r>
      <w:r w:rsidR="00161928">
        <w:rPr>
          <w:lang w:val="es-BO"/>
        </w:rPr>
        <w:t>prevé</w:t>
      </w:r>
      <w:r w:rsidRPr="00895D0A">
        <w:rPr>
          <w:lang w:val="es-BO"/>
        </w:rPr>
        <w:t xml:space="preserve"> </w:t>
      </w:r>
      <w:r w:rsidR="00057492">
        <w:rPr>
          <w:lang w:val="es-BO"/>
        </w:rPr>
        <w:t>14</w:t>
      </w:r>
      <w:r w:rsidRPr="00895D0A">
        <w:rPr>
          <w:lang w:val="es-BO"/>
        </w:rPr>
        <w:t xml:space="preserve"> compromisos gubernamentales asumidos por los signatarios. Entre </w:t>
      </w:r>
      <w:r w:rsidR="00161928">
        <w:rPr>
          <w:lang w:val="es-BO"/>
        </w:rPr>
        <w:t>ellos figura</w:t>
      </w:r>
      <w:r w:rsidRPr="00895D0A">
        <w:rPr>
          <w:lang w:val="es-BO"/>
        </w:rPr>
        <w:t xml:space="preserve"> el compromiso de aplicar </w:t>
      </w:r>
      <w:r w:rsidR="00161928">
        <w:rPr>
          <w:lang w:val="es-BO"/>
        </w:rPr>
        <w:t xml:space="preserve">de manera </w:t>
      </w:r>
      <w:r w:rsidRPr="00895D0A">
        <w:rPr>
          <w:lang w:val="es-BO"/>
        </w:rPr>
        <w:t xml:space="preserve">efectiva la </w:t>
      </w:r>
      <w:r w:rsidR="00161928">
        <w:rPr>
          <w:lang w:val="es-BO"/>
        </w:rPr>
        <w:t>legislación</w:t>
      </w:r>
      <w:r w:rsidRPr="00895D0A">
        <w:rPr>
          <w:lang w:val="es-BO"/>
        </w:rPr>
        <w:t xml:space="preserve"> europea sobre la igualdad de trato y de estudiar seriamente la posibilidad de aprobar la Directiva sobre la Igualdad de Trato propuesta, de modo que quede abarcado el suministro de bienes y servicios.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El ordenamiento jurídico italiano contiene disposiciones específicas para combatir </w:t>
      </w:r>
      <w:r w:rsidRPr="00057492">
        <w:rPr>
          <w:b/>
          <w:lang w:val="es-BO"/>
        </w:rPr>
        <w:t>las expresiones de racismo y xenofobia</w:t>
      </w:r>
      <w:r w:rsidRPr="00895D0A">
        <w:rPr>
          <w:lang w:val="es-BO"/>
        </w:rPr>
        <w:t>, incluidos los actos destinados a difundir ideas basadas en el odio racial o étnico y la incitación a cometer actos de violencia por motivos raciales, étnicos o religiosos. La legislación vigente sanciona la constitución de organizaciones, asociaciones, movimientos o grupos que incluyan entre sus objetivos la incitación a la discriminación o a la violencia por motivos raciales, étnicos o religiosos. Se prevé una circunstancia agravante especial para todos los delitos cometidos por razones de discriminación u odio racial.</w:t>
      </w:r>
    </w:p>
    <w:p w:rsidR="00895D0A" w:rsidRPr="00895D0A" w:rsidRDefault="00895D0A" w:rsidP="00B1717E">
      <w:pPr>
        <w:pStyle w:val="SingleTxt"/>
        <w:keepNext/>
        <w:keepLines/>
        <w:numPr>
          <w:ilvl w:val="0"/>
          <w:numId w:val="15"/>
        </w:numPr>
        <w:tabs>
          <w:tab w:val="clear" w:pos="475"/>
          <w:tab w:val="num" w:pos="1742"/>
        </w:tabs>
        <w:suppressAutoHyphens w:val="0"/>
        <w:ind w:left="1267"/>
        <w:rPr>
          <w:lang w:val="es-BO"/>
        </w:rPr>
      </w:pPr>
      <w:r w:rsidRPr="00895D0A">
        <w:rPr>
          <w:lang w:val="es-BO"/>
        </w:rPr>
        <w:t xml:space="preserve">Además, el Parlamento </w:t>
      </w:r>
      <w:r w:rsidR="00161928">
        <w:rPr>
          <w:lang w:val="es-BO"/>
        </w:rPr>
        <w:t>italiano</w:t>
      </w:r>
      <w:r w:rsidRPr="00895D0A">
        <w:rPr>
          <w:lang w:val="es-BO"/>
        </w:rPr>
        <w:t xml:space="preserve"> está </w:t>
      </w:r>
      <w:r w:rsidR="00161928">
        <w:rPr>
          <w:lang w:val="es-BO"/>
        </w:rPr>
        <w:t>procediendo a</w:t>
      </w:r>
      <w:r w:rsidRPr="00895D0A">
        <w:rPr>
          <w:lang w:val="es-BO"/>
        </w:rPr>
        <w:t xml:space="preserve"> incorporar la </w:t>
      </w:r>
      <w:r w:rsidRPr="00895D0A">
        <w:rPr>
          <w:b/>
          <w:lang w:val="es-BO"/>
        </w:rPr>
        <w:t>Decisión Marco 2008/913/JAI</w:t>
      </w:r>
      <w:r w:rsidRPr="00057492">
        <w:rPr>
          <w:b/>
          <w:lang w:val="es-BO"/>
        </w:rPr>
        <w:t xml:space="preserve"> del Consejo de la Unión Europea</w:t>
      </w:r>
      <w:r w:rsidRPr="00895D0A">
        <w:rPr>
          <w:lang w:val="es-BO"/>
        </w:rPr>
        <w:t xml:space="preserve"> </w:t>
      </w:r>
      <w:r w:rsidR="00161928">
        <w:rPr>
          <w:lang w:val="es-BO"/>
        </w:rPr>
        <w:t>a</w:t>
      </w:r>
      <w:r w:rsidRPr="00895D0A">
        <w:rPr>
          <w:lang w:val="es-BO"/>
        </w:rPr>
        <w:t xml:space="preserve"> la legislación </w:t>
      </w:r>
      <w:r w:rsidR="00161928">
        <w:rPr>
          <w:lang w:val="es-BO"/>
        </w:rPr>
        <w:t>nacional</w:t>
      </w:r>
      <w:r w:rsidRPr="00895D0A">
        <w:rPr>
          <w:lang w:val="es-BO"/>
        </w:rPr>
        <w:t xml:space="preserve"> mediante la tipificación de nuevos delitos, como la apología pública, negación o trivialización flagrante de los crímenes de genocidio, los crímenes de lesa humanidad y los crímenes de guerra, que </w:t>
      </w:r>
      <w:r w:rsidR="00161928">
        <w:rPr>
          <w:lang w:val="es-BO"/>
        </w:rPr>
        <w:t>deberán considerarse</w:t>
      </w:r>
      <w:r w:rsidRPr="00895D0A">
        <w:rPr>
          <w:lang w:val="es-BO"/>
        </w:rPr>
        <w:t xml:space="preserve"> formas y expresiones de racismo y xenofobia. </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Por lo que respecta a la utilización de </w:t>
      </w:r>
      <w:r w:rsidRPr="00057492">
        <w:rPr>
          <w:b/>
          <w:lang w:val="es-BO"/>
        </w:rPr>
        <w:t>expresiones racistas o xenófobas en la política</w:t>
      </w:r>
      <w:r w:rsidRPr="00895D0A">
        <w:rPr>
          <w:lang w:val="es-BO"/>
        </w:rPr>
        <w:t xml:space="preserve">, la ley dispone que las autoridades judiciales tienen la obligación de verificar la existencia de contenidos delictivos en los documentos, discursos y programas elaborados por los representantes políticos. En los últimos años algunos funcionarios públicos y cargos electos fueron enjuiciados por incitación al odio racial y propaganda de ideas racistas. </w:t>
      </w:r>
      <w:r w:rsidR="00161928">
        <w:rPr>
          <w:lang w:val="es-BO"/>
        </w:rPr>
        <w:t>Para</w:t>
      </w:r>
      <w:r w:rsidRPr="00895D0A">
        <w:rPr>
          <w:lang w:val="es-BO"/>
        </w:rPr>
        <w:t xml:space="preserve"> mencionar un caso reciente, </w:t>
      </w:r>
      <w:r w:rsidR="00161928">
        <w:rPr>
          <w:lang w:val="es-BO"/>
        </w:rPr>
        <w:t>en julio de 2013</w:t>
      </w:r>
      <w:r w:rsidRPr="00895D0A">
        <w:rPr>
          <w:lang w:val="es-BO"/>
        </w:rPr>
        <w:t xml:space="preserve"> Dolores Valandro, del partido político Lega Norte, fue condenada a 13 meses de prisión, inhabilitación para cargo público durante </w:t>
      </w:r>
      <w:r w:rsidR="00057492">
        <w:rPr>
          <w:lang w:val="es-BO"/>
        </w:rPr>
        <w:t>3</w:t>
      </w:r>
      <w:r w:rsidRPr="00895D0A">
        <w:rPr>
          <w:lang w:val="es-BO"/>
        </w:rPr>
        <w:t xml:space="preserve"> años y pago de una multa de 13.000 euros por publicar en Internet un comentario ofensivo contra Cecile Kyenge, a la sazón Ministra de Integración. El Tribunal de Apelación de Venecia confirmó la sentencia.</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En cuanto a los episodios de racismo e intolerancia durante los </w:t>
      </w:r>
      <w:r w:rsidRPr="00895D0A">
        <w:rPr>
          <w:b/>
          <w:lang w:val="es-BO"/>
        </w:rPr>
        <w:t>eventos deportivos</w:t>
      </w:r>
      <w:r w:rsidRPr="00895D0A">
        <w:rPr>
          <w:lang w:val="es-BO"/>
        </w:rPr>
        <w:t xml:space="preserve">, la legislación </w:t>
      </w:r>
      <w:r w:rsidR="00161928">
        <w:rPr>
          <w:lang w:val="es-BO"/>
        </w:rPr>
        <w:t>italiana</w:t>
      </w:r>
      <w:r w:rsidRPr="00895D0A">
        <w:rPr>
          <w:lang w:val="es-BO"/>
        </w:rPr>
        <w:t xml:space="preserve"> se ha completado gradualmente con la introducción de sanciones penales y administrativas para las personas responsables de actos de incitación al odio.</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w:t>
      </w:r>
      <w:r w:rsidR="001F2BB4">
        <w:rPr>
          <w:lang w:val="es-BO"/>
        </w:rPr>
        <w:t>legislación</w:t>
      </w:r>
      <w:r w:rsidRPr="00895D0A">
        <w:rPr>
          <w:lang w:val="es-BO"/>
        </w:rPr>
        <w:t xml:space="preserve"> vigente en Italia (Ley núm. 205, de 25 de junio de 1993) contempla la adopción de medidas para combatir las conductas discriminatorias durante las </w:t>
      </w:r>
      <w:r w:rsidR="001F2BB4">
        <w:rPr>
          <w:lang w:val="es-BO"/>
        </w:rPr>
        <w:t>competiciones</w:t>
      </w:r>
      <w:r w:rsidRPr="00895D0A">
        <w:rPr>
          <w:lang w:val="es-BO"/>
        </w:rPr>
        <w:t xml:space="preserve"> y los eventos deportivos, y está complementada por el Código de Justicia Deportiva, </w:t>
      </w:r>
      <w:r w:rsidR="001F2BB4">
        <w:rPr>
          <w:lang w:val="es-BO"/>
        </w:rPr>
        <w:t>que dispone</w:t>
      </w:r>
      <w:r w:rsidRPr="00895D0A">
        <w:rPr>
          <w:lang w:val="es-BO"/>
        </w:rPr>
        <w:t xml:space="preserve"> que toda conducta discriminatoria será sancionada si se considera que constituye, de manera directa o indirecta, una ofensa, un acto de denigración o un insulto motivados por la raza, el color, la religión, el idioma, el sexo, la nacionalidad o el origen territorial o étnico; si constituye un medio de propagan</w:t>
      </w:r>
      <w:r w:rsidR="001F2BB4">
        <w:rPr>
          <w:lang w:val="es-BO"/>
        </w:rPr>
        <w:t>da ideológica prohibido por ley,</w:t>
      </w:r>
      <w:r w:rsidRPr="00895D0A">
        <w:rPr>
          <w:lang w:val="es-BO"/>
        </w:rPr>
        <w:t xml:space="preserve"> o si promueve conductas discriminatorias. En </w:t>
      </w:r>
      <w:r w:rsidR="001F2BB4">
        <w:rPr>
          <w:lang w:val="es-BO"/>
        </w:rPr>
        <w:t>tales casos</w:t>
      </w:r>
      <w:r w:rsidRPr="00895D0A">
        <w:rPr>
          <w:lang w:val="es-BO"/>
        </w:rPr>
        <w:t>, los futbolist</w:t>
      </w:r>
      <w:r w:rsidR="001F2BB4">
        <w:rPr>
          <w:lang w:val="es-BO"/>
        </w:rPr>
        <w:t>as y</w:t>
      </w:r>
      <w:r w:rsidRPr="00895D0A">
        <w:rPr>
          <w:lang w:val="es-BO"/>
        </w:rPr>
        <w:t xml:space="preserve"> los </w:t>
      </w:r>
      <w:r w:rsidR="001F2BB4">
        <w:rPr>
          <w:lang w:val="es-BO"/>
        </w:rPr>
        <w:t>directivos</w:t>
      </w:r>
      <w:r w:rsidRPr="00895D0A">
        <w:rPr>
          <w:lang w:val="es-BO"/>
        </w:rPr>
        <w:t xml:space="preserve">, </w:t>
      </w:r>
      <w:r w:rsidR="001F2BB4">
        <w:rPr>
          <w:lang w:val="es-BO"/>
        </w:rPr>
        <w:t>miembros o</w:t>
      </w:r>
      <w:r w:rsidRPr="00895D0A">
        <w:rPr>
          <w:lang w:val="es-BO"/>
        </w:rPr>
        <w:t xml:space="preserve"> </w:t>
      </w:r>
      <w:r w:rsidR="001F2BB4">
        <w:rPr>
          <w:lang w:val="es-BO"/>
        </w:rPr>
        <w:t>socios de los equipos de fútbol</w:t>
      </w:r>
      <w:r w:rsidRPr="00895D0A">
        <w:rPr>
          <w:lang w:val="es-BO"/>
        </w:rPr>
        <w:t xml:space="preserve"> son sancionados. Los clubes de fútbol responden de la introducción o exhibición de imágenes, eslóganes, símbolos, emblemas y objetos similares de contenido racista, así como de las manifestaciones de discriminación (coros, gritos) de sus seguidores; también responden de cualquier declaración o conducta de sus direct</w:t>
      </w:r>
      <w:r w:rsidR="001F2BB4">
        <w:rPr>
          <w:lang w:val="es-BO"/>
        </w:rPr>
        <w:t>ivos</w:t>
      </w:r>
      <w:r w:rsidRPr="00895D0A">
        <w:rPr>
          <w:lang w:val="es-BO"/>
        </w:rPr>
        <w:t xml:space="preserve">, miembros </w:t>
      </w:r>
      <w:r w:rsidR="001F2BB4">
        <w:rPr>
          <w:lang w:val="es-BO"/>
        </w:rPr>
        <w:t>o socios, si estas</w:t>
      </w:r>
      <w:r w:rsidRPr="00895D0A">
        <w:rPr>
          <w:lang w:val="es-BO"/>
        </w:rPr>
        <w:t xml:space="preserve"> personas </w:t>
      </w:r>
      <w:r w:rsidR="001F2BB4">
        <w:rPr>
          <w:lang w:val="es-BO"/>
        </w:rPr>
        <w:t>pueden</w:t>
      </w:r>
      <w:r w:rsidRPr="00895D0A">
        <w:rPr>
          <w:lang w:val="es-BO"/>
        </w:rPr>
        <w:t xml:space="preserve"> instigar a </w:t>
      </w:r>
      <w:r w:rsidR="001F2BB4">
        <w:rPr>
          <w:lang w:val="es-BO"/>
        </w:rPr>
        <w:t xml:space="preserve">la adopción de </w:t>
      </w:r>
      <w:r w:rsidRPr="00895D0A">
        <w:rPr>
          <w:lang w:val="es-BO"/>
        </w:rPr>
        <w:t xml:space="preserve">conductas discriminatorias. Antes de un partido de fútbol, todos los clubes tienen la obligación de informar al público de las sanciones que se les podrían imponer </w:t>
      </w:r>
      <w:r w:rsidR="001F2BB4">
        <w:rPr>
          <w:lang w:val="es-BO"/>
        </w:rPr>
        <w:t>si</w:t>
      </w:r>
      <w:r w:rsidRPr="00895D0A">
        <w:rPr>
          <w:lang w:val="es-BO"/>
        </w:rPr>
        <w:t xml:space="preserve"> los seguidores de los equipos </w:t>
      </w:r>
      <w:r w:rsidR="001F2BB4">
        <w:rPr>
          <w:lang w:val="es-BO"/>
        </w:rPr>
        <w:t>adoptan conductas disc</w:t>
      </w:r>
      <w:r w:rsidR="00B1717E">
        <w:rPr>
          <w:lang w:val="es-BO"/>
        </w:rPr>
        <w:t>r</w:t>
      </w:r>
      <w:r w:rsidR="001F2BB4">
        <w:rPr>
          <w:lang w:val="es-BO"/>
        </w:rPr>
        <w:t>iminatorias</w:t>
      </w:r>
      <w:r w:rsidRPr="00895D0A">
        <w:rPr>
          <w:lang w:val="es-BO"/>
        </w:rPr>
        <w:t>.</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Desde la introducción del principio general de no discriminación en el </w:t>
      </w:r>
      <w:r w:rsidRPr="00895D0A">
        <w:rPr>
          <w:b/>
          <w:lang w:val="es-BO"/>
        </w:rPr>
        <w:t>Código de Conducta Deportiva del</w:t>
      </w:r>
      <w:r w:rsidRPr="00895D0A">
        <w:rPr>
          <w:lang w:val="es-BO"/>
        </w:rPr>
        <w:t xml:space="preserve"> </w:t>
      </w:r>
      <w:r w:rsidRPr="00895D0A">
        <w:rPr>
          <w:b/>
          <w:lang w:val="es-BO"/>
        </w:rPr>
        <w:t>Comité Olímpico Nacional Italia</w:t>
      </w:r>
      <w:r w:rsidR="00D649AD">
        <w:rPr>
          <w:b/>
          <w:lang w:val="es-BO"/>
        </w:rPr>
        <w:t>no</w:t>
      </w:r>
      <w:r w:rsidRPr="00895D0A">
        <w:rPr>
          <w:b/>
          <w:lang w:val="es-BO"/>
        </w:rPr>
        <w:t xml:space="preserve"> (CONI)</w:t>
      </w:r>
      <w:r w:rsidRPr="00895D0A">
        <w:rPr>
          <w:lang w:val="es-BO"/>
        </w:rPr>
        <w:t xml:space="preserve">, que </w:t>
      </w:r>
      <w:r w:rsidR="00D649AD">
        <w:rPr>
          <w:lang w:val="es-BO"/>
        </w:rPr>
        <w:t>dispone</w:t>
      </w:r>
      <w:r w:rsidRPr="00895D0A">
        <w:rPr>
          <w:lang w:val="es-BO"/>
        </w:rPr>
        <w:t xml:space="preserve"> que los miembros registrados, los afiliados y las demás personas sometidas a la autoridad deportiva deben abstenerse de cualquier conducta discriminatoria motivada por la raza, el origen étnico o territorial, el sexo, la edad, la religión y las opiniones políticas y filosóficas, se han promulgado varios reglamentos para prevenir las conductas racistas y discriminatorias.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En octubre de 2012 se introdujeron nuevas disposiciones </w:t>
      </w:r>
      <w:r w:rsidR="00D649AD">
        <w:rPr>
          <w:lang w:val="es-BO"/>
        </w:rPr>
        <w:t>al respecto, cuando</w:t>
      </w:r>
      <w:r w:rsidRPr="00895D0A">
        <w:rPr>
          <w:lang w:val="es-BO"/>
        </w:rPr>
        <w:t xml:space="preserve"> el Decreto </w:t>
      </w:r>
      <w:r w:rsidR="00D649AD">
        <w:rPr>
          <w:lang w:val="es-BO"/>
        </w:rPr>
        <w:t>Ley</w:t>
      </w:r>
      <w:r w:rsidRPr="00895D0A">
        <w:rPr>
          <w:lang w:val="es-BO"/>
        </w:rPr>
        <w:t xml:space="preserve"> núm. 119, de 22 de agosto de 2014, sobre las medidas urgentes para combatir los actos ilegales y violent</w:t>
      </w:r>
      <w:r w:rsidR="00D649AD">
        <w:rPr>
          <w:lang w:val="es-BO"/>
        </w:rPr>
        <w:t>os durante los eventos deportiva</w:t>
      </w:r>
      <w:r w:rsidRPr="00895D0A">
        <w:rPr>
          <w:lang w:val="es-BO"/>
        </w:rPr>
        <w:t>s</w:t>
      </w:r>
      <w:r w:rsidR="00D649AD">
        <w:rPr>
          <w:lang w:val="es-BO"/>
        </w:rPr>
        <w:t xml:space="preserve"> cobró fuerza de ley</w:t>
      </w:r>
      <w:r w:rsidRPr="00895D0A">
        <w:rPr>
          <w:lang w:val="es-BO"/>
        </w:rPr>
        <w:t xml:space="preserve">. Esta </w:t>
      </w:r>
      <w:r w:rsidR="00057492" w:rsidRPr="00895D0A">
        <w:rPr>
          <w:lang w:val="es-BO"/>
        </w:rPr>
        <w:t xml:space="preserve">Ley </w:t>
      </w:r>
      <w:r w:rsidRPr="00895D0A">
        <w:rPr>
          <w:lang w:val="es-BO"/>
        </w:rPr>
        <w:t xml:space="preserve">amplió el ámbito de aplicación y la duración de la medida preventiva </w:t>
      </w:r>
      <w:r w:rsidR="00D649AD">
        <w:rPr>
          <w:lang w:val="es-BO"/>
        </w:rPr>
        <w:t>respecto de la prohibición de acceder</w:t>
      </w:r>
      <w:r w:rsidRPr="00895D0A">
        <w:rPr>
          <w:lang w:val="es-BO"/>
        </w:rPr>
        <w:t xml:space="preserve"> a instalaciones deportivas, </w:t>
      </w:r>
      <w:r w:rsidR="00D649AD">
        <w:rPr>
          <w:lang w:val="es-BO"/>
        </w:rPr>
        <w:t>la llamada</w:t>
      </w:r>
      <w:r w:rsidRPr="00895D0A">
        <w:rPr>
          <w:lang w:val="es-BO"/>
        </w:rPr>
        <w:t xml:space="preserve"> </w:t>
      </w:r>
      <w:r w:rsidRPr="00895D0A">
        <w:rPr>
          <w:b/>
          <w:lang w:val="es-BO"/>
        </w:rPr>
        <w:t>DASPO</w:t>
      </w:r>
      <w:r w:rsidRPr="00895D0A">
        <w:rPr>
          <w:lang w:val="es-BO"/>
        </w:rPr>
        <w:t xml:space="preserve"> </w:t>
      </w:r>
      <w:r w:rsidRPr="00895D0A">
        <w:rPr>
          <w:b/>
          <w:lang w:val="es-BO"/>
        </w:rPr>
        <w:t>(</w:t>
      </w:r>
      <w:r w:rsidR="00D649AD">
        <w:rPr>
          <w:b/>
          <w:lang w:val="es-BO"/>
        </w:rPr>
        <w:t>prohibición del acceso a los eventos</w:t>
      </w:r>
      <w:r w:rsidRPr="00895D0A">
        <w:rPr>
          <w:b/>
          <w:lang w:val="es-BO"/>
        </w:rPr>
        <w:t xml:space="preserve"> deportivos)</w:t>
      </w:r>
      <w:r w:rsidRPr="00895D0A">
        <w:rPr>
          <w:lang w:val="es-BO"/>
        </w:rPr>
        <w:t>.</w:t>
      </w:r>
    </w:p>
    <w:p w:rsidR="00895D0A" w:rsidRPr="00895D0A" w:rsidRDefault="00D649AD" w:rsidP="00B1717E">
      <w:pPr>
        <w:pStyle w:val="SingleTxt"/>
        <w:keepNext/>
        <w:keepLines/>
        <w:numPr>
          <w:ilvl w:val="0"/>
          <w:numId w:val="15"/>
        </w:numPr>
        <w:tabs>
          <w:tab w:val="clear" w:pos="475"/>
          <w:tab w:val="num" w:pos="1742"/>
        </w:tabs>
        <w:suppressAutoHyphens w:val="0"/>
        <w:ind w:left="1267"/>
        <w:rPr>
          <w:lang w:val="es-BO"/>
        </w:rPr>
      </w:pPr>
      <w:r>
        <w:rPr>
          <w:lang w:val="es-BO"/>
        </w:rPr>
        <w:t>La DASPO</w:t>
      </w:r>
      <w:r w:rsidR="00895D0A" w:rsidRPr="00895D0A">
        <w:rPr>
          <w:lang w:val="es-BO"/>
        </w:rPr>
        <w:t xml:space="preserve"> puede ser impuesta por el </w:t>
      </w:r>
      <w:r>
        <w:rPr>
          <w:i/>
          <w:lang w:val="es-BO"/>
        </w:rPr>
        <w:t>q</w:t>
      </w:r>
      <w:r w:rsidR="00895D0A" w:rsidRPr="00895D0A">
        <w:rPr>
          <w:i/>
          <w:lang w:val="es-BO"/>
        </w:rPr>
        <w:t>uestore</w:t>
      </w:r>
      <w:r w:rsidR="00895D0A" w:rsidRPr="00895D0A">
        <w:rPr>
          <w:lang w:val="es-BO"/>
        </w:rPr>
        <w:t xml:space="preserve"> (Jefe de la Policía a nivel provincial) por un período de tres años (cinco a ocho años en los casos de reincidencia) a las personas responsables de actos de violencia colectiva, siempre que se haya comprobado su participación activa en ellos. Además, tiene un efecto preventivo cuando se impone a una persona denunciada o condenada por exhibir pancartas ofensivas, violentas o racistas; por delitos contra el orden público, y otros delitos (robo, posesión de explosivos, tráfico de drogas). Esta medida también es aplicable a las personas que hayan participado, incluso en el extranjero, en determinadas situaciones </w:t>
      </w:r>
      <w:r w:rsidR="00D124C4">
        <w:rPr>
          <w:lang w:val="es-BO"/>
        </w:rPr>
        <w:t>que pong</w:t>
      </w:r>
      <w:r>
        <w:rPr>
          <w:lang w:val="es-BO"/>
        </w:rPr>
        <w:t>an en peligro</w:t>
      </w:r>
      <w:r w:rsidR="00895D0A" w:rsidRPr="00895D0A">
        <w:rPr>
          <w:lang w:val="es-BO"/>
        </w:rPr>
        <w:t xml:space="preserve"> la seguridad y el orden públicos. La </w:t>
      </w:r>
      <w:r>
        <w:rPr>
          <w:lang w:val="es-BO"/>
        </w:rPr>
        <w:t>legislación vigente</w:t>
      </w:r>
      <w:r w:rsidR="00895D0A" w:rsidRPr="00895D0A">
        <w:rPr>
          <w:lang w:val="es-BO"/>
        </w:rPr>
        <w:t xml:space="preserve"> también permite suspender o </w:t>
      </w:r>
      <w:r>
        <w:rPr>
          <w:lang w:val="es-BO"/>
        </w:rPr>
        <w:t>no iniciar</w:t>
      </w:r>
      <w:r w:rsidR="00895D0A" w:rsidRPr="00895D0A">
        <w:rPr>
          <w:lang w:val="es-BO"/>
        </w:rPr>
        <w:t xml:space="preserve"> un partido de fútbol </w:t>
      </w:r>
      <w:r>
        <w:rPr>
          <w:lang w:val="es-BO"/>
        </w:rPr>
        <w:t>cuando se hayan producido</w:t>
      </w:r>
      <w:r w:rsidR="00895D0A" w:rsidRPr="00895D0A">
        <w:rPr>
          <w:lang w:val="es-BO"/>
        </w:rPr>
        <w:t xml:space="preserve"> manifestaciones de racismo e intolerancia.</w:t>
      </w:r>
    </w:p>
    <w:p w:rsidR="00895D0A" w:rsidRPr="00895D0A" w:rsidRDefault="00D649AD" w:rsidP="00492626">
      <w:pPr>
        <w:pStyle w:val="SingleTxt"/>
        <w:numPr>
          <w:ilvl w:val="0"/>
          <w:numId w:val="15"/>
        </w:numPr>
        <w:tabs>
          <w:tab w:val="clear" w:pos="475"/>
          <w:tab w:val="num" w:pos="1742"/>
        </w:tabs>
        <w:suppressAutoHyphens w:val="0"/>
        <w:ind w:left="1267"/>
        <w:rPr>
          <w:lang w:val="es-BO"/>
        </w:rPr>
      </w:pPr>
      <w:r>
        <w:rPr>
          <w:lang w:val="es-BO"/>
        </w:rPr>
        <w:t>La siguiente información permite hacerse una idea</w:t>
      </w:r>
      <w:r w:rsidR="00895D0A" w:rsidRPr="00895D0A">
        <w:rPr>
          <w:lang w:val="es-BO"/>
        </w:rPr>
        <w:t xml:space="preserve"> más completa de este fenómeno:</w:t>
      </w:r>
    </w:p>
    <w:p w:rsidR="00895D0A" w:rsidRPr="00895D0A" w:rsidRDefault="00895D0A" w:rsidP="00492626">
      <w:pPr>
        <w:pStyle w:val="Bullet1"/>
        <w:rPr>
          <w:lang w:val="es-BO"/>
        </w:rPr>
      </w:pPr>
      <w:r w:rsidRPr="00895D0A">
        <w:rPr>
          <w:lang w:val="es-BO"/>
        </w:rPr>
        <w:t xml:space="preserve">En </w:t>
      </w:r>
      <w:r w:rsidRPr="00895D0A">
        <w:rPr>
          <w:b/>
          <w:lang w:val="es-BO"/>
        </w:rPr>
        <w:t>2013 se detuvo a 1 persona</w:t>
      </w:r>
      <w:r w:rsidRPr="004F589B">
        <w:rPr>
          <w:b/>
          <w:lang w:val="es-BO"/>
        </w:rPr>
        <w:t xml:space="preserve"> y </w:t>
      </w:r>
      <w:r w:rsidRPr="00895D0A">
        <w:rPr>
          <w:b/>
          <w:lang w:val="es-BO"/>
        </w:rPr>
        <w:t>se denunció a 73 personas</w:t>
      </w:r>
      <w:r w:rsidRPr="00895D0A">
        <w:rPr>
          <w:lang w:val="es-BO"/>
        </w:rPr>
        <w:t xml:space="preserve"> </w:t>
      </w:r>
      <w:r w:rsidR="00D649AD">
        <w:rPr>
          <w:lang w:val="es-BO"/>
        </w:rPr>
        <w:t>a</w:t>
      </w:r>
      <w:r w:rsidRPr="00895D0A">
        <w:rPr>
          <w:lang w:val="es-BO"/>
        </w:rPr>
        <w:t xml:space="preserve"> la policía: </w:t>
      </w:r>
      <w:r w:rsidRPr="00895D0A">
        <w:rPr>
          <w:b/>
          <w:lang w:val="es-BO"/>
        </w:rPr>
        <w:t>15 de ellas</w:t>
      </w:r>
      <w:r w:rsidRPr="00895D0A">
        <w:rPr>
          <w:lang w:val="es-BO"/>
        </w:rPr>
        <w:t xml:space="preserve"> eran </w:t>
      </w:r>
      <w:r w:rsidR="00D649AD">
        <w:rPr>
          <w:lang w:val="es-BO"/>
        </w:rPr>
        <w:t>aficionados</w:t>
      </w:r>
      <w:r w:rsidRPr="00895D0A">
        <w:rPr>
          <w:lang w:val="es-BO"/>
        </w:rPr>
        <w:t xml:space="preserve"> violentos </w:t>
      </w:r>
      <w:r w:rsidR="00D649AD">
        <w:rPr>
          <w:lang w:val="es-BO"/>
        </w:rPr>
        <w:t xml:space="preserve">al fútbol </w:t>
      </w:r>
      <w:r w:rsidRPr="00895D0A">
        <w:rPr>
          <w:lang w:val="es-BO"/>
        </w:rPr>
        <w:t xml:space="preserve">denunciados </w:t>
      </w:r>
      <w:r w:rsidR="00D649AD">
        <w:rPr>
          <w:lang w:val="es-BO"/>
        </w:rPr>
        <w:t>a</w:t>
      </w:r>
      <w:r w:rsidRPr="00895D0A">
        <w:rPr>
          <w:lang w:val="es-BO"/>
        </w:rPr>
        <w:t xml:space="preserve"> la policía en el marco de </w:t>
      </w:r>
      <w:r w:rsidR="00D649AD">
        <w:rPr>
          <w:lang w:val="es-BO"/>
        </w:rPr>
        <w:t>la actividad policial contra</w:t>
      </w:r>
      <w:r w:rsidR="00B1717E">
        <w:rPr>
          <w:lang w:val="es-BO"/>
        </w:rPr>
        <w:t xml:space="preserve"> el racismo en el deporte;</w:t>
      </w:r>
    </w:p>
    <w:p w:rsidR="00895D0A" w:rsidRPr="00895D0A" w:rsidRDefault="00895D0A" w:rsidP="00492626">
      <w:pPr>
        <w:pStyle w:val="Bullet1"/>
        <w:rPr>
          <w:lang w:val="es-BO"/>
        </w:rPr>
      </w:pPr>
      <w:r w:rsidRPr="00895D0A">
        <w:rPr>
          <w:lang w:val="es-BO"/>
        </w:rPr>
        <w:t xml:space="preserve">En </w:t>
      </w:r>
      <w:r w:rsidRPr="00895D0A">
        <w:rPr>
          <w:b/>
          <w:lang w:val="es-BO"/>
        </w:rPr>
        <w:t>2014</w:t>
      </w:r>
      <w:r w:rsidRPr="00895D0A">
        <w:rPr>
          <w:lang w:val="es-BO"/>
        </w:rPr>
        <w:t>, se denunció a</w:t>
      </w:r>
      <w:r w:rsidRPr="00895D0A">
        <w:rPr>
          <w:b/>
          <w:lang w:val="es-BO"/>
        </w:rPr>
        <w:t xml:space="preserve"> 36 </w:t>
      </w:r>
      <w:r w:rsidRPr="00895D0A">
        <w:rPr>
          <w:lang w:val="es-BO"/>
        </w:rPr>
        <w:t xml:space="preserve">personas en relación con </w:t>
      </w:r>
      <w:r w:rsidRPr="00895D0A">
        <w:rPr>
          <w:b/>
          <w:lang w:val="es-BO"/>
        </w:rPr>
        <w:t>79 casos</w:t>
      </w:r>
      <w:r w:rsidRPr="00895D0A">
        <w:rPr>
          <w:lang w:val="es-BO"/>
        </w:rPr>
        <w:t>:</w:t>
      </w:r>
    </w:p>
    <w:p w:rsidR="00895D0A" w:rsidRPr="00895D0A" w:rsidRDefault="00895D0A" w:rsidP="004F589B">
      <w:pPr>
        <w:pStyle w:val="Bullet2"/>
        <w:rPr>
          <w:lang w:val="es-BO"/>
        </w:rPr>
      </w:pPr>
      <w:r w:rsidRPr="00895D0A">
        <w:rPr>
          <w:lang w:val="es-BO"/>
        </w:rPr>
        <w:t>54 casos de discriminación antisemita (23 personas investigadas);</w:t>
      </w:r>
    </w:p>
    <w:p w:rsidR="00895D0A" w:rsidRPr="00895D0A" w:rsidRDefault="00895D0A" w:rsidP="004F589B">
      <w:pPr>
        <w:pStyle w:val="Bullet2"/>
        <w:rPr>
          <w:lang w:val="es-BO"/>
        </w:rPr>
      </w:pPr>
      <w:r w:rsidRPr="00895D0A">
        <w:rPr>
          <w:lang w:val="es-BO"/>
        </w:rPr>
        <w:t>17 casos de discriminación racista (9 personas investigadas);</w:t>
      </w:r>
    </w:p>
    <w:p w:rsidR="00895D0A" w:rsidRPr="00895D0A" w:rsidRDefault="00895D0A" w:rsidP="004F589B">
      <w:pPr>
        <w:pStyle w:val="Bullet2"/>
        <w:rPr>
          <w:lang w:val="es-BO"/>
        </w:rPr>
      </w:pPr>
      <w:r w:rsidRPr="00895D0A">
        <w:rPr>
          <w:lang w:val="es-BO"/>
        </w:rPr>
        <w:t>6 casos de discriminación religiosa (2 personas investigadas);</w:t>
      </w:r>
    </w:p>
    <w:p w:rsidR="00895D0A" w:rsidRPr="00895D0A" w:rsidRDefault="00895D0A" w:rsidP="004F589B">
      <w:pPr>
        <w:pStyle w:val="Bullet2"/>
        <w:rPr>
          <w:lang w:val="es-BO"/>
        </w:rPr>
      </w:pPr>
      <w:r w:rsidRPr="00895D0A">
        <w:rPr>
          <w:lang w:val="es-BO"/>
        </w:rPr>
        <w:t>2 casos de racismo durante eventos deportivos (2 personas investigadas).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El marco institucional de Italia atribuye a varios organismos la responsabilidad de combatir la discriminación en el deporte.</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El </w:t>
      </w:r>
      <w:r w:rsidRPr="00895D0A">
        <w:rPr>
          <w:b/>
          <w:lang w:val="es-BO"/>
        </w:rPr>
        <w:t>Observatorio Nacional de Eventos Deportivos del Ministerio del Interior</w:t>
      </w:r>
      <w:r w:rsidRPr="00895D0A">
        <w:rPr>
          <w:lang w:val="es-BO"/>
        </w:rPr>
        <w:t xml:space="preserve"> es un órgano que cumple funciones de asesoramiento y </w:t>
      </w:r>
      <w:r w:rsidR="00D649AD">
        <w:rPr>
          <w:lang w:val="es-BO"/>
        </w:rPr>
        <w:t>se creó en 1999 con el cometido específico de</w:t>
      </w:r>
      <w:r w:rsidRPr="00895D0A">
        <w:rPr>
          <w:lang w:val="es-BO"/>
        </w:rPr>
        <w:t xml:space="preserve"> aplicar las disposiciones y medidas previstas en los instrumentos pertinentes, de conformidad con la Le</w:t>
      </w:r>
      <w:r w:rsidR="00B1717E">
        <w:rPr>
          <w:lang w:val="es-BO"/>
        </w:rPr>
        <w:t>y núm. 210, de 17 de octubre de </w:t>
      </w:r>
      <w:r w:rsidRPr="00895D0A">
        <w:rPr>
          <w:lang w:val="es-BO"/>
        </w:rPr>
        <w:t xml:space="preserve">2005. El Observatorio </w:t>
      </w:r>
      <w:r w:rsidR="00D649AD">
        <w:rPr>
          <w:lang w:val="es-BO"/>
        </w:rPr>
        <w:t>se compone de</w:t>
      </w:r>
      <w:r w:rsidRPr="00895D0A">
        <w:rPr>
          <w:lang w:val="es-BO"/>
        </w:rPr>
        <w:t xml:space="preserve"> representantes de la polic</w:t>
      </w:r>
      <w:r w:rsidR="00D649AD">
        <w:rPr>
          <w:lang w:val="es-BO"/>
        </w:rPr>
        <w:t>ía</w:t>
      </w:r>
      <w:r w:rsidRPr="00895D0A">
        <w:rPr>
          <w:lang w:val="es-BO"/>
        </w:rPr>
        <w:t xml:space="preserve">, de instituciones que participan directa o indirectamente en </w:t>
      </w:r>
      <w:r w:rsidR="00D649AD">
        <w:rPr>
          <w:lang w:val="es-BO"/>
        </w:rPr>
        <w:t>la actividad futbolística</w:t>
      </w:r>
      <w:r w:rsidRPr="00895D0A">
        <w:rPr>
          <w:lang w:val="es-BO"/>
        </w:rPr>
        <w:t xml:space="preserve"> (la Federación Italiana de Fútbol,</w:t>
      </w:r>
      <w:r w:rsidRPr="00895D0A">
        <w:rPr>
          <w:i/>
          <w:lang w:val="es-BO"/>
        </w:rPr>
        <w:t xml:space="preserve"> </w:t>
      </w:r>
      <w:r w:rsidRPr="00895D0A">
        <w:rPr>
          <w:lang w:val="es-BO"/>
        </w:rPr>
        <w:t>el CONI</w:t>
      </w:r>
      <w:r w:rsidRPr="00895D0A">
        <w:rPr>
          <w:i/>
          <w:lang w:val="es-BO"/>
        </w:rPr>
        <w:t xml:space="preserve"> </w:t>
      </w:r>
      <w:r w:rsidRPr="00895D0A">
        <w:rPr>
          <w:lang w:val="es-BO"/>
        </w:rPr>
        <w:t>y la</w:t>
      </w:r>
      <w:r w:rsidRPr="00895D0A">
        <w:rPr>
          <w:i/>
          <w:lang w:val="es-BO"/>
        </w:rPr>
        <w:t xml:space="preserve"> </w:t>
      </w:r>
      <w:r w:rsidR="004C3D94">
        <w:rPr>
          <w:lang w:val="es-BO"/>
        </w:rPr>
        <w:t>Liga de profesionales y aficionados</w:t>
      </w:r>
      <w:r w:rsidRPr="00895D0A">
        <w:rPr>
          <w:lang w:val="es-BO"/>
        </w:rPr>
        <w:t>) y organismos de transporte</w:t>
      </w:r>
      <w:r w:rsidRPr="00753DF8">
        <w:rPr>
          <w:lang w:val="es-BO"/>
        </w:rPr>
        <w:t xml:space="preserve"> (Trenitalia)</w:t>
      </w:r>
      <w:r w:rsidR="004C3D94" w:rsidRPr="00753DF8">
        <w:rPr>
          <w:lang w:val="es-BO"/>
        </w:rPr>
        <w:t xml:space="preserve">. </w:t>
      </w:r>
      <w:r w:rsidR="004C3D94">
        <w:rPr>
          <w:lang w:val="es-BO"/>
        </w:rPr>
        <w:t>En s</w:t>
      </w:r>
      <w:r w:rsidRPr="00895D0A">
        <w:rPr>
          <w:lang w:val="es-BO"/>
        </w:rPr>
        <w:t xml:space="preserve">us reuniones </w:t>
      </w:r>
      <w:r w:rsidR="004C3D94">
        <w:rPr>
          <w:lang w:val="es-BO"/>
        </w:rPr>
        <w:t>pueden participar</w:t>
      </w:r>
      <w:r w:rsidRPr="00895D0A">
        <w:rPr>
          <w:lang w:val="es-BO"/>
        </w:rPr>
        <w:t xml:space="preserve"> representantes de las empresas interesadas del </w:t>
      </w:r>
      <w:r w:rsidR="004C3D94">
        <w:rPr>
          <w:lang w:val="es-BO"/>
        </w:rPr>
        <w:t>sector público o</w:t>
      </w:r>
      <w:r w:rsidRPr="00895D0A">
        <w:rPr>
          <w:lang w:val="es-BO"/>
        </w:rPr>
        <w:t xml:space="preserve"> privado. El Observatorio Nacional </w:t>
      </w:r>
      <w:r w:rsidR="004C3D94">
        <w:rPr>
          <w:lang w:val="es-BO"/>
        </w:rPr>
        <w:t>se ocupa de:</w:t>
      </w:r>
      <w:r w:rsidRPr="00895D0A">
        <w:rPr>
          <w:lang w:val="es-BO"/>
        </w:rPr>
        <w:t xml:space="preserve"> los fenómenos de discriminación durante los eventos deportivos; </w:t>
      </w:r>
      <w:r w:rsidR="004C3D94">
        <w:rPr>
          <w:lang w:val="es-BO"/>
        </w:rPr>
        <w:t>la determinación de</w:t>
      </w:r>
      <w:r w:rsidRPr="00895D0A">
        <w:rPr>
          <w:lang w:val="es-BO"/>
        </w:rPr>
        <w:t xml:space="preserve"> los niveles de riesgo </w:t>
      </w:r>
      <w:r w:rsidR="004C3D94">
        <w:rPr>
          <w:lang w:val="es-BO"/>
        </w:rPr>
        <w:t>en los eventos deportivos; la aprobación de</w:t>
      </w:r>
      <w:r w:rsidRPr="00895D0A">
        <w:rPr>
          <w:lang w:val="es-BO"/>
        </w:rPr>
        <w:t xml:space="preserve"> directrices de seguridad </w:t>
      </w:r>
      <w:r w:rsidR="004C3D94">
        <w:rPr>
          <w:lang w:val="es-BO"/>
        </w:rPr>
        <w:t>de</w:t>
      </w:r>
      <w:r w:rsidRPr="00895D0A">
        <w:rPr>
          <w:lang w:val="es-BO"/>
        </w:rPr>
        <w:t xml:space="preserve"> las instalaciones deportivas; </w:t>
      </w:r>
      <w:r w:rsidR="004C3D94">
        <w:rPr>
          <w:lang w:val="es-BO"/>
        </w:rPr>
        <w:t>la promoción de</w:t>
      </w:r>
      <w:r w:rsidRPr="00895D0A">
        <w:rPr>
          <w:lang w:val="es-BO"/>
        </w:rPr>
        <w:t xml:space="preserve"> iniciativas de prevención </w:t>
      </w:r>
      <w:r w:rsidR="004C3D94">
        <w:rPr>
          <w:lang w:val="es-BO"/>
        </w:rPr>
        <w:t>mediante la participación de</w:t>
      </w:r>
      <w:r w:rsidRPr="00895D0A">
        <w:rPr>
          <w:lang w:val="es-BO"/>
        </w:rPr>
        <w:t xml:space="preserve"> las asociaciones, los representantes de los seguidores, las entidades locales y los interesados del </w:t>
      </w:r>
      <w:r w:rsidR="004C3D94">
        <w:rPr>
          <w:lang w:val="es-BO"/>
        </w:rPr>
        <w:t>sector público o</w:t>
      </w:r>
      <w:r w:rsidRPr="00895D0A">
        <w:rPr>
          <w:lang w:val="es-BO"/>
        </w:rPr>
        <w:t xml:space="preserve"> privado; </w:t>
      </w:r>
      <w:r w:rsidR="004C3D94">
        <w:rPr>
          <w:lang w:val="es-BO"/>
        </w:rPr>
        <w:t>la definición de</w:t>
      </w:r>
      <w:r w:rsidRPr="00895D0A">
        <w:rPr>
          <w:lang w:val="es-BO"/>
        </w:rPr>
        <w:t xml:space="preserve"> las medidas que deben adoptar los clubes de fútbol para </w:t>
      </w:r>
      <w:r w:rsidR="004C3D94">
        <w:rPr>
          <w:lang w:val="es-BO"/>
        </w:rPr>
        <w:t>asegurar</w:t>
      </w:r>
      <w:r w:rsidRPr="00895D0A">
        <w:rPr>
          <w:lang w:val="es-BO"/>
        </w:rPr>
        <w:t xml:space="preserve"> que los partidos se lleven a cabo </w:t>
      </w:r>
      <w:r w:rsidR="004C3D94">
        <w:rPr>
          <w:lang w:val="es-BO"/>
        </w:rPr>
        <w:t>regularmente y garantizar la seguridad del público,</w:t>
      </w:r>
      <w:r w:rsidRPr="00895D0A">
        <w:rPr>
          <w:lang w:val="es-BO"/>
        </w:rPr>
        <w:t xml:space="preserve"> y </w:t>
      </w:r>
      <w:r w:rsidR="004C3D94">
        <w:rPr>
          <w:lang w:val="es-BO"/>
        </w:rPr>
        <w:t>la redacción de</w:t>
      </w:r>
      <w:r w:rsidRPr="00895D0A">
        <w:rPr>
          <w:lang w:val="es-BO"/>
        </w:rPr>
        <w:t xml:space="preserve"> un informe anual sobre las tendencias observadas en los fenómenos de violencia e intolerancia en los eventos deportivos. En particular, el Observatorio ha afirmado que, a título preventivo, los clubes de fútbol deberán </w:t>
      </w:r>
      <w:r w:rsidR="004C3D94">
        <w:rPr>
          <w:lang w:val="es-BO"/>
        </w:rPr>
        <w:t>comunicar en todos los casos</w:t>
      </w:r>
      <w:r w:rsidRPr="00895D0A">
        <w:rPr>
          <w:lang w:val="es-BO"/>
        </w:rPr>
        <w:t xml:space="preserve"> (también por correo electrónico) la superficie, las características gráficas y </w:t>
      </w:r>
      <w:r w:rsidR="004C3D94">
        <w:rPr>
          <w:lang w:val="es-BO"/>
        </w:rPr>
        <w:t>el</w:t>
      </w:r>
      <w:r w:rsidRPr="00895D0A">
        <w:rPr>
          <w:lang w:val="es-BO"/>
        </w:rPr>
        <w:t xml:space="preserve"> contenido de las pancartas. El uso de pancartas que contengan mensajes basados en la discriminación racial, la violencia</w:t>
      </w:r>
      <w:r w:rsidR="004C3D94">
        <w:rPr>
          <w:lang w:val="es-BO"/>
        </w:rPr>
        <w:t xml:space="preserve"> y</w:t>
      </w:r>
      <w:r w:rsidRPr="00895D0A">
        <w:rPr>
          <w:lang w:val="es-BO"/>
        </w:rPr>
        <w:t xml:space="preserve"> la difamación</w:t>
      </w:r>
      <w:r w:rsidR="004C3D94">
        <w:rPr>
          <w:lang w:val="es-BO"/>
        </w:rPr>
        <w:t>, o profieran insultos,</w:t>
      </w:r>
      <w:r w:rsidRPr="00895D0A">
        <w:rPr>
          <w:lang w:val="es-BO"/>
        </w:rPr>
        <w:t xml:space="preserve"> está prohibido, al igual que el uso de tambores, instrumentos de percusión, megáfonos, banderas que obstruyan la vista </w:t>
      </w:r>
      <w:r w:rsidR="004C3D94">
        <w:rPr>
          <w:lang w:val="es-BO"/>
        </w:rPr>
        <w:t>de</w:t>
      </w:r>
      <w:r w:rsidRPr="00895D0A">
        <w:rPr>
          <w:lang w:val="es-BO"/>
        </w:rPr>
        <w:t xml:space="preserve"> los partidos y cualquier material proscrito </w:t>
      </w:r>
      <w:r w:rsidR="004C3D94">
        <w:rPr>
          <w:lang w:val="es-BO"/>
        </w:rPr>
        <w:t>preventivamente</w:t>
      </w:r>
      <w:r w:rsidRPr="00895D0A">
        <w:rPr>
          <w:lang w:val="es-BO"/>
        </w:rPr>
        <w:t>.</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En 2013 se estableció un </w:t>
      </w:r>
      <w:r w:rsidRPr="00753DF8">
        <w:rPr>
          <w:b/>
          <w:lang w:val="es-BO"/>
        </w:rPr>
        <w:t>grupo de tareas para la seguridad de los eventos deportivos</w:t>
      </w:r>
      <w:r w:rsidRPr="00895D0A">
        <w:rPr>
          <w:lang w:val="es-BO"/>
        </w:rPr>
        <w:t xml:space="preserve">, adscrito al Ministerio del Interior, al que se encomendó la tarea de definir nuevas iniciativas para combatir el racismo en el deporte. A principios de la temporada </w:t>
      </w:r>
      <w:r w:rsidR="00C12865">
        <w:rPr>
          <w:lang w:val="es-BO"/>
        </w:rPr>
        <w:t>futbolística de</w:t>
      </w:r>
      <w:r w:rsidRPr="00895D0A">
        <w:rPr>
          <w:lang w:val="es-BO"/>
        </w:rPr>
        <w:t xml:space="preserve"> 2014-2015 se </w:t>
      </w:r>
      <w:r w:rsidR="00C12865">
        <w:rPr>
          <w:lang w:val="es-BO"/>
        </w:rPr>
        <w:t>atendió</w:t>
      </w:r>
      <w:r w:rsidRPr="00895D0A">
        <w:rPr>
          <w:lang w:val="es-BO"/>
        </w:rPr>
        <w:t xml:space="preserve"> a la necesidad de fo</w:t>
      </w:r>
      <w:r w:rsidR="00C12865">
        <w:rPr>
          <w:lang w:val="es-BO"/>
        </w:rPr>
        <w:t>rtalecer este órgano, entre otra</w:t>
      </w:r>
      <w:r w:rsidRPr="00895D0A">
        <w:rPr>
          <w:lang w:val="es-BO"/>
        </w:rPr>
        <w:t xml:space="preserve">s </w:t>
      </w:r>
      <w:r w:rsidR="00C12865">
        <w:rPr>
          <w:lang w:val="es-BO"/>
        </w:rPr>
        <w:t>cosas mediante campañas</w:t>
      </w:r>
      <w:r w:rsidRPr="00895D0A">
        <w:rPr>
          <w:lang w:val="es-BO"/>
        </w:rPr>
        <w:t xml:space="preserve"> de sensibilización y programas educativos </w:t>
      </w:r>
      <w:r w:rsidR="00C12865">
        <w:rPr>
          <w:lang w:val="es-BO"/>
        </w:rPr>
        <w:t>sobre la</w:t>
      </w:r>
      <w:r w:rsidRPr="00895D0A">
        <w:rPr>
          <w:lang w:val="es-BO"/>
        </w:rPr>
        <w:t xml:space="preserve"> legalidad. En efecto, a </w:t>
      </w:r>
      <w:r w:rsidR="00C12865">
        <w:rPr>
          <w:lang w:val="es-BO"/>
        </w:rPr>
        <w:t>comienzos</w:t>
      </w:r>
      <w:r w:rsidRPr="00895D0A">
        <w:rPr>
          <w:lang w:val="es-BO"/>
        </w:rPr>
        <w:t xml:space="preserve"> de la temporada de 2014-2015, el grupo de tareas decidió </w:t>
      </w:r>
      <w:r w:rsidR="00C12865">
        <w:rPr>
          <w:lang w:val="es-BO"/>
        </w:rPr>
        <w:t>intensificar su acción contra</w:t>
      </w:r>
      <w:r w:rsidRPr="00895D0A">
        <w:rPr>
          <w:lang w:val="es-BO"/>
        </w:rPr>
        <w:t xml:space="preserve"> la discriminación racial, étnica y religiosa </w:t>
      </w:r>
      <w:r w:rsidR="00C12865">
        <w:rPr>
          <w:lang w:val="es-BO"/>
        </w:rPr>
        <w:t>en</w:t>
      </w:r>
      <w:r w:rsidRPr="00895D0A">
        <w:rPr>
          <w:lang w:val="es-BO"/>
        </w:rPr>
        <w:t xml:space="preserve"> los eventos deportivos y definir algunas directrices estratégicas</w:t>
      </w:r>
      <w:r w:rsidR="00C12865">
        <w:rPr>
          <w:lang w:val="es-BO"/>
        </w:rPr>
        <w:t>, consistentes en</w:t>
      </w:r>
      <w:r w:rsidRPr="00895D0A">
        <w:rPr>
          <w:lang w:val="es-BO"/>
        </w:rPr>
        <w:t xml:space="preserve"> el seguimiento de este fenómeno y la puesta en marcha de campañas de sensibilización y actividades educativas </w:t>
      </w:r>
      <w:r w:rsidR="00C12865">
        <w:rPr>
          <w:lang w:val="es-BO"/>
        </w:rPr>
        <w:t>sobre la</w:t>
      </w:r>
      <w:r w:rsidRPr="00895D0A">
        <w:rPr>
          <w:lang w:val="es-BO"/>
        </w:rPr>
        <w:t xml:space="preserve"> legalidad en las escuelas.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Como se mencionó</w:t>
      </w:r>
      <w:r w:rsidR="00C12865">
        <w:rPr>
          <w:lang w:val="es-BO"/>
        </w:rPr>
        <w:t xml:space="preserve"> anteriormente</w:t>
      </w:r>
      <w:r w:rsidRPr="00895D0A">
        <w:rPr>
          <w:lang w:val="es-BO"/>
        </w:rPr>
        <w:t xml:space="preserve">, la </w:t>
      </w:r>
      <w:r w:rsidRPr="00895D0A">
        <w:rPr>
          <w:b/>
          <w:lang w:val="es-BO"/>
        </w:rPr>
        <w:t>UNAR</w:t>
      </w:r>
      <w:r w:rsidRPr="00895D0A">
        <w:rPr>
          <w:lang w:val="es-BO"/>
        </w:rPr>
        <w:t xml:space="preserve"> desempeña un papel importante </w:t>
      </w:r>
      <w:r w:rsidR="00C12865">
        <w:rPr>
          <w:lang w:val="es-BO"/>
        </w:rPr>
        <w:t>en</w:t>
      </w:r>
      <w:r w:rsidRPr="00895D0A">
        <w:rPr>
          <w:lang w:val="es-BO"/>
        </w:rPr>
        <w:t xml:space="preserve"> la prevención y la lucha contra la discriminación en todas sus formas.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UNAR </w:t>
      </w:r>
      <w:r w:rsidR="00C12865">
        <w:rPr>
          <w:lang w:val="es-BO"/>
        </w:rPr>
        <w:t>supervisar los contenidos de</w:t>
      </w:r>
      <w:r w:rsidRPr="00895D0A">
        <w:rPr>
          <w:lang w:val="es-BO"/>
        </w:rPr>
        <w:t xml:space="preserve"> la web y la información conexa que propaga la discriminación racial en el deporte, en varios casos contra determinados futbolistas, y </w:t>
      </w:r>
      <w:r w:rsidR="00C12865">
        <w:rPr>
          <w:lang w:val="es-BO"/>
        </w:rPr>
        <w:t>pone estos casos en conocimiento de</w:t>
      </w:r>
      <w:r w:rsidRPr="00895D0A">
        <w:rPr>
          <w:lang w:val="es-BO"/>
        </w:rPr>
        <w:t xml:space="preserve"> la Policía Postal y de Comunicaciones para que realice investigaciones </w:t>
      </w:r>
      <w:r w:rsidR="00753DF8">
        <w:rPr>
          <w:lang w:val="es-BO"/>
        </w:rPr>
        <w:t>y proceda</w:t>
      </w:r>
      <w:r w:rsidR="00C12865">
        <w:rPr>
          <w:lang w:val="es-BO"/>
        </w:rPr>
        <w:t xml:space="preserve"> a</w:t>
      </w:r>
      <w:r w:rsidRPr="00895D0A">
        <w:rPr>
          <w:lang w:val="es-BO"/>
        </w:rPr>
        <w:t xml:space="preserve"> cerrar los sitios web. Además, coopera con la Autoridad para la Protección en los Medios de Comunicación de Italia en </w:t>
      </w:r>
      <w:r w:rsidR="00C12865">
        <w:rPr>
          <w:lang w:val="es-BO"/>
        </w:rPr>
        <w:t>la vigilancia de</w:t>
      </w:r>
      <w:r w:rsidRPr="00895D0A">
        <w:rPr>
          <w:lang w:val="es-BO"/>
        </w:rPr>
        <w:t xml:space="preserve"> las posibles violaciones del Código de Autorregulación sobre los Medios de Comunicación y el Deporte, aprobado por empresas de televisión y radiodifusión, la Asociación de Operadores de los Medios de Comunicación, la Federación Nacional de la Prensa Italiana, la Unión de la Prensa Deportiva Italiana y la Federación Italiana de Editores. Otr</w:t>
      </w:r>
      <w:r w:rsidR="009D41F4">
        <w:rPr>
          <w:lang w:val="es-BO"/>
        </w:rPr>
        <w:t>o</w:t>
      </w:r>
      <w:r w:rsidRPr="00895D0A">
        <w:rPr>
          <w:lang w:val="es-BO"/>
        </w:rPr>
        <w:t xml:space="preserve"> </w:t>
      </w:r>
      <w:r w:rsidR="009D41F4">
        <w:rPr>
          <w:lang w:val="es-BO"/>
        </w:rPr>
        <w:t>tema</w:t>
      </w:r>
      <w:r w:rsidRPr="00895D0A">
        <w:rPr>
          <w:lang w:val="es-BO"/>
        </w:rPr>
        <w:t xml:space="preserve"> que la UNAR está examinando es la plena aplicación del principio de no discriminación, consagrado en el artículo 7 del Decreto </w:t>
      </w:r>
      <w:r w:rsidR="009D41F4">
        <w:rPr>
          <w:lang w:val="es-BO"/>
        </w:rPr>
        <w:t>Ley</w:t>
      </w:r>
      <w:r w:rsidRPr="00895D0A">
        <w:rPr>
          <w:lang w:val="es-BO"/>
        </w:rPr>
        <w:t xml:space="preserve"> núm. 215/2003, respecto de los futbolistas extranjeros afili</w:t>
      </w:r>
      <w:r w:rsidR="009D41F4">
        <w:rPr>
          <w:lang w:val="es-BO"/>
        </w:rPr>
        <w:t>ados a federaciones italianas. La UNAR ha supervisado v</w:t>
      </w:r>
      <w:r w:rsidRPr="00895D0A">
        <w:rPr>
          <w:lang w:val="es-BO"/>
        </w:rPr>
        <w:t xml:space="preserve">arios casos en diversas disciplinas deportivas, como el fútbol, el buceo y el atletismo. En conclusión, </w:t>
      </w:r>
      <w:r w:rsidR="009D41F4">
        <w:rPr>
          <w:lang w:val="es-BO"/>
        </w:rPr>
        <w:t xml:space="preserve">todos los años </w:t>
      </w:r>
      <w:r w:rsidRPr="00895D0A">
        <w:rPr>
          <w:lang w:val="es-BO"/>
        </w:rPr>
        <w:t xml:space="preserve">la UNAR lleva a cabo diversos actos y </w:t>
      </w:r>
      <w:r w:rsidR="009D41F4">
        <w:rPr>
          <w:lang w:val="es-BO"/>
        </w:rPr>
        <w:t>organiza cursos de formación</w:t>
      </w:r>
      <w:r w:rsidRPr="00895D0A">
        <w:rPr>
          <w:lang w:val="es-BO"/>
        </w:rPr>
        <w:t xml:space="preserve"> </w:t>
      </w:r>
      <w:r w:rsidRPr="00895D0A">
        <w:rPr>
          <w:i/>
          <w:lang w:val="es-BO"/>
        </w:rPr>
        <w:t>ad hoc</w:t>
      </w:r>
      <w:r w:rsidRPr="00895D0A">
        <w:rPr>
          <w:lang w:val="es-BO"/>
        </w:rPr>
        <w:t xml:space="preserve">, </w:t>
      </w:r>
      <w:r w:rsidR="009D41F4">
        <w:rPr>
          <w:lang w:val="es-BO"/>
        </w:rPr>
        <w:t>en los que participan</w:t>
      </w:r>
      <w:r w:rsidRPr="00895D0A">
        <w:rPr>
          <w:lang w:val="es-BO"/>
        </w:rPr>
        <w:t xml:space="preserve"> todas las partes interesadas que operan en el ámbito futbolístico a nivel nacional y europeo.</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Por lo que respecta a las iniciativas relativas al racismo en el deporte, en septiembre de 2014 </w:t>
      </w:r>
      <w:r w:rsidR="009D41F4">
        <w:rPr>
          <w:lang w:val="es-BO"/>
        </w:rPr>
        <w:t>se</w:t>
      </w:r>
      <w:r w:rsidRPr="00895D0A">
        <w:rPr>
          <w:lang w:val="es-BO"/>
        </w:rPr>
        <w:t xml:space="preserve"> celebró en Roma </w:t>
      </w:r>
      <w:r w:rsidR="009D41F4">
        <w:rPr>
          <w:lang w:val="es-BO"/>
        </w:rPr>
        <w:t>la</w:t>
      </w:r>
      <w:r w:rsidRPr="00895D0A">
        <w:rPr>
          <w:lang w:val="es-BO"/>
        </w:rPr>
        <w:t xml:space="preserve"> conferencia</w:t>
      </w:r>
      <w:r w:rsidR="009D41F4">
        <w:rPr>
          <w:lang w:val="es-BO"/>
        </w:rPr>
        <w:t xml:space="preserve"> de la UEFA con el lema</w:t>
      </w:r>
      <w:r w:rsidRPr="00895D0A">
        <w:rPr>
          <w:lang w:val="es-BO"/>
        </w:rPr>
        <w:t xml:space="preserve"> “Respect Diversity”</w:t>
      </w:r>
      <w:r w:rsidR="009D41F4">
        <w:rPr>
          <w:lang w:val="es-BO"/>
        </w:rPr>
        <w:t xml:space="preserve"> (respetar la diversidad)</w:t>
      </w:r>
      <w:r w:rsidR="00753DF8">
        <w:rPr>
          <w:lang w:val="es-BO"/>
        </w:rPr>
        <w:t>,</w:t>
      </w:r>
      <w:r w:rsidRPr="00895D0A">
        <w:rPr>
          <w:lang w:val="es-BO"/>
        </w:rPr>
        <w:t xml:space="preserve"> con el </w:t>
      </w:r>
      <w:r w:rsidR="009D41F4">
        <w:rPr>
          <w:lang w:val="es-BO"/>
        </w:rPr>
        <w:t>objetivo</w:t>
      </w:r>
      <w:r w:rsidRPr="00895D0A">
        <w:rPr>
          <w:lang w:val="es-BO"/>
        </w:rPr>
        <w:t xml:space="preserve"> de combatir la discriminación </w:t>
      </w:r>
      <w:r w:rsidR="009D41F4">
        <w:rPr>
          <w:lang w:val="es-BO"/>
        </w:rPr>
        <w:t>e impartir</w:t>
      </w:r>
      <w:r w:rsidRPr="00895D0A">
        <w:rPr>
          <w:lang w:val="es-BO"/>
        </w:rPr>
        <w:t xml:space="preserve"> directrices para hacer frente al f</w:t>
      </w:r>
      <w:r w:rsidR="009D41F4">
        <w:rPr>
          <w:lang w:val="es-BO"/>
        </w:rPr>
        <w:t>enómeno del racismo;</w:t>
      </w:r>
      <w:r w:rsidRPr="00895D0A">
        <w:rPr>
          <w:lang w:val="es-BO"/>
        </w:rPr>
        <w:t xml:space="preserve"> asistieron a la conferencia la Federación Italiana </w:t>
      </w:r>
      <w:r w:rsidR="00753DF8">
        <w:rPr>
          <w:lang w:val="es-BO"/>
        </w:rPr>
        <w:t xml:space="preserve">de </w:t>
      </w:r>
      <w:r w:rsidRPr="00895D0A">
        <w:rPr>
          <w:lang w:val="es-BO"/>
        </w:rPr>
        <w:t xml:space="preserve">Fútbol, la red </w:t>
      </w:r>
      <w:r w:rsidR="009D41F4">
        <w:rPr>
          <w:lang w:val="es-BO"/>
        </w:rPr>
        <w:t>FARE</w:t>
      </w:r>
      <w:r w:rsidRPr="00895D0A">
        <w:rPr>
          <w:lang w:val="es-BO"/>
        </w:rPr>
        <w:t>, la FIFPro (</w:t>
      </w:r>
      <w:r w:rsidR="009D41F4">
        <w:rPr>
          <w:lang w:val="es-BO"/>
        </w:rPr>
        <w:t>unión</w:t>
      </w:r>
      <w:r w:rsidRPr="00895D0A">
        <w:rPr>
          <w:lang w:val="es-BO"/>
        </w:rPr>
        <w:t xml:space="preserve"> </w:t>
      </w:r>
      <w:r w:rsidR="009D41F4">
        <w:rPr>
          <w:lang w:val="es-BO"/>
        </w:rPr>
        <w:t>m</w:t>
      </w:r>
      <w:r w:rsidR="009D41F4" w:rsidRPr="00895D0A">
        <w:rPr>
          <w:lang w:val="es-BO"/>
        </w:rPr>
        <w:t xml:space="preserve">undial </w:t>
      </w:r>
      <w:r w:rsidRPr="00895D0A">
        <w:rPr>
          <w:lang w:val="es-BO"/>
        </w:rPr>
        <w:t xml:space="preserve">de </w:t>
      </w:r>
      <w:r w:rsidR="009D41F4">
        <w:rPr>
          <w:lang w:val="es-BO"/>
        </w:rPr>
        <w:t>f</w:t>
      </w:r>
      <w:r w:rsidR="009D41F4" w:rsidRPr="00895D0A">
        <w:rPr>
          <w:lang w:val="es-BO"/>
        </w:rPr>
        <w:t>utbolistas</w:t>
      </w:r>
      <w:r w:rsidRPr="00895D0A">
        <w:rPr>
          <w:lang w:val="es-BO"/>
        </w:rPr>
        <w:t>) y representantes del Ministerio del Interior.</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b/>
          <w:lang w:val="es-BO"/>
        </w:rPr>
        <w:t xml:space="preserve">Los medios de comunicación </w:t>
      </w:r>
      <w:r w:rsidRPr="00895D0A">
        <w:rPr>
          <w:lang w:val="es-BO"/>
        </w:rPr>
        <w:t xml:space="preserve">juegan un papel importante en la lucha contra la discriminación racial y las actitudes racistas, </w:t>
      </w:r>
      <w:r w:rsidR="009D41F4">
        <w:rPr>
          <w:lang w:val="es-BO"/>
        </w:rPr>
        <w:t>como</w:t>
      </w:r>
      <w:r w:rsidRPr="00895D0A">
        <w:rPr>
          <w:lang w:val="es-BO"/>
        </w:rPr>
        <w:t xml:space="preserve"> fuente de información </w:t>
      </w:r>
      <w:r w:rsidR="009D41F4">
        <w:rPr>
          <w:lang w:val="es-BO"/>
        </w:rPr>
        <w:t>y</w:t>
      </w:r>
      <w:r w:rsidRPr="00895D0A">
        <w:rPr>
          <w:lang w:val="es-BO"/>
        </w:rPr>
        <w:t xml:space="preserve"> co</w:t>
      </w:r>
      <w:r w:rsidR="009D41F4">
        <w:rPr>
          <w:lang w:val="es-BO"/>
        </w:rPr>
        <w:t>mo</w:t>
      </w:r>
      <w:r w:rsidRPr="00895D0A">
        <w:rPr>
          <w:lang w:val="es-BO"/>
        </w:rPr>
        <w:t xml:space="preserve"> vehículo de mensajes </w:t>
      </w:r>
      <w:r w:rsidR="009D41F4">
        <w:rPr>
          <w:lang w:val="es-BO"/>
        </w:rPr>
        <w:t>a la opinión</w:t>
      </w:r>
      <w:r w:rsidRPr="00895D0A">
        <w:rPr>
          <w:lang w:val="es-BO"/>
        </w:rPr>
        <w:t xml:space="preserve"> públic</w:t>
      </w:r>
      <w:r w:rsidR="009D41F4">
        <w:rPr>
          <w:lang w:val="es-BO"/>
        </w:rPr>
        <w:t>a</w:t>
      </w:r>
      <w:r w:rsidRPr="00895D0A">
        <w:rPr>
          <w:lang w:val="es-BO"/>
        </w:rPr>
        <w:t xml:space="preserve"> en relación con el racismo y la intolerancia. Según datos recogidos por la UNAR en 2013, las denuncias de discriminación en el trabajo han disminuido, mientras que las relacionadas con los medios de comunicación aumentaron hasta el 26,2%, concretamente a causa de la mala calidad de la información sobre la migración y las minorías.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aplicación de la </w:t>
      </w:r>
      <w:r w:rsidRPr="009428BD">
        <w:rPr>
          <w:b/>
          <w:lang w:val="es-BO"/>
        </w:rPr>
        <w:t>“Carta di Roma”</w:t>
      </w:r>
      <w:r w:rsidRPr="00895D0A">
        <w:rPr>
          <w:lang w:val="es-BO"/>
        </w:rPr>
        <w:t xml:space="preserve"> (Carta de Roma),</w:t>
      </w:r>
      <w:r w:rsidR="009D41F4">
        <w:rPr>
          <w:lang w:val="es-BO"/>
        </w:rPr>
        <w:t xml:space="preserve"> que es</w:t>
      </w:r>
      <w:r w:rsidRPr="00895D0A">
        <w:rPr>
          <w:lang w:val="es-BO"/>
        </w:rPr>
        <w:t xml:space="preserve"> un código deontológico que </w:t>
      </w:r>
      <w:r w:rsidR="009D41F4">
        <w:rPr>
          <w:lang w:val="es-BO"/>
        </w:rPr>
        <w:t>contiene</w:t>
      </w:r>
      <w:r w:rsidRPr="00895D0A">
        <w:rPr>
          <w:lang w:val="es-BO"/>
        </w:rPr>
        <w:t xml:space="preserve"> directrices para la información correcta sobre cuestiones tales como la inmigración, el asilo y la trata, ha sido supervisada por las autoridades competentes tras las denuncias recibidas por la UNAR de periodistas que habían publicado información con expresiones de odio racial en periódicos y revistas, así como en programas de televisión y radiodifusión. </w:t>
      </w:r>
      <w:r w:rsidR="009D41F4">
        <w:rPr>
          <w:lang w:val="es-BO"/>
        </w:rPr>
        <w:t>Al propio tiempo la UNAR</w:t>
      </w:r>
      <w:r w:rsidRPr="00895D0A">
        <w:rPr>
          <w:lang w:val="es-BO"/>
        </w:rPr>
        <w:t xml:space="preserve">, en colaboración con la Federación Nacional de la Prensa Italiana, </w:t>
      </w:r>
      <w:r w:rsidR="009D41F4">
        <w:rPr>
          <w:lang w:val="es-BO"/>
        </w:rPr>
        <w:t>viene</w:t>
      </w:r>
      <w:r w:rsidRPr="00895D0A">
        <w:rPr>
          <w:lang w:val="es-BO"/>
        </w:rPr>
        <w:t xml:space="preserve"> financia</w:t>
      </w:r>
      <w:r w:rsidR="009D41F4">
        <w:rPr>
          <w:lang w:val="es-BO"/>
        </w:rPr>
        <w:t>n</w:t>
      </w:r>
      <w:r w:rsidRPr="00895D0A">
        <w:rPr>
          <w:lang w:val="es-BO"/>
        </w:rPr>
        <w:t xml:space="preserve">do desde enero de 2012 cursos de </w:t>
      </w:r>
      <w:r w:rsidR="009D41F4">
        <w:rPr>
          <w:lang w:val="es-BO"/>
        </w:rPr>
        <w:t>forma</w:t>
      </w:r>
      <w:r w:rsidRPr="00895D0A">
        <w:rPr>
          <w:lang w:val="es-BO"/>
        </w:rPr>
        <w:t xml:space="preserve">ción y </w:t>
      </w:r>
      <w:r w:rsidR="009D41F4">
        <w:rPr>
          <w:lang w:val="es-BO"/>
        </w:rPr>
        <w:t>de repaso</w:t>
      </w:r>
      <w:r w:rsidRPr="00895D0A">
        <w:rPr>
          <w:lang w:val="es-BO"/>
        </w:rPr>
        <w:t xml:space="preserve"> para reporteros y estudiantes de escuelas de periodismo en las regiones de Calabria, Campania, Apulia y Sicilia, con el apoyo de las asociaciones regionales de periodistas. Por otra parte, se ha establecido un observatorio permanente encargado de supervisar la información </w:t>
      </w:r>
      <w:r w:rsidR="000A52CD">
        <w:rPr>
          <w:lang w:val="es-BO"/>
        </w:rPr>
        <w:t>cotidiana de</w:t>
      </w:r>
      <w:r w:rsidRPr="00895D0A">
        <w:rPr>
          <w:lang w:val="es-BO"/>
        </w:rPr>
        <w:t xml:space="preserve"> los periódicos y las revistas en línea. Desde julio de 2013, esta actividad consiste en un examen minucioso de más de 50 periódicos nacionales y locales y más de 30 revistas semanales, así como en la inserción de artículos en una base de datos especial </w:t>
      </w:r>
      <w:r w:rsidR="000A52CD">
        <w:rPr>
          <w:lang w:val="es-BO"/>
        </w:rPr>
        <w:t>que se consulta por</w:t>
      </w:r>
      <w:r w:rsidRPr="00895D0A">
        <w:rPr>
          <w:lang w:val="es-BO"/>
        </w:rPr>
        <w:t xml:space="preserve"> palabras clave y </w:t>
      </w:r>
      <w:r w:rsidR="000A52CD">
        <w:rPr>
          <w:lang w:val="es-BO"/>
        </w:rPr>
        <w:t>temas en función de sectores</w:t>
      </w:r>
      <w:r w:rsidRPr="00895D0A">
        <w:rPr>
          <w:lang w:val="es-BO"/>
        </w:rPr>
        <w:t xml:space="preserve"> principales tales como la migración, el asilo y las minorías étnicas. Todos estos materiales están disponibles en el sitio web www.cartadiroma.org. A finales de octubre de 2014 se </w:t>
      </w:r>
      <w:r w:rsidR="000A52CD">
        <w:rPr>
          <w:lang w:val="es-BO"/>
        </w:rPr>
        <w:t>completó</w:t>
      </w:r>
      <w:r w:rsidRPr="00895D0A">
        <w:rPr>
          <w:lang w:val="es-BO"/>
        </w:rPr>
        <w:t xml:space="preserve"> un examen exhaustivo de 13.312 artículos (más de 36 artículos por día</w:t>
      </w:r>
      <w:r w:rsidR="000A52CD">
        <w:rPr>
          <w:lang w:val="es-BO"/>
        </w:rPr>
        <w:t xml:space="preserve"> en promedio</w:t>
      </w:r>
      <w:r w:rsidRPr="00895D0A">
        <w:rPr>
          <w:lang w:val="es-BO"/>
        </w:rPr>
        <w:t xml:space="preserve">) </w:t>
      </w:r>
      <w:r w:rsidR="000A52CD">
        <w:rPr>
          <w:lang w:val="es-BO"/>
        </w:rPr>
        <w:t>relacio</w:t>
      </w:r>
      <w:r w:rsidRPr="00895D0A">
        <w:rPr>
          <w:lang w:val="es-BO"/>
        </w:rPr>
        <w:t>n</w:t>
      </w:r>
      <w:r w:rsidR="000A52CD">
        <w:rPr>
          <w:lang w:val="es-BO"/>
        </w:rPr>
        <w:t>ados</w:t>
      </w:r>
      <w:r w:rsidRPr="00895D0A">
        <w:rPr>
          <w:lang w:val="es-BO"/>
        </w:rPr>
        <w:t xml:space="preserve"> con comentarios institucionales y políticos o episodios locales</w:t>
      </w:r>
      <w:r w:rsidR="000A52CD" w:rsidRPr="000A52CD">
        <w:rPr>
          <w:lang w:val="es-BO"/>
        </w:rPr>
        <w:t xml:space="preserve"> </w:t>
      </w:r>
      <w:r w:rsidR="000A52CD" w:rsidRPr="00895D0A">
        <w:rPr>
          <w:lang w:val="es-BO"/>
        </w:rPr>
        <w:t>discriminatorios</w:t>
      </w:r>
      <w:r w:rsidRPr="00895D0A">
        <w:rPr>
          <w:lang w:val="es-BO"/>
        </w:rPr>
        <w:t xml:space="preserve">. En </w:t>
      </w:r>
      <w:r w:rsidR="000A52CD">
        <w:rPr>
          <w:lang w:val="es-BO"/>
        </w:rPr>
        <w:t>general</w:t>
      </w:r>
      <w:r w:rsidRPr="00895D0A">
        <w:rPr>
          <w:lang w:val="es-BO"/>
        </w:rPr>
        <w:t xml:space="preserve">, los medios de comunicación han prestado mayor atención a esta cuestión, </w:t>
      </w:r>
      <w:r w:rsidR="000A52CD" w:rsidRPr="00895D0A">
        <w:rPr>
          <w:lang w:val="es-BO"/>
        </w:rPr>
        <w:t xml:space="preserve">gracias </w:t>
      </w:r>
      <w:r w:rsidRPr="00895D0A">
        <w:rPr>
          <w:lang w:val="es-BO"/>
        </w:rPr>
        <w:t xml:space="preserve">en parte a la </w:t>
      </w:r>
      <w:r w:rsidR="000A52CD">
        <w:rPr>
          <w:lang w:val="es-BO"/>
        </w:rPr>
        <w:t>formación</w:t>
      </w:r>
      <w:r w:rsidRPr="00895D0A">
        <w:rPr>
          <w:lang w:val="es-BO"/>
        </w:rPr>
        <w:t xml:space="preserve"> regional </w:t>
      </w:r>
      <w:r w:rsidR="000A52CD">
        <w:rPr>
          <w:lang w:val="es-BO"/>
        </w:rPr>
        <w:t>obligatoria;</w:t>
      </w:r>
      <w:r w:rsidRPr="00895D0A">
        <w:rPr>
          <w:lang w:val="es-BO"/>
        </w:rPr>
        <w:t xml:space="preserve"> hasta la fecha, más de 700 operadores de los medios de comunicación han recibido </w:t>
      </w:r>
      <w:r w:rsidR="000A52CD">
        <w:rPr>
          <w:lang w:val="es-BO"/>
        </w:rPr>
        <w:t>formación</w:t>
      </w:r>
      <w:r w:rsidRPr="00895D0A">
        <w:rPr>
          <w:lang w:val="es-BO"/>
        </w:rPr>
        <w:t xml:space="preserve"> específica sobre la Carta de Roma.</w:t>
      </w:r>
    </w:p>
    <w:p w:rsidR="00895D0A" w:rsidRPr="00895D0A" w:rsidRDefault="000A52CD" w:rsidP="00492626">
      <w:pPr>
        <w:pStyle w:val="SingleTxt"/>
        <w:numPr>
          <w:ilvl w:val="0"/>
          <w:numId w:val="15"/>
        </w:numPr>
        <w:tabs>
          <w:tab w:val="clear" w:pos="475"/>
          <w:tab w:val="num" w:pos="1742"/>
        </w:tabs>
        <w:suppressAutoHyphens w:val="0"/>
        <w:ind w:left="1267"/>
        <w:rPr>
          <w:lang w:val="es-BO"/>
        </w:rPr>
      </w:pPr>
      <w:r>
        <w:rPr>
          <w:lang w:val="es-BO"/>
        </w:rPr>
        <w:t>En</w:t>
      </w:r>
      <w:r w:rsidR="00895D0A" w:rsidRPr="00895D0A">
        <w:rPr>
          <w:lang w:val="es-BO"/>
        </w:rPr>
        <w:t xml:space="preserve"> lo que respecta a la lucha contra las manifestaciones de racismo e intolerancia a través de </w:t>
      </w:r>
      <w:r w:rsidR="00895D0A" w:rsidRPr="00895D0A">
        <w:rPr>
          <w:b/>
          <w:lang w:val="es-BO"/>
        </w:rPr>
        <w:t>Internet</w:t>
      </w:r>
      <w:r w:rsidR="00895D0A" w:rsidRPr="00895D0A">
        <w:rPr>
          <w:lang w:val="es-BO"/>
        </w:rPr>
        <w:t xml:space="preserve">, el Gobierno es consciente de la necesidad de emplear todos los medios adecuados para combatir las frecuentes expresiones de racismo en línea que </w:t>
      </w:r>
      <w:r>
        <w:rPr>
          <w:lang w:val="es-BO"/>
        </w:rPr>
        <w:t>aparecen</w:t>
      </w:r>
      <w:r w:rsidR="00895D0A" w:rsidRPr="00895D0A">
        <w:rPr>
          <w:lang w:val="es-BO"/>
        </w:rPr>
        <w:t xml:space="preserve"> en los sitios web, la</w:t>
      </w:r>
      <w:r w:rsidR="00D124C4">
        <w:rPr>
          <w:lang w:val="es-BO"/>
        </w:rPr>
        <w:t>s</w:t>
      </w:r>
      <w:r w:rsidR="00895D0A" w:rsidRPr="00895D0A">
        <w:rPr>
          <w:lang w:val="es-BO"/>
        </w:rPr>
        <w:t xml:space="preserve"> redes sociales y los blogs. El racismo en </w:t>
      </w:r>
      <w:r>
        <w:rPr>
          <w:lang w:val="es-BO"/>
        </w:rPr>
        <w:t>Internet o en</w:t>
      </w:r>
      <w:r w:rsidR="00895D0A" w:rsidRPr="00895D0A">
        <w:rPr>
          <w:lang w:val="es-BO"/>
        </w:rPr>
        <w:t xml:space="preserve"> las redes sociales es difícil de controlar </w:t>
      </w:r>
      <w:r>
        <w:rPr>
          <w:lang w:val="es-BO"/>
        </w:rPr>
        <w:t>con</w:t>
      </w:r>
      <w:r w:rsidR="00895D0A" w:rsidRPr="00895D0A">
        <w:rPr>
          <w:lang w:val="es-BO"/>
        </w:rPr>
        <w:t xml:space="preserve"> un enfoque preventivo: estos medios alimentan la propaganda política y ejercen presión sobre los debates públicos. Muchas noticias se divulgan a través de sitios web, blogs y redes sociales y </w:t>
      </w:r>
      <w:r>
        <w:rPr>
          <w:lang w:val="es-BO"/>
        </w:rPr>
        <w:t>se comentan con</w:t>
      </w:r>
      <w:r w:rsidR="00895D0A" w:rsidRPr="00895D0A">
        <w:rPr>
          <w:lang w:val="es-BO"/>
        </w:rPr>
        <w:t xml:space="preserve"> expresiones racistas</w:t>
      </w:r>
      <w:r>
        <w:rPr>
          <w:lang w:val="es-BO"/>
        </w:rPr>
        <w:t>:</w:t>
      </w:r>
      <w:r w:rsidR="00895D0A" w:rsidRPr="00895D0A">
        <w:rPr>
          <w:lang w:val="es-BO"/>
        </w:rPr>
        <w:t xml:space="preserve"> </w:t>
      </w:r>
      <w:r>
        <w:rPr>
          <w:lang w:val="es-BO"/>
        </w:rPr>
        <w:t>se habla de</w:t>
      </w:r>
      <w:r w:rsidR="00895D0A" w:rsidRPr="00895D0A">
        <w:rPr>
          <w:lang w:val="es-BO"/>
        </w:rPr>
        <w:t xml:space="preserve"> la “invasión” de los migrantes, </w:t>
      </w:r>
      <w:r>
        <w:rPr>
          <w:lang w:val="es-BO"/>
        </w:rPr>
        <w:t>de</w:t>
      </w:r>
      <w:r w:rsidR="00895D0A" w:rsidRPr="00895D0A">
        <w:rPr>
          <w:lang w:val="es-BO"/>
        </w:rPr>
        <w:t xml:space="preserve"> los derechos y obligaciones de los migrantes y la población italiana, </w:t>
      </w:r>
      <w:r>
        <w:rPr>
          <w:lang w:val="es-BO"/>
        </w:rPr>
        <w:t xml:space="preserve">se </w:t>
      </w:r>
      <w:r w:rsidR="00895D0A" w:rsidRPr="00895D0A">
        <w:rPr>
          <w:lang w:val="es-BO"/>
        </w:rPr>
        <w:t>estigmat</w:t>
      </w:r>
      <w:r w:rsidR="00C455FB">
        <w:rPr>
          <w:lang w:val="es-BO"/>
        </w:rPr>
        <w:t>iza a</w:t>
      </w:r>
      <w:r w:rsidR="00895D0A" w:rsidRPr="00895D0A">
        <w:rPr>
          <w:lang w:val="es-BO"/>
        </w:rPr>
        <w:t xml:space="preserve"> las comunidades musulmanas </w:t>
      </w:r>
      <w:r w:rsidR="00C455FB">
        <w:rPr>
          <w:lang w:val="es-BO"/>
        </w:rPr>
        <w:t xml:space="preserve">o se culpa </w:t>
      </w:r>
      <w:r w:rsidR="00C455FB" w:rsidRPr="00895D0A">
        <w:rPr>
          <w:lang w:val="es-BO"/>
        </w:rPr>
        <w:t>a los migrantes</w:t>
      </w:r>
      <w:r w:rsidR="00C455FB">
        <w:rPr>
          <w:lang w:val="es-BO"/>
        </w:rPr>
        <w:t xml:space="preserve"> de</w:t>
      </w:r>
      <w:r w:rsidR="00895D0A" w:rsidRPr="00895D0A">
        <w:rPr>
          <w:lang w:val="es-BO"/>
        </w:rPr>
        <w:t xml:space="preserve"> ciertos d</w:t>
      </w:r>
      <w:r w:rsidR="00C455FB">
        <w:rPr>
          <w:lang w:val="es-BO"/>
        </w:rPr>
        <w:t>elitos, presuntos o demostrados</w:t>
      </w:r>
      <w:r w:rsidR="00895D0A" w:rsidRPr="00895D0A">
        <w:rPr>
          <w:lang w:val="es-BO"/>
        </w:rPr>
        <w:t xml:space="preserve">. En </w:t>
      </w:r>
      <w:r w:rsidR="00C455FB">
        <w:rPr>
          <w:lang w:val="es-BO"/>
        </w:rPr>
        <w:t>lo referente</w:t>
      </w:r>
      <w:r w:rsidR="00895D0A" w:rsidRPr="00895D0A">
        <w:rPr>
          <w:lang w:val="es-BO"/>
        </w:rPr>
        <w:t xml:space="preserve"> al </w:t>
      </w:r>
      <w:r w:rsidR="00895D0A" w:rsidRPr="00895D0A">
        <w:rPr>
          <w:b/>
          <w:lang w:val="es-BO"/>
        </w:rPr>
        <w:t>Protocolo Adicional al Convenio sobre la Ciberdelincuencia relativo a la Penalización de Actos de Índole Racista y Xenófoba Cometidos por Medio de Sistemas Informáticos</w:t>
      </w:r>
      <w:r w:rsidR="00895D0A" w:rsidRPr="00895D0A">
        <w:rPr>
          <w:lang w:val="es-BO"/>
        </w:rPr>
        <w:t xml:space="preserve">, firmado por Italia el 9 de noviembre de 2011, pronto comenzarán los </w:t>
      </w:r>
      <w:r w:rsidR="00C455FB">
        <w:rPr>
          <w:lang w:val="es-BO"/>
        </w:rPr>
        <w:t>trámites</w:t>
      </w:r>
      <w:r w:rsidR="00895D0A" w:rsidRPr="00895D0A">
        <w:rPr>
          <w:lang w:val="es-BO"/>
        </w:rPr>
        <w:t xml:space="preserve"> formales internos para el proceso de ratificación.</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Asimismo, la posibilidad de denunciar </w:t>
      </w:r>
      <w:r w:rsidR="00C455FB">
        <w:rPr>
          <w:lang w:val="es-BO"/>
        </w:rPr>
        <w:t>a</w:t>
      </w:r>
      <w:r w:rsidRPr="00895D0A">
        <w:rPr>
          <w:lang w:val="es-BO"/>
        </w:rPr>
        <w:t xml:space="preserve"> la UNAR cualquier material en línea cuyo contenido pueda ser discriminatorio o racista, o promueva el odio racial, permite a dicha Oficina, si los casos están </w:t>
      </w:r>
      <w:r w:rsidR="00C455FB">
        <w:rPr>
          <w:lang w:val="es-BO"/>
        </w:rPr>
        <w:t>bien fundamentados</w:t>
      </w:r>
      <w:r w:rsidRPr="00895D0A">
        <w:rPr>
          <w:lang w:val="es-BO"/>
        </w:rPr>
        <w:t xml:space="preserve"> y son penalmente sancionables, alertar a la Policía para que se inicien </w:t>
      </w:r>
      <w:r w:rsidR="00C455FB">
        <w:rPr>
          <w:lang w:val="es-BO"/>
        </w:rPr>
        <w:t>acciones penales</w:t>
      </w:r>
      <w:r w:rsidRPr="00895D0A">
        <w:rPr>
          <w:lang w:val="es-BO"/>
        </w:rPr>
        <w:t xml:space="preserve">, o a la Policía Postal y de Comunicaciones, encargada de controlar y supervisar el sistema. Estas intervenciones </w:t>
      </w:r>
      <w:r w:rsidR="00902519">
        <w:rPr>
          <w:lang w:val="es-BO"/>
        </w:rPr>
        <w:t>dieron lugar a</w:t>
      </w:r>
      <w:r w:rsidRPr="00895D0A">
        <w:rPr>
          <w:lang w:val="es-BO"/>
        </w:rPr>
        <w:t xml:space="preserve"> la eliminación de sitios web y blogs </w:t>
      </w:r>
      <w:r w:rsidR="00902519">
        <w:rPr>
          <w:lang w:val="es-BO"/>
        </w:rPr>
        <w:t>caracterizados</w:t>
      </w:r>
      <w:r w:rsidRPr="00895D0A">
        <w:rPr>
          <w:lang w:val="es-BO"/>
        </w:rPr>
        <w:t xml:space="preserve"> por la xenofobia y la incitación al odio racial. </w:t>
      </w:r>
      <w:r w:rsidR="00902519">
        <w:rPr>
          <w:lang w:val="es-BO"/>
        </w:rPr>
        <w:t>E</w:t>
      </w:r>
      <w:r w:rsidRPr="00895D0A">
        <w:rPr>
          <w:lang w:val="es-BO"/>
        </w:rPr>
        <w:t xml:space="preserve">ntre los casos más famosos </w:t>
      </w:r>
      <w:r w:rsidR="00902519">
        <w:rPr>
          <w:lang w:val="es-BO"/>
        </w:rPr>
        <w:t xml:space="preserve">figura </w:t>
      </w:r>
      <w:r w:rsidRPr="00895D0A">
        <w:rPr>
          <w:lang w:val="es-BO"/>
        </w:rPr>
        <w:t>el del blog neonazi Stormfront.org, en el que, entre 2011 y 2012, varios miembros publicaron mensajes anónimos, imá</w:t>
      </w:r>
      <w:r w:rsidR="00753DF8">
        <w:rPr>
          <w:lang w:val="es-BO"/>
        </w:rPr>
        <w:t>genes, grabaciones de audio y ví</w:t>
      </w:r>
      <w:r w:rsidRPr="00895D0A">
        <w:rPr>
          <w:lang w:val="es-BO"/>
        </w:rPr>
        <w:t xml:space="preserve">deos que promovían ideas de supremacía racial, negaban el Holocausto y condenaban las medidas de ayuda </w:t>
      </w:r>
      <w:r w:rsidR="00902519">
        <w:rPr>
          <w:lang w:val="es-BO"/>
        </w:rPr>
        <w:t>a</w:t>
      </w:r>
      <w:r w:rsidRPr="00895D0A">
        <w:rPr>
          <w:lang w:val="es-BO"/>
        </w:rPr>
        <w:t xml:space="preserve"> los migrantes. El 8 de abril de 2013, el Tribunal de Roma sentenci</w:t>
      </w:r>
      <w:r w:rsidR="00902519">
        <w:rPr>
          <w:lang w:val="es-BO"/>
        </w:rPr>
        <w:t>ó</w:t>
      </w:r>
      <w:r w:rsidRPr="00895D0A">
        <w:rPr>
          <w:lang w:val="es-BO"/>
        </w:rPr>
        <w:t xml:space="preserve"> </w:t>
      </w:r>
      <w:r w:rsidR="00902519">
        <w:rPr>
          <w:lang w:val="es-BO"/>
        </w:rPr>
        <w:t>a</w:t>
      </w:r>
      <w:r w:rsidRPr="00895D0A">
        <w:rPr>
          <w:lang w:val="es-BO"/>
        </w:rPr>
        <w:t xml:space="preserve"> cuatro personas y ordenó el cierre del sitio web.</w:t>
      </w:r>
    </w:p>
    <w:p w:rsidR="00895D0A" w:rsidRPr="00895D0A" w:rsidRDefault="00F91C07" w:rsidP="00492626">
      <w:pPr>
        <w:pStyle w:val="SingleTxt"/>
        <w:numPr>
          <w:ilvl w:val="0"/>
          <w:numId w:val="15"/>
        </w:numPr>
        <w:tabs>
          <w:tab w:val="clear" w:pos="475"/>
          <w:tab w:val="num" w:pos="1742"/>
        </w:tabs>
        <w:suppressAutoHyphens w:val="0"/>
        <w:ind w:left="1267"/>
        <w:rPr>
          <w:lang w:val="es-BO"/>
        </w:rPr>
      </w:pPr>
      <w:r>
        <w:rPr>
          <w:lang w:val="es-BO"/>
        </w:rPr>
        <w:t>En</w:t>
      </w:r>
      <w:r w:rsidR="00895D0A" w:rsidRPr="00895D0A">
        <w:rPr>
          <w:lang w:val="es-BO"/>
        </w:rPr>
        <w:t xml:space="preserve"> lo que se refiere específicamente al artículo 2, párrafo 2, de la Convención, los trabajadores </w:t>
      </w:r>
      <w:r w:rsidR="00895D0A" w:rsidRPr="00895D0A">
        <w:rPr>
          <w:b/>
          <w:lang w:val="es-BO"/>
        </w:rPr>
        <w:t>migrantes en situación regular</w:t>
      </w:r>
      <w:r w:rsidR="00895D0A" w:rsidRPr="00895D0A">
        <w:rPr>
          <w:lang w:val="es-BO"/>
        </w:rPr>
        <w:t xml:space="preserve"> están plenamente protegidos y</w:t>
      </w:r>
      <w:r>
        <w:rPr>
          <w:lang w:val="es-BO"/>
        </w:rPr>
        <w:t>,</w:t>
      </w:r>
      <w:r w:rsidR="00895D0A" w:rsidRPr="00895D0A">
        <w:rPr>
          <w:lang w:val="es-BO"/>
        </w:rPr>
        <w:t xml:space="preserve"> gracias a los contratos de trabajo</w:t>
      </w:r>
      <w:r>
        <w:rPr>
          <w:lang w:val="es-BO"/>
        </w:rPr>
        <w:t>,</w:t>
      </w:r>
      <w:r w:rsidR="00895D0A" w:rsidRPr="00895D0A">
        <w:rPr>
          <w:lang w:val="es-BO"/>
        </w:rPr>
        <w:t xml:space="preserve"> </w:t>
      </w:r>
      <w:r>
        <w:rPr>
          <w:lang w:val="es-BO"/>
        </w:rPr>
        <w:t>gozan</w:t>
      </w:r>
      <w:r w:rsidR="00895D0A" w:rsidRPr="00895D0A">
        <w:rPr>
          <w:lang w:val="es-BO"/>
        </w:rPr>
        <w:t xml:space="preserve"> de los mismos derechos que los trabajadores italianos. Con arreglo a nuestra </w:t>
      </w:r>
      <w:r>
        <w:rPr>
          <w:lang w:val="es-BO"/>
        </w:rPr>
        <w:t>legislación</w:t>
      </w:r>
      <w:r w:rsidR="00895D0A" w:rsidRPr="00895D0A">
        <w:rPr>
          <w:lang w:val="es-BO"/>
        </w:rPr>
        <w:t xml:space="preserve">, el convenio colectivo nacional de empleo firmado </w:t>
      </w:r>
      <w:r>
        <w:rPr>
          <w:lang w:val="es-BO"/>
        </w:rPr>
        <w:t>por</w:t>
      </w:r>
      <w:r w:rsidR="00895D0A" w:rsidRPr="00895D0A">
        <w:rPr>
          <w:lang w:val="es-BO"/>
        </w:rPr>
        <w:t xml:space="preserve"> las organizaciones </w:t>
      </w:r>
      <w:r>
        <w:rPr>
          <w:lang w:val="es-BO"/>
        </w:rPr>
        <w:t>representativas</w:t>
      </w:r>
      <w:r w:rsidR="00895D0A" w:rsidRPr="00895D0A">
        <w:rPr>
          <w:lang w:val="es-BO"/>
        </w:rPr>
        <w:t xml:space="preserve"> de los trabajadores y </w:t>
      </w:r>
      <w:r>
        <w:rPr>
          <w:lang w:val="es-BO"/>
        </w:rPr>
        <w:t xml:space="preserve">las </w:t>
      </w:r>
      <w:r w:rsidR="00895D0A" w:rsidRPr="00895D0A">
        <w:rPr>
          <w:lang w:val="es-BO"/>
        </w:rPr>
        <w:t xml:space="preserve">asociaciones de empleadores tiene por finalidad </w:t>
      </w:r>
      <w:r>
        <w:rPr>
          <w:lang w:val="es-BO"/>
        </w:rPr>
        <w:t>la regulación previa conjunta de</w:t>
      </w:r>
      <w:r w:rsidR="00895D0A" w:rsidRPr="00895D0A">
        <w:rPr>
          <w:lang w:val="es-BO"/>
        </w:rPr>
        <w:t xml:space="preserve"> las cuestiones económicas </w:t>
      </w:r>
      <w:r>
        <w:rPr>
          <w:lang w:val="es-BO"/>
        </w:rPr>
        <w:t>y reglamentarias</w:t>
      </w:r>
      <w:r w:rsidR="00895D0A" w:rsidRPr="00895D0A">
        <w:rPr>
          <w:lang w:val="es-BO"/>
        </w:rPr>
        <w:t xml:space="preserve"> mínimas aplicables a todos los trabajadores.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Nuestro país ha prestado particular atención a la gestión de las cuestiones crí</w:t>
      </w:r>
      <w:r w:rsidR="00B1717E">
        <w:rPr>
          <w:lang w:val="es-BO"/>
        </w:rPr>
        <w:t>ticas </w:t>
      </w:r>
      <w:r w:rsidRPr="00895D0A">
        <w:rPr>
          <w:lang w:val="es-BO"/>
        </w:rPr>
        <w:t xml:space="preserve">relacionadas con la </w:t>
      </w:r>
      <w:r w:rsidRPr="00895D0A">
        <w:rPr>
          <w:b/>
          <w:lang w:val="es-BO"/>
        </w:rPr>
        <w:t>regularización de los contratos de trabajo</w:t>
      </w:r>
      <w:r w:rsidR="00B1717E">
        <w:rPr>
          <w:lang w:val="es-BO"/>
        </w:rPr>
        <w:t>. En 2012 se </w:t>
      </w:r>
      <w:r w:rsidRPr="00895D0A">
        <w:rPr>
          <w:lang w:val="es-BO"/>
        </w:rPr>
        <w:t xml:space="preserve">incorporó </w:t>
      </w:r>
      <w:r w:rsidRPr="00B1717E">
        <w:rPr>
          <w:spacing w:val="5"/>
          <w:lang w:val="es-BO"/>
        </w:rPr>
        <w:t>a la legislación italiana la Directiva de la Unión Europea sobre sanciones a los empleadores que dan trabajo a nacionales no europ</w:t>
      </w:r>
      <w:r w:rsidR="00B1717E" w:rsidRPr="00B1717E">
        <w:rPr>
          <w:spacing w:val="5"/>
          <w:lang w:val="es-BO"/>
        </w:rPr>
        <w:t>eos ilegales, lo que contribuyó</w:t>
      </w:r>
      <w:r w:rsidR="00B1717E">
        <w:rPr>
          <w:lang w:val="es-BO"/>
        </w:rPr>
        <w:t xml:space="preserve"> </w:t>
      </w:r>
      <w:r w:rsidRPr="00895D0A">
        <w:rPr>
          <w:lang w:val="es-BO"/>
        </w:rPr>
        <w:t>a revelar</w:t>
      </w:r>
      <w:r w:rsidR="00B94807">
        <w:rPr>
          <w:lang w:val="es-BO"/>
        </w:rPr>
        <w:t xml:space="preserve"> casos de trabajo clandestino. E</w:t>
      </w:r>
      <w:r w:rsidR="00B94807" w:rsidRPr="00895D0A">
        <w:rPr>
          <w:lang w:val="es-BO"/>
        </w:rPr>
        <w:t xml:space="preserve">n octubre de 2012 </w:t>
      </w:r>
      <w:r w:rsidR="00B94807">
        <w:rPr>
          <w:lang w:val="es-BO"/>
        </w:rPr>
        <w:t>s</w:t>
      </w:r>
      <w:r w:rsidRPr="00895D0A">
        <w:rPr>
          <w:lang w:val="es-BO"/>
        </w:rPr>
        <w:t xml:space="preserve">e hicieron 134.576 declaraciones de empleados (el 86,17% relacionadas con </w:t>
      </w:r>
      <w:r w:rsidR="00B94807">
        <w:rPr>
          <w:lang w:val="es-BO"/>
        </w:rPr>
        <w:t>el empleo doméstico). E</w:t>
      </w:r>
      <w:r w:rsidR="00B94807" w:rsidRPr="00895D0A">
        <w:rPr>
          <w:lang w:val="es-BO"/>
        </w:rPr>
        <w:t>l</w:t>
      </w:r>
      <w:r w:rsidR="00B94807">
        <w:rPr>
          <w:lang w:val="es-BO"/>
        </w:rPr>
        <w:t xml:space="preserve"> </w:t>
      </w:r>
      <w:r w:rsidR="00B94807" w:rsidRPr="00895D0A">
        <w:rPr>
          <w:lang w:val="es-BO"/>
        </w:rPr>
        <w:t>21</w:t>
      </w:r>
      <w:r w:rsidR="00B94807">
        <w:rPr>
          <w:lang w:val="es-BO"/>
        </w:rPr>
        <w:t xml:space="preserve"> </w:t>
      </w:r>
      <w:r w:rsidR="00B94807" w:rsidRPr="00895D0A">
        <w:rPr>
          <w:lang w:val="es-BO"/>
        </w:rPr>
        <w:t xml:space="preserve">de febrero de 2014 </w:t>
      </w:r>
      <w:r w:rsidR="00B94807">
        <w:rPr>
          <w:lang w:val="es-BO"/>
        </w:rPr>
        <w:t>s</w:t>
      </w:r>
      <w:r w:rsidRPr="00895D0A">
        <w:rPr>
          <w:lang w:val="es-BO"/>
        </w:rPr>
        <w:t>e concedieron contratos de res</w:t>
      </w:r>
      <w:r w:rsidR="00B1717E">
        <w:rPr>
          <w:lang w:val="es-BO"/>
        </w:rPr>
        <w:t xml:space="preserve">idencia y permisos de trabajo a </w:t>
      </w:r>
      <w:r w:rsidRPr="00895D0A">
        <w:rPr>
          <w:lang w:val="es-BO"/>
        </w:rPr>
        <w:t>82.681 solicitantes (61%) (77.934 para empleo</w:t>
      </w:r>
      <w:r w:rsidR="00B94807">
        <w:rPr>
          <w:lang w:val="es-BO"/>
        </w:rPr>
        <w:t>s</w:t>
      </w:r>
      <w:r w:rsidRPr="00895D0A">
        <w:rPr>
          <w:lang w:val="es-BO"/>
        </w:rPr>
        <w:t xml:space="preserve"> doméstico</w:t>
      </w:r>
      <w:r w:rsidR="00B94807">
        <w:rPr>
          <w:lang w:val="es-BO"/>
        </w:rPr>
        <w:t>s</w:t>
      </w:r>
      <w:r w:rsidRPr="00895D0A">
        <w:rPr>
          <w:lang w:val="es-BO"/>
        </w:rPr>
        <w:t xml:space="preserve">). Se conceden permisos especiales si la declaración de empleados se rechaza por razones exclusivamente atribuibles al empleador, o en caso de </w:t>
      </w:r>
      <w:r w:rsidR="00B94807">
        <w:rPr>
          <w:lang w:val="es-BO"/>
        </w:rPr>
        <w:t>rescisión</w:t>
      </w:r>
      <w:r w:rsidRPr="00895D0A">
        <w:rPr>
          <w:lang w:val="es-BO"/>
        </w:rPr>
        <w:t xml:space="preserve"> de una relación de trabajo sujeta a </w:t>
      </w:r>
      <w:r w:rsidR="00B94807">
        <w:rPr>
          <w:lang w:val="es-BO"/>
        </w:rPr>
        <w:t xml:space="preserve">una </w:t>
      </w:r>
      <w:r w:rsidRPr="00895D0A">
        <w:rPr>
          <w:lang w:val="es-BO"/>
        </w:rPr>
        <w:t>declaración aún no definida.</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Las páginas web </w:t>
      </w:r>
      <w:r w:rsidR="007A4217">
        <w:rPr>
          <w:lang w:val="es-BO"/>
        </w:rPr>
        <w:t xml:space="preserve">contribuyen en gran medida a </w:t>
      </w:r>
      <w:r w:rsidRPr="00895D0A">
        <w:rPr>
          <w:lang w:val="es-BO"/>
        </w:rPr>
        <w:t xml:space="preserve">facilitar el goce de los derechos económicos, sociales y culturales de las personas, </w:t>
      </w:r>
      <w:r w:rsidR="007A4217">
        <w:rPr>
          <w:lang w:val="es-BO"/>
        </w:rPr>
        <w:t>mediante</w:t>
      </w:r>
      <w:r w:rsidRPr="00895D0A">
        <w:rPr>
          <w:lang w:val="es-BO"/>
        </w:rPr>
        <w:t xml:space="preserve"> la divulgación de información sobre los servicios disponibles, la </w:t>
      </w:r>
      <w:r w:rsidR="007A4217">
        <w:rPr>
          <w:lang w:val="es-BO"/>
        </w:rPr>
        <w:t>legislación</w:t>
      </w:r>
      <w:r w:rsidRPr="00895D0A">
        <w:rPr>
          <w:lang w:val="es-BO"/>
        </w:rPr>
        <w:t xml:space="preserve"> en vigor, los proyectos y las práctica</w:t>
      </w:r>
      <w:r w:rsidR="00D124C4">
        <w:rPr>
          <w:lang w:val="es-BO"/>
        </w:rPr>
        <w:t>s</w:t>
      </w:r>
      <w:r w:rsidRPr="00895D0A">
        <w:rPr>
          <w:lang w:val="es-BO"/>
        </w:rPr>
        <w:t xml:space="preserve"> óptimas en esas esferas. </w:t>
      </w:r>
      <w:r w:rsidR="007A4217">
        <w:rPr>
          <w:lang w:val="es-BO"/>
        </w:rPr>
        <w:t>A</w:t>
      </w:r>
      <w:r w:rsidRPr="00895D0A">
        <w:rPr>
          <w:lang w:val="es-BO"/>
        </w:rPr>
        <w:t xml:space="preserve"> este </w:t>
      </w:r>
      <w:r w:rsidR="007A4217">
        <w:rPr>
          <w:lang w:val="es-BO"/>
        </w:rPr>
        <w:t>respecto</w:t>
      </w:r>
      <w:r w:rsidRPr="00895D0A">
        <w:rPr>
          <w:lang w:val="es-BO"/>
        </w:rPr>
        <w:t xml:space="preserve">, el Ministerio de Trabajo y Políticas Sociales, en colaboración con los Ministerios del Interior y de Educación, lanzó el </w:t>
      </w:r>
      <w:r w:rsidRPr="00895D0A">
        <w:rPr>
          <w:b/>
          <w:lang w:val="es-BO"/>
        </w:rPr>
        <w:t xml:space="preserve">portal multilingüe “Integrazione Migranti” </w:t>
      </w:r>
      <w:r w:rsidRPr="00895D0A">
        <w:rPr>
          <w:lang w:val="es-BO"/>
        </w:rPr>
        <w:t xml:space="preserve">(portal para la integración de los migrantes, www.integrazionemigranti.gov.it), disponible en diez idiomas (albanés, árabe, chino, español, francés, inglés, punyabí, ruso, tagalo y ucraniano). La red de entidades que participaron en la puesta en marcha del Portal se amplió posteriormente </w:t>
      </w:r>
      <w:r w:rsidR="007A4217">
        <w:rPr>
          <w:lang w:val="es-BO"/>
        </w:rPr>
        <w:t>con</w:t>
      </w:r>
      <w:r w:rsidRPr="00895D0A">
        <w:rPr>
          <w:lang w:val="es-BO"/>
        </w:rPr>
        <w:t xml:space="preserve"> la colaboración de </w:t>
      </w:r>
      <w:r w:rsidR="007A4217">
        <w:rPr>
          <w:lang w:val="es-BO"/>
        </w:rPr>
        <w:t>otras entidades institucionales</w:t>
      </w:r>
      <w:r w:rsidRPr="00895D0A">
        <w:rPr>
          <w:lang w:val="es-BO"/>
        </w:rPr>
        <w:t xml:space="preserve"> como el Ministerio de Salud, el Ministerio del Patrimonio Cultural y las regiones y municipios más activos en las políticas de integración e inmigración, así como </w:t>
      </w:r>
      <w:r w:rsidR="007A4217">
        <w:rPr>
          <w:lang w:val="es-BO"/>
        </w:rPr>
        <w:t>con</w:t>
      </w:r>
      <w:r w:rsidRPr="00895D0A">
        <w:rPr>
          <w:lang w:val="es-BO"/>
        </w:rPr>
        <w:t xml:space="preserve"> la participación de organizaciones internacionales (Oficina del Alto Comisionado de las Nacio</w:t>
      </w:r>
      <w:r w:rsidR="00246B35">
        <w:rPr>
          <w:lang w:val="es-BO"/>
        </w:rPr>
        <w:t>nes Unidas para los Refugiados –</w:t>
      </w:r>
      <w:r w:rsidRPr="00895D0A">
        <w:rPr>
          <w:lang w:val="es-BO"/>
        </w:rPr>
        <w:t xml:space="preserve"> ACNUR) y otros agentes del sector terciario que promueven y aplican políticas de integración, entre ellos las instituciones sociales </w:t>
      </w:r>
      <w:r w:rsidRPr="00B1717E">
        <w:rPr>
          <w:i/>
          <w:lang w:val="es-BO"/>
        </w:rPr>
        <w:t>(patronati)</w:t>
      </w:r>
      <w:r w:rsidRPr="00895D0A">
        <w:rPr>
          <w:lang w:val="es-BO"/>
        </w:rPr>
        <w:t xml:space="preserve">, que cuentan con más de 4.200 mostradores de inmigración, cuyos servicios </w:t>
      </w:r>
      <w:r w:rsidR="007A4217">
        <w:rPr>
          <w:lang w:val="es-BO"/>
        </w:rPr>
        <w:t>se indican</w:t>
      </w:r>
      <w:r w:rsidRPr="00895D0A">
        <w:rPr>
          <w:lang w:val="es-BO"/>
        </w:rPr>
        <w:t xml:space="preserve"> en el Portal </w:t>
      </w:r>
      <w:r w:rsidR="007A4217">
        <w:rPr>
          <w:lang w:val="es-BO"/>
        </w:rPr>
        <w:t>por</w:t>
      </w:r>
      <w:r w:rsidRPr="00895D0A">
        <w:rPr>
          <w:lang w:val="es-BO"/>
        </w:rPr>
        <w:t xml:space="preserve"> ubicación geográfica.</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El objetivo principal del Portal es promover la integración de los extranjeros en la sociedad italiana</w:t>
      </w:r>
      <w:r w:rsidR="007A4217">
        <w:rPr>
          <w:lang w:val="es-BO"/>
        </w:rPr>
        <w:t>,</w:t>
      </w:r>
      <w:r w:rsidRPr="00895D0A">
        <w:rPr>
          <w:lang w:val="es-BO"/>
        </w:rPr>
        <w:t xml:space="preserve"> </w:t>
      </w:r>
      <w:r w:rsidR="007A4217">
        <w:rPr>
          <w:lang w:val="es-BO"/>
        </w:rPr>
        <w:t>con especial referencia a cinco áreas</w:t>
      </w:r>
      <w:r w:rsidRPr="00895D0A">
        <w:rPr>
          <w:lang w:val="es-BO"/>
        </w:rPr>
        <w:t xml:space="preserve">: idioma, trabajo, vivienda, menores y segundas generaciones, y salud. A estas se suma la mediación intercultural como servicio intersectorial. En cada una de </w:t>
      </w:r>
      <w:r w:rsidR="00D443B3">
        <w:rPr>
          <w:lang w:val="es-BO"/>
        </w:rPr>
        <w:t>las áreas del Portal</w:t>
      </w:r>
      <w:r w:rsidRPr="00895D0A">
        <w:rPr>
          <w:lang w:val="es-BO"/>
        </w:rPr>
        <w:t xml:space="preserve"> los usuarios</w:t>
      </w:r>
      <w:r w:rsidR="00D443B3">
        <w:rPr>
          <w:lang w:val="es-BO"/>
        </w:rPr>
        <w:t xml:space="preserve"> pueden</w:t>
      </w:r>
      <w:r w:rsidRPr="00895D0A">
        <w:rPr>
          <w:lang w:val="es-BO"/>
        </w:rPr>
        <w:t xml:space="preserve"> encontrar información útil sobre los servicios prestados a los extranjeros en los</w:t>
      </w:r>
      <w:r w:rsidR="00D443B3">
        <w:rPr>
          <w:lang w:val="es-BO"/>
        </w:rPr>
        <w:t xml:space="preserve"> distintos</w:t>
      </w:r>
      <w:r w:rsidRPr="00895D0A">
        <w:rPr>
          <w:lang w:val="es-BO"/>
        </w:rPr>
        <w:t xml:space="preserve"> territorios.</w:t>
      </w:r>
    </w:p>
    <w:p w:rsid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Desde comienzos de 2014 se han creado cuatro nuevas </w:t>
      </w:r>
      <w:r w:rsidR="00D443B3">
        <w:rPr>
          <w:lang w:val="es-BO"/>
        </w:rPr>
        <w:t>áreas temáticas</w:t>
      </w:r>
      <w:r w:rsidRPr="00895D0A">
        <w:rPr>
          <w:lang w:val="es-BO"/>
        </w:rPr>
        <w:t xml:space="preserve">, cada una de las cuales </w:t>
      </w:r>
      <w:r w:rsidR="00D443B3">
        <w:rPr>
          <w:lang w:val="es-BO"/>
        </w:rPr>
        <w:t>se lleva a la práctica en</w:t>
      </w:r>
      <w:r w:rsidRPr="00895D0A">
        <w:rPr>
          <w:lang w:val="es-BO"/>
        </w:rPr>
        <w:t xml:space="preserve"> relación con un tema u objetivo específico.</w:t>
      </w:r>
    </w:p>
    <w:p w:rsidR="00492626" w:rsidRPr="00492626" w:rsidRDefault="00492626" w:rsidP="00492626">
      <w:pPr>
        <w:pStyle w:val="SingleTxt"/>
        <w:suppressAutoHyphens w:val="0"/>
        <w:spacing w:after="0" w:line="120" w:lineRule="exact"/>
        <w:rPr>
          <w:sz w:val="10"/>
          <w:lang w:val="es-BO"/>
        </w:rPr>
      </w:pPr>
    </w:p>
    <w:p w:rsidR="00895D0A" w:rsidRDefault="00492626" w:rsidP="00492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95D0A" w:rsidRPr="00895D0A">
        <w:rPr>
          <w:lang w:val="es-BO"/>
        </w:rPr>
        <w:t>a)</w:t>
      </w:r>
      <w:r>
        <w:rPr>
          <w:lang w:val="es-BO"/>
        </w:rPr>
        <w:tab/>
      </w:r>
      <w:r w:rsidR="00895D0A" w:rsidRPr="00895D0A">
        <w:rPr>
          <w:lang w:val="es-BO"/>
        </w:rPr>
        <w:t>Asociaciones de migrantes</w:t>
      </w:r>
    </w:p>
    <w:p w:rsidR="00492626" w:rsidRPr="00492626" w:rsidRDefault="00492626" w:rsidP="00492626">
      <w:pPr>
        <w:pStyle w:val="SingleTxt"/>
        <w:spacing w:after="0" w:line="120" w:lineRule="exact"/>
        <w:rPr>
          <w:b/>
          <w:sz w:val="10"/>
          <w:lang w:val="es-BO"/>
        </w:rPr>
      </w:pP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nueva </w:t>
      </w:r>
      <w:r w:rsidR="00D443B3">
        <w:rPr>
          <w:lang w:val="es-BO"/>
        </w:rPr>
        <w:t>área</w:t>
      </w:r>
      <w:r w:rsidRPr="00895D0A">
        <w:rPr>
          <w:lang w:val="es-BO"/>
        </w:rPr>
        <w:t xml:space="preserve"> del Portal relativa a las asociaciones de migrantes está especialmente dedicada a las asociaciones de ciudadanos migrantes </w:t>
      </w:r>
      <w:r w:rsidR="00D443B3">
        <w:rPr>
          <w:lang w:val="es-BO"/>
        </w:rPr>
        <w:t>existentes</w:t>
      </w:r>
      <w:r w:rsidRPr="00895D0A">
        <w:rPr>
          <w:lang w:val="es-BO"/>
        </w:rPr>
        <w:t xml:space="preserve"> en Italia. Su objetivo es profundizar el conocimiento de estas asociaciones, intensificar sus actividades y crear una comunidad a través de un canal de comunicación e intercambio entre las asociaciones, así como entre estas y el Portal.</w:t>
      </w:r>
    </w:p>
    <w:p w:rsidR="00492626" w:rsidRPr="00492626" w:rsidRDefault="00492626" w:rsidP="00492626">
      <w:pPr>
        <w:pStyle w:val="SingleTxt"/>
        <w:spacing w:after="0" w:line="120" w:lineRule="exact"/>
        <w:rPr>
          <w:b/>
          <w:sz w:val="10"/>
          <w:lang w:val="es-BO"/>
        </w:rPr>
      </w:pPr>
    </w:p>
    <w:p w:rsidR="00895D0A" w:rsidRDefault="00492626" w:rsidP="00492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95D0A" w:rsidRPr="00895D0A">
        <w:rPr>
          <w:lang w:val="es-BO"/>
        </w:rPr>
        <w:t>b)</w:t>
      </w:r>
      <w:r>
        <w:rPr>
          <w:lang w:val="es-BO"/>
        </w:rPr>
        <w:tab/>
      </w:r>
      <w:r w:rsidR="00895D0A" w:rsidRPr="00895D0A">
        <w:rPr>
          <w:lang w:val="es-BO"/>
        </w:rPr>
        <w:t>Cultura</w:t>
      </w:r>
    </w:p>
    <w:p w:rsidR="00492626" w:rsidRPr="00492626" w:rsidRDefault="00492626" w:rsidP="00492626">
      <w:pPr>
        <w:pStyle w:val="SingleTxt"/>
        <w:spacing w:after="0" w:line="120" w:lineRule="exact"/>
        <w:rPr>
          <w:b/>
          <w:sz w:val="10"/>
          <w:lang w:val="es-BO"/>
        </w:rPr>
      </w:pPr>
    </w:p>
    <w:p w:rsid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creación </w:t>
      </w:r>
      <w:r w:rsidR="00D443B3">
        <w:rPr>
          <w:lang w:val="es-BO"/>
        </w:rPr>
        <w:t xml:space="preserve">del área de la cultura </w:t>
      </w:r>
      <w:r w:rsidRPr="00895D0A">
        <w:rPr>
          <w:lang w:val="es-BO"/>
        </w:rPr>
        <w:t xml:space="preserve">en el Portal ha sido fruto de </w:t>
      </w:r>
      <w:r w:rsidR="001469F8">
        <w:rPr>
          <w:lang w:val="es-BO"/>
        </w:rPr>
        <w:t>la</w:t>
      </w:r>
      <w:r w:rsidRPr="00895D0A">
        <w:rPr>
          <w:lang w:val="es-BO"/>
        </w:rPr>
        <w:t xml:space="preserve"> colaboración entre el Ministerio del Patrimonio y Actividades Culturales y Turismo y el Ministerio de Trabajo y Políticas Sociales. </w:t>
      </w:r>
      <w:r w:rsidR="001469F8">
        <w:rPr>
          <w:lang w:val="es-BO"/>
        </w:rPr>
        <w:t>El área se divide en</w:t>
      </w:r>
      <w:r w:rsidRPr="00895D0A">
        <w:rPr>
          <w:lang w:val="es-BO"/>
        </w:rPr>
        <w:t xml:space="preserve"> cinco secciones: literatura, cine, teatro, música y artes visuales, y patrimonio cultural. Dentro de cada secci</w:t>
      </w:r>
      <w:r w:rsidR="001469F8">
        <w:rPr>
          <w:lang w:val="es-BO"/>
        </w:rPr>
        <w:t>ón</w:t>
      </w:r>
      <w:r w:rsidRPr="00895D0A">
        <w:rPr>
          <w:lang w:val="es-BO"/>
        </w:rPr>
        <w:t xml:space="preserve"> </w:t>
      </w:r>
      <w:r w:rsidR="001469F8">
        <w:rPr>
          <w:lang w:val="es-BO"/>
        </w:rPr>
        <w:t>figura</w:t>
      </w:r>
      <w:r w:rsidRPr="00895D0A">
        <w:rPr>
          <w:lang w:val="es-BO"/>
        </w:rPr>
        <w:t xml:space="preserve"> un </w:t>
      </w:r>
      <w:r w:rsidR="001469F8">
        <w:rPr>
          <w:lang w:val="es-BO"/>
        </w:rPr>
        <w:t>mapa de</w:t>
      </w:r>
      <w:r w:rsidRPr="00895D0A">
        <w:rPr>
          <w:lang w:val="es-BO"/>
        </w:rPr>
        <w:t xml:space="preserve"> las experiencias</w:t>
      </w:r>
      <w:r w:rsidR="001469F8">
        <w:rPr>
          <w:lang w:val="es-BO"/>
        </w:rPr>
        <w:t xml:space="preserve"> activas y</w:t>
      </w:r>
      <w:r w:rsidRPr="00895D0A">
        <w:rPr>
          <w:lang w:val="es-BO"/>
        </w:rPr>
        <w:t xml:space="preserve"> consolidadas en Italia </w:t>
      </w:r>
      <w:r w:rsidR="001469F8">
        <w:rPr>
          <w:lang w:val="es-BO"/>
        </w:rPr>
        <w:t>en las respectivas esferas</w:t>
      </w:r>
      <w:r w:rsidRPr="00895D0A">
        <w:rPr>
          <w:lang w:val="es-BO"/>
        </w:rPr>
        <w:t xml:space="preserve"> (</w:t>
      </w:r>
      <w:r w:rsidR="001469F8">
        <w:rPr>
          <w:lang w:val="es-BO"/>
        </w:rPr>
        <w:t xml:space="preserve">desde </w:t>
      </w:r>
      <w:r w:rsidRPr="00895D0A">
        <w:rPr>
          <w:lang w:val="es-BO"/>
        </w:rPr>
        <w:t>editoriales</w:t>
      </w:r>
      <w:r w:rsidR="001469F8">
        <w:rPr>
          <w:lang w:val="es-BO"/>
        </w:rPr>
        <w:t xml:space="preserve"> hasta</w:t>
      </w:r>
      <w:r w:rsidRPr="00895D0A">
        <w:rPr>
          <w:lang w:val="es-BO"/>
        </w:rPr>
        <w:t xml:space="preserve"> festivales de cine,</w:t>
      </w:r>
      <w:r w:rsidR="001469F8">
        <w:rPr>
          <w:lang w:val="es-BO"/>
        </w:rPr>
        <w:t xml:space="preserve"> pasando por</w:t>
      </w:r>
      <w:r w:rsidRPr="00895D0A">
        <w:rPr>
          <w:lang w:val="es-BO"/>
        </w:rPr>
        <w:t xml:space="preserve"> orquestas multiétnicas y bases de datos). Además, </w:t>
      </w:r>
      <w:r w:rsidR="001469F8">
        <w:rPr>
          <w:lang w:val="es-BO"/>
        </w:rPr>
        <w:t>el área</w:t>
      </w:r>
      <w:r w:rsidRPr="00895D0A">
        <w:rPr>
          <w:lang w:val="es-BO"/>
        </w:rPr>
        <w:t xml:space="preserve"> comprende secciones dedicadas a los marcos </w:t>
      </w:r>
      <w:r w:rsidR="001469F8">
        <w:rPr>
          <w:lang w:val="es-BO"/>
        </w:rPr>
        <w:t>jurídicos</w:t>
      </w:r>
      <w:r w:rsidRPr="00895D0A">
        <w:rPr>
          <w:lang w:val="es-BO"/>
        </w:rPr>
        <w:t xml:space="preserve"> nacionales e internacionales (normas relativas a la cultura y la diversidad cultural) </w:t>
      </w:r>
      <w:r w:rsidR="001469F8" w:rsidRPr="00895D0A">
        <w:rPr>
          <w:lang w:val="es-BO"/>
        </w:rPr>
        <w:t xml:space="preserve">así como </w:t>
      </w:r>
      <w:r w:rsidR="001469F8">
        <w:rPr>
          <w:lang w:val="es-BO"/>
        </w:rPr>
        <w:t>exámenes</w:t>
      </w:r>
      <w:r w:rsidRPr="00895D0A">
        <w:rPr>
          <w:lang w:val="es-BO"/>
        </w:rPr>
        <w:t xml:space="preserve"> sectoriales</w:t>
      </w:r>
      <w:r w:rsidR="001469F8">
        <w:rPr>
          <w:lang w:val="es-BO"/>
        </w:rPr>
        <w:t xml:space="preserve"> y</w:t>
      </w:r>
      <w:r w:rsidRPr="00895D0A">
        <w:rPr>
          <w:lang w:val="es-BO"/>
        </w:rPr>
        <w:t xml:space="preserve"> las entidades que participan en la </w:t>
      </w:r>
      <w:r w:rsidR="001469F8">
        <w:rPr>
          <w:lang w:val="es-BO"/>
        </w:rPr>
        <w:t>remuneración de</w:t>
      </w:r>
      <w:r w:rsidR="00492626">
        <w:rPr>
          <w:lang w:val="es-BO"/>
        </w:rPr>
        <w:t xml:space="preserve"> la </w:t>
      </w:r>
      <w:r w:rsidR="001469F8">
        <w:rPr>
          <w:lang w:val="es-BO"/>
        </w:rPr>
        <w:t>e</w:t>
      </w:r>
      <w:r w:rsidR="00492626">
        <w:rPr>
          <w:lang w:val="es-BO"/>
        </w:rPr>
        <w:t>migración italiana.</w:t>
      </w:r>
    </w:p>
    <w:p w:rsidR="00895D0A" w:rsidRDefault="00492626" w:rsidP="00B17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95D0A" w:rsidRPr="00895D0A">
        <w:rPr>
          <w:lang w:val="es-BO"/>
        </w:rPr>
        <w:t>c)</w:t>
      </w:r>
      <w:r>
        <w:rPr>
          <w:lang w:val="es-BO"/>
        </w:rPr>
        <w:tab/>
      </w:r>
      <w:r w:rsidR="00895D0A" w:rsidRPr="00895D0A">
        <w:rPr>
          <w:lang w:val="es-BO"/>
        </w:rPr>
        <w:t>Protección internacional</w:t>
      </w:r>
    </w:p>
    <w:p w:rsidR="00492626" w:rsidRPr="00492626" w:rsidRDefault="00492626" w:rsidP="00B1717E">
      <w:pPr>
        <w:pStyle w:val="SingleTxt"/>
        <w:keepNext/>
        <w:keepLines/>
        <w:spacing w:after="0" w:line="120" w:lineRule="exact"/>
        <w:rPr>
          <w:b/>
          <w:sz w:val="10"/>
          <w:lang w:val="es-BO"/>
        </w:rPr>
      </w:pP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La protección internacional es una nueva sección del Portal que se ha realizado en colaboración con el ACNUR y abarca la cuestión de la protección internacional. Su objetivo es promover servicios y proyectos en todo el territorio nacional para las personas que solicitan o han recibido protección internacional, subsidiaria o humanitaria. La sección de protección internacional del Portal se ha concebido como una herramienta de información y orientación para </w:t>
      </w:r>
      <w:r w:rsidR="001469F8">
        <w:rPr>
          <w:lang w:val="es-BO"/>
        </w:rPr>
        <w:t>quienes operan en esta</w:t>
      </w:r>
      <w:r w:rsidRPr="00895D0A">
        <w:rPr>
          <w:lang w:val="es-BO"/>
        </w:rPr>
        <w:t xml:space="preserve"> esfera, así como para los solicitantes de asilo o las personas con derecho a recibir protección.</w:t>
      </w:r>
    </w:p>
    <w:p w:rsidR="00492626" w:rsidRPr="00492626" w:rsidRDefault="00492626" w:rsidP="00492626">
      <w:pPr>
        <w:pStyle w:val="SingleTxt"/>
        <w:spacing w:after="0" w:line="120" w:lineRule="exact"/>
        <w:rPr>
          <w:b/>
          <w:sz w:val="10"/>
          <w:lang w:val="es-BO"/>
        </w:rPr>
      </w:pPr>
    </w:p>
    <w:p w:rsidR="00895D0A" w:rsidRDefault="00492626" w:rsidP="004926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95D0A" w:rsidRPr="00895D0A">
        <w:rPr>
          <w:lang w:val="es-BO"/>
        </w:rPr>
        <w:t>d)</w:t>
      </w:r>
      <w:r>
        <w:rPr>
          <w:lang w:val="es-BO"/>
        </w:rPr>
        <w:tab/>
      </w:r>
      <w:r w:rsidR="00895D0A" w:rsidRPr="00895D0A">
        <w:rPr>
          <w:lang w:val="es-BO"/>
        </w:rPr>
        <w:t>Segunda generación</w:t>
      </w:r>
    </w:p>
    <w:p w:rsidR="00492626" w:rsidRPr="00492626" w:rsidRDefault="00492626" w:rsidP="00492626">
      <w:pPr>
        <w:pStyle w:val="SingleTxt"/>
        <w:spacing w:after="0" w:line="120" w:lineRule="exact"/>
        <w:rPr>
          <w:b/>
          <w:sz w:val="10"/>
          <w:lang w:val="es-BO"/>
        </w:rPr>
      </w:pPr>
    </w:p>
    <w:p w:rsidR="00895D0A" w:rsidRPr="00895D0A" w:rsidRDefault="001469F8" w:rsidP="00492626">
      <w:pPr>
        <w:pStyle w:val="SingleTxt"/>
        <w:numPr>
          <w:ilvl w:val="0"/>
          <w:numId w:val="15"/>
        </w:numPr>
        <w:tabs>
          <w:tab w:val="clear" w:pos="475"/>
          <w:tab w:val="num" w:pos="1742"/>
        </w:tabs>
        <w:suppressAutoHyphens w:val="0"/>
        <w:ind w:left="1267"/>
        <w:rPr>
          <w:lang w:val="es-BO"/>
        </w:rPr>
      </w:pPr>
      <w:r>
        <w:rPr>
          <w:lang w:val="es-BO"/>
        </w:rPr>
        <w:t>Este área</w:t>
      </w:r>
      <w:r w:rsidR="00895D0A" w:rsidRPr="00895D0A">
        <w:rPr>
          <w:lang w:val="es-BO"/>
        </w:rPr>
        <w:t xml:space="preserve"> del Portal </w:t>
      </w:r>
      <w:r>
        <w:rPr>
          <w:lang w:val="es-BO"/>
        </w:rPr>
        <w:t>está dedicada</w:t>
      </w:r>
      <w:r w:rsidR="00895D0A" w:rsidRPr="00895D0A">
        <w:rPr>
          <w:lang w:val="es-BO"/>
        </w:rPr>
        <w:t xml:space="preserve"> específicamente </w:t>
      </w:r>
      <w:r>
        <w:rPr>
          <w:lang w:val="es-BO"/>
        </w:rPr>
        <w:t>a</w:t>
      </w:r>
      <w:r w:rsidR="00895D0A" w:rsidRPr="00895D0A">
        <w:rPr>
          <w:lang w:val="es-BO"/>
        </w:rPr>
        <w:t xml:space="preserve"> los jóven</w:t>
      </w:r>
      <w:r>
        <w:rPr>
          <w:lang w:val="es-BO"/>
        </w:rPr>
        <w:t>es con antecedentes migratorios,</w:t>
      </w:r>
      <w:r w:rsidR="00895D0A" w:rsidRPr="00895D0A">
        <w:rPr>
          <w:lang w:val="es-BO"/>
        </w:rPr>
        <w:t xml:space="preserve"> </w:t>
      </w:r>
      <w:r>
        <w:rPr>
          <w:lang w:val="es-BO"/>
        </w:rPr>
        <w:t>y</w:t>
      </w:r>
      <w:r w:rsidR="00895D0A" w:rsidRPr="00895D0A">
        <w:rPr>
          <w:lang w:val="es-BO"/>
        </w:rPr>
        <w:t xml:space="preserve"> se creó a partir del proyecto </w:t>
      </w:r>
      <w:r w:rsidR="00895D0A" w:rsidRPr="009428BD">
        <w:rPr>
          <w:lang w:val="es-BO"/>
        </w:rPr>
        <w:t xml:space="preserve">“Filo diretto con le Seconde Generazioni” </w:t>
      </w:r>
      <w:r w:rsidR="00895D0A" w:rsidRPr="00895D0A">
        <w:rPr>
          <w:lang w:val="es-BO"/>
        </w:rPr>
        <w:t xml:space="preserve">(Línea directa con las segundas generaciones), promovido por el Portal con el fin de profundizar </w:t>
      </w:r>
      <w:r>
        <w:rPr>
          <w:lang w:val="es-BO"/>
        </w:rPr>
        <w:t>el</w:t>
      </w:r>
      <w:r w:rsidR="00895D0A" w:rsidRPr="00895D0A">
        <w:rPr>
          <w:lang w:val="es-BO"/>
        </w:rPr>
        <w:t xml:space="preserve"> conocimiento de las asociaciones de hijos de migrantes y recoger sus solicitudes.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Además de los servicios, el Portal </w:t>
      </w:r>
      <w:r w:rsidR="001469F8">
        <w:rPr>
          <w:lang w:val="es-BO"/>
        </w:rPr>
        <w:t xml:space="preserve">contiene </w:t>
      </w:r>
      <w:r w:rsidRPr="00895D0A">
        <w:rPr>
          <w:lang w:val="es-BO"/>
        </w:rPr>
        <w:t>secciones informativas y documentales. En particular, el Manual de Inmigración</w:t>
      </w:r>
      <w:r w:rsidR="005F7205">
        <w:rPr>
          <w:lang w:val="es-BO"/>
        </w:rPr>
        <w:t>, redactado por el</w:t>
      </w:r>
      <w:r w:rsidRPr="00895D0A">
        <w:rPr>
          <w:lang w:val="es-BO"/>
        </w:rPr>
        <w:t xml:space="preserve"> Ministerio de Trabajo y Políticas Sociales (actualizado en enero de 2014)</w:t>
      </w:r>
      <w:r w:rsidR="005F7205">
        <w:rPr>
          <w:lang w:val="es-BO"/>
        </w:rPr>
        <w:t>, está disponible en línea</w:t>
      </w:r>
      <w:r w:rsidRPr="00895D0A">
        <w:rPr>
          <w:lang w:val="es-BO"/>
        </w:rPr>
        <w:t xml:space="preserve">. El Manual es una herramienta informativa para las personas que desean </w:t>
      </w:r>
      <w:r w:rsidR="005F7205">
        <w:rPr>
          <w:lang w:val="es-BO"/>
        </w:rPr>
        <w:t>entrar en</w:t>
      </w:r>
      <w:r w:rsidRPr="00895D0A">
        <w:rPr>
          <w:lang w:val="es-BO"/>
        </w:rPr>
        <w:t xml:space="preserve"> Italia y necesitan </w:t>
      </w:r>
      <w:r w:rsidR="005F7205">
        <w:rPr>
          <w:lang w:val="es-BO"/>
        </w:rPr>
        <w:t>conocer los trámites</w:t>
      </w:r>
      <w:r w:rsidRPr="00895D0A">
        <w:rPr>
          <w:lang w:val="es-BO"/>
        </w:rPr>
        <w:t xml:space="preserve"> que deben seguir</w:t>
      </w:r>
      <w:r w:rsidR="005F7205">
        <w:rPr>
          <w:lang w:val="es-BO"/>
        </w:rPr>
        <w:t>se</w:t>
      </w:r>
      <w:r w:rsidRPr="00895D0A">
        <w:rPr>
          <w:lang w:val="es-BO"/>
        </w:rPr>
        <w:t xml:space="preserve">, así como para </w:t>
      </w:r>
      <w:r w:rsidR="005F7205">
        <w:rPr>
          <w:lang w:val="es-BO"/>
        </w:rPr>
        <w:t>las</w:t>
      </w:r>
      <w:r w:rsidRPr="00895D0A">
        <w:rPr>
          <w:lang w:val="es-BO"/>
        </w:rPr>
        <w:t xml:space="preserve"> que ya residen en el país. Se trata de una herramienta actualizada, breve, práctica y completa que se puede descargar en </w:t>
      </w:r>
      <w:r w:rsidR="006519D4">
        <w:rPr>
          <w:lang w:val="es-BO"/>
        </w:rPr>
        <w:t>diez</w:t>
      </w:r>
      <w:r w:rsidRPr="00895D0A">
        <w:rPr>
          <w:lang w:val="es-BO"/>
        </w:rPr>
        <w:t xml:space="preserve"> idiomas distintos.</w:t>
      </w:r>
      <w:r w:rsidR="005F7205">
        <w:rPr>
          <w:lang w:val="es-BO"/>
        </w:rPr>
        <w:t xml:space="preserve"> La sección jurídica del Portal contiene informes temáticos que, en textos jurídicos breves, tratan de diferentes aspectos de la integración de los extranjeros en Italia. Estos breves informes están equipados de FAQ (preguntas frecuentes) que contienen las respuestas a las preguntas formuladas más frecuentemente acerca de este tema, traducidos a </w:t>
      </w:r>
      <w:r w:rsidR="006519D4">
        <w:rPr>
          <w:lang w:val="es-BO"/>
        </w:rPr>
        <w:t>diez</w:t>
      </w:r>
      <w:r w:rsidR="005F7205">
        <w:rPr>
          <w:lang w:val="es-BO"/>
        </w:rPr>
        <w:t xml:space="preserve"> idiomas.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Italia continúa implicada en el proceso interno destinado a establecer una </w:t>
      </w:r>
      <w:r w:rsidRPr="00895D0A">
        <w:rPr>
          <w:b/>
          <w:lang w:val="es-BO"/>
        </w:rPr>
        <w:t>Comisión Nacional Independiente para la Promoción y Protección de los Derechos Humanos</w:t>
      </w:r>
      <w:r w:rsidR="005F7205">
        <w:rPr>
          <w:lang w:val="es-BO"/>
        </w:rPr>
        <w:t>,</w:t>
      </w:r>
      <w:r w:rsidRPr="00895D0A">
        <w:rPr>
          <w:lang w:val="es-BO"/>
        </w:rPr>
        <w:t xml:space="preserve"> de conformidad con los Principios de París.</w:t>
      </w:r>
    </w:p>
    <w:p w:rsidR="00895D0A" w:rsidRP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El Gobierno </w:t>
      </w:r>
      <w:r w:rsidR="005F7205">
        <w:rPr>
          <w:lang w:val="es-BO"/>
        </w:rPr>
        <w:t xml:space="preserve">italiano </w:t>
      </w:r>
      <w:r w:rsidRPr="00895D0A">
        <w:rPr>
          <w:lang w:val="es-BO"/>
        </w:rPr>
        <w:t xml:space="preserve">reafirmó recientemente ante el Parlamento su intención de </w:t>
      </w:r>
      <w:r w:rsidR="005F7205">
        <w:rPr>
          <w:lang w:val="es-BO"/>
        </w:rPr>
        <w:t>crear</w:t>
      </w:r>
      <w:r w:rsidRPr="00895D0A">
        <w:rPr>
          <w:lang w:val="es-BO"/>
        </w:rPr>
        <w:t xml:space="preserve"> una institución nacional de derechos humanos y el Comité Interministerial de Derechos Humanos (CIDU) del Ministerio de Relaciones Exteriores en el marco de sus actividades de asesoramiento, y </w:t>
      </w:r>
      <w:r w:rsidR="005F7205">
        <w:rPr>
          <w:lang w:val="es-BO"/>
        </w:rPr>
        <w:t xml:space="preserve">de </w:t>
      </w:r>
      <w:r w:rsidRPr="00895D0A">
        <w:rPr>
          <w:lang w:val="es-BO"/>
        </w:rPr>
        <w:t xml:space="preserve">dirigir las </w:t>
      </w:r>
      <w:r w:rsidR="005F7205">
        <w:rPr>
          <w:lang w:val="es-BO"/>
        </w:rPr>
        <w:t>actividades</w:t>
      </w:r>
      <w:r w:rsidRPr="00895D0A">
        <w:rPr>
          <w:lang w:val="es-BO"/>
        </w:rPr>
        <w:t xml:space="preserve"> de un grupo de trabajo con la sociedad civil </w:t>
      </w:r>
      <w:r w:rsidR="005F7205">
        <w:rPr>
          <w:lang w:val="es-BO"/>
        </w:rPr>
        <w:t>que está completando</w:t>
      </w:r>
      <w:r w:rsidRPr="00895D0A">
        <w:rPr>
          <w:lang w:val="es-BO"/>
        </w:rPr>
        <w:t xml:space="preserve"> la redacción de un documento analítico </w:t>
      </w:r>
      <w:r w:rsidR="005F7205">
        <w:rPr>
          <w:lang w:val="es-BO"/>
        </w:rPr>
        <w:t>con esta finalidad</w:t>
      </w:r>
      <w:r w:rsidRPr="00895D0A">
        <w:rPr>
          <w:lang w:val="es-BO"/>
        </w:rPr>
        <w:t>. Este proceso debería concluir</w:t>
      </w:r>
      <w:r w:rsidR="005F7205">
        <w:rPr>
          <w:lang w:val="es-BO"/>
        </w:rPr>
        <w:t>se en breve</w:t>
      </w:r>
      <w:r w:rsidRPr="00895D0A">
        <w:rPr>
          <w:lang w:val="es-BO"/>
        </w:rPr>
        <w:t>.</w:t>
      </w:r>
    </w:p>
    <w:p w:rsidR="00895D0A" w:rsidRDefault="00895D0A" w:rsidP="00492626">
      <w:pPr>
        <w:pStyle w:val="SingleTxt"/>
        <w:numPr>
          <w:ilvl w:val="0"/>
          <w:numId w:val="15"/>
        </w:numPr>
        <w:tabs>
          <w:tab w:val="clear" w:pos="475"/>
          <w:tab w:val="num" w:pos="1742"/>
        </w:tabs>
        <w:suppressAutoHyphens w:val="0"/>
        <w:ind w:left="1267"/>
        <w:rPr>
          <w:lang w:val="es-BO"/>
        </w:rPr>
      </w:pPr>
      <w:r w:rsidRPr="00895D0A">
        <w:rPr>
          <w:lang w:val="es-BO"/>
        </w:rPr>
        <w:t xml:space="preserve">Miembros del Parlamento han </w:t>
      </w:r>
      <w:r w:rsidR="005F7205">
        <w:rPr>
          <w:lang w:val="es-BO"/>
        </w:rPr>
        <w:t>emprendido</w:t>
      </w:r>
      <w:r w:rsidRPr="00895D0A">
        <w:rPr>
          <w:lang w:val="es-BO"/>
        </w:rPr>
        <w:t xml:space="preserve"> un proceso paralelo con varias propuestas </w:t>
      </w:r>
      <w:r w:rsidR="005F7205">
        <w:rPr>
          <w:lang w:val="es-BO"/>
        </w:rPr>
        <w:t>orientadas</w:t>
      </w:r>
      <w:r w:rsidRPr="00895D0A">
        <w:rPr>
          <w:lang w:val="es-BO"/>
        </w:rPr>
        <w:t xml:space="preserve"> al mismo fin (A.C. 2529, propuesta del </w:t>
      </w:r>
      <w:r w:rsidR="005F7205">
        <w:rPr>
          <w:lang w:val="es-BO"/>
        </w:rPr>
        <w:t>Honorable</w:t>
      </w:r>
      <w:r w:rsidRPr="00895D0A">
        <w:rPr>
          <w:lang w:val="es-BO"/>
        </w:rPr>
        <w:t xml:space="preserve"> Sr. Marazziti y el</w:t>
      </w:r>
      <w:r w:rsidR="005F7205">
        <w:rPr>
          <w:lang w:val="es-BO"/>
        </w:rPr>
        <w:t xml:space="preserve"> Honorable</w:t>
      </w:r>
      <w:r w:rsidRPr="00895D0A">
        <w:rPr>
          <w:lang w:val="es-BO"/>
        </w:rPr>
        <w:t xml:space="preserve"> Sr. Nicoletti; A.C. 2424, propuesta del</w:t>
      </w:r>
      <w:r w:rsidR="006E05C7">
        <w:rPr>
          <w:lang w:val="es-BO"/>
        </w:rPr>
        <w:t xml:space="preserve"> Honorable</w:t>
      </w:r>
      <w:r w:rsidR="00B1717E">
        <w:rPr>
          <w:lang w:val="es-BO"/>
        </w:rPr>
        <w:t xml:space="preserve"> Sr. Scagliusi; A.C.</w:t>
      </w:r>
      <w:r w:rsidR="000B3656">
        <w:rPr>
          <w:lang w:val="es-BO"/>
        </w:rPr>
        <w:t> </w:t>
      </w:r>
      <w:r w:rsidRPr="00895D0A">
        <w:rPr>
          <w:lang w:val="es-BO"/>
        </w:rPr>
        <w:t>1004</w:t>
      </w:r>
      <w:r w:rsidRPr="000B3656">
        <w:rPr>
          <w:spacing w:val="2"/>
          <w:lang w:val="es-BO"/>
        </w:rPr>
        <w:t xml:space="preserve">, propuesta del </w:t>
      </w:r>
      <w:r w:rsidR="006E05C7" w:rsidRPr="000B3656">
        <w:rPr>
          <w:spacing w:val="2"/>
          <w:lang w:val="es-BO"/>
        </w:rPr>
        <w:t>Honorable</w:t>
      </w:r>
      <w:r w:rsidRPr="000B3656">
        <w:rPr>
          <w:spacing w:val="2"/>
          <w:lang w:val="es-BO"/>
        </w:rPr>
        <w:t xml:space="preserve"> Sr. Chaouki, presentadas </w:t>
      </w:r>
      <w:r w:rsidR="006E05C7" w:rsidRPr="000B3656">
        <w:rPr>
          <w:spacing w:val="2"/>
          <w:lang w:val="es-BO"/>
        </w:rPr>
        <w:t>a la Cámara de Diputados,</w:t>
      </w:r>
      <w:r w:rsidRPr="00895D0A">
        <w:rPr>
          <w:lang w:val="es-BO"/>
        </w:rPr>
        <w:t xml:space="preserve"> y A.S. 865, propuesta presentada por la</w:t>
      </w:r>
      <w:r w:rsidR="006E05C7">
        <w:rPr>
          <w:lang w:val="es-BO"/>
        </w:rPr>
        <w:t xml:space="preserve"> Honorable</w:t>
      </w:r>
      <w:r w:rsidRPr="00895D0A">
        <w:rPr>
          <w:lang w:val="es-BO"/>
        </w:rPr>
        <w:t xml:space="preserve"> Sra. Fattorini </w:t>
      </w:r>
      <w:r w:rsidR="006E05C7">
        <w:rPr>
          <w:lang w:val="es-BO"/>
        </w:rPr>
        <w:t>a</w:t>
      </w:r>
      <w:r w:rsidRPr="00895D0A">
        <w:rPr>
          <w:lang w:val="es-BO"/>
        </w:rPr>
        <w:t>l Senado).</w:t>
      </w:r>
    </w:p>
    <w:p w:rsidR="00C11C9E" w:rsidRPr="00C11C9E" w:rsidRDefault="00C11C9E" w:rsidP="00C11C9E">
      <w:pPr>
        <w:pStyle w:val="SingleTxt"/>
        <w:tabs>
          <w:tab w:val="clear" w:pos="1742"/>
        </w:tabs>
        <w:suppressAutoHyphens w:val="0"/>
        <w:spacing w:after="0" w:line="120" w:lineRule="exact"/>
        <w:rPr>
          <w:sz w:val="10"/>
          <w:lang w:val="es-BO"/>
        </w:rPr>
      </w:pPr>
    </w:p>
    <w:p w:rsidR="00C11C9E" w:rsidRPr="00C11C9E" w:rsidRDefault="00C11C9E" w:rsidP="00C11C9E">
      <w:pPr>
        <w:pStyle w:val="SingleTxt"/>
        <w:suppressAutoHyphens w:val="0"/>
        <w:spacing w:after="0" w:line="120" w:lineRule="exact"/>
        <w:rPr>
          <w:sz w:val="10"/>
          <w:lang w:val="es-BO"/>
        </w:rPr>
      </w:pPr>
    </w:p>
    <w:p w:rsidR="00895D0A" w:rsidRDefault="00C11C9E" w:rsidP="00C11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895D0A" w:rsidRPr="00895D0A">
        <w:rPr>
          <w:lang w:val="es-BO"/>
        </w:rPr>
        <w:t>Artículo 3</w:t>
      </w:r>
      <w:r>
        <w:rPr>
          <w:lang w:val="es-BO"/>
        </w:rPr>
        <w:br/>
      </w:r>
      <w:r w:rsidR="00895D0A" w:rsidRPr="00895D0A">
        <w:rPr>
          <w:lang w:val="es-BO"/>
        </w:rPr>
        <w:t xml:space="preserve">Medidas específicas para prevenir y </w:t>
      </w:r>
      <w:r w:rsidR="006E05C7">
        <w:rPr>
          <w:lang w:val="es-BO"/>
        </w:rPr>
        <w:t>evitar la segregación de grupos </w:t>
      </w:r>
      <w:r w:rsidR="00895D0A" w:rsidRPr="00895D0A">
        <w:rPr>
          <w:lang w:val="es-BO"/>
        </w:rPr>
        <w:t>e individuos</w:t>
      </w:r>
    </w:p>
    <w:p w:rsidR="00C11C9E" w:rsidRPr="00C11C9E" w:rsidRDefault="00C11C9E" w:rsidP="00C11C9E">
      <w:pPr>
        <w:pStyle w:val="SingleTxt"/>
        <w:spacing w:after="0" w:line="120" w:lineRule="exact"/>
        <w:rPr>
          <w:b/>
          <w:sz w:val="10"/>
          <w:lang w:val="es-BO"/>
        </w:rPr>
      </w:pPr>
    </w:p>
    <w:p w:rsidR="00C11C9E" w:rsidRPr="00C11C9E" w:rsidRDefault="00C11C9E" w:rsidP="00C11C9E">
      <w:pPr>
        <w:pStyle w:val="SingleTxt"/>
        <w:spacing w:after="0" w:line="120" w:lineRule="exact"/>
        <w:rPr>
          <w:b/>
          <w:sz w:val="10"/>
          <w:lang w:val="es-BO"/>
        </w:rPr>
      </w:pP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A lo largo de los años la adopción de medidas sucesivas para la integración e inclusión de las comunidades romaní, sinti e itinerante </w:t>
      </w:r>
      <w:r w:rsidR="006E05C7">
        <w:rPr>
          <w:lang w:val="es-BO"/>
        </w:rPr>
        <w:t>ha puesto</w:t>
      </w:r>
      <w:r w:rsidRPr="00895D0A">
        <w:rPr>
          <w:lang w:val="es-BO"/>
        </w:rPr>
        <w:t xml:space="preserve"> de manifiesto la complejidad de su situación. Su calificación de </w:t>
      </w:r>
      <w:r w:rsidR="00DD1A63">
        <w:rPr>
          <w:lang w:val="es-BO"/>
        </w:rPr>
        <w:t>“</w:t>
      </w:r>
      <w:r w:rsidRPr="00895D0A">
        <w:rPr>
          <w:lang w:val="es-BO"/>
        </w:rPr>
        <w:t>nómadas</w:t>
      </w:r>
      <w:r w:rsidR="00DD1A63">
        <w:rPr>
          <w:lang w:val="es-BO"/>
        </w:rPr>
        <w:t>”</w:t>
      </w:r>
      <w:r w:rsidRPr="00895D0A">
        <w:rPr>
          <w:lang w:val="es-BO"/>
        </w:rPr>
        <w:t xml:space="preserve"> sin más ha sido definitivamente abandonada. Cuando se alude a los romaníes, es preciso reconocer diversas situaciones jurídicas: ciudadanos italianos; ciudadanos de otros países de la Unión Europea; ciudadanos de países no pertenecientes a la Unión Europea; extranjeros a los que se ha concedido el asilo o protección subsidiaria, y apátridas, incluidos los nacidos en Italia de padres apátridas.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Sin embargo, más recientemente, con objeto de dar cumplimiento a la Comunicación núm. 173/2011 de la Comisión Europea (así como a otras recomendaciones formuladas en los últimos años a nivel internacional, </w:t>
      </w:r>
      <w:r w:rsidR="006E05C7">
        <w:rPr>
          <w:lang w:val="es-BO"/>
        </w:rPr>
        <w:t>como</w:t>
      </w:r>
      <w:r w:rsidRPr="00895D0A">
        <w:rPr>
          <w:lang w:val="es-BO"/>
        </w:rPr>
        <w:t xml:space="preserve"> las conclusiones del Comité para la Eliminación de la Discriminación Racial (2012), las del Comité para la Eliminación de la Discriminación contra la Mujer (2011) y las del Comité de Derechos Humanos (2005)), las autoridades </w:t>
      </w:r>
      <w:r w:rsidR="000034E4">
        <w:rPr>
          <w:lang w:val="es-BO"/>
        </w:rPr>
        <w:t>italianas</w:t>
      </w:r>
      <w:r w:rsidRPr="00895D0A">
        <w:rPr>
          <w:lang w:val="es-BO"/>
        </w:rPr>
        <w:t xml:space="preserve"> decidieron aprobar la Estrategia Nacional para la Inclusión de las Comunidades Romaní, Sinti e Itinerante en Italia 2012-2020, en cuyo marco </w:t>
      </w:r>
      <w:r w:rsidR="000034E4">
        <w:rPr>
          <w:lang w:val="es-BO"/>
        </w:rPr>
        <w:t xml:space="preserve">se </w:t>
      </w:r>
      <w:r w:rsidRPr="00895D0A">
        <w:rPr>
          <w:lang w:val="es-BO"/>
        </w:rPr>
        <w:t>design</w:t>
      </w:r>
      <w:r w:rsidR="000034E4">
        <w:rPr>
          <w:lang w:val="es-BO"/>
        </w:rPr>
        <w:t>ó</w:t>
      </w:r>
      <w:r w:rsidRPr="00895D0A">
        <w:rPr>
          <w:lang w:val="es-BO"/>
        </w:rPr>
        <w:t xml:space="preserve"> a la UNAR como </w:t>
      </w:r>
      <w:r w:rsidR="000034E4">
        <w:rPr>
          <w:lang w:val="es-BO"/>
        </w:rPr>
        <w:t>punto</w:t>
      </w:r>
      <w:r w:rsidRPr="00895D0A">
        <w:rPr>
          <w:lang w:val="es-BO"/>
        </w:rPr>
        <w:t xml:space="preserve"> nacional de </w:t>
      </w:r>
      <w:r w:rsidR="000034E4">
        <w:rPr>
          <w:lang w:val="es-BO"/>
        </w:rPr>
        <w:t>contacto</w:t>
      </w:r>
      <w:r w:rsidRPr="00895D0A">
        <w:rPr>
          <w:lang w:val="es-BO"/>
        </w:rPr>
        <w:t xml:space="preserve"> (véase la sección IV.C).</w:t>
      </w:r>
    </w:p>
    <w:p w:rsidR="00895D0A" w:rsidRPr="00895D0A" w:rsidRDefault="000034E4" w:rsidP="00C11C9E">
      <w:pPr>
        <w:pStyle w:val="SingleTxt"/>
        <w:numPr>
          <w:ilvl w:val="0"/>
          <w:numId w:val="15"/>
        </w:numPr>
        <w:tabs>
          <w:tab w:val="clear" w:pos="475"/>
          <w:tab w:val="num" w:pos="1742"/>
        </w:tabs>
        <w:suppressAutoHyphens w:val="0"/>
        <w:ind w:left="1267"/>
        <w:rPr>
          <w:lang w:val="es-BO"/>
        </w:rPr>
      </w:pPr>
      <w:r w:rsidRPr="00895D0A">
        <w:rPr>
          <w:lang w:val="es-BO"/>
        </w:rPr>
        <w:t xml:space="preserve">Once </w:t>
      </w:r>
      <w:r w:rsidR="00895D0A" w:rsidRPr="00895D0A">
        <w:rPr>
          <w:lang w:val="es-BO"/>
        </w:rPr>
        <w:t>regiones (Emilia Romaña, Liguria, Toscana, Lacio, Piamonte, Umbría, M</w:t>
      </w:r>
      <w:r w:rsidR="006519D4">
        <w:rPr>
          <w:lang w:val="es-BO"/>
        </w:rPr>
        <w:t>olise, Marcas, Véneto, Campania</w:t>
      </w:r>
      <w:r w:rsidR="00895D0A" w:rsidRPr="00895D0A">
        <w:rPr>
          <w:lang w:val="es-BO"/>
        </w:rPr>
        <w:t xml:space="preserve"> y Calabria) ha</w:t>
      </w:r>
      <w:r>
        <w:rPr>
          <w:lang w:val="es-BO"/>
        </w:rPr>
        <w:t>n</w:t>
      </w:r>
      <w:r w:rsidR="00895D0A" w:rsidRPr="00895D0A">
        <w:rPr>
          <w:lang w:val="es-BO"/>
        </w:rPr>
        <w:t xml:space="preserve"> establecido un grupo de trabajo </w:t>
      </w:r>
      <w:r>
        <w:rPr>
          <w:lang w:val="es-BO"/>
        </w:rPr>
        <w:t>dedicado</w:t>
      </w:r>
      <w:r w:rsidRPr="000034E4">
        <w:rPr>
          <w:lang w:val="es-BO"/>
        </w:rPr>
        <w:t xml:space="preserve"> </w:t>
      </w:r>
      <w:r w:rsidRPr="00895D0A">
        <w:rPr>
          <w:lang w:val="es-BO"/>
        </w:rPr>
        <w:t>específicamente</w:t>
      </w:r>
      <w:r>
        <w:rPr>
          <w:lang w:val="es-BO"/>
        </w:rPr>
        <w:t xml:space="preserve"> a esta labor en el plano local</w:t>
      </w:r>
      <w:r w:rsidR="00895D0A" w:rsidRPr="00895D0A">
        <w:rPr>
          <w:lang w:val="es-BO"/>
        </w:rPr>
        <w:t xml:space="preserve">. La mayoría de los grupos de trabajo regionales, que actúan bajo la coordinación de la autoridad competente </w:t>
      </w:r>
      <w:r w:rsidR="00895D0A" w:rsidRPr="000B3656">
        <w:rPr>
          <w:i/>
          <w:lang w:val="es-BO"/>
        </w:rPr>
        <w:t>(ratione materiae)</w:t>
      </w:r>
      <w:r w:rsidR="00895D0A" w:rsidRPr="00895D0A">
        <w:rPr>
          <w:lang w:val="es-BO"/>
        </w:rPr>
        <w:t>, se componen de representantes locales de las administraciones centrales, como los prefectos, y de miembros de las provincias y los municipios interesados, y en ellos participan ONG y miembros de las comunidades romaníes. Estos grupos de trabajo tienen por finalidad conciencia</w:t>
      </w:r>
      <w:r>
        <w:rPr>
          <w:lang w:val="es-BO"/>
        </w:rPr>
        <w:t>r</w:t>
      </w:r>
      <w:r w:rsidR="00895D0A" w:rsidRPr="00895D0A">
        <w:rPr>
          <w:lang w:val="es-BO"/>
        </w:rPr>
        <w:t xml:space="preserve"> </w:t>
      </w:r>
      <w:r>
        <w:rPr>
          <w:lang w:val="es-BO"/>
        </w:rPr>
        <w:t>a la población respecto de</w:t>
      </w:r>
      <w:r w:rsidR="00895D0A" w:rsidRPr="00895D0A">
        <w:rPr>
          <w:lang w:val="es-BO"/>
        </w:rPr>
        <w:t xml:space="preserve"> la Estrategia Nacional, incluidas las instancias y recomendaciones pertinentes a nivel provincial y local, así como supervisar la aplicación de </w:t>
      </w:r>
      <w:r>
        <w:rPr>
          <w:lang w:val="es-BO"/>
        </w:rPr>
        <w:t>la</w:t>
      </w:r>
      <w:r w:rsidR="00895D0A" w:rsidRPr="00895D0A">
        <w:rPr>
          <w:lang w:val="es-BO"/>
        </w:rPr>
        <w:t xml:space="preserve"> Estrategia a nivel local.</w:t>
      </w:r>
    </w:p>
    <w:p w:rsid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La información obtenida a partir del análisis y el procesamiento de los datos y las fuentes existentes pone de relieve las diferencias en </w:t>
      </w:r>
      <w:r w:rsidR="000034E4">
        <w:rPr>
          <w:lang w:val="es-BO"/>
        </w:rPr>
        <w:t>e</w:t>
      </w:r>
      <w:r w:rsidRPr="00895D0A">
        <w:rPr>
          <w:lang w:val="es-BO"/>
        </w:rPr>
        <w:t xml:space="preserve">l contenido y las modalidades de recopilación </w:t>
      </w:r>
      <w:r w:rsidR="000034E4">
        <w:rPr>
          <w:lang w:val="es-BO"/>
        </w:rPr>
        <w:t>de datos, con especial atención a</w:t>
      </w:r>
      <w:r w:rsidRPr="00895D0A">
        <w:rPr>
          <w:lang w:val="es-BO"/>
        </w:rPr>
        <w:t xml:space="preserve"> cuestiones tales como la cobertura demográfica, las definiciones aplicadas a las variables disponibles y la calidad de los datos </w:t>
      </w:r>
      <w:r w:rsidR="000034E4">
        <w:rPr>
          <w:lang w:val="es-BO"/>
        </w:rPr>
        <w:t>recolectados</w:t>
      </w:r>
      <w:r w:rsidRPr="00895D0A">
        <w:rPr>
          <w:lang w:val="es-BO"/>
        </w:rPr>
        <w:t xml:space="preserve">. En marzo de 2014, el Instituto Nacional de Estadística </w:t>
      </w:r>
      <w:r w:rsidR="000034E4">
        <w:rPr>
          <w:lang w:val="es-BO"/>
        </w:rPr>
        <w:t>envió</w:t>
      </w:r>
      <w:r w:rsidRPr="00895D0A">
        <w:rPr>
          <w:lang w:val="es-BO"/>
        </w:rPr>
        <w:t xml:space="preserve"> su cuestionario para la georreferenciación de las fuentes de datos administrativos al municipio de Roma</w:t>
      </w:r>
      <w:r w:rsidR="000034E4">
        <w:rPr>
          <w:lang w:val="es-BO"/>
        </w:rPr>
        <w:t>,</w:t>
      </w:r>
      <w:r w:rsidRPr="00895D0A">
        <w:rPr>
          <w:lang w:val="es-BO"/>
        </w:rPr>
        <w:t xml:space="preserve"> y </w:t>
      </w:r>
      <w:r w:rsidR="000034E4">
        <w:rPr>
          <w:lang w:val="es-BO"/>
        </w:rPr>
        <w:t>después</w:t>
      </w:r>
      <w:r w:rsidRPr="00895D0A">
        <w:rPr>
          <w:lang w:val="es-BO"/>
        </w:rPr>
        <w:t xml:space="preserve"> a otros municipios. Se dio prioridad a las instituciones públicas </w:t>
      </w:r>
      <w:r w:rsidR="000034E4">
        <w:rPr>
          <w:lang w:val="es-BO"/>
        </w:rPr>
        <w:t>competentes (en primer lugar</w:t>
      </w:r>
      <w:r w:rsidRPr="00895D0A">
        <w:rPr>
          <w:lang w:val="es-BO"/>
        </w:rPr>
        <w:t xml:space="preserve"> las comisarías</w:t>
      </w:r>
      <w:r w:rsidR="000034E4">
        <w:rPr>
          <w:lang w:val="es-BO"/>
        </w:rPr>
        <w:t xml:space="preserve"> de policía</w:t>
      </w:r>
      <w:r w:rsidRPr="00895D0A">
        <w:rPr>
          <w:lang w:val="es-BO"/>
        </w:rPr>
        <w:t xml:space="preserve"> </w:t>
      </w:r>
      <w:r w:rsidRPr="000034E4">
        <w:rPr>
          <w:i/>
          <w:lang w:val="es-BO"/>
        </w:rPr>
        <w:t>(questure)</w:t>
      </w:r>
      <w:r w:rsidRPr="00895D0A">
        <w:rPr>
          <w:lang w:val="es-BO"/>
        </w:rPr>
        <w:t xml:space="preserve">, las prefecturas, </w:t>
      </w:r>
      <w:r w:rsidR="000034E4">
        <w:rPr>
          <w:lang w:val="es-BO"/>
        </w:rPr>
        <w:t>los servicios</w:t>
      </w:r>
      <w:r w:rsidRPr="00895D0A">
        <w:rPr>
          <w:lang w:val="es-BO"/>
        </w:rPr>
        <w:t xml:space="preserve"> locales de atención de la salud y los departamentos escolares locales, entre otras instituciones), de las cuales 235 fueron contactadas</w:t>
      </w:r>
      <w:r w:rsidR="000034E4">
        <w:rPr>
          <w:lang w:val="es-BO"/>
        </w:rPr>
        <w:t>,</w:t>
      </w:r>
      <w:r w:rsidRPr="00895D0A">
        <w:rPr>
          <w:lang w:val="es-BO"/>
        </w:rPr>
        <w:t xml:space="preserve"> y</w:t>
      </w:r>
      <w:r w:rsidR="000034E4">
        <w:rPr>
          <w:lang w:val="es-BO"/>
        </w:rPr>
        <w:t xml:space="preserve"> en</w:t>
      </w:r>
      <w:r w:rsidRPr="00895D0A">
        <w:rPr>
          <w:lang w:val="es-BO"/>
        </w:rPr>
        <w:t xml:space="preserve"> 44 </w:t>
      </w:r>
      <w:r w:rsidR="006519D4">
        <w:rPr>
          <w:lang w:val="es-BO"/>
        </w:rPr>
        <w:t xml:space="preserve">se </w:t>
      </w:r>
      <w:r w:rsidR="000034E4">
        <w:rPr>
          <w:lang w:val="es-BO"/>
        </w:rPr>
        <w:t>celebraron entrevistas</w:t>
      </w:r>
      <w:r w:rsidRPr="00895D0A">
        <w:rPr>
          <w:lang w:val="es-BO"/>
        </w:rPr>
        <w:t>. Se prevé establecer contacto</w:t>
      </w:r>
      <w:r w:rsidR="000034E4">
        <w:rPr>
          <w:lang w:val="es-BO"/>
        </w:rPr>
        <w:t>s</w:t>
      </w:r>
      <w:r w:rsidRPr="00895D0A">
        <w:rPr>
          <w:lang w:val="es-BO"/>
        </w:rPr>
        <w:t xml:space="preserve"> </w:t>
      </w:r>
      <w:r w:rsidR="006519D4">
        <w:rPr>
          <w:lang w:val="es-BO"/>
        </w:rPr>
        <w:t>con otras 59 instituciones y 99 </w:t>
      </w:r>
      <w:r w:rsidRPr="00895D0A">
        <w:rPr>
          <w:lang w:val="es-BO"/>
        </w:rPr>
        <w:t xml:space="preserve">asociaciones en junio de 2015, tras </w:t>
      </w:r>
      <w:r w:rsidR="000034E4">
        <w:rPr>
          <w:lang w:val="es-BO"/>
        </w:rPr>
        <w:t xml:space="preserve">de </w:t>
      </w:r>
      <w:r w:rsidRPr="00895D0A">
        <w:rPr>
          <w:lang w:val="es-BO"/>
        </w:rPr>
        <w:t>lo cual el proyecto habrá concluido. El segundo cuestionario, relativo a las viviendas para los romaníes, fue distribuido por la Asociación Nacional de Municipios Italianos (ANCI) a los municipios con más de 15.000 habitantes. Al 31 de julio de 2014 habían respondido unos 434 municipios (59</w:t>
      </w:r>
      <w:r w:rsidR="000034E4">
        <w:rPr>
          <w:lang w:val="es-BO"/>
        </w:rPr>
        <w:t>%), de los cuales 136 confirmaro</w:t>
      </w:r>
      <w:r w:rsidRPr="00895D0A">
        <w:rPr>
          <w:lang w:val="es-BO"/>
        </w:rPr>
        <w:t xml:space="preserve">n que los romaníes estaban instalados en sus zonas y </w:t>
      </w:r>
      <w:r w:rsidR="000034E4">
        <w:rPr>
          <w:lang w:val="es-BO"/>
        </w:rPr>
        <w:t>ocupaban</w:t>
      </w:r>
      <w:r w:rsidRPr="00895D0A">
        <w:rPr>
          <w:lang w:val="es-BO"/>
        </w:rPr>
        <w:t xml:space="preserve"> diversos tipos de vivienda (98 en asentamientos; 65 en el marco de programas de vivienda social).</w:t>
      </w:r>
    </w:p>
    <w:p w:rsidR="00C11C9E" w:rsidRPr="00C11C9E" w:rsidRDefault="00C11C9E" w:rsidP="00C11C9E">
      <w:pPr>
        <w:pStyle w:val="SingleTxt"/>
        <w:suppressAutoHyphens w:val="0"/>
        <w:spacing w:after="0" w:line="120" w:lineRule="exact"/>
        <w:rPr>
          <w:sz w:val="10"/>
          <w:lang w:val="es-BO"/>
        </w:rPr>
      </w:pPr>
    </w:p>
    <w:p w:rsidR="00C11C9E" w:rsidRPr="00C11C9E" w:rsidRDefault="00C11C9E" w:rsidP="00C11C9E">
      <w:pPr>
        <w:pStyle w:val="SingleTxt"/>
        <w:suppressAutoHyphens w:val="0"/>
        <w:spacing w:after="0" w:line="120" w:lineRule="exact"/>
        <w:rPr>
          <w:sz w:val="10"/>
          <w:lang w:val="es-BO"/>
        </w:rPr>
      </w:pPr>
    </w:p>
    <w:p w:rsidR="00895D0A" w:rsidRDefault="00C11C9E" w:rsidP="00C11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t>Artículo 4</w:t>
      </w:r>
      <w:r>
        <w:rPr>
          <w:lang w:val="es-BO"/>
        </w:rPr>
        <w:br/>
      </w:r>
      <w:r w:rsidR="00895D0A" w:rsidRPr="00895D0A">
        <w:rPr>
          <w:lang w:val="es-BO"/>
        </w:rPr>
        <w:t xml:space="preserve">Medidas especiales destinadas </w:t>
      </w:r>
      <w:r w:rsidR="000B3656">
        <w:rPr>
          <w:lang w:val="es-BO"/>
        </w:rPr>
        <w:t xml:space="preserve">a eliminar toda incitación a la </w:t>
      </w:r>
      <w:r w:rsidR="00895D0A" w:rsidRPr="00895D0A">
        <w:rPr>
          <w:lang w:val="es-BO"/>
        </w:rPr>
        <w:t>discriminación racial o los actos de tal discriminación</w:t>
      </w:r>
    </w:p>
    <w:p w:rsidR="00C11C9E" w:rsidRPr="00C11C9E" w:rsidRDefault="00C11C9E" w:rsidP="00C11C9E">
      <w:pPr>
        <w:pStyle w:val="SingleTxt"/>
        <w:spacing w:after="0" w:line="120" w:lineRule="exact"/>
        <w:rPr>
          <w:b/>
          <w:sz w:val="10"/>
          <w:lang w:val="es-BO"/>
        </w:rPr>
      </w:pPr>
    </w:p>
    <w:p w:rsidR="00C11C9E" w:rsidRPr="00C11C9E" w:rsidRDefault="00C11C9E" w:rsidP="00C11C9E">
      <w:pPr>
        <w:pStyle w:val="SingleTxt"/>
        <w:spacing w:after="0" w:line="120" w:lineRule="exact"/>
        <w:rPr>
          <w:b/>
          <w:sz w:val="10"/>
          <w:lang w:val="es-BO"/>
        </w:rPr>
      </w:pP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Como se señala en el anterior informe periódico, el </w:t>
      </w:r>
      <w:r w:rsidR="00540077">
        <w:rPr>
          <w:lang w:val="es-BO"/>
        </w:rPr>
        <w:t>ordenamiento</w:t>
      </w:r>
      <w:r w:rsidRPr="00895D0A">
        <w:rPr>
          <w:lang w:val="es-BO"/>
        </w:rPr>
        <w:t xml:space="preserve"> jurídico italiano prevé leyes específicas contra las manifestaciones racistas y xenófobas, que incluyen la expresión de opiniones con el objetivo de divulgar ideas basadas en la superioridad o el odio étnicos o raciales y de incitar a cometer actos de discriminación o violencia por razones raciales, étnicas o religiosas.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El ordenamiento penal vigente sobre discriminación racial y étnica está incluido en la Ley núm. 654, de 13 de octubre de 1975, por el que se ratifica y aplica la Convención Internacional sobre la Eliminación de todas las Formas de Discriminación Racial, enmendada por la Ley núm. 205 de 25 de junio de 1993 (</w:t>
      </w:r>
      <w:r w:rsidR="00540077">
        <w:rPr>
          <w:lang w:val="es-BO"/>
        </w:rPr>
        <w:t>la llamada</w:t>
      </w:r>
      <w:r w:rsidRPr="00895D0A">
        <w:rPr>
          <w:lang w:val="es-BO"/>
        </w:rPr>
        <w:t xml:space="preserve"> Ley Mancino) y por la Ley núm. 85 de 24 de febrero de 2006.</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A fin de prevenir y combatir todas las formas de discriminación racial, el Ministerio del Interior estableció el Observatorio para la Seguridad contra los Actos de Discriminación </w:t>
      </w:r>
      <w:r w:rsidRPr="006519D4">
        <w:rPr>
          <w:b/>
          <w:lang w:val="es-BO"/>
        </w:rPr>
        <w:t>(</w:t>
      </w:r>
      <w:r w:rsidRPr="00895D0A">
        <w:rPr>
          <w:b/>
          <w:lang w:val="es-BO"/>
        </w:rPr>
        <w:t>OSCAD</w:t>
      </w:r>
      <w:r w:rsidRPr="006519D4">
        <w:rPr>
          <w:b/>
          <w:lang w:val="es-BO"/>
        </w:rPr>
        <w:t>)</w:t>
      </w:r>
      <w:r w:rsidRPr="00895D0A">
        <w:rPr>
          <w:lang w:val="es-BO"/>
        </w:rPr>
        <w:t xml:space="preserve">. El OSCAD </w:t>
      </w:r>
      <w:r w:rsidR="00540077">
        <w:rPr>
          <w:lang w:val="es-BO"/>
        </w:rPr>
        <w:t>está administrado por</w:t>
      </w:r>
      <w:r w:rsidRPr="00895D0A">
        <w:rPr>
          <w:lang w:val="es-BO"/>
        </w:rPr>
        <w:t xml:space="preserve"> la Policía Nacional y el Cuerpo de </w:t>
      </w:r>
      <w:r w:rsidR="00540077">
        <w:rPr>
          <w:lang w:val="es-BO"/>
        </w:rPr>
        <w:t>Carabineros</w:t>
      </w:r>
      <w:r w:rsidRPr="00895D0A">
        <w:rPr>
          <w:lang w:val="es-BO"/>
        </w:rPr>
        <w:t xml:space="preserve">, y tiene por finalidad prevenir y reprimir los llamados </w:t>
      </w:r>
      <w:r w:rsidR="00DD1A63">
        <w:rPr>
          <w:lang w:val="es-BO"/>
        </w:rPr>
        <w:t>“</w:t>
      </w:r>
      <w:r w:rsidRPr="00895D0A">
        <w:rPr>
          <w:lang w:val="es-BO"/>
        </w:rPr>
        <w:t>delitos de odio</w:t>
      </w:r>
      <w:r w:rsidR="00DD1A63">
        <w:rPr>
          <w:lang w:val="es-BO"/>
        </w:rPr>
        <w:t>”</w:t>
      </w:r>
      <w:r w:rsidRPr="00895D0A">
        <w:rPr>
          <w:lang w:val="es-BO"/>
        </w:rPr>
        <w:t>. Lo dirige el Subdirector de la Dirección Central de la Policía Judicial del De</w:t>
      </w:r>
      <w:r w:rsidR="00540077">
        <w:rPr>
          <w:lang w:val="es-BO"/>
        </w:rPr>
        <w:t>partamento de Seguridad Pública y está compuesto de</w:t>
      </w:r>
      <w:r w:rsidRPr="00895D0A">
        <w:rPr>
          <w:lang w:val="es-BO"/>
        </w:rPr>
        <w:t xml:space="preserve"> funcionarios de las fuerzas policiales y de los </w:t>
      </w:r>
      <w:r w:rsidR="00540077">
        <w:rPr>
          <w:lang w:val="es-BO"/>
        </w:rPr>
        <w:t>carabineros.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El cometido del OSCAD es el siguiente: combatir el fenómeno de </w:t>
      </w:r>
      <w:r w:rsidR="005134C0">
        <w:rPr>
          <w:lang w:val="es-BO"/>
        </w:rPr>
        <w:t>las denuncias</w:t>
      </w:r>
      <w:r w:rsidRPr="00895D0A">
        <w:rPr>
          <w:lang w:val="es-BO"/>
        </w:rPr>
        <w:t xml:space="preserve"> insuficiente</w:t>
      </w:r>
      <w:r w:rsidR="005134C0">
        <w:rPr>
          <w:lang w:val="es-BO"/>
        </w:rPr>
        <w:t>s</w:t>
      </w:r>
      <w:r w:rsidRPr="00895D0A">
        <w:rPr>
          <w:lang w:val="es-BO"/>
        </w:rPr>
        <w:t xml:space="preserve"> y </w:t>
      </w:r>
      <w:r w:rsidR="005134C0">
        <w:rPr>
          <w:lang w:val="es-BO"/>
        </w:rPr>
        <w:t>hacer</w:t>
      </w:r>
      <w:r w:rsidRPr="00895D0A">
        <w:rPr>
          <w:lang w:val="es-BO"/>
        </w:rPr>
        <w:t xml:space="preserve"> que salgan a la luz los delitos de discriminación; activar las operaciones </w:t>
      </w:r>
      <w:r w:rsidR="005134C0" w:rsidRPr="00895D0A">
        <w:rPr>
          <w:lang w:val="es-BO"/>
        </w:rPr>
        <w:t xml:space="preserve">sobre el terreno </w:t>
      </w:r>
      <w:r w:rsidRPr="00895D0A">
        <w:rPr>
          <w:lang w:val="es-BO"/>
        </w:rPr>
        <w:t xml:space="preserve">de la policía y los </w:t>
      </w:r>
      <w:r w:rsidR="005134C0">
        <w:rPr>
          <w:lang w:val="es-BO"/>
        </w:rPr>
        <w:t>carabineros</w:t>
      </w:r>
      <w:r w:rsidRPr="00895D0A">
        <w:rPr>
          <w:lang w:val="es-BO"/>
        </w:rPr>
        <w:t xml:space="preserve">; intensificar los intercambios de información obtenida en investigaciones; impartir </w:t>
      </w:r>
      <w:r w:rsidR="005134C0">
        <w:rPr>
          <w:lang w:val="es-BO"/>
        </w:rPr>
        <w:t>formación</w:t>
      </w:r>
      <w:r w:rsidRPr="00895D0A">
        <w:rPr>
          <w:lang w:val="es-BO"/>
        </w:rPr>
        <w:t xml:space="preserve"> e intercambiar </w:t>
      </w:r>
      <w:r w:rsidR="005134C0">
        <w:rPr>
          <w:lang w:val="es-BO"/>
        </w:rPr>
        <w:t xml:space="preserve">las </w:t>
      </w:r>
      <w:r w:rsidRPr="00895D0A">
        <w:rPr>
          <w:lang w:val="es-BO"/>
        </w:rPr>
        <w:t xml:space="preserve">mejores prácticas </w:t>
      </w:r>
      <w:r w:rsidR="005134C0">
        <w:rPr>
          <w:lang w:val="es-BO"/>
        </w:rPr>
        <w:t>a</w:t>
      </w:r>
      <w:r w:rsidRPr="00895D0A">
        <w:rPr>
          <w:lang w:val="es-BO"/>
        </w:rPr>
        <w:t xml:space="preserve"> nivel internacional, </w:t>
      </w:r>
      <w:r w:rsidR="005134C0">
        <w:rPr>
          <w:lang w:val="es-BO"/>
        </w:rPr>
        <w:t>entre otras</w:t>
      </w:r>
      <w:r w:rsidRPr="00895D0A">
        <w:rPr>
          <w:lang w:val="es-BO"/>
        </w:rPr>
        <w:t xml:space="preserve"> por conducto de la INTERPOL; vigilar la discriminación; conciencia</w:t>
      </w:r>
      <w:r w:rsidR="005134C0">
        <w:rPr>
          <w:lang w:val="es-BO"/>
        </w:rPr>
        <w:t>r</w:t>
      </w:r>
      <w:r w:rsidRPr="00895D0A">
        <w:rPr>
          <w:lang w:val="es-BO"/>
        </w:rPr>
        <w:t xml:space="preserve"> al </w:t>
      </w:r>
      <w:r w:rsidR="005134C0">
        <w:rPr>
          <w:lang w:val="es-BO"/>
        </w:rPr>
        <w:t>público en sinergia</w:t>
      </w:r>
      <w:r w:rsidRPr="00895D0A">
        <w:rPr>
          <w:lang w:val="es-BO"/>
        </w:rPr>
        <w:t xml:space="preserve"> con otros organismos </w:t>
      </w:r>
      <w:r w:rsidR="005134C0">
        <w:rPr>
          <w:lang w:val="es-BO"/>
        </w:rPr>
        <w:t>competentes</w:t>
      </w:r>
      <w:r w:rsidRPr="00895D0A">
        <w:rPr>
          <w:lang w:val="es-BO"/>
        </w:rPr>
        <w:t>, y promover iniciativas de comunicación y prevención.</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En particular, el Observatorio cumple las siguientes tareas:</w:t>
      </w:r>
    </w:p>
    <w:p w:rsidR="00895D0A" w:rsidRPr="00895D0A" w:rsidRDefault="00895D0A" w:rsidP="00C11C9E">
      <w:pPr>
        <w:pStyle w:val="Bullet1"/>
        <w:rPr>
          <w:lang w:val="es-BO"/>
        </w:rPr>
      </w:pPr>
      <w:r w:rsidRPr="006519D4">
        <w:rPr>
          <w:lang w:val="es-BO"/>
        </w:rPr>
        <w:t>Recibe denuncias de actos discrimin</w:t>
      </w:r>
      <w:r w:rsidR="00246B35" w:rsidRPr="006519D4">
        <w:rPr>
          <w:lang w:val="es-BO"/>
        </w:rPr>
        <w:t>atorios (oscad@dcpc.interno.it –</w:t>
      </w:r>
      <w:r w:rsidR="006519D4">
        <w:rPr>
          <w:lang w:val="es-BO"/>
        </w:rPr>
        <w:t xml:space="preserve"> </w:t>
      </w:r>
      <w:r w:rsidR="006519D4">
        <w:rPr>
          <w:lang w:val="es-BO"/>
        </w:rPr>
        <w:br/>
        <w:t xml:space="preserve">fax: 06 </w:t>
      </w:r>
      <w:r w:rsidRPr="006519D4">
        <w:rPr>
          <w:lang w:val="es-BO"/>
        </w:rPr>
        <w:t>46542406</w:t>
      </w:r>
      <w:r w:rsidRPr="00895D0A">
        <w:rPr>
          <w:lang w:val="es-BO"/>
        </w:rPr>
        <w:t xml:space="preserve"> y 0646542407) presentadas por instituciones, asociaciones profesionales y particulares, </w:t>
      </w:r>
      <w:r w:rsidR="005134C0">
        <w:rPr>
          <w:lang w:val="es-BO"/>
        </w:rPr>
        <w:t>a</w:t>
      </w:r>
      <w:r w:rsidRPr="00895D0A">
        <w:rPr>
          <w:lang w:val="es-BO"/>
        </w:rPr>
        <w:t xml:space="preserve"> fin de vigilar el fenómeno de la discriminación por motivos de raza u origen étnico, nacionalidad, religión, género, edad, idioma, discapacidad físic</w:t>
      </w:r>
      <w:r w:rsidR="005134C0">
        <w:rPr>
          <w:lang w:val="es-BO"/>
        </w:rPr>
        <w:t>a o mental, orientación sexual o</w:t>
      </w:r>
      <w:r w:rsidRPr="00895D0A">
        <w:rPr>
          <w:lang w:val="es-BO"/>
        </w:rPr>
        <w:t xml:space="preserve"> identidad de género;</w:t>
      </w:r>
    </w:p>
    <w:p w:rsidR="00895D0A" w:rsidRPr="00895D0A" w:rsidRDefault="00895D0A" w:rsidP="00C11C9E">
      <w:pPr>
        <w:pStyle w:val="Bullet1"/>
        <w:rPr>
          <w:lang w:val="es-BO"/>
        </w:rPr>
      </w:pPr>
      <w:r w:rsidRPr="00895D0A">
        <w:rPr>
          <w:lang w:val="es-BO"/>
        </w:rPr>
        <w:t>Sobre la base de las denuncias recibidas, inicia intervenciones</w:t>
      </w:r>
      <w:r w:rsidR="005134C0">
        <w:rPr>
          <w:lang w:val="es-BO"/>
        </w:rPr>
        <w:t xml:space="preserve"> con objetivos específico</w:t>
      </w:r>
      <w:r w:rsidRPr="00895D0A">
        <w:rPr>
          <w:lang w:val="es-BO"/>
        </w:rPr>
        <w:t>s a nivel local, que lleva</w:t>
      </w:r>
      <w:r w:rsidR="005134C0">
        <w:rPr>
          <w:lang w:val="es-BO"/>
        </w:rPr>
        <w:t>n</w:t>
      </w:r>
      <w:r w:rsidRPr="00895D0A">
        <w:rPr>
          <w:lang w:val="es-BO"/>
        </w:rPr>
        <w:t xml:space="preserve"> a cabo la policía y los</w:t>
      </w:r>
      <w:r w:rsidR="005134C0">
        <w:rPr>
          <w:lang w:val="es-BO"/>
        </w:rPr>
        <w:t xml:space="preserve"> carabineros</w:t>
      </w:r>
      <w:r w:rsidRPr="00895D0A">
        <w:rPr>
          <w:lang w:val="es-BO"/>
        </w:rPr>
        <w:t>;</w:t>
      </w:r>
    </w:p>
    <w:p w:rsidR="00895D0A" w:rsidRPr="00895D0A" w:rsidRDefault="005134C0" w:rsidP="00C11C9E">
      <w:pPr>
        <w:pStyle w:val="Bullet1"/>
        <w:rPr>
          <w:lang w:val="es-BO"/>
        </w:rPr>
      </w:pPr>
      <w:r>
        <w:rPr>
          <w:lang w:val="es-BO"/>
        </w:rPr>
        <w:t>Procede al seguimiento de</w:t>
      </w:r>
      <w:r w:rsidR="00895D0A" w:rsidRPr="00895D0A">
        <w:rPr>
          <w:lang w:val="es-BO"/>
        </w:rPr>
        <w:t xml:space="preserve"> los resultados de las denuncias de discriminación presentadas a las fuerzas policiales;</w:t>
      </w:r>
    </w:p>
    <w:p w:rsidR="00895D0A" w:rsidRPr="00895D0A" w:rsidRDefault="00895D0A" w:rsidP="00C11C9E">
      <w:pPr>
        <w:pStyle w:val="Bullet1"/>
        <w:rPr>
          <w:lang w:val="es-BO"/>
        </w:rPr>
      </w:pPr>
      <w:r w:rsidRPr="00895D0A">
        <w:rPr>
          <w:lang w:val="es-BO"/>
        </w:rPr>
        <w:t xml:space="preserve">Mantiene contactos con asociaciones e instituciones, tanto públicas como privadas, dedicadas a </w:t>
      </w:r>
      <w:r w:rsidR="005134C0">
        <w:rPr>
          <w:lang w:val="es-BO"/>
        </w:rPr>
        <w:t>combatir</w:t>
      </w:r>
      <w:r w:rsidRPr="00895D0A">
        <w:rPr>
          <w:lang w:val="es-BO"/>
        </w:rPr>
        <w:t xml:space="preserve"> la discriminación, en particular con la UNAR;</w:t>
      </w:r>
    </w:p>
    <w:p w:rsidR="00895D0A" w:rsidRPr="00895D0A" w:rsidRDefault="00895D0A" w:rsidP="00C11C9E">
      <w:pPr>
        <w:pStyle w:val="Bullet1"/>
        <w:rPr>
          <w:lang w:val="es-BO"/>
        </w:rPr>
      </w:pPr>
      <w:r w:rsidRPr="00895D0A">
        <w:rPr>
          <w:lang w:val="es-BO"/>
        </w:rPr>
        <w:t xml:space="preserve">Elabora módulos de </w:t>
      </w:r>
      <w:r w:rsidR="005134C0">
        <w:rPr>
          <w:lang w:val="es-BO"/>
        </w:rPr>
        <w:t>formación para</w:t>
      </w:r>
      <w:r w:rsidRPr="00895D0A">
        <w:rPr>
          <w:lang w:val="es-BO"/>
        </w:rPr>
        <w:t xml:space="preserve"> cualificar a los agentes </w:t>
      </w:r>
      <w:r w:rsidR="005134C0">
        <w:rPr>
          <w:lang w:val="es-BO"/>
        </w:rPr>
        <w:t>de policía en las actividades antidiscriminatorias</w:t>
      </w:r>
      <w:r w:rsidRPr="00895D0A">
        <w:rPr>
          <w:lang w:val="es-BO"/>
        </w:rPr>
        <w:t xml:space="preserve">, y participa en programas de </w:t>
      </w:r>
      <w:r w:rsidR="005134C0">
        <w:rPr>
          <w:lang w:val="es-BO"/>
        </w:rPr>
        <w:t>formación</w:t>
      </w:r>
      <w:r w:rsidRPr="00895D0A">
        <w:rPr>
          <w:lang w:val="es-BO"/>
        </w:rPr>
        <w:t xml:space="preserve"> con instituciones públicas y privadas;</w:t>
      </w:r>
    </w:p>
    <w:p w:rsidR="00895D0A" w:rsidRPr="00895D0A" w:rsidRDefault="00895D0A" w:rsidP="00C11C9E">
      <w:pPr>
        <w:pStyle w:val="Bullet1"/>
        <w:rPr>
          <w:lang w:val="es-BO"/>
        </w:rPr>
      </w:pPr>
      <w:r w:rsidRPr="00895D0A">
        <w:rPr>
          <w:lang w:val="es-BO"/>
        </w:rPr>
        <w:t xml:space="preserve">Promueve las iniciativas de sensibilización e información </w:t>
      </w:r>
      <w:r w:rsidR="005134C0">
        <w:rPr>
          <w:lang w:val="es-BO"/>
        </w:rPr>
        <w:t>del</w:t>
      </w:r>
      <w:r w:rsidRPr="00895D0A">
        <w:rPr>
          <w:lang w:val="es-BO"/>
        </w:rPr>
        <w:t xml:space="preserve"> público</w:t>
      </w:r>
      <w:r w:rsidR="005134C0">
        <w:rPr>
          <w:lang w:val="es-BO"/>
        </w:rPr>
        <w:t>,</w:t>
      </w:r>
      <w:r w:rsidRPr="00895D0A">
        <w:rPr>
          <w:lang w:val="es-BO"/>
        </w:rPr>
        <w:t xml:space="preserve"> para prevenir las conductas discriminatorias e ilícitas;</w:t>
      </w:r>
    </w:p>
    <w:p w:rsidR="00895D0A" w:rsidRPr="00895D0A" w:rsidRDefault="00895D0A" w:rsidP="00C11C9E">
      <w:pPr>
        <w:pStyle w:val="Bullet1"/>
        <w:rPr>
          <w:lang w:val="es-BO"/>
        </w:rPr>
      </w:pPr>
      <w:r w:rsidRPr="00895D0A">
        <w:rPr>
          <w:lang w:val="es-BO"/>
        </w:rPr>
        <w:t xml:space="preserve">Propone medidas adecuadas para prevenir y combatir la discriminación, </w:t>
      </w:r>
      <w:r w:rsidR="005134C0">
        <w:rPr>
          <w:lang w:val="es-BO"/>
        </w:rPr>
        <w:t>entre otras cosas</w:t>
      </w:r>
      <w:r w:rsidRPr="00895D0A">
        <w:rPr>
          <w:lang w:val="es-BO"/>
        </w:rPr>
        <w:t xml:space="preserve"> en lo que se refiere a los datos de investigación y al intercambio de buenas prácticas entre las fuerzas policiales a nivel internacional.</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La denuncia de un acto de discriminación </w:t>
      </w:r>
      <w:r w:rsidR="005134C0">
        <w:rPr>
          <w:lang w:val="es-BO"/>
        </w:rPr>
        <w:t>a</w:t>
      </w:r>
      <w:r w:rsidRPr="00895D0A">
        <w:rPr>
          <w:lang w:val="es-BO"/>
        </w:rPr>
        <w:t xml:space="preserve">l OSCAD no sustituye, </w:t>
      </w:r>
      <w:r w:rsidR="005134C0">
        <w:rPr>
          <w:lang w:val="es-BO"/>
        </w:rPr>
        <w:t>en</w:t>
      </w:r>
      <w:r w:rsidRPr="00895D0A">
        <w:rPr>
          <w:lang w:val="es-BO"/>
        </w:rPr>
        <w:t xml:space="preserve"> ning</w:t>
      </w:r>
      <w:r w:rsidR="005134C0">
        <w:rPr>
          <w:lang w:val="es-BO"/>
        </w:rPr>
        <w:t>ún</w:t>
      </w:r>
      <w:r w:rsidRPr="00895D0A">
        <w:rPr>
          <w:lang w:val="es-BO"/>
        </w:rPr>
        <w:t xml:space="preserve"> </w:t>
      </w:r>
      <w:r w:rsidR="005134C0">
        <w:rPr>
          <w:lang w:val="es-BO"/>
        </w:rPr>
        <w:t>caso</w:t>
      </w:r>
      <w:r w:rsidRPr="00895D0A">
        <w:rPr>
          <w:lang w:val="es-BO"/>
        </w:rPr>
        <w:t xml:space="preserve">, </w:t>
      </w:r>
      <w:r w:rsidR="005134C0">
        <w:rPr>
          <w:lang w:val="es-BO"/>
        </w:rPr>
        <w:t xml:space="preserve">a </w:t>
      </w:r>
      <w:r w:rsidRPr="00895D0A">
        <w:rPr>
          <w:lang w:val="es-BO"/>
        </w:rPr>
        <w:t xml:space="preserve">una denuncia formal </w:t>
      </w:r>
      <w:r w:rsidR="005134C0">
        <w:rPr>
          <w:lang w:val="es-BO"/>
        </w:rPr>
        <w:t>a</w:t>
      </w:r>
      <w:r w:rsidRPr="00895D0A">
        <w:rPr>
          <w:lang w:val="es-BO"/>
        </w:rPr>
        <w:t xml:space="preserve"> las autoridades policiales, ni </w:t>
      </w:r>
      <w:r w:rsidR="005134C0">
        <w:rPr>
          <w:lang w:val="es-BO"/>
        </w:rPr>
        <w:t xml:space="preserve">a </w:t>
      </w:r>
      <w:r w:rsidRPr="00895D0A">
        <w:rPr>
          <w:lang w:val="es-BO"/>
        </w:rPr>
        <w:t xml:space="preserve">una llamada de emergencia a </w:t>
      </w:r>
      <w:r w:rsidR="005134C0">
        <w:rPr>
          <w:lang w:val="es-BO"/>
        </w:rPr>
        <w:t>los números</w:t>
      </w:r>
      <w:r w:rsidRPr="00895D0A">
        <w:rPr>
          <w:lang w:val="es-BO"/>
        </w:rPr>
        <w:t xml:space="preserve"> 112 y 113.</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Entre las actividades realizadas por el OSCAD, cabe señalar las siguientes:</w:t>
      </w:r>
    </w:p>
    <w:p w:rsidR="00895D0A" w:rsidRPr="00895D0A" w:rsidRDefault="00895D0A" w:rsidP="00C11C9E">
      <w:pPr>
        <w:pStyle w:val="Bullet1"/>
        <w:rPr>
          <w:lang w:val="es-BO"/>
        </w:rPr>
      </w:pPr>
      <w:r w:rsidRPr="00895D0A">
        <w:rPr>
          <w:lang w:val="es-BO"/>
        </w:rPr>
        <w:t xml:space="preserve">El 17 de marzo de 2013, con motivo de la inauguración de la </w:t>
      </w:r>
      <w:r w:rsidR="00DD1A63">
        <w:rPr>
          <w:lang w:val="es-BO"/>
        </w:rPr>
        <w:t>“</w:t>
      </w:r>
      <w:r w:rsidRPr="00895D0A">
        <w:rPr>
          <w:lang w:val="es-BO"/>
        </w:rPr>
        <w:t>Novena Semana de Acción contra el Racismo</w:t>
      </w:r>
      <w:r w:rsidR="00DD1A63">
        <w:rPr>
          <w:lang w:val="es-BO"/>
        </w:rPr>
        <w:t>”</w:t>
      </w:r>
      <w:r w:rsidRPr="00895D0A">
        <w:rPr>
          <w:lang w:val="es-BO"/>
        </w:rPr>
        <w:t xml:space="preserve">, junto con la UNAR, la Federación Italiana de Fútbol, las ligas de fútbol A y B, la </w:t>
      </w:r>
      <w:r w:rsidR="005134C0">
        <w:rPr>
          <w:lang w:val="es-BO"/>
        </w:rPr>
        <w:t>Liga Profesional y la Liga Nacional de Aficionados</w:t>
      </w:r>
      <w:r w:rsidRPr="00895D0A">
        <w:rPr>
          <w:lang w:val="es-BO"/>
        </w:rPr>
        <w:t xml:space="preserve">, se exhibió una pancarta </w:t>
      </w:r>
      <w:r w:rsidR="005134C0" w:rsidRPr="00895D0A">
        <w:rPr>
          <w:lang w:val="es-BO"/>
        </w:rPr>
        <w:t xml:space="preserve">en todos los estadios </w:t>
      </w:r>
      <w:r w:rsidRPr="00895D0A">
        <w:rPr>
          <w:lang w:val="es-BO"/>
        </w:rPr>
        <w:t xml:space="preserve">antes de que empezaran los partidos de fútbol, y los </w:t>
      </w:r>
      <w:r w:rsidR="005134C0">
        <w:rPr>
          <w:lang w:val="es-BO"/>
        </w:rPr>
        <w:t>capitanes</w:t>
      </w:r>
      <w:r w:rsidRPr="00895D0A">
        <w:rPr>
          <w:lang w:val="es-BO"/>
        </w:rPr>
        <w:t xml:space="preserve"> de </w:t>
      </w:r>
      <w:r w:rsidR="005134C0">
        <w:rPr>
          <w:lang w:val="es-BO"/>
        </w:rPr>
        <w:t>ambos</w:t>
      </w:r>
      <w:r w:rsidRPr="00895D0A">
        <w:rPr>
          <w:lang w:val="es-BO"/>
        </w:rPr>
        <w:t xml:space="preserve"> equipo</w:t>
      </w:r>
      <w:r w:rsidR="005134C0">
        <w:rPr>
          <w:lang w:val="es-BO"/>
        </w:rPr>
        <w:t>s</w:t>
      </w:r>
      <w:r w:rsidRPr="00895D0A">
        <w:rPr>
          <w:lang w:val="es-BO"/>
        </w:rPr>
        <w:t xml:space="preserve"> </w:t>
      </w:r>
      <w:r w:rsidR="005134C0">
        <w:rPr>
          <w:lang w:val="es-BO"/>
        </w:rPr>
        <w:t>dieron lectura a</w:t>
      </w:r>
      <w:r w:rsidRPr="00895D0A">
        <w:rPr>
          <w:lang w:val="es-BO"/>
        </w:rPr>
        <w:t xml:space="preserve"> un mensaje </w:t>
      </w:r>
      <w:r w:rsidR="005134C0">
        <w:rPr>
          <w:lang w:val="es-BO"/>
        </w:rPr>
        <w:t>dedicado específicamente al</w:t>
      </w:r>
      <w:r w:rsidRPr="00895D0A">
        <w:rPr>
          <w:lang w:val="es-BO"/>
        </w:rPr>
        <w:t xml:space="preserve"> racismo, dirigido a sus seguidores. Se distribuyeron miles de fotografías de los futbolistas más famosos con el lema </w:t>
      </w:r>
      <w:r w:rsidR="00DD1A63">
        <w:rPr>
          <w:lang w:val="es-BO"/>
        </w:rPr>
        <w:t>“</w:t>
      </w:r>
      <w:r w:rsidRPr="00895D0A">
        <w:rPr>
          <w:lang w:val="es-BO"/>
        </w:rPr>
        <w:t>Expulsemos el racismo</w:t>
      </w:r>
      <w:r w:rsidR="00DD1A63">
        <w:rPr>
          <w:lang w:val="es-BO"/>
        </w:rPr>
        <w:t>”</w:t>
      </w:r>
      <w:r w:rsidR="000B3656">
        <w:rPr>
          <w:lang w:val="es-BO"/>
        </w:rPr>
        <w:t>.</w:t>
      </w:r>
    </w:p>
    <w:p w:rsidR="00895D0A" w:rsidRPr="00895D0A" w:rsidRDefault="00895D0A" w:rsidP="00C11C9E">
      <w:pPr>
        <w:pStyle w:val="Bullet1"/>
        <w:rPr>
          <w:lang w:val="es-BO"/>
        </w:rPr>
      </w:pPr>
      <w:r w:rsidRPr="00895D0A">
        <w:rPr>
          <w:lang w:val="es-BO"/>
        </w:rPr>
        <w:t xml:space="preserve">El OSCAD coopera con el Observatorio Nacional de Eventos Deportivos para </w:t>
      </w:r>
      <w:r w:rsidR="000366B8">
        <w:rPr>
          <w:lang w:val="es-BO"/>
        </w:rPr>
        <w:t>arbitrar</w:t>
      </w:r>
      <w:r w:rsidRPr="00895D0A">
        <w:rPr>
          <w:lang w:val="es-BO"/>
        </w:rPr>
        <w:t xml:space="preserve"> medidas preventivas y de lucha contra el racismo, el antisemitismo y la intolerancia en el deporte, y </w:t>
      </w:r>
      <w:r w:rsidR="000366B8">
        <w:rPr>
          <w:lang w:val="es-BO"/>
        </w:rPr>
        <w:t xml:space="preserve">participa como miembro en </w:t>
      </w:r>
      <w:r w:rsidRPr="00895D0A">
        <w:rPr>
          <w:lang w:val="es-BO"/>
        </w:rPr>
        <w:t xml:space="preserve">el grupo de tareas establecido a tal efecto por el Ministerio del Interior el 5 de diciembre de 2013, </w:t>
      </w:r>
      <w:r w:rsidR="000366B8">
        <w:rPr>
          <w:lang w:val="es-BO"/>
        </w:rPr>
        <w:t>en el que figuran</w:t>
      </w:r>
      <w:r w:rsidRPr="00895D0A">
        <w:rPr>
          <w:lang w:val="es-BO"/>
        </w:rPr>
        <w:t xml:space="preserve"> representantes de las fuerzas policiales, la Federación Italiana </w:t>
      </w:r>
      <w:r w:rsidR="000B3656">
        <w:rPr>
          <w:lang w:val="es-BO"/>
        </w:rPr>
        <w:t>de Fútbol y las ligas de fútbol.</w:t>
      </w:r>
    </w:p>
    <w:p w:rsidR="00895D0A" w:rsidRPr="00895D0A" w:rsidRDefault="00895D0A" w:rsidP="00C11C9E">
      <w:pPr>
        <w:pStyle w:val="Bullet1"/>
        <w:rPr>
          <w:lang w:val="es-BO"/>
        </w:rPr>
      </w:pPr>
      <w:r w:rsidRPr="00895D0A">
        <w:rPr>
          <w:lang w:val="es-BO"/>
        </w:rPr>
        <w:t xml:space="preserve">El Observatorio forma parte del grupo técnico encargado de elaborar el Plan de Acción Nacional contra el Racismo, la Xenofobia y la Intolerancia promovido por la UNAR, que se basa, entre otras cosas, en el eje específico </w:t>
      </w:r>
      <w:r w:rsidR="000366B8">
        <w:rPr>
          <w:lang w:val="es-BO"/>
        </w:rPr>
        <w:t>de</w:t>
      </w:r>
      <w:r w:rsidRPr="00895D0A">
        <w:rPr>
          <w:lang w:val="es-BO"/>
        </w:rPr>
        <w:t xml:space="preserve">l racismo y el deporte. En este contexto, instituciones nacionales e internacionales </w:t>
      </w:r>
      <w:r w:rsidR="000366B8">
        <w:rPr>
          <w:lang w:val="es-BO"/>
        </w:rPr>
        <w:t>emprenderán</w:t>
      </w:r>
      <w:r w:rsidRPr="00895D0A">
        <w:rPr>
          <w:lang w:val="es-BO"/>
        </w:rPr>
        <w:t xml:space="preserve"> iniciativas </w:t>
      </w:r>
      <w:r w:rsidR="000366B8">
        <w:rPr>
          <w:lang w:val="es-BO"/>
        </w:rPr>
        <w:t>conjuntas para concienciar a la población</w:t>
      </w:r>
      <w:r w:rsidRPr="00895D0A">
        <w:rPr>
          <w:lang w:val="es-BO"/>
        </w:rPr>
        <w:t xml:space="preserve">, impartir </w:t>
      </w:r>
      <w:r w:rsidR="000366B8">
        <w:rPr>
          <w:lang w:val="es-BO"/>
        </w:rPr>
        <w:t>formación</w:t>
      </w:r>
      <w:r w:rsidRPr="00895D0A">
        <w:rPr>
          <w:lang w:val="es-BO"/>
        </w:rPr>
        <w:t xml:space="preserve"> y compartir información, así como para prevenir, reprimir y castigar los delitos de discriminación.</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Desde el anterior informe periódico, la </w:t>
      </w:r>
      <w:r w:rsidRPr="006519D4">
        <w:rPr>
          <w:b/>
          <w:lang w:val="es-BO"/>
        </w:rPr>
        <w:t>UNAR</w:t>
      </w:r>
      <w:r w:rsidRPr="00895D0A">
        <w:rPr>
          <w:lang w:val="es-BO"/>
        </w:rPr>
        <w:t xml:space="preserve"> ha sido reforzada y </w:t>
      </w:r>
      <w:r w:rsidR="000366B8">
        <w:rPr>
          <w:lang w:val="es-BO"/>
        </w:rPr>
        <w:t xml:space="preserve">se han ampliado </w:t>
      </w:r>
      <w:r w:rsidRPr="00895D0A">
        <w:rPr>
          <w:lang w:val="es-BO"/>
        </w:rPr>
        <w:t>sus funciones. En término</w:t>
      </w:r>
      <w:r w:rsidR="006519D4">
        <w:rPr>
          <w:lang w:val="es-BO"/>
        </w:rPr>
        <w:t>s</w:t>
      </w:r>
      <w:r w:rsidRPr="00895D0A">
        <w:rPr>
          <w:lang w:val="es-BO"/>
        </w:rPr>
        <w:t xml:space="preserve"> generales, la Oficina se ocupa desde 2013 de la protección contra todas las formas de discriminación, sea por motivos de raza, origen étnico, religión, opinión personal, discapacidad, edad, orientación sexual o identidad de género. Además, </w:t>
      </w:r>
      <w:r w:rsidR="000366B8">
        <w:rPr>
          <w:lang w:val="es-BO"/>
        </w:rPr>
        <w:t>participa</w:t>
      </w:r>
      <w:r w:rsidRPr="00895D0A">
        <w:rPr>
          <w:lang w:val="es-BO"/>
        </w:rPr>
        <w:t xml:space="preserve"> en la lucha contra el racismo, </w:t>
      </w:r>
      <w:r w:rsidR="000366B8">
        <w:rPr>
          <w:lang w:val="es-BO"/>
        </w:rPr>
        <w:t>promueve</w:t>
      </w:r>
      <w:r w:rsidRPr="00895D0A">
        <w:rPr>
          <w:lang w:val="es-BO"/>
        </w:rPr>
        <w:t xml:space="preserve"> la integración de los romaníes, los sintis y las comunidades itinerantes y de los grupos sociales más vulnerables, como las personas de edad y las personas con discapacidad, y combat</w:t>
      </w:r>
      <w:r w:rsidR="000366B8">
        <w:rPr>
          <w:lang w:val="es-BO"/>
        </w:rPr>
        <w:t>e</w:t>
      </w:r>
      <w:r w:rsidRPr="00895D0A">
        <w:rPr>
          <w:lang w:val="es-BO"/>
        </w:rPr>
        <w:t xml:space="preserve"> la homofobia y la transfobia, prestando particular atención a la discriminación múltiple.</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En </w:t>
      </w:r>
      <w:r w:rsidR="000366B8">
        <w:rPr>
          <w:lang w:val="es-BO"/>
        </w:rPr>
        <w:t>la</w:t>
      </w:r>
      <w:r w:rsidRPr="00895D0A">
        <w:rPr>
          <w:lang w:val="es-BO"/>
        </w:rPr>
        <w:t xml:space="preserve"> práctic</w:t>
      </w:r>
      <w:r w:rsidR="000366B8">
        <w:rPr>
          <w:lang w:val="es-BO"/>
        </w:rPr>
        <w:t>a</w:t>
      </w:r>
      <w:r w:rsidRPr="00895D0A">
        <w:rPr>
          <w:lang w:val="es-BO"/>
        </w:rPr>
        <w:t xml:space="preserve">, la UNAR </w:t>
      </w:r>
      <w:r w:rsidR="000366B8">
        <w:rPr>
          <w:b/>
          <w:lang w:val="es-BO"/>
        </w:rPr>
        <w:t>combate resueltamente</w:t>
      </w:r>
      <w:r w:rsidRPr="00895D0A">
        <w:rPr>
          <w:b/>
          <w:lang w:val="es-BO"/>
        </w:rPr>
        <w:t xml:space="preserve"> los discursos y los delitos de odio</w:t>
      </w:r>
      <w:r w:rsidRPr="00895D0A">
        <w:rPr>
          <w:lang w:val="es-BO"/>
        </w:rPr>
        <w:t xml:space="preserve">, ya que los casos de discriminación por motivos de origen racial o étnico siguen siendo mayoritarios y </w:t>
      </w:r>
      <w:r w:rsidR="000366B8" w:rsidRPr="00895D0A">
        <w:rPr>
          <w:lang w:val="es-BO"/>
        </w:rPr>
        <w:t>en 2013</w:t>
      </w:r>
      <w:r w:rsidR="000366B8">
        <w:rPr>
          <w:lang w:val="es-BO"/>
        </w:rPr>
        <w:t xml:space="preserve"> </w:t>
      </w:r>
      <w:r w:rsidRPr="00895D0A">
        <w:rPr>
          <w:lang w:val="es-BO"/>
        </w:rPr>
        <w:t>representaron un 68,7% de las denuncias presentadas.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A lo largo de los años, la UNAR</w:t>
      </w:r>
      <w:r w:rsidR="000366B8">
        <w:rPr>
          <w:lang w:val="es-BO"/>
        </w:rPr>
        <w:t xml:space="preserve"> ha apoyado</w:t>
      </w:r>
      <w:r w:rsidRPr="00895D0A">
        <w:rPr>
          <w:lang w:val="es-BO"/>
        </w:rPr>
        <w:t xml:space="preserve"> y promovi</w:t>
      </w:r>
      <w:r w:rsidR="000366B8">
        <w:rPr>
          <w:lang w:val="es-BO"/>
        </w:rPr>
        <w:t>do</w:t>
      </w:r>
      <w:r w:rsidRPr="00895D0A">
        <w:rPr>
          <w:lang w:val="es-BO"/>
        </w:rPr>
        <w:t xml:space="preserve"> diversas iniciativas, como la </w:t>
      </w:r>
      <w:r w:rsidR="00DD1A63">
        <w:rPr>
          <w:lang w:val="es-BO"/>
        </w:rPr>
        <w:t>“</w:t>
      </w:r>
      <w:r w:rsidRPr="00895D0A">
        <w:rPr>
          <w:lang w:val="es-BO"/>
        </w:rPr>
        <w:t>Carta de Roma</w:t>
      </w:r>
      <w:r w:rsidR="00DD1A63">
        <w:rPr>
          <w:lang w:val="es-BO"/>
        </w:rPr>
        <w:t>”</w:t>
      </w:r>
      <w:r w:rsidRPr="00895D0A">
        <w:rPr>
          <w:lang w:val="es-BO"/>
        </w:rPr>
        <w:t xml:space="preserve"> y las actividades de </w:t>
      </w:r>
      <w:r w:rsidR="000366B8">
        <w:rPr>
          <w:lang w:val="es-BO"/>
        </w:rPr>
        <w:t>formación de profesionales de los</w:t>
      </w:r>
      <w:r w:rsidRPr="00895D0A">
        <w:rPr>
          <w:lang w:val="es-BO"/>
        </w:rPr>
        <w:t xml:space="preserve"> medios de comunicación, miembros de las fuerzas del orden y profesionales del derecho. Recientemente participó en la </w:t>
      </w:r>
      <w:r w:rsidR="000366B8">
        <w:rPr>
          <w:lang w:val="es-BO"/>
        </w:rPr>
        <w:t>preparación</w:t>
      </w:r>
      <w:r w:rsidRPr="00895D0A">
        <w:rPr>
          <w:lang w:val="es-BO"/>
        </w:rPr>
        <w:t xml:space="preserve"> de una </w:t>
      </w:r>
      <w:r w:rsidRPr="00895D0A">
        <w:rPr>
          <w:b/>
          <w:lang w:val="es-BO"/>
        </w:rPr>
        <w:t xml:space="preserve">iniciativa titulada </w:t>
      </w:r>
      <w:r w:rsidR="00DD1A63">
        <w:rPr>
          <w:b/>
          <w:lang w:val="es-BO"/>
        </w:rPr>
        <w:t>“</w:t>
      </w:r>
      <w:r w:rsidRPr="00895D0A">
        <w:rPr>
          <w:b/>
          <w:lang w:val="es-BO"/>
        </w:rPr>
        <w:t>Combatir las diferentes formas y manifestaciones de racismo y xenofobia</w:t>
      </w:r>
      <w:r w:rsidR="00DD1A63">
        <w:rPr>
          <w:b/>
          <w:lang w:val="es-BO"/>
        </w:rPr>
        <w:t>”</w:t>
      </w:r>
      <w:r w:rsidR="000366B8">
        <w:rPr>
          <w:lang w:val="es-BO"/>
        </w:rPr>
        <w:t>;</w:t>
      </w:r>
      <w:r w:rsidRPr="00895D0A">
        <w:rPr>
          <w:lang w:val="es-BO"/>
        </w:rPr>
        <w:t xml:space="preserve"> se trata de un proyecto de 18 meses de duración dirigido por la </w:t>
      </w:r>
      <w:r w:rsidR="000366B8" w:rsidRPr="00895D0A">
        <w:rPr>
          <w:lang w:val="es-BO"/>
        </w:rPr>
        <w:t xml:space="preserve">ARCI </w:t>
      </w:r>
      <w:r w:rsidR="000366B8">
        <w:rPr>
          <w:lang w:val="es-BO"/>
        </w:rPr>
        <w:t>(</w:t>
      </w:r>
      <w:r w:rsidRPr="00895D0A">
        <w:rPr>
          <w:lang w:val="es-BO"/>
        </w:rPr>
        <w:t>Asociación Recreativa y Cultural de Italia</w:t>
      </w:r>
      <w:r w:rsidR="000366B8">
        <w:rPr>
          <w:lang w:val="es-BO"/>
        </w:rPr>
        <w:t>)</w:t>
      </w:r>
      <w:r w:rsidRPr="00895D0A">
        <w:rPr>
          <w:lang w:val="es-BO"/>
        </w:rPr>
        <w:t xml:space="preserve"> en colaboración con la UNAR, el </w:t>
      </w:r>
      <w:r w:rsidR="00967281">
        <w:rPr>
          <w:lang w:val="es-BO"/>
        </w:rPr>
        <w:t>CNR-ISGI</w:t>
      </w:r>
      <w:r w:rsidR="000366B8">
        <w:rPr>
          <w:lang w:val="es-BO"/>
        </w:rPr>
        <w:t xml:space="preserve"> (</w:t>
      </w:r>
      <w:r w:rsidR="00DD1BE2">
        <w:rPr>
          <w:lang w:val="es-BO"/>
        </w:rPr>
        <w:t xml:space="preserve">Consejo </w:t>
      </w:r>
      <w:r w:rsidRPr="00895D0A">
        <w:rPr>
          <w:lang w:val="es-BO"/>
        </w:rPr>
        <w:t>Nacional de Investigación</w:t>
      </w:r>
      <w:r w:rsidR="00DD1BE2">
        <w:rPr>
          <w:lang w:val="es-BO"/>
        </w:rPr>
        <w:t xml:space="preserve"> – </w:t>
      </w:r>
      <w:r w:rsidRPr="00895D0A">
        <w:rPr>
          <w:lang w:val="es-BO"/>
        </w:rPr>
        <w:t>Instituto</w:t>
      </w:r>
      <w:r w:rsidR="00246B35">
        <w:rPr>
          <w:lang w:val="es-BO"/>
        </w:rPr>
        <w:t xml:space="preserve"> </w:t>
      </w:r>
      <w:r w:rsidRPr="00895D0A">
        <w:rPr>
          <w:lang w:val="es-BO"/>
        </w:rPr>
        <w:t>de Estudios Jurídicos Internacionales), la ANCI</w:t>
      </w:r>
      <w:r w:rsidR="00DD1BE2">
        <w:rPr>
          <w:lang w:val="es-BO"/>
        </w:rPr>
        <w:noBreakHyphen/>
      </w:r>
      <w:r w:rsidRPr="00895D0A">
        <w:rPr>
          <w:lang w:val="es-BO"/>
        </w:rPr>
        <w:t>Cittalia, el Ministerio del Interior</w:t>
      </w:r>
      <w:r w:rsidR="00967281">
        <w:rPr>
          <w:lang w:val="es-BO"/>
        </w:rPr>
        <w:t>-</w:t>
      </w:r>
      <w:r w:rsidRPr="00895D0A">
        <w:rPr>
          <w:lang w:val="es-BO"/>
        </w:rPr>
        <w:t>OSCAD, el</w:t>
      </w:r>
      <w:r w:rsidR="000366B8">
        <w:rPr>
          <w:lang w:val="es-BO"/>
        </w:rPr>
        <w:t xml:space="preserve"> UNICRI</w:t>
      </w:r>
      <w:r w:rsidRPr="00895D0A">
        <w:rPr>
          <w:lang w:val="es-BO"/>
        </w:rPr>
        <w:t xml:space="preserve"> </w:t>
      </w:r>
      <w:r w:rsidR="000366B8">
        <w:rPr>
          <w:lang w:val="es-BO"/>
        </w:rPr>
        <w:t>(</w:t>
      </w:r>
      <w:r w:rsidRPr="00895D0A">
        <w:rPr>
          <w:lang w:val="es-BO"/>
        </w:rPr>
        <w:t>Instituto Interregional de las Naciones Unidas para Investigaciones sobre la Delincuencia y la Justicia</w:t>
      </w:r>
      <w:r w:rsidR="000366B8">
        <w:rPr>
          <w:lang w:val="es-BO"/>
        </w:rPr>
        <w:t>)</w:t>
      </w:r>
      <w:r w:rsidRPr="00895D0A">
        <w:rPr>
          <w:lang w:val="es-BO"/>
        </w:rPr>
        <w:t>, la Federación Rumana de Periodistas MediaSind, SOS Racismo (G</w:t>
      </w:r>
      <w:r w:rsidR="00CA6BFC">
        <w:rPr>
          <w:lang w:val="es-BO"/>
        </w:rPr>
        <w:t>ipu</w:t>
      </w:r>
      <w:r w:rsidR="002557DE">
        <w:rPr>
          <w:lang w:val="es-BO"/>
        </w:rPr>
        <w:t>zk</w:t>
      </w:r>
      <w:r w:rsidRPr="00895D0A">
        <w:rPr>
          <w:lang w:val="es-BO"/>
        </w:rPr>
        <w:t xml:space="preserve">oa), la </w:t>
      </w:r>
      <w:r w:rsidRPr="00592A0C">
        <w:rPr>
          <w:lang w:val="es-BO"/>
        </w:rPr>
        <w:t xml:space="preserve">Fundatia Dezvoltarea Popoarelor </w:t>
      </w:r>
      <w:r w:rsidRPr="00895D0A">
        <w:rPr>
          <w:lang w:val="es-BO"/>
        </w:rPr>
        <w:t xml:space="preserve">(Rumania), la </w:t>
      </w:r>
      <w:r w:rsidRPr="00592A0C">
        <w:rPr>
          <w:lang w:val="es-BO"/>
        </w:rPr>
        <w:t>Ligue de l’Enseignement</w:t>
      </w:r>
      <w:r w:rsidRPr="00895D0A">
        <w:rPr>
          <w:i/>
          <w:lang w:val="es-BO"/>
        </w:rPr>
        <w:t xml:space="preserve"> </w:t>
      </w:r>
      <w:r w:rsidRPr="00895D0A">
        <w:rPr>
          <w:lang w:val="es-BO"/>
        </w:rPr>
        <w:t xml:space="preserve">(Francia), la Universidad de Barcelona (España) y </w:t>
      </w:r>
      <w:r w:rsidRPr="00592A0C">
        <w:rPr>
          <w:lang w:val="es-BO"/>
        </w:rPr>
        <w:t>Race on the Agenda</w:t>
      </w:r>
      <w:r w:rsidRPr="00895D0A">
        <w:rPr>
          <w:i/>
          <w:lang w:val="es-BO"/>
        </w:rPr>
        <w:t xml:space="preserve"> </w:t>
      </w:r>
      <w:r w:rsidRPr="00895D0A">
        <w:rPr>
          <w:lang w:val="es-BO"/>
        </w:rPr>
        <w:t>(Reino Unido).</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0B3656">
        <w:rPr>
          <w:spacing w:val="3"/>
          <w:lang w:val="es-BO"/>
        </w:rPr>
        <w:t xml:space="preserve">Según los datos anuales </w:t>
      </w:r>
      <w:r w:rsidR="00CA6BFC" w:rsidRPr="000B3656">
        <w:rPr>
          <w:spacing w:val="3"/>
          <w:lang w:val="es-BO"/>
        </w:rPr>
        <w:t>recogidos</w:t>
      </w:r>
      <w:r w:rsidRPr="000B3656">
        <w:rPr>
          <w:spacing w:val="3"/>
          <w:lang w:val="es-BO"/>
        </w:rPr>
        <w:t xml:space="preserve">, en 2013 se denunciaron 1.142 casos al Centro de Contacto de la UNAR. Las denuncias </w:t>
      </w:r>
      <w:r w:rsidR="00CA6BFC" w:rsidRPr="000B3656">
        <w:rPr>
          <w:spacing w:val="3"/>
          <w:lang w:val="es-BO"/>
        </w:rPr>
        <w:t>se referían a</w:t>
      </w:r>
      <w:r w:rsidRPr="000B3656">
        <w:rPr>
          <w:spacing w:val="3"/>
          <w:lang w:val="es-BO"/>
        </w:rPr>
        <w:t xml:space="preserve"> conductas y actos discriminatorios (alrededor de un 70%), orientación sexual (10%), discapacidad (9,2%)</w:t>
      </w:r>
      <w:r w:rsidRPr="00895D0A">
        <w:rPr>
          <w:lang w:val="es-BO"/>
        </w:rPr>
        <w:t xml:space="preserve"> y discriminación por motivos de edad (8,9%).</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Los medios de comunicación son el recurso más utilizado para difundir ideas discriminatorias (34,2%</w:t>
      </w:r>
      <w:r w:rsidR="00CA6BFC">
        <w:rPr>
          <w:lang w:val="es-BO"/>
        </w:rPr>
        <w:t>,</w:t>
      </w:r>
      <w:r w:rsidRPr="00895D0A">
        <w:rPr>
          <w:lang w:val="es-BO"/>
        </w:rPr>
        <w:t xml:space="preserve"> en comparación con el 19,6% registrado en 2012). En particular, se han registrado casos de delitos de odio contra comunidades étnicas específicas o extranjeros en los nuevos medios de comunicación. Asimismo, el anonimato ha facilitado el aumento de los contenidos xenófobos en las redes sociales.</w:t>
      </w:r>
    </w:p>
    <w:p w:rsidR="00895D0A" w:rsidRPr="00805F26" w:rsidRDefault="00CA6BFC" w:rsidP="00C11C9E">
      <w:pPr>
        <w:pStyle w:val="SingleTxt"/>
        <w:numPr>
          <w:ilvl w:val="0"/>
          <w:numId w:val="15"/>
        </w:numPr>
        <w:tabs>
          <w:tab w:val="clear" w:pos="475"/>
          <w:tab w:val="num" w:pos="1742"/>
        </w:tabs>
        <w:suppressAutoHyphens w:val="0"/>
        <w:ind w:left="1267"/>
        <w:rPr>
          <w:lang w:val="es-BO"/>
        </w:rPr>
      </w:pPr>
      <w:r w:rsidRPr="00805F26">
        <w:rPr>
          <w:lang w:val="es-BO"/>
        </w:rPr>
        <w:t>Al propio tiempo han</w:t>
      </w:r>
      <w:r w:rsidR="00895D0A" w:rsidRPr="00805F26">
        <w:rPr>
          <w:lang w:val="es-BO"/>
        </w:rPr>
        <w:t xml:space="preserve"> aument</w:t>
      </w:r>
      <w:r w:rsidRPr="00805F26">
        <w:rPr>
          <w:lang w:val="es-BO"/>
        </w:rPr>
        <w:t>ado</w:t>
      </w:r>
      <w:r w:rsidR="00895D0A" w:rsidRPr="00805F26">
        <w:rPr>
          <w:lang w:val="es-BO"/>
        </w:rPr>
        <w:t xml:space="preserve"> las conductas discriminatorias en la vida pública (156 casos, </w:t>
      </w:r>
      <w:r w:rsidRPr="00805F26">
        <w:rPr>
          <w:lang w:val="es-BO"/>
        </w:rPr>
        <w:t>o el</w:t>
      </w:r>
      <w:r w:rsidR="00895D0A" w:rsidRPr="00805F26">
        <w:rPr>
          <w:lang w:val="es-BO"/>
        </w:rPr>
        <w:t xml:space="preserve"> 20,4%) y las actividades de ocio (87 casos, </w:t>
      </w:r>
      <w:r w:rsidRPr="00805F26">
        <w:rPr>
          <w:lang w:val="es-BO"/>
        </w:rPr>
        <w:t xml:space="preserve">o el </w:t>
      </w:r>
      <w:r w:rsidR="00895D0A" w:rsidRPr="00805F26">
        <w:rPr>
          <w:lang w:val="es-BO"/>
        </w:rPr>
        <w:t xml:space="preserve">11,4%). Se trata de agresiones locales </w:t>
      </w:r>
      <w:r w:rsidRPr="00805F26">
        <w:rPr>
          <w:lang w:val="es-BO"/>
        </w:rPr>
        <w:t>y</w:t>
      </w:r>
      <w:r w:rsidR="00895D0A" w:rsidRPr="00805F26">
        <w:rPr>
          <w:lang w:val="es-BO"/>
        </w:rPr>
        <w:t xml:space="preserve"> pancartas </w:t>
      </w:r>
      <w:r w:rsidRPr="00805F26">
        <w:rPr>
          <w:lang w:val="es-BO"/>
        </w:rPr>
        <w:t>y</w:t>
      </w:r>
      <w:r w:rsidR="00895D0A" w:rsidRPr="00805F26">
        <w:rPr>
          <w:lang w:val="es-BO"/>
        </w:rPr>
        <w:t xml:space="preserve"> discursos públicos xenófobos (en parte para ganar votos</w:t>
      </w:r>
      <w:r w:rsidRPr="00805F26">
        <w:rPr>
          <w:lang w:val="es-BO"/>
        </w:rPr>
        <w:t>;</w:t>
      </w:r>
      <w:r w:rsidR="00895D0A" w:rsidRPr="00805F26">
        <w:rPr>
          <w:lang w:val="es-BO"/>
        </w:rPr>
        <w:t xml:space="preserve"> </w:t>
      </w:r>
      <w:r w:rsidRPr="00805F26">
        <w:rPr>
          <w:lang w:val="es-BO"/>
        </w:rPr>
        <w:t>además,</w:t>
      </w:r>
      <w:r w:rsidR="00895D0A" w:rsidRPr="00805F26">
        <w:rPr>
          <w:lang w:val="es-BO"/>
        </w:rPr>
        <w:t xml:space="preserve"> se ha registrado un total de 288 casos de discriminación en eventos deportivos. De 2008 a 2013, la UNAR tuvo que gestionar 988 casos de delincuencia (el 25,3% de ellos incluía</w:t>
      </w:r>
      <w:r w:rsidRPr="00805F26">
        <w:rPr>
          <w:lang w:val="es-BO"/>
        </w:rPr>
        <w:t>n</w:t>
      </w:r>
      <w:r w:rsidR="00895D0A" w:rsidRPr="00805F26">
        <w:rPr>
          <w:lang w:val="es-BO"/>
        </w:rPr>
        <w:t xml:space="preserve"> tentativas de agresión física contra las víctimas).</w:t>
      </w:r>
    </w:p>
    <w:p w:rsidR="00895D0A" w:rsidRPr="00895D0A" w:rsidRDefault="009E6E2F" w:rsidP="00C11C9E">
      <w:pPr>
        <w:pStyle w:val="SingleTxt"/>
        <w:numPr>
          <w:ilvl w:val="0"/>
          <w:numId w:val="15"/>
        </w:numPr>
        <w:tabs>
          <w:tab w:val="clear" w:pos="475"/>
          <w:tab w:val="num" w:pos="1742"/>
        </w:tabs>
        <w:suppressAutoHyphens w:val="0"/>
        <w:ind w:left="1267"/>
        <w:rPr>
          <w:lang w:val="es-BO"/>
        </w:rPr>
      </w:pPr>
      <w:r>
        <w:rPr>
          <w:lang w:val="es-BO"/>
        </w:rPr>
        <w:t>Ha disminuido</w:t>
      </w:r>
      <w:r w:rsidR="00895D0A" w:rsidRPr="00895D0A">
        <w:rPr>
          <w:lang w:val="es-BO"/>
        </w:rPr>
        <w:t xml:space="preserve"> la </w:t>
      </w:r>
      <w:r>
        <w:rPr>
          <w:lang w:val="es-BO"/>
        </w:rPr>
        <w:t xml:space="preserve">llamada </w:t>
      </w:r>
      <w:r w:rsidR="00895D0A" w:rsidRPr="00895D0A">
        <w:rPr>
          <w:lang w:val="es-BO"/>
        </w:rPr>
        <w:t xml:space="preserve">discriminación institucional (esto es, en los servicios públicos, 7,7%) y </w:t>
      </w:r>
      <w:r>
        <w:rPr>
          <w:lang w:val="es-BO"/>
        </w:rPr>
        <w:t xml:space="preserve">en </w:t>
      </w:r>
      <w:r w:rsidR="00895D0A" w:rsidRPr="00895D0A">
        <w:rPr>
          <w:lang w:val="es-BO"/>
        </w:rPr>
        <w:t>el acceso al trabajo y la vivienda (7,5% y 5,1% respectivamente; se trata principalmente de actos de acoso contra trabajadores extranjeros, de dificultades de acceso a la vivienda o de diferencias en las indemnizaciones y los despidos).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Además de la discriminación en las escuelas (4,1%) y en la administración pública (3,7%), </w:t>
      </w:r>
      <w:r w:rsidR="009C4267">
        <w:rPr>
          <w:lang w:val="es-BO"/>
        </w:rPr>
        <w:t>los índices han sido bajos en</w:t>
      </w:r>
      <w:r w:rsidRPr="00895D0A">
        <w:rPr>
          <w:lang w:val="es-BO"/>
        </w:rPr>
        <w:t xml:space="preserve"> los servicios públicos (2,2%), los servicios de atención de la salud (1,4%), el transporte público (1,2%) y el acceso a servicios financieros (1%).</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Se ha prestado </w:t>
      </w:r>
      <w:r w:rsidR="009C4267">
        <w:rPr>
          <w:lang w:val="es-BO"/>
        </w:rPr>
        <w:t>especial</w:t>
      </w:r>
      <w:r w:rsidRPr="00895D0A">
        <w:rPr>
          <w:lang w:val="es-BO"/>
        </w:rPr>
        <w:t xml:space="preserve"> atención a los casos de discriminación contra las comunidades rom</w:t>
      </w:r>
      <w:r w:rsidR="009C4267">
        <w:rPr>
          <w:lang w:val="es-BO"/>
        </w:rPr>
        <w:t>aní y sinti registrados en 2013;</w:t>
      </w:r>
      <w:r w:rsidRPr="00895D0A">
        <w:rPr>
          <w:lang w:val="es-BO"/>
        </w:rPr>
        <w:t xml:space="preserve"> hubo 139 casos</w:t>
      </w:r>
      <w:r w:rsidR="009C4267">
        <w:rPr>
          <w:lang w:val="es-BO"/>
        </w:rPr>
        <w:t xml:space="preserve"> de este tipo</w:t>
      </w:r>
      <w:r w:rsidRPr="00895D0A">
        <w:rPr>
          <w:lang w:val="es-BO"/>
        </w:rPr>
        <w:t xml:space="preserve"> que consistieron en actitudes, mensajes y conductas de carácter discriminatorio. Se </w:t>
      </w:r>
      <w:r w:rsidR="009C4267">
        <w:rPr>
          <w:lang w:val="es-BO"/>
        </w:rPr>
        <w:t>organizó</w:t>
      </w:r>
      <w:r w:rsidRPr="00895D0A">
        <w:rPr>
          <w:lang w:val="es-BO"/>
        </w:rPr>
        <w:t xml:space="preserve"> un servicio de asistencia jurídica en la UNAR para que se ocupara de casos individuales y colectivos.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Desde un punto de vista geográfico, el mayor porcentaje de casos de discriminación se </w:t>
      </w:r>
      <w:r w:rsidR="009C4267">
        <w:rPr>
          <w:lang w:val="es-BO"/>
        </w:rPr>
        <w:t>dio</w:t>
      </w:r>
      <w:r w:rsidRPr="00895D0A">
        <w:rPr>
          <w:lang w:val="es-BO"/>
        </w:rPr>
        <w:t xml:space="preserve"> en Italia del norte (55,3%), frente al 11,1% en Italia central y al </w:t>
      </w:r>
      <w:r w:rsidR="00967281">
        <w:rPr>
          <w:lang w:val="es-BO"/>
        </w:rPr>
        <w:t>3</w:t>
      </w:r>
      <w:r w:rsidRPr="00895D0A">
        <w:rPr>
          <w:lang w:val="es-BO"/>
        </w:rPr>
        <w:t>3,7% en Italia del sur. A nivel local, la región de</w:t>
      </w:r>
      <w:r w:rsidR="009C4267">
        <w:rPr>
          <w:lang w:val="es-BO"/>
        </w:rPr>
        <w:t>l</w:t>
      </w:r>
      <w:r w:rsidRPr="00895D0A">
        <w:rPr>
          <w:lang w:val="es-BO"/>
        </w:rPr>
        <w:t xml:space="preserve"> Lacio tiene el porcentaje más alto (22,1%, 156 den</w:t>
      </w:r>
      <w:r w:rsidR="009C4267">
        <w:rPr>
          <w:lang w:val="es-BO"/>
        </w:rPr>
        <w:t>uncias en el municipio de Roma),</w:t>
      </w:r>
      <w:r w:rsidRPr="00895D0A">
        <w:rPr>
          <w:lang w:val="es-BO"/>
        </w:rPr>
        <w:t xml:space="preserve"> </w:t>
      </w:r>
      <w:r w:rsidR="009C4267">
        <w:rPr>
          <w:lang w:val="es-BO"/>
        </w:rPr>
        <w:t>seguida por</w:t>
      </w:r>
      <w:r w:rsidRPr="00895D0A">
        <w:rPr>
          <w:lang w:val="es-BO"/>
        </w:rPr>
        <w:t xml:space="preserve"> el Véneto (17%), Lombardía (14,7%), Emilia Romaña (8,8%), Toscana (8,1%) y Piamonte (7,3%).</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La mayoría de las víctimas son de nacionalidad italiana (26,5%)</w:t>
      </w:r>
      <w:r w:rsidR="009C4267">
        <w:rPr>
          <w:lang w:val="es-BO"/>
        </w:rPr>
        <w:t>,</w:t>
      </w:r>
      <w:r w:rsidRPr="00895D0A">
        <w:rPr>
          <w:lang w:val="es-BO"/>
        </w:rPr>
        <w:t xml:space="preserve"> </w:t>
      </w:r>
      <w:r w:rsidR="009C4267">
        <w:rPr>
          <w:lang w:val="es-BO"/>
        </w:rPr>
        <w:t>seguidas por</w:t>
      </w:r>
      <w:r w:rsidRPr="00895D0A">
        <w:rPr>
          <w:lang w:val="es-BO"/>
        </w:rPr>
        <w:t xml:space="preserve"> marroquíes </w:t>
      </w:r>
      <w:r w:rsidR="009C4267">
        <w:rPr>
          <w:lang w:val="es-BO"/>
        </w:rPr>
        <w:t>y rumanos (8,5% en ambos casos)</w:t>
      </w:r>
      <w:r w:rsidRPr="00895D0A">
        <w:rPr>
          <w:lang w:val="es-BO"/>
        </w:rPr>
        <w:t xml:space="preserve"> </w:t>
      </w:r>
      <w:r w:rsidR="009C4267">
        <w:rPr>
          <w:lang w:val="es-BO"/>
        </w:rPr>
        <w:t>y por</w:t>
      </w:r>
      <w:r w:rsidRPr="00895D0A">
        <w:rPr>
          <w:lang w:val="es-BO"/>
        </w:rPr>
        <w:t xml:space="preserve"> nacionales de otros 38 países.</w:t>
      </w:r>
    </w:p>
    <w:p w:rsid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La</w:t>
      </w:r>
      <w:r w:rsidR="009C4267">
        <w:rPr>
          <w:lang w:val="es-BO"/>
        </w:rPr>
        <w:t>s</w:t>
      </w:r>
      <w:r w:rsidRPr="00895D0A">
        <w:rPr>
          <w:lang w:val="es-BO"/>
        </w:rPr>
        <w:t xml:space="preserve"> denuncias fueron presentadas directamente por</w:t>
      </w:r>
      <w:r w:rsidR="00805F26">
        <w:rPr>
          <w:lang w:val="es-BO"/>
        </w:rPr>
        <w:t xml:space="preserve"> las víctimas (29,2%), testigos </w:t>
      </w:r>
      <w:r w:rsidRPr="00895D0A">
        <w:rPr>
          <w:lang w:val="es-BO"/>
        </w:rPr>
        <w:t>(19,5%) y asociaciones en nombre de las víctimas (10,2%).</w:t>
      </w:r>
    </w:p>
    <w:p w:rsidR="00C11C9E" w:rsidRPr="00FD54C2" w:rsidRDefault="00C11C9E" w:rsidP="00FD54C2">
      <w:pPr>
        <w:pStyle w:val="SingleTxt"/>
        <w:spacing w:after="0" w:line="120" w:lineRule="exact"/>
        <w:rPr>
          <w:sz w:val="10"/>
          <w:lang w:val="es-BO"/>
        </w:rPr>
      </w:pPr>
    </w:p>
    <w:p w:rsidR="00C11C9E" w:rsidRPr="00FD54C2" w:rsidRDefault="00C11C9E" w:rsidP="00FD54C2">
      <w:pPr>
        <w:pStyle w:val="FootnoteText"/>
        <w:tabs>
          <w:tab w:val="clear" w:pos="418"/>
          <w:tab w:val="right" w:pos="1476"/>
        </w:tabs>
        <w:spacing w:line="120" w:lineRule="exact"/>
        <w:ind w:left="1548" w:right="1267" w:hanging="288"/>
        <w:rPr>
          <w:sz w:val="10"/>
          <w:lang w:val="es-BO"/>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2160"/>
        <w:gridCol w:w="1635"/>
      </w:tblGrid>
      <w:tr w:rsidR="00765C24" w:rsidRPr="00765C24" w:rsidTr="00765C24">
        <w:trPr>
          <w:tblHeader/>
        </w:trPr>
        <w:tc>
          <w:tcPr>
            <w:tcW w:w="3780" w:type="dxa"/>
            <w:tcBorders>
              <w:top w:val="single" w:sz="4" w:space="0" w:color="auto"/>
              <w:bottom w:val="single" w:sz="12" w:space="0" w:color="auto"/>
            </w:tcBorders>
            <w:shd w:val="clear" w:color="auto" w:fill="auto"/>
            <w:vAlign w:val="bottom"/>
          </w:tcPr>
          <w:p w:rsidR="00765C24" w:rsidRPr="00765C24" w:rsidRDefault="00765C24" w:rsidP="00765C24">
            <w:pPr>
              <w:tabs>
                <w:tab w:val="left" w:pos="288"/>
                <w:tab w:val="left" w:pos="576"/>
                <w:tab w:val="left" w:pos="864"/>
                <w:tab w:val="left" w:pos="1152"/>
              </w:tabs>
              <w:spacing w:before="80" w:after="80" w:line="160" w:lineRule="exact"/>
              <w:ind w:right="40"/>
              <w:rPr>
                <w:i/>
                <w:sz w:val="14"/>
                <w:lang w:val="es-BO"/>
              </w:rPr>
            </w:pPr>
            <w:r w:rsidRPr="00765C24">
              <w:rPr>
                <w:i/>
                <w:sz w:val="14"/>
                <w:lang w:val="es-BO"/>
              </w:rPr>
              <w:t>Motivo de discriminación</w:t>
            </w:r>
          </w:p>
        </w:tc>
        <w:tc>
          <w:tcPr>
            <w:tcW w:w="2160" w:type="dxa"/>
            <w:tcBorders>
              <w:top w:val="single" w:sz="4" w:space="0" w:color="auto"/>
              <w:bottom w:val="single" w:sz="12" w:space="0" w:color="auto"/>
            </w:tcBorders>
            <w:shd w:val="clear" w:color="auto" w:fill="auto"/>
            <w:vAlign w:val="bottom"/>
          </w:tcPr>
          <w:p w:rsidR="00765C24" w:rsidRPr="00765C24" w:rsidRDefault="00765C24" w:rsidP="00765C24">
            <w:pPr>
              <w:tabs>
                <w:tab w:val="left" w:pos="288"/>
                <w:tab w:val="left" w:pos="576"/>
                <w:tab w:val="left" w:pos="864"/>
                <w:tab w:val="left" w:pos="1152"/>
              </w:tabs>
              <w:spacing w:before="80" w:after="80" w:line="160" w:lineRule="exact"/>
              <w:ind w:right="113"/>
              <w:jc w:val="right"/>
              <w:rPr>
                <w:i/>
                <w:sz w:val="14"/>
                <w:lang w:val="es-BO"/>
              </w:rPr>
            </w:pPr>
            <w:r w:rsidRPr="00765C24">
              <w:rPr>
                <w:i/>
                <w:sz w:val="14"/>
                <w:lang w:val="es-BO"/>
              </w:rPr>
              <w:t>Número</w:t>
            </w:r>
          </w:p>
        </w:tc>
        <w:tc>
          <w:tcPr>
            <w:tcW w:w="1635" w:type="dxa"/>
            <w:tcBorders>
              <w:top w:val="single" w:sz="4" w:space="0" w:color="auto"/>
              <w:bottom w:val="single" w:sz="12" w:space="0" w:color="auto"/>
            </w:tcBorders>
            <w:shd w:val="clear" w:color="auto" w:fill="auto"/>
            <w:vAlign w:val="bottom"/>
          </w:tcPr>
          <w:p w:rsidR="00765C24" w:rsidRPr="00765C24" w:rsidRDefault="00765C24" w:rsidP="00805F26">
            <w:pPr>
              <w:tabs>
                <w:tab w:val="left" w:pos="288"/>
                <w:tab w:val="left" w:pos="576"/>
                <w:tab w:val="left" w:pos="864"/>
                <w:tab w:val="left" w:pos="1152"/>
              </w:tabs>
              <w:spacing w:before="80" w:after="80" w:line="160" w:lineRule="exact"/>
              <w:ind w:right="43"/>
              <w:jc w:val="right"/>
              <w:rPr>
                <w:i/>
                <w:sz w:val="14"/>
                <w:lang w:val="es-BO"/>
              </w:rPr>
            </w:pPr>
            <w:r w:rsidRPr="00765C24">
              <w:rPr>
                <w:i/>
                <w:sz w:val="14"/>
                <w:lang w:val="es-BO"/>
              </w:rPr>
              <w:t>Porcentaje</w:t>
            </w:r>
          </w:p>
        </w:tc>
      </w:tr>
      <w:tr w:rsidR="00765C24" w:rsidRPr="00765C24" w:rsidTr="00765C24">
        <w:trPr>
          <w:trHeight w:hRule="exact" w:val="115"/>
          <w:tblHeader/>
        </w:trPr>
        <w:tc>
          <w:tcPr>
            <w:tcW w:w="3780" w:type="dxa"/>
            <w:tcBorders>
              <w:top w:val="single" w:sz="12" w:space="0" w:color="auto"/>
            </w:tcBorders>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right="40"/>
              <w:rPr>
                <w:sz w:val="17"/>
                <w:lang w:val="es-BO"/>
              </w:rPr>
            </w:pPr>
          </w:p>
        </w:tc>
        <w:tc>
          <w:tcPr>
            <w:tcW w:w="2160" w:type="dxa"/>
            <w:tcBorders>
              <w:top w:val="single" w:sz="12" w:space="0" w:color="auto"/>
            </w:tcBorders>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113"/>
              <w:jc w:val="right"/>
              <w:rPr>
                <w:sz w:val="17"/>
                <w:lang w:val="es-BO"/>
              </w:rPr>
            </w:pPr>
          </w:p>
        </w:tc>
        <w:tc>
          <w:tcPr>
            <w:tcW w:w="1635" w:type="dxa"/>
            <w:tcBorders>
              <w:top w:val="single" w:sz="12" w:space="0" w:color="auto"/>
            </w:tcBorders>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40" w:line="210" w:lineRule="exact"/>
              <w:ind w:left="0" w:right="43"/>
              <w:jc w:val="right"/>
              <w:rPr>
                <w:sz w:val="17"/>
                <w:lang w:val="es-BO"/>
              </w:rPr>
            </w:pPr>
          </w:p>
        </w:tc>
      </w:tr>
      <w:tr w:rsidR="00765C24" w:rsidRPr="00765C24" w:rsidTr="00765C24">
        <w:tc>
          <w:tcPr>
            <w:tcW w:w="378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43"/>
              <w:rPr>
                <w:sz w:val="17"/>
                <w:lang w:val="es-BO"/>
              </w:rPr>
            </w:pPr>
            <w:r w:rsidRPr="00765C24">
              <w:rPr>
                <w:sz w:val="17"/>
                <w:lang w:val="es-BO"/>
              </w:rPr>
              <w:t>Discapacidad</w:t>
            </w:r>
          </w:p>
        </w:tc>
        <w:tc>
          <w:tcPr>
            <w:tcW w:w="216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113"/>
              <w:jc w:val="right"/>
              <w:rPr>
                <w:sz w:val="17"/>
                <w:lang w:val="es-BO"/>
              </w:rPr>
            </w:pPr>
            <w:r w:rsidRPr="00765C24">
              <w:rPr>
                <w:sz w:val="17"/>
                <w:lang w:val="es-BO"/>
              </w:rPr>
              <w:t>105</w:t>
            </w:r>
          </w:p>
        </w:tc>
        <w:tc>
          <w:tcPr>
            <w:tcW w:w="1635" w:type="dxa"/>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9,</w:t>
            </w:r>
            <w:r w:rsidRPr="00765C24">
              <w:rPr>
                <w:sz w:val="17"/>
                <w:lang w:val="es-BO"/>
              </w:rPr>
              <w:t>2</w:t>
            </w:r>
          </w:p>
        </w:tc>
      </w:tr>
      <w:tr w:rsidR="00765C24" w:rsidRPr="00765C24" w:rsidTr="00765C24">
        <w:tc>
          <w:tcPr>
            <w:tcW w:w="378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43"/>
              <w:rPr>
                <w:sz w:val="17"/>
                <w:lang w:val="es-BO"/>
              </w:rPr>
            </w:pPr>
            <w:r w:rsidRPr="00765C24">
              <w:rPr>
                <w:sz w:val="17"/>
                <w:lang w:val="es-BO"/>
              </w:rPr>
              <w:t>Edad</w:t>
            </w:r>
          </w:p>
        </w:tc>
        <w:tc>
          <w:tcPr>
            <w:tcW w:w="216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113"/>
              <w:jc w:val="right"/>
              <w:rPr>
                <w:sz w:val="17"/>
                <w:lang w:val="es-BO"/>
              </w:rPr>
            </w:pPr>
            <w:r w:rsidRPr="00765C24">
              <w:rPr>
                <w:sz w:val="17"/>
                <w:lang w:val="es-BO"/>
              </w:rPr>
              <w:t>102</w:t>
            </w:r>
          </w:p>
        </w:tc>
        <w:tc>
          <w:tcPr>
            <w:tcW w:w="1635" w:type="dxa"/>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8,</w:t>
            </w:r>
            <w:r w:rsidRPr="00765C24">
              <w:rPr>
                <w:sz w:val="17"/>
                <w:lang w:val="es-BO"/>
              </w:rPr>
              <w:t>9</w:t>
            </w:r>
          </w:p>
        </w:tc>
      </w:tr>
      <w:tr w:rsidR="00765C24" w:rsidRPr="00765C24" w:rsidTr="00765C24">
        <w:tc>
          <w:tcPr>
            <w:tcW w:w="378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43"/>
              <w:rPr>
                <w:sz w:val="17"/>
                <w:lang w:val="es-BO"/>
              </w:rPr>
            </w:pPr>
            <w:r w:rsidRPr="00765C24">
              <w:rPr>
                <w:sz w:val="17"/>
                <w:lang w:val="es-BO"/>
              </w:rPr>
              <w:t>Origen étnico o racial</w:t>
            </w:r>
          </w:p>
        </w:tc>
        <w:tc>
          <w:tcPr>
            <w:tcW w:w="216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113"/>
              <w:jc w:val="right"/>
              <w:rPr>
                <w:sz w:val="17"/>
                <w:lang w:val="es-BO"/>
              </w:rPr>
            </w:pPr>
            <w:r w:rsidRPr="00765C24">
              <w:rPr>
                <w:sz w:val="17"/>
                <w:lang w:val="es-BO"/>
              </w:rPr>
              <w:t>763</w:t>
            </w:r>
          </w:p>
        </w:tc>
        <w:tc>
          <w:tcPr>
            <w:tcW w:w="1635" w:type="dxa"/>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66,</w:t>
            </w:r>
            <w:r w:rsidRPr="00765C24">
              <w:rPr>
                <w:sz w:val="17"/>
                <w:lang w:val="es-BO"/>
              </w:rPr>
              <w:t>81</w:t>
            </w:r>
          </w:p>
        </w:tc>
      </w:tr>
      <w:tr w:rsidR="00765C24" w:rsidRPr="00765C24" w:rsidTr="00765C24">
        <w:tc>
          <w:tcPr>
            <w:tcW w:w="378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43"/>
              <w:rPr>
                <w:sz w:val="17"/>
                <w:lang w:val="es-BO"/>
              </w:rPr>
            </w:pPr>
            <w:r w:rsidRPr="00765C24">
              <w:rPr>
                <w:sz w:val="17"/>
                <w:lang w:val="es-BO"/>
              </w:rPr>
              <w:t>Género</w:t>
            </w:r>
          </w:p>
        </w:tc>
        <w:tc>
          <w:tcPr>
            <w:tcW w:w="216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113"/>
              <w:jc w:val="right"/>
              <w:rPr>
                <w:sz w:val="17"/>
                <w:lang w:val="es-BO"/>
              </w:rPr>
            </w:pPr>
            <w:r w:rsidRPr="00765C24">
              <w:rPr>
                <w:sz w:val="17"/>
                <w:lang w:val="es-BO"/>
              </w:rPr>
              <w:t>9</w:t>
            </w:r>
          </w:p>
        </w:tc>
        <w:tc>
          <w:tcPr>
            <w:tcW w:w="1635" w:type="dxa"/>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0,</w:t>
            </w:r>
            <w:r w:rsidRPr="00765C24">
              <w:rPr>
                <w:sz w:val="17"/>
                <w:lang w:val="es-BO"/>
              </w:rPr>
              <w:t>8</w:t>
            </w:r>
          </w:p>
        </w:tc>
      </w:tr>
      <w:tr w:rsidR="00765C24" w:rsidRPr="00765C24" w:rsidTr="00765C24">
        <w:tc>
          <w:tcPr>
            <w:tcW w:w="378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43"/>
              <w:rPr>
                <w:sz w:val="17"/>
                <w:lang w:val="es-BO"/>
              </w:rPr>
            </w:pPr>
            <w:r w:rsidRPr="00765C24">
              <w:rPr>
                <w:sz w:val="17"/>
                <w:lang w:val="es-BO"/>
              </w:rPr>
              <w:t>Orientación sexual o identidad de género</w:t>
            </w:r>
          </w:p>
        </w:tc>
        <w:tc>
          <w:tcPr>
            <w:tcW w:w="2160" w:type="dxa"/>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40" w:line="210" w:lineRule="exact"/>
              <w:ind w:left="0" w:right="113"/>
              <w:jc w:val="right"/>
              <w:rPr>
                <w:sz w:val="17"/>
                <w:lang w:val="es-BO"/>
              </w:rPr>
            </w:pPr>
            <w:r w:rsidRPr="00765C24">
              <w:rPr>
                <w:sz w:val="17"/>
                <w:lang w:val="es-BO"/>
              </w:rPr>
              <w:t>114</w:t>
            </w:r>
          </w:p>
        </w:tc>
        <w:tc>
          <w:tcPr>
            <w:tcW w:w="1635" w:type="dxa"/>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10,</w:t>
            </w:r>
            <w:r w:rsidRPr="00765C24">
              <w:rPr>
                <w:sz w:val="17"/>
                <w:lang w:val="es-BO"/>
              </w:rPr>
              <w:t>0</w:t>
            </w:r>
          </w:p>
        </w:tc>
      </w:tr>
      <w:tr w:rsidR="00765C24" w:rsidRPr="00765C24" w:rsidTr="00765C24">
        <w:tc>
          <w:tcPr>
            <w:tcW w:w="3780" w:type="dxa"/>
            <w:tcBorders>
              <w:bottom w:val="single" w:sz="4" w:space="0" w:color="auto"/>
            </w:tcBorders>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81" w:line="210" w:lineRule="exact"/>
              <w:ind w:left="0" w:right="43"/>
              <w:rPr>
                <w:sz w:val="17"/>
                <w:lang w:val="es-BO"/>
              </w:rPr>
            </w:pPr>
            <w:r w:rsidRPr="00765C24">
              <w:rPr>
                <w:sz w:val="17"/>
                <w:lang w:val="es-BO"/>
              </w:rPr>
              <w:t>Religión o creencia personal</w:t>
            </w:r>
          </w:p>
        </w:tc>
        <w:tc>
          <w:tcPr>
            <w:tcW w:w="2160" w:type="dxa"/>
            <w:tcBorders>
              <w:bottom w:val="single" w:sz="4" w:space="0" w:color="auto"/>
            </w:tcBorders>
            <w:shd w:val="clear" w:color="auto" w:fill="auto"/>
            <w:vAlign w:val="bottom"/>
          </w:tcPr>
          <w:p w:rsidR="00765C24" w:rsidRPr="00765C24" w:rsidRDefault="00765C24" w:rsidP="00765C24">
            <w:pPr>
              <w:pStyle w:val="SingleTxt"/>
              <w:tabs>
                <w:tab w:val="left" w:pos="288"/>
                <w:tab w:val="left" w:pos="576"/>
                <w:tab w:val="left" w:pos="864"/>
                <w:tab w:val="left" w:pos="1152"/>
              </w:tabs>
              <w:spacing w:before="40" w:after="81" w:line="210" w:lineRule="exact"/>
              <w:ind w:left="0" w:right="113"/>
              <w:jc w:val="right"/>
              <w:rPr>
                <w:sz w:val="17"/>
                <w:lang w:val="es-BO"/>
              </w:rPr>
            </w:pPr>
            <w:r w:rsidRPr="00765C24">
              <w:rPr>
                <w:sz w:val="17"/>
                <w:lang w:val="es-BO"/>
              </w:rPr>
              <w:t>49</w:t>
            </w:r>
          </w:p>
        </w:tc>
        <w:tc>
          <w:tcPr>
            <w:tcW w:w="1635" w:type="dxa"/>
            <w:tcBorders>
              <w:bottom w:val="single" w:sz="4" w:space="0" w:color="auto"/>
            </w:tcBorders>
            <w:shd w:val="clear" w:color="auto" w:fill="auto"/>
            <w:vAlign w:val="bottom"/>
          </w:tcPr>
          <w:p w:rsidR="00765C24" w:rsidRPr="00765C24" w:rsidRDefault="00765C24" w:rsidP="00805F26">
            <w:pPr>
              <w:pStyle w:val="SingleTxt"/>
              <w:tabs>
                <w:tab w:val="left" w:pos="288"/>
                <w:tab w:val="left" w:pos="576"/>
                <w:tab w:val="left" w:pos="864"/>
                <w:tab w:val="left" w:pos="1152"/>
              </w:tabs>
              <w:spacing w:before="40" w:after="81" w:line="210" w:lineRule="exact"/>
              <w:ind w:left="0" w:right="43"/>
              <w:jc w:val="right"/>
              <w:rPr>
                <w:sz w:val="17"/>
                <w:lang w:val="es-BO"/>
              </w:rPr>
            </w:pPr>
            <w:r>
              <w:rPr>
                <w:sz w:val="17"/>
                <w:lang w:val="es-BO"/>
              </w:rPr>
              <w:t>4,</w:t>
            </w:r>
            <w:r w:rsidRPr="00765C24">
              <w:rPr>
                <w:sz w:val="17"/>
                <w:lang w:val="es-BO"/>
              </w:rPr>
              <w:t>2</w:t>
            </w:r>
          </w:p>
        </w:tc>
      </w:tr>
      <w:tr w:rsidR="00765C24" w:rsidRPr="00765C24" w:rsidTr="00765C24">
        <w:tc>
          <w:tcPr>
            <w:tcW w:w="3780" w:type="dxa"/>
            <w:tcBorders>
              <w:top w:val="single" w:sz="4" w:space="0" w:color="auto"/>
              <w:bottom w:val="single" w:sz="12" w:space="0" w:color="auto"/>
            </w:tcBorders>
            <w:shd w:val="clear" w:color="auto" w:fill="auto"/>
            <w:vAlign w:val="bottom"/>
          </w:tcPr>
          <w:p w:rsidR="00765C24" w:rsidRPr="00765C24" w:rsidRDefault="00B71C6B" w:rsidP="00765C24">
            <w:pPr>
              <w:pStyle w:val="SingleTxt"/>
              <w:tabs>
                <w:tab w:val="left" w:pos="288"/>
                <w:tab w:val="left" w:pos="576"/>
                <w:tab w:val="left" w:pos="864"/>
                <w:tab w:val="left" w:pos="1152"/>
              </w:tabs>
              <w:spacing w:before="81" w:after="81" w:line="210" w:lineRule="exact"/>
              <w:ind w:left="0" w:right="43"/>
              <w:rPr>
                <w:b/>
                <w:bCs/>
                <w:sz w:val="17"/>
                <w:lang w:val="es-BO"/>
              </w:rPr>
            </w:pPr>
            <w:r>
              <w:rPr>
                <w:b/>
                <w:bCs/>
                <w:sz w:val="17"/>
                <w:lang w:val="es-BO"/>
              </w:rPr>
              <w:tab/>
            </w:r>
            <w:r w:rsidR="00765C24" w:rsidRPr="00765C24">
              <w:rPr>
                <w:b/>
                <w:bCs/>
                <w:sz w:val="17"/>
                <w:lang w:val="es-BO"/>
              </w:rPr>
              <w:t>Total</w:t>
            </w:r>
          </w:p>
        </w:tc>
        <w:tc>
          <w:tcPr>
            <w:tcW w:w="2160" w:type="dxa"/>
            <w:tcBorders>
              <w:top w:val="single" w:sz="4" w:space="0" w:color="auto"/>
              <w:bottom w:val="single" w:sz="12" w:space="0" w:color="auto"/>
            </w:tcBorders>
            <w:shd w:val="clear" w:color="auto" w:fill="auto"/>
            <w:vAlign w:val="bottom"/>
          </w:tcPr>
          <w:p w:rsidR="00765C24" w:rsidRPr="00765C24" w:rsidRDefault="00765C24" w:rsidP="00765C24">
            <w:pPr>
              <w:pStyle w:val="SingleTxt"/>
              <w:tabs>
                <w:tab w:val="left" w:pos="288"/>
                <w:tab w:val="left" w:pos="576"/>
                <w:tab w:val="left" w:pos="864"/>
                <w:tab w:val="left" w:pos="1152"/>
              </w:tabs>
              <w:spacing w:before="81" w:after="81" w:line="210" w:lineRule="exact"/>
              <w:ind w:left="0" w:right="113"/>
              <w:jc w:val="right"/>
              <w:rPr>
                <w:b/>
                <w:bCs/>
                <w:sz w:val="17"/>
                <w:lang w:val="es-BO"/>
              </w:rPr>
            </w:pPr>
            <w:r w:rsidRPr="00765C24">
              <w:rPr>
                <w:b/>
                <w:bCs/>
                <w:sz w:val="17"/>
                <w:lang w:val="es-BO"/>
              </w:rPr>
              <w:t>1</w:t>
            </w:r>
            <w:r>
              <w:rPr>
                <w:b/>
                <w:bCs/>
                <w:sz w:val="17"/>
                <w:lang w:val="es-BO"/>
              </w:rPr>
              <w:t xml:space="preserve"> </w:t>
            </w:r>
            <w:r w:rsidRPr="00765C24">
              <w:rPr>
                <w:b/>
                <w:bCs/>
                <w:sz w:val="17"/>
                <w:lang w:val="es-BO"/>
              </w:rPr>
              <w:t>142</w:t>
            </w:r>
          </w:p>
        </w:tc>
        <w:tc>
          <w:tcPr>
            <w:tcW w:w="1635" w:type="dxa"/>
            <w:tcBorders>
              <w:top w:val="single" w:sz="4" w:space="0" w:color="auto"/>
              <w:bottom w:val="single" w:sz="12" w:space="0" w:color="auto"/>
            </w:tcBorders>
            <w:shd w:val="clear" w:color="auto" w:fill="auto"/>
            <w:vAlign w:val="bottom"/>
          </w:tcPr>
          <w:p w:rsidR="00765C24" w:rsidRPr="00765C24" w:rsidRDefault="00765C24" w:rsidP="00805F26">
            <w:pPr>
              <w:pStyle w:val="SingleTxt"/>
              <w:tabs>
                <w:tab w:val="left" w:pos="288"/>
                <w:tab w:val="left" w:pos="576"/>
                <w:tab w:val="left" w:pos="864"/>
                <w:tab w:val="left" w:pos="1152"/>
              </w:tabs>
              <w:spacing w:before="81" w:after="81" w:line="210" w:lineRule="exact"/>
              <w:ind w:left="0" w:right="43"/>
              <w:jc w:val="right"/>
              <w:rPr>
                <w:b/>
                <w:bCs/>
                <w:sz w:val="17"/>
                <w:lang w:val="es-BO"/>
              </w:rPr>
            </w:pPr>
            <w:r>
              <w:rPr>
                <w:b/>
                <w:bCs/>
                <w:sz w:val="17"/>
                <w:lang w:val="es-BO"/>
              </w:rPr>
              <w:t>100,</w:t>
            </w:r>
            <w:r w:rsidRPr="00765C24">
              <w:rPr>
                <w:b/>
                <w:bCs/>
                <w:sz w:val="17"/>
                <w:lang w:val="es-BO"/>
              </w:rPr>
              <w:t>0</w:t>
            </w:r>
          </w:p>
        </w:tc>
      </w:tr>
    </w:tbl>
    <w:p w:rsidR="00FD54C2" w:rsidRPr="00FD54C2" w:rsidRDefault="00FD54C2" w:rsidP="00FD54C2">
      <w:pPr>
        <w:pStyle w:val="FootnoteText"/>
        <w:tabs>
          <w:tab w:val="clear" w:pos="418"/>
          <w:tab w:val="right" w:pos="1476"/>
          <w:tab w:val="left" w:pos="1548"/>
          <w:tab w:val="right" w:pos="1836"/>
          <w:tab w:val="left" w:pos="1908"/>
        </w:tabs>
        <w:spacing w:line="120" w:lineRule="exact"/>
        <w:ind w:left="1548" w:right="1267" w:hanging="288"/>
        <w:rPr>
          <w:i/>
          <w:sz w:val="10"/>
          <w:lang w:val="es-BO"/>
        </w:rPr>
      </w:pPr>
    </w:p>
    <w:p w:rsidR="00895D0A" w:rsidRDefault="00895D0A" w:rsidP="00FD54C2">
      <w:pPr>
        <w:pStyle w:val="FootnoteText"/>
        <w:tabs>
          <w:tab w:val="clear" w:pos="418"/>
          <w:tab w:val="right" w:pos="1476"/>
          <w:tab w:val="left" w:pos="1548"/>
          <w:tab w:val="right" w:pos="1836"/>
          <w:tab w:val="left" w:pos="1908"/>
        </w:tabs>
        <w:ind w:left="1548" w:right="1267" w:hanging="288"/>
        <w:rPr>
          <w:lang w:val="es-BO"/>
        </w:rPr>
      </w:pPr>
      <w:r w:rsidRPr="00895D0A">
        <w:rPr>
          <w:i/>
          <w:lang w:val="es-BO"/>
        </w:rPr>
        <w:t>Fuente</w:t>
      </w:r>
      <w:r w:rsidRPr="00FD54C2">
        <w:rPr>
          <w:i/>
          <w:lang w:val="es-BO"/>
        </w:rPr>
        <w:t>:</w:t>
      </w:r>
      <w:r w:rsidR="00894E6A">
        <w:rPr>
          <w:lang w:val="es-BO"/>
        </w:rPr>
        <w:t xml:space="preserve"> </w:t>
      </w:r>
      <w:r w:rsidR="00B71C6B" w:rsidRPr="00895D0A">
        <w:rPr>
          <w:lang w:val="es-BO"/>
        </w:rPr>
        <w:t>UNAR</w:t>
      </w:r>
      <w:r w:rsidR="00B71C6B">
        <w:rPr>
          <w:lang w:val="es-BO"/>
        </w:rPr>
        <w:t>/IREF-ACU (</w:t>
      </w:r>
      <w:r w:rsidR="00B71C6B" w:rsidRPr="00895D0A">
        <w:rPr>
          <w:lang w:val="es-BO"/>
        </w:rPr>
        <w:t>Instituto de Investigacion</w:t>
      </w:r>
      <w:r w:rsidR="00B71C6B">
        <w:rPr>
          <w:lang w:val="es-BO"/>
        </w:rPr>
        <w:t>es sobre Educación y Formación –</w:t>
      </w:r>
      <w:r w:rsidR="00B71C6B" w:rsidRPr="00895D0A">
        <w:rPr>
          <w:lang w:val="es-BO"/>
        </w:rPr>
        <w:t xml:space="preserve"> Asociaciones Cristianas para los Trabajadores Italianos</w:t>
      </w:r>
      <w:r w:rsidR="00B71C6B">
        <w:rPr>
          <w:lang w:val="es-BO"/>
        </w:rPr>
        <w:t>)</w:t>
      </w:r>
      <w:r w:rsidR="00B71C6B" w:rsidRPr="00895D0A">
        <w:rPr>
          <w:lang w:val="es-BO"/>
        </w:rPr>
        <w:t>, 2014.</w:t>
      </w:r>
    </w:p>
    <w:p w:rsidR="00FD54C2" w:rsidRPr="009C6C0D" w:rsidRDefault="00FD54C2" w:rsidP="009C6C0D">
      <w:pPr>
        <w:pStyle w:val="FootnoteText"/>
        <w:tabs>
          <w:tab w:val="clear" w:pos="418"/>
          <w:tab w:val="right" w:pos="1476"/>
          <w:tab w:val="left" w:pos="1548"/>
          <w:tab w:val="right" w:pos="1836"/>
          <w:tab w:val="left" w:pos="1908"/>
        </w:tabs>
        <w:spacing w:line="120" w:lineRule="exact"/>
        <w:ind w:left="1548" w:right="1267" w:hanging="288"/>
        <w:rPr>
          <w:sz w:val="10"/>
          <w:lang w:val="es-BO"/>
        </w:rPr>
      </w:pPr>
    </w:p>
    <w:p w:rsidR="009C6C0D" w:rsidRPr="00FD54C2" w:rsidRDefault="009C6C0D" w:rsidP="00FD54C2">
      <w:pPr>
        <w:pStyle w:val="FootnoteText"/>
        <w:tabs>
          <w:tab w:val="clear" w:pos="418"/>
          <w:tab w:val="right" w:pos="1476"/>
          <w:tab w:val="left" w:pos="1548"/>
          <w:tab w:val="right" w:pos="1836"/>
          <w:tab w:val="left" w:pos="1908"/>
        </w:tabs>
        <w:spacing w:line="120" w:lineRule="exact"/>
        <w:ind w:left="1548" w:right="1267" w:hanging="288"/>
        <w:rPr>
          <w:sz w:val="10"/>
          <w:lang w:val="es-BO"/>
        </w:rPr>
      </w:pPr>
    </w:p>
    <w:p w:rsidR="00FD54C2" w:rsidRPr="00FD54C2" w:rsidRDefault="00FD54C2" w:rsidP="00FD54C2">
      <w:pPr>
        <w:pStyle w:val="FootnoteText"/>
        <w:tabs>
          <w:tab w:val="clear" w:pos="418"/>
          <w:tab w:val="right" w:pos="1476"/>
          <w:tab w:val="left" w:pos="1548"/>
          <w:tab w:val="right" w:pos="1836"/>
          <w:tab w:val="left" w:pos="1908"/>
        </w:tabs>
        <w:spacing w:line="120" w:lineRule="exact"/>
        <w:ind w:left="1548" w:right="1267" w:hanging="288"/>
        <w:rPr>
          <w:sz w:val="10"/>
          <w:lang w:val="es-BO"/>
        </w:rPr>
      </w:pPr>
    </w:p>
    <w:p w:rsidR="00895D0A" w:rsidRDefault="00FD54C2" w:rsidP="009C4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895D0A" w:rsidRPr="00895D0A">
        <w:rPr>
          <w:lang w:val="es-BO"/>
        </w:rPr>
        <w:tab/>
        <w:t>Datos específicos: origen étnico o racial</w:t>
      </w:r>
    </w:p>
    <w:p w:rsidR="009C4267" w:rsidRPr="009C4267" w:rsidRDefault="009C4267" w:rsidP="009C4267">
      <w:pPr>
        <w:pStyle w:val="SingleTxt"/>
        <w:spacing w:after="0" w:line="120" w:lineRule="exact"/>
        <w:rPr>
          <w:b/>
          <w:sz w:val="10"/>
          <w:lang w:val="es-BO"/>
        </w:rPr>
      </w:pPr>
    </w:p>
    <w:p w:rsidR="009C4267" w:rsidRDefault="009C4267" w:rsidP="009C4267">
      <w:pPr>
        <w:pStyle w:val="SingleTxt"/>
        <w:spacing w:after="0" w:line="120" w:lineRule="exact"/>
        <w:rPr>
          <w:b/>
          <w:sz w:val="10"/>
          <w:lang w:val="es-BO"/>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2160"/>
        <w:gridCol w:w="1635"/>
      </w:tblGrid>
      <w:tr w:rsidR="009C4267" w:rsidRPr="00765C24" w:rsidTr="00D25A95">
        <w:trPr>
          <w:tblHeader/>
        </w:trPr>
        <w:tc>
          <w:tcPr>
            <w:tcW w:w="3780" w:type="dxa"/>
            <w:tcBorders>
              <w:top w:val="single" w:sz="4" w:space="0" w:color="auto"/>
              <w:bottom w:val="single" w:sz="12" w:space="0" w:color="auto"/>
            </w:tcBorders>
            <w:shd w:val="clear" w:color="auto" w:fill="auto"/>
            <w:vAlign w:val="bottom"/>
          </w:tcPr>
          <w:p w:rsidR="009C4267" w:rsidRPr="00765C24" w:rsidRDefault="009C4267" w:rsidP="00D25A95">
            <w:pPr>
              <w:tabs>
                <w:tab w:val="left" w:pos="288"/>
                <w:tab w:val="left" w:pos="576"/>
                <w:tab w:val="left" w:pos="864"/>
                <w:tab w:val="left" w:pos="1152"/>
              </w:tabs>
              <w:spacing w:before="80" w:after="80" w:line="160" w:lineRule="exact"/>
              <w:ind w:right="40"/>
              <w:rPr>
                <w:i/>
                <w:sz w:val="14"/>
                <w:lang w:val="es-BO"/>
              </w:rPr>
            </w:pPr>
            <w:r w:rsidRPr="009C4267">
              <w:rPr>
                <w:i/>
                <w:sz w:val="14"/>
                <w:lang w:val="es-BO"/>
              </w:rPr>
              <w:t>Sector</w:t>
            </w:r>
          </w:p>
        </w:tc>
        <w:tc>
          <w:tcPr>
            <w:tcW w:w="2160" w:type="dxa"/>
            <w:tcBorders>
              <w:top w:val="single" w:sz="4" w:space="0" w:color="auto"/>
              <w:bottom w:val="single" w:sz="12" w:space="0" w:color="auto"/>
            </w:tcBorders>
            <w:shd w:val="clear" w:color="auto" w:fill="auto"/>
            <w:vAlign w:val="bottom"/>
          </w:tcPr>
          <w:p w:rsidR="009C4267" w:rsidRPr="00765C24" w:rsidRDefault="009C4267" w:rsidP="00D25A95">
            <w:pPr>
              <w:tabs>
                <w:tab w:val="left" w:pos="288"/>
                <w:tab w:val="left" w:pos="576"/>
                <w:tab w:val="left" w:pos="864"/>
                <w:tab w:val="left" w:pos="1152"/>
              </w:tabs>
              <w:spacing w:before="80" w:after="80" w:line="160" w:lineRule="exact"/>
              <w:ind w:right="113"/>
              <w:jc w:val="right"/>
              <w:rPr>
                <w:i/>
                <w:sz w:val="14"/>
                <w:lang w:val="es-BO"/>
              </w:rPr>
            </w:pPr>
            <w:r>
              <w:rPr>
                <w:i/>
                <w:sz w:val="14"/>
                <w:lang w:val="es-BO"/>
              </w:rPr>
              <w:t>V. A.</w:t>
            </w:r>
          </w:p>
        </w:tc>
        <w:tc>
          <w:tcPr>
            <w:tcW w:w="1635" w:type="dxa"/>
            <w:tcBorders>
              <w:top w:val="single" w:sz="4" w:space="0" w:color="auto"/>
              <w:bottom w:val="single" w:sz="12" w:space="0" w:color="auto"/>
            </w:tcBorders>
            <w:shd w:val="clear" w:color="auto" w:fill="auto"/>
            <w:vAlign w:val="bottom"/>
          </w:tcPr>
          <w:p w:rsidR="009C4267" w:rsidRPr="00765C24" w:rsidRDefault="009C4267" w:rsidP="00805F26">
            <w:pPr>
              <w:tabs>
                <w:tab w:val="left" w:pos="288"/>
                <w:tab w:val="left" w:pos="576"/>
                <w:tab w:val="left" w:pos="864"/>
                <w:tab w:val="left" w:pos="1152"/>
              </w:tabs>
              <w:spacing w:before="80" w:after="80" w:line="160" w:lineRule="exact"/>
              <w:ind w:right="43"/>
              <w:jc w:val="right"/>
              <w:rPr>
                <w:i/>
                <w:sz w:val="14"/>
                <w:lang w:val="es-BO"/>
              </w:rPr>
            </w:pPr>
            <w:r w:rsidRPr="00C11C9E">
              <w:rPr>
                <w:i/>
                <w:sz w:val="14"/>
                <w:lang w:val="es-BO"/>
              </w:rPr>
              <w:t>Porcentaje</w:t>
            </w:r>
          </w:p>
        </w:tc>
      </w:tr>
      <w:tr w:rsidR="009C4267" w:rsidRPr="00765C24" w:rsidTr="00D25A95">
        <w:trPr>
          <w:trHeight w:hRule="exact" w:val="115"/>
          <w:tblHeader/>
        </w:trPr>
        <w:tc>
          <w:tcPr>
            <w:tcW w:w="3780" w:type="dxa"/>
            <w:tcBorders>
              <w:top w:val="single" w:sz="12" w:space="0" w:color="auto"/>
            </w:tcBorders>
            <w:shd w:val="clear" w:color="auto" w:fill="auto"/>
            <w:vAlign w:val="bottom"/>
          </w:tcPr>
          <w:p w:rsidR="009C4267" w:rsidRPr="00765C24" w:rsidRDefault="009C4267" w:rsidP="00D25A95">
            <w:pPr>
              <w:pStyle w:val="SingleTxt"/>
              <w:tabs>
                <w:tab w:val="left" w:pos="288"/>
                <w:tab w:val="left" w:pos="576"/>
                <w:tab w:val="left" w:pos="864"/>
                <w:tab w:val="left" w:pos="1152"/>
              </w:tabs>
              <w:spacing w:before="40" w:after="40" w:line="210" w:lineRule="exact"/>
              <w:ind w:right="40"/>
              <w:rPr>
                <w:sz w:val="17"/>
                <w:lang w:val="es-BO"/>
              </w:rPr>
            </w:pPr>
          </w:p>
        </w:tc>
        <w:tc>
          <w:tcPr>
            <w:tcW w:w="2160" w:type="dxa"/>
            <w:tcBorders>
              <w:top w:val="single" w:sz="12" w:space="0" w:color="auto"/>
            </w:tcBorders>
            <w:shd w:val="clear" w:color="auto" w:fill="auto"/>
            <w:vAlign w:val="bottom"/>
          </w:tcPr>
          <w:p w:rsidR="009C4267" w:rsidRPr="00765C24"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p>
        </w:tc>
        <w:tc>
          <w:tcPr>
            <w:tcW w:w="1635" w:type="dxa"/>
            <w:tcBorders>
              <w:top w:val="single" w:sz="12" w:space="0" w:color="auto"/>
            </w:tcBorders>
            <w:shd w:val="clear" w:color="auto" w:fill="auto"/>
            <w:vAlign w:val="bottom"/>
          </w:tcPr>
          <w:p w:rsidR="009C4267" w:rsidRPr="00765C24" w:rsidRDefault="009C4267" w:rsidP="00805F26">
            <w:pPr>
              <w:pStyle w:val="SingleTxt"/>
              <w:tabs>
                <w:tab w:val="left" w:pos="288"/>
                <w:tab w:val="left" w:pos="576"/>
                <w:tab w:val="left" w:pos="864"/>
                <w:tab w:val="left" w:pos="1152"/>
              </w:tabs>
              <w:spacing w:before="40" w:after="40" w:line="210" w:lineRule="exact"/>
              <w:ind w:left="0" w:right="43"/>
              <w:jc w:val="right"/>
              <w:rPr>
                <w:sz w:val="17"/>
                <w:lang w:val="es-BO"/>
              </w:rPr>
            </w:pPr>
          </w:p>
        </w:tc>
      </w:tr>
      <w:tr w:rsidR="009C4267" w:rsidRPr="00765C24" w:rsidTr="00D25A95">
        <w:tc>
          <w:tcPr>
            <w:tcW w:w="3780" w:type="dxa"/>
            <w:shd w:val="clear" w:color="auto" w:fill="auto"/>
            <w:vAlign w:val="bottom"/>
          </w:tcPr>
          <w:p w:rsidR="009C4267" w:rsidRPr="00765C24" w:rsidRDefault="009C4267" w:rsidP="00D25A95">
            <w:pPr>
              <w:pStyle w:val="SingleTxt"/>
              <w:tabs>
                <w:tab w:val="left" w:pos="288"/>
                <w:tab w:val="left" w:pos="576"/>
                <w:tab w:val="left" w:pos="864"/>
                <w:tab w:val="left" w:pos="1152"/>
              </w:tabs>
              <w:spacing w:before="40" w:after="40" w:line="210" w:lineRule="exact"/>
              <w:ind w:left="0" w:right="43"/>
              <w:rPr>
                <w:sz w:val="17"/>
                <w:lang w:val="es-BO"/>
              </w:rPr>
            </w:pPr>
            <w:r w:rsidRPr="009C4267">
              <w:rPr>
                <w:sz w:val="17"/>
                <w:lang w:val="es-BO"/>
              </w:rPr>
              <w:t>Medios de comunicación</w:t>
            </w:r>
          </w:p>
        </w:tc>
        <w:tc>
          <w:tcPr>
            <w:tcW w:w="2160" w:type="dxa"/>
            <w:shd w:val="clear" w:color="auto" w:fill="auto"/>
            <w:vAlign w:val="bottom"/>
          </w:tcPr>
          <w:p w:rsidR="009C4267" w:rsidRPr="00765C24"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9C4267">
              <w:rPr>
                <w:sz w:val="17"/>
                <w:lang w:val="es-BO"/>
              </w:rPr>
              <w:t>260</w:t>
            </w:r>
          </w:p>
        </w:tc>
        <w:tc>
          <w:tcPr>
            <w:tcW w:w="1635" w:type="dxa"/>
            <w:shd w:val="clear" w:color="auto" w:fill="auto"/>
            <w:vAlign w:val="bottom"/>
          </w:tcPr>
          <w:p w:rsidR="009C4267" w:rsidRPr="00765C24"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34,</w:t>
            </w:r>
            <w:r w:rsidR="009C4267" w:rsidRPr="009C4267">
              <w:rPr>
                <w:sz w:val="17"/>
                <w:lang w:val="es-BO"/>
              </w:rPr>
              <w:t>2</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Vida pública</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156</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20,</w:t>
            </w:r>
            <w:r w:rsidR="009C4267" w:rsidRPr="00C11C9E">
              <w:rPr>
                <w:sz w:val="17"/>
                <w:lang w:val="es-BO"/>
              </w:rPr>
              <w:t>4</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Ocio</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87</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11,</w:t>
            </w:r>
            <w:r w:rsidR="009C4267" w:rsidRPr="00C11C9E">
              <w:rPr>
                <w:sz w:val="17"/>
                <w:lang w:val="es-BO"/>
              </w:rPr>
              <w:t>4</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Prestación de servicios públicos</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59</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7,</w:t>
            </w:r>
            <w:r w:rsidR="009C4267" w:rsidRPr="00C11C9E">
              <w:rPr>
                <w:sz w:val="17"/>
                <w:lang w:val="es-BO"/>
              </w:rPr>
              <w:t>7</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Trabajo</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57</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7,</w:t>
            </w:r>
            <w:r w:rsidR="009C4267" w:rsidRPr="00C11C9E">
              <w:rPr>
                <w:sz w:val="17"/>
                <w:lang w:val="es-BO"/>
              </w:rPr>
              <w:t>5</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Vivienda</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39</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5,</w:t>
            </w:r>
            <w:r w:rsidR="009C4267" w:rsidRPr="00C11C9E">
              <w:rPr>
                <w:sz w:val="17"/>
                <w:lang w:val="es-BO"/>
              </w:rPr>
              <w:t>1</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Escuela y educación</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31</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4,</w:t>
            </w:r>
            <w:r w:rsidR="009C4267" w:rsidRPr="00C11C9E">
              <w:rPr>
                <w:sz w:val="17"/>
                <w:lang w:val="es-BO"/>
              </w:rPr>
              <w:t>1</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Pr>
                <w:sz w:val="17"/>
                <w:lang w:val="es-BO"/>
              </w:rPr>
              <w:t>Fuerzas del orden</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28</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3,</w:t>
            </w:r>
            <w:r w:rsidR="009C4267" w:rsidRPr="00C11C9E">
              <w:rPr>
                <w:sz w:val="17"/>
                <w:lang w:val="es-BO"/>
              </w:rPr>
              <w:t>7</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Salud</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11</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1,</w:t>
            </w:r>
            <w:r w:rsidR="009C4267" w:rsidRPr="00C11C9E">
              <w:rPr>
                <w:sz w:val="17"/>
                <w:lang w:val="es-BO"/>
              </w:rPr>
              <w:t>4</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Prestación de servicios privados</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17</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2,</w:t>
            </w:r>
            <w:r w:rsidR="009C4267" w:rsidRPr="00C11C9E">
              <w:rPr>
                <w:sz w:val="17"/>
                <w:lang w:val="es-BO"/>
              </w:rPr>
              <w:t>2</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Transporte público</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9</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1,</w:t>
            </w:r>
            <w:r w:rsidR="009C4267" w:rsidRPr="00C11C9E">
              <w:rPr>
                <w:sz w:val="17"/>
                <w:lang w:val="es-BO"/>
              </w:rPr>
              <w:t>2</w:t>
            </w:r>
          </w:p>
        </w:tc>
      </w:tr>
      <w:tr w:rsidR="009C4267" w:rsidRPr="00765C24" w:rsidTr="00D25A95">
        <w:tc>
          <w:tcPr>
            <w:tcW w:w="3780" w:type="dxa"/>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40" w:line="210" w:lineRule="exact"/>
              <w:ind w:left="0" w:right="43"/>
              <w:rPr>
                <w:sz w:val="17"/>
                <w:lang w:val="es-BO"/>
              </w:rPr>
            </w:pPr>
            <w:r w:rsidRPr="00C11C9E">
              <w:rPr>
                <w:sz w:val="17"/>
                <w:lang w:val="es-BO"/>
              </w:rPr>
              <w:t>Prestación de servicios financieros</w:t>
            </w:r>
          </w:p>
        </w:tc>
        <w:tc>
          <w:tcPr>
            <w:tcW w:w="2160" w:type="dxa"/>
            <w:shd w:val="clear" w:color="auto" w:fill="auto"/>
            <w:vAlign w:val="bottom"/>
          </w:tcPr>
          <w:p w:rsidR="009C4267" w:rsidRPr="00C11C9E" w:rsidRDefault="009C4267" w:rsidP="00D25A95">
            <w:pPr>
              <w:pStyle w:val="SingleTxt"/>
              <w:tabs>
                <w:tab w:val="left" w:pos="288"/>
                <w:tab w:val="left" w:pos="576"/>
                <w:tab w:val="left" w:pos="864"/>
                <w:tab w:val="left" w:pos="1152"/>
              </w:tabs>
              <w:spacing w:before="40" w:after="40" w:line="210" w:lineRule="exact"/>
              <w:ind w:left="0" w:right="113"/>
              <w:jc w:val="right"/>
              <w:rPr>
                <w:sz w:val="17"/>
                <w:lang w:val="es-BO"/>
              </w:rPr>
            </w:pPr>
            <w:r w:rsidRPr="00C11C9E">
              <w:rPr>
                <w:sz w:val="17"/>
                <w:lang w:val="es-BO"/>
              </w:rPr>
              <w:t>8</w:t>
            </w:r>
          </w:p>
        </w:tc>
        <w:tc>
          <w:tcPr>
            <w:tcW w:w="1635" w:type="dxa"/>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40" w:line="210" w:lineRule="exact"/>
              <w:ind w:left="0" w:right="43"/>
              <w:jc w:val="right"/>
              <w:rPr>
                <w:sz w:val="17"/>
                <w:lang w:val="es-BO"/>
              </w:rPr>
            </w:pPr>
            <w:r>
              <w:rPr>
                <w:sz w:val="17"/>
                <w:lang w:val="es-BO"/>
              </w:rPr>
              <w:t>1,</w:t>
            </w:r>
            <w:r w:rsidR="009C4267" w:rsidRPr="00C11C9E">
              <w:rPr>
                <w:sz w:val="17"/>
                <w:lang w:val="es-BO"/>
              </w:rPr>
              <w:t>0</w:t>
            </w:r>
          </w:p>
        </w:tc>
      </w:tr>
      <w:tr w:rsidR="009C4267" w:rsidRPr="00765C24" w:rsidTr="009C4267">
        <w:tc>
          <w:tcPr>
            <w:tcW w:w="3780" w:type="dxa"/>
            <w:tcBorders>
              <w:bottom w:val="single" w:sz="4" w:space="0" w:color="auto"/>
            </w:tcBorders>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81" w:line="210" w:lineRule="exact"/>
              <w:ind w:left="0" w:right="43"/>
              <w:rPr>
                <w:sz w:val="17"/>
                <w:lang w:val="es-BO"/>
              </w:rPr>
            </w:pPr>
            <w:r w:rsidRPr="00C11C9E">
              <w:rPr>
                <w:sz w:val="17"/>
                <w:lang w:val="es-BO"/>
              </w:rPr>
              <w:t>Sin especificar</w:t>
            </w:r>
          </w:p>
        </w:tc>
        <w:tc>
          <w:tcPr>
            <w:tcW w:w="2160" w:type="dxa"/>
            <w:tcBorders>
              <w:bottom w:val="single" w:sz="4" w:space="0" w:color="auto"/>
            </w:tcBorders>
            <w:shd w:val="clear" w:color="auto" w:fill="auto"/>
            <w:vAlign w:val="bottom"/>
          </w:tcPr>
          <w:p w:rsidR="009C4267" w:rsidRPr="00C11C9E" w:rsidRDefault="009C4267" w:rsidP="009C4267">
            <w:pPr>
              <w:pStyle w:val="SingleTxt"/>
              <w:tabs>
                <w:tab w:val="left" w:pos="288"/>
                <w:tab w:val="left" w:pos="576"/>
                <w:tab w:val="left" w:pos="864"/>
                <w:tab w:val="left" w:pos="1152"/>
              </w:tabs>
              <w:spacing w:before="40" w:after="81" w:line="210" w:lineRule="exact"/>
              <w:ind w:left="0" w:right="113"/>
              <w:jc w:val="right"/>
              <w:rPr>
                <w:sz w:val="17"/>
                <w:lang w:val="es-BO"/>
              </w:rPr>
            </w:pPr>
            <w:r w:rsidRPr="00C11C9E">
              <w:rPr>
                <w:sz w:val="17"/>
                <w:lang w:val="es-BO"/>
              </w:rPr>
              <w:t>1</w:t>
            </w:r>
          </w:p>
        </w:tc>
        <w:tc>
          <w:tcPr>
            <w:tcW w:w="1635" w:type="dxa"/>
            <w:tcBorders>
              <w:bottom w:val="single" w:sz="4" w:space="0" w:color="auto"/>
            </w:tcBorders>
            <w:shd w:val="clear" w:color="auto" w:fill="auto"/>
            <w:vAlign w:val="bottom"/>
          </w:tcPr>
          <w:p w:rsidR="009C4267" w:rsidRPr="00C11C9E" w:rsidRDefault="00901B94" w:rsidP="00805F26">
            <w:pPr>
              <w:pStyle w:val="SingleTxt"/>
              <w:tabs>
                <w:tab w:val="left" w:pos="288"/>
                <w:tab w:val="left" w:pos="576"/>
                <w:tab w:val="left" w:pos="864"/>
                <w:tab w:val="left" w:pos="1152"/>
              </w:tabs>
              <w:spacing w:before="40" w:after="81" w:line="210" w:lineRule="exact"/>
              <w:ind w:left="0" w:right="43"/>
              <w:jc w:val="right"/>
              <w:rPr>
                <w:sz w:val="17"/>
                <w:lang w:val="es-BO"/>
              </w:rPr>
            </w:pPr>
            <w:r>
              <w:rPr>
                <w:sz w:val="17"/>
                <w:lang w:val="es-BO"/>
              </w:rPr>
              <w:t>0,</w:t>
            </w:r>
            <w:r w:rsidR="009C4267" w:rsidRPr="00C11C9E">
              <w:rPr>
                <w:sz w:val="17"/>
                <w:lang w:val="es-BO"/>
              </w:rPr>
              <w:t>1</w:t>
            </w:r>
          </w:p>
        </w:tc>
      </w:tr>
      <w:tr w:rsidR="009C4267" w:rsidRPr="009C4267" w:rsidTr="00D25A95">
        <w:tc>
          <w:tcPr>
            <w:tcW w:w="3780" w:type="dxa"/>
            <w:tcBorders>
              <w:top w:val="single" w:sz="4" w:space="0" w:color="auto"/>
              <w:bottom w:val="single" w:sz="12" w:space="0" w:color="auto"/>
            </w:tcBorders>
            <w:shd w:val="clear" w:color="auto" w:fill="auto"/>
            <w:vAlign w:val="bottom"/>
          </w:tcPr>
          <w:p w:rsidR="009C4267" w:rsidRPr="009C4267" w:rsidRDefault="00B71C6B" w:rsidP="009C4267">
            <w:pPr>
              <w:pStyle w:val="SingleTxt"/>
              <w:tabs>
                <w:tab w:val="left" w:pos="288"/>
                <w:tab w:val="left" w:pos="576"/>
                <w:tab w:val="left" w:pos="864"/>
                <w:tab w:val="left" w:pos="1152"/>
              </w:tabs>
              <w:spacing w:before="81" w:after="81" w:line="210" w:lineRule="exact"/>
              <w:ind w:left="0" w:right="43"/>
              <w:rPr>
                <w:b/>
                <w:sz w:val="17"/>
                <w:lang w:val="es-BO"/>
              </w:rPr>
            </w:pPr>
            <w:r>
              <w:rPr>
                <w:b/>
                <w:sz w:val="17"/>
                <w:lang w:val="es-BO"/>
              </w:rPr>
              <w:tab/>
            </w:r>
            <w:r w:rsidR="009C4267" w:rsidRPr="009C4267">
              <w:rPr>
                <w:b/>
                <w:sz w:val="17"/>
                <w:lang w:val="es-BO"/>
              </w:rPr>
              <w:t>Total</w:t>
            </w:r>
          </w:p>
        </w:tc>
        <w:tc>
          <w:tcPr>
            <w:tcW w:w="2160" w:type="dxa"/>
            <w:tcBorders>
              <w:top w:val="single" w:sz="4" w:space="0" w:color="auto"/>
              <w:bottom w:val="single" w:sz="12" w:space="0" w:color="auto"/>
            </w:tcBorders>
            <w:shd w:val="clear" w:color="auto" w:fill="auto"/>
            <w:vAlign w:val="bottom"/>
          </w:tcPr>
          <w:p w:rsidR="009C4267" w:rsidRPr="009C4267" w:rsidRDefault="009C4267" w:rsidP="009C4267">
            <w:pPr>
              <w:pStyle w:val="SingleTxt"/>
              <w:tabs>
                <w:tab w:val="left" w:pos="288"/>
                <w:tab w:val="left" w:pos="576"/>
                <w:tab w:val="left" w:pos="864"/>
                <w:tab w:val="left" w:pos="1152"/>
              </w:tabs>
              <w:spacing w:before="81" w:after="81" w:line="210" w:lineRule="exact"/>
              <w:ind w:left="0" w:right="113"/>
              <w:jc w:val="right"/>
              <w:rPr>
                <w:b/>
                <w:sz w:val="17"/>
                <w:lang w:val="es-BO"/>
              </w:rPr>
            </w:pPr>
            <w:r w:rsidRPr="009C4267">
              <w:rPr>
                <w:b/>
                <w:sz w:val="17"/>
                <w:lang w:val="es-BO"/>
              </w:rPr>
              <w:t>763</w:t>
            </w:r>
          </w:p>
        </w:tc>
        <w:tc>
          <w:tcPr>
            <w:tcW w:w="1635" w:type="dxa"/>
            <w:tcBorders>
              <w:top w:val="single" w:sz="4" w:space="0" w:color="auto"/>
              <w:bottom w:val="single" w:sz="12" w:space="0" w:color="auto"/>
            </w:tcBorders>
            <w:shd w:val="clear" w:color="auto" w:fill="auto"/>
            <w:vAlign w:val="bottom"/>
          </w:tcPr>
          <w:p w:rsidR="009C4267" w:rsidRPr="009C4267" w:rsidRDefault="00901B94" w:rsidP="00805F26">
            <w:pPr>
              <w:pStyle w:val="SingleTxt"/>
              <w:tabs>
                <w:tab w:val="left" w:pos="288"/>
                <w:tab w:val="left" w:pos="576"/>
                <w:tab w:val="left" w:pos="864"/>
                <w:tab w:val="left" w:pos="1152"/>
              </w:tabs>
              <w:spacing w:before="81" w:after="81" w:line="210" w:lineRule="exact"/>
              <w:ind w:left="0" w:right="43"/>
              <w:jc w:val="right"/>
              <w:rPr>
                <w:b/>
                <w:sz w:val="17"/>
                <w:lang w:val="es-BO"/>
              </w:rPr>
            </w:pPr>
            <w:r>
              <w:rPr>
                <w:b/>
                <w:sz w:val="17"/>
                <w:lang w:val="es-BO"/>
              </w:rPr>
              <w:t>100,</w:t>
            </w:r>
            <w:r w:rsidR="009C4267" w:rsidRPr="009C4267">
              <w:rPr>
                <w:b/>
                <w:sz w:val="17"/>
                <w:lang w:val="es-BO"/>
              </w:rPr>
              <w:t>0</w:t>
            </w:r>
          </w:p>
        </w:tc>
      </w:tr>
    </w:tbl>
    <w:p w:rsidR="009C4267" w:rsidRDefault="009C4267" w:rsidP="009C4267">
      <w:pPr>
        <w:pStyle w:val="SingleTxt"/>
        <w:spacing w:after="0" w:line="120" w:lineRule="exact"/>
        <w:rPr>
          <w:b/>
          <w:sz w:val="10"/>
          <w:lang w:val="es-BO"/>
        </w:rPr>
      </w:pPr>
    </w:p>
    <w:p w:rsidR="00895D0A" w:rsidRDefault="00895D0A" w:rsidP="00901B94">
      <w:pPr>
        <w:pStyle w:val="FootnoteText"/>
        <w:tabs>
          <w:tab w:val="clear" w:pos="418"/>
          <w:tab w:val="right" w:pos="1476"/>
          <w:tab w:val="left" w:pos="1548"/>
          <w:tab w:val="right" w:pos="1836"/>
          <w:tab w:val="left" w:pos="1908"/>
        </w:tabs>
        <w:ind w:left="1548" w:right="1267" w:hanging="288"/>
        <w:rPr>
          <w:lang w:val="es-BO"/>
        </w:rPr>
      </w:pPr>
      <w:r w:rsidRPr="00895D0A">
        <w:rPr>
          <w:i/>
          <w:lang w:val="es-BO"/>
        </w:rPr>
        <w:t>Fuente</w:t>
      </w:r>
      <w:r w:rsidRPr="00901B94">
        <w:rPr>
          <w:i/>
          <w:lang w:val="es-BO"/>
        </w:rPr>
        <w:t>:</w:t>
      </w:r>
      <w:r w:rsidRPr="00895D0A">
        <w:rPr>
          <w:lang w:val="es-BO"/>
        </w:rPr>
        <w:t xml:space="preserve"> UNAR</w:t>
      </w:r>
      <w:r w:rsidR="00901B94">
        <w:rPr>
          <w:lang w:val="es-BO"/>
        </w:rPr>
        <w:t>/IREF-ACU (</w:t>
      </w:r>
      <w:r w:rsidRPr="00895D0A">
        <w:rPr>
          <w:lang w:val="es-BO"/>
        </w:rPr>
        <w:t>Instituto de Investigacion</w:t>
      </w:r>
      <w:r w:rsidR="00246B35">
        <w:rPr>
          <w:lang w:val="es-BO"/>
        </w:rPr>
        <w:t>es sobre Educación y Formación –</w:t>
      </w:r>
      <w:r w:rsidRPr="00895D0A">
        <w:rPr>
          <w:lang w:val="es-BO"/>
        </w:rPr>
        <w:t xml:space="preserve"> Asociaciones Cristianas para los Trabajadores Italianos</w:t>
      </w:r>
      <w:r w:rsidR="00901B94">
        <w:rPr>
          <w:lang w:val="es-BO"/>
        </w:rPr>
        <w:t>)</w:t>
      </w:r>
      <w:r w:rsidRPr="00895D0A">
        <w:rPr>
          <w:lang w:val="es-BO"/>
        </w:rPr>
        <w:t>, 2014.</w:t>
      </w:r>
    </w:p>
    <w:p w:rsidR="00901B94" w:rsidRPr="009C6C0D" w:rsidRDefault="00901B94" w:rsidP="009C6C0D">
      <w:pPr>
        <w:pStyle w:val="FootnoteText"/>
        <w:tabs>
          <w:tab w:val="clear" w:pos="418"/>
          <w:tab w:val="right" w:pos="1476"/>
          <w:tab w:val="left" w:pos="1548"/>
          <w:tab w:val="right" w:pos="1836"/>
          <w:tab w:val="left" w:pos="1908"/>
        </w:tabs>
        <w:spacing w:line="120" w:lineRule="exact"/>
        <w:ind w:left="1548" w:right="1267" w:hanging="288"/>
        <w:rPr>
          <w:sz w:val="10"/>
          <w:lang w:val="es-BO"/>
        </w:rPr>
      </w:pPr>
    </w:p>
    <w:p w:rsidR="009C6C0D" w:rsidRPr="00901B94" w:rsidRDefault="009C6C0D" w:rsidP="00901B94">
      <w:pPr>
        <w:pStyle w:val="FootnoteText"/>
        <w:tabs>
          <w:tab w:val="clear" w:pos="418"/>
          <w:tab w:val="right" w:pos="1476"/>
          <w:tab w:val="left" w:pos="1548"/>
          <w:tab w:val="right" w:pos="1836"/>
          <w:tab w:val="left" w:pos="1908"/>
        </w:tabs>
        <w:spacing w:line="120" w:lineRule="exact"/>
        <w:ind w:left="1548" w:right="1267" w:hanging="288"/>
        <w:rPr>
          <w:sz w:val="10"/>
          <w:lang w:val="es-BO"/>
        </w:rPr>
      </w:pPr>
    </w:p>
    <w:p w:rsidR="00901B94" w:rsidRPr="00901B94" w:rsidRDefault="00901B94" w:rsidP="00901B94">
      <w:pPr>
        <w:pStyle w:val="FootnoteText"/>
        <w:tabs>
          <w:tab w:val="clear" w:pos="418"/>
          <w:tab w:val="right" w:pos="1476"/>
          <w:tab w:val="left" w:pos="1548"/>
          <w:tab w:val="right" w:pos="1836"/>
          <w:tab w:val="left" w:pos="1908"/>
        </w:tabs>
        <w:spacing w:line="120" w:lineRule="exact"/>
        <w:ind w:left="1548" w:right="1267" w:hanging="288"/>
        <w:rPr>
          <w:sz w:val="10"/>
          <w:lang w:val="es-BO"/>
        </w:rPr>
      </w:pPr>
    </w:p>
    <w:p w:rsidR="00895D0A" w:rsidRPr="00895D0A" w:rsidRDefault="00901B94" w:rsidP="00C11C9E">
      <w:pPr>
        <w:pStyle w:val="SingleTxt"/>
        <w:numPr>
          <w:ilvl w:val="0"/>
          <w:numId w:val="15"/>
        </w:numPr>
        <w:tabs>
          <w:tab w:val="clear" w:pos="475"/>
          <w:tab w:val="num" w:pos="1742"/>
        </w:tabs>
        <w:suppressAutoHyphens w:val="0"/>
        <w:ind w:left="1267"/>
        <w:rPr>
          <w:lang w:val="es-BO"/>
        </w:rPr>
      </w:pPr>
      <w:r>
        <w:rPr>
          <w:lang w:val="es-BO"/>
        </w:rPr>
        <w:t>A diferencia de lo que ocurre con</w:t>
      </w:r>
      <w:r w:rsidR="00895D0A" w:rsidRPr="00895D0A">
        <w:rPr>
          <w:lang w:val="es-BO"/>
        </w:rPr>
        <w:t xml:space="preserve"> los consejeros de paridad, la UNAR no está facultada para</w:t>
      </w:r>
      <w:r>
        <w:rPr>
          <w:lang w:val="es-BO"/>
        </w:rPr>
        <w:t xml:space="preserve"> iniciar actuaciones judiciales,</w:t>
      </w:r>
      <w:r w:rsidR="00895D0A" w:rsidRPr="00895D0A">
        <w:rPr>
          <w:lang w:val="es-BO"/>
        </w:rPr>
        <w:t xml:space="preserve"> </w:t>
      </w:r>
      <w:r>
        <w:rPr>
          <w:lang w:val="es-BO"/>
        </w:rPr>
        <w:t>aunque</w:t>
      </w:r>
      <w:r w:rsidR="00895D0A" w:rsidRPr="00895D0A">
        <w:rPr>
          <w:lang w:val="es-BO"/>
        </w:rPr>
        <w:t xml:space="preserve"> presta asistencia jurídica a las ONG que tengan derecho de audiencia</w:t>
      </w:r>
      <w:r>
        <w:rPr>
          <w:lang w:val="es-BO"/>
        </w:rPr>
        <w:t xml:space="preserve"> </w:t>
      </w:r>
      <w:r>
        <w:rPr>
          <w:i/>
          <w:lang w:val="es-BO"/>
        </w:rPr>
        <w:t>(locus standi)</w:t>
      </w:r>
      <w:r>
        <w:rPr>
          <w:lang w:val="es-BO"/>
        </w:rPr>
        <w:t xml:space="preserve"> y estén inscritas en su r</w:t>
      </w:r>
      <w:r w:rsidR="00895D0A" w:rsidRPr="00895D0A">
        <w:rPr>
          <w:lang w:val="es-BO"/>
        </w:rPr>
        <w:t xml:space="preserve">egistro. </w:t>
      </w:r>
      <w:r>
        <w:rPr>
          <w:lang w:val="es-BO"/>
        </w:rPr>
        <w:t>A</w:t>
      </w:r>
      <w:r w:rsidR="00895D0A" w:rsidRPr="00895D0A">
        <w:rPr>
          <w:lang w:val="es-BO"/>
        </w:rPr>
        <w:t xml:space="preserve"> este </w:t>
      </w:r>
      <w:r>
        <w:rPr>
          <w:lang w:val="es-BO"/>
        </w:rPr>
        <w:t>respecto</w:t>
      </w:r>
      <w:r w:rsidR="00895D0A" w:rsidRPr="00895D0A">
        <w:rPr>
          <w:lang w:val="es-BO"/>
        </w:rPr>
        <w:t xml:space="preserve">, </w:t>
      </w:r>
      <w:r w:rsidRPr="00895D0A">
        <w:rPr>
          <w:lang w:val="es-BO"/>
        </w:rPr>
        <w:t>desde 2010</w:t>
      </w:r>
      <w:r>
        <w:rPr>
          <w:lang w:val="es-BO"/>
        </w:rPr>
        <w:t xml:space="preserve"> la UNAR emite sistemáticamente</w:t>
      </w:r>
      <w:r w:rsidR="00895D0A" w:rsidRPr="00895D0A">
        <w:rPr>
          <w:lang w:val="es-BO"/>
        </w:rPr>
        <w:t xml:space="preserve"> opiniones para las víctimas y asociaciones</w:t>
      </w:r>
      <w:r>
        <w:rPr>
          <w:lang w:val="es-BO"/>
        </w:rPr>
        <w:t>,</w:t>
      </w:r>
      <w:r w:rsidR="00895D0A" w:rsidRPr="00895D0A">
        <w:rPr>
          <w:lang w:val="es-BO"/>
        </w:rPr>
        <w:t xml:space="preserve"> con el interés legítimo de representarlas. Además, a lo largo de los años la UNAR ha sensibilizado a las asociaciones pertin</w:t>
      </w:r>
      <w:r>
        <w:rPr>
          <w:lang w:val="es-BO"/>
        </w:rPr>
        <w:t>entes sobre la importancia del r</w:t>
      </w:r>
      <w:r w:rsidR="00895D0A" w:rsidRPr="00895D0A">
        <w:rPr>
          <w:lang w:val="es-BO"/>
        </w:rPr>
        <w:t>egistro, y ha actualizado constantemente la</w:t>
      </w:r>
      <w:r>
        <w:rPr>
          <w:lang w:val="es-BO"/>
        </w:rPr>
        <w:t xml:space="preserve"> correspondiente</w:t>
      </w:r>
      <w:r w:rsidR="00895D0A" w:rsidRPr="00895D0A">
        <w:rPr>
          <w:lang w:val="es-BO"/>
        </w:rPr>
        <w:t xml:space="preserve"> lista de asociaciones, de conformidad con el artículo 5 del Decreto </w:t>
      </w:r>
      <w:r>
        <w:rPr>
          <w:lang w:val="es-BO"/>
        </w:rPr>
        <w:t>Ley núm. 215/2003. Hasta la fecha</w:t>
      </w:r>
      <w:r w:rsidR="00895D0A" w:rsidRPr="00895D0A">
        <w:rPr>
          <w:lang w:val="es-BO"/>
        </w:rPr>
        <w:t xml:space="preserve"> estaban inscritas en el </w:t>
      </w:r>
      <w:r>
        <w:rPr>
          <w:lang w:val="es-BO"/>
        </w:rPr>
        <w:t>r</w:t>
      </w:r>
      <w:r w:rsidR="00895D0A" w:rsidRPr="00895D0A">
        <w:rPr>
          <w:lang w:val="es-BO"/>
        </w:rPr>
        <w:t xml:space="preserve">egistro </w:t>
      </w:r>
      <w:r>
        <w:rPr>
          <w:lang w:val="es-BO"/>
        </w:rPr>
        <w:t>unas</w:t>
      </w:r>
      <w:r w:rsidR="00895D0A" w:rsidRPr="00895D0A">
        <w:rPr>
          <w:lang w:val="es-BO"/>
        </w:rPr>
        <w:t xml:space="preserve"> 480 asociaciones.</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La práctica de la UNAR consiste en prestar asistencia en </w:t>
      </w:r>
      <w:r w:rsidR="00901B94">
        <w:rPr>
          <w:lang w:val="es-BO"/>
        </w:rPr>
        <w:t>la fase de diligencias previas</w:t>
      </w:r>
      <w:r w:rsidRPr="00895D0A">
        <w:rPr>
          <w:lang w:val="es-BO"/>
        </w:rPr>
        <w:t xml:space="preserve">, durante el juicio </w:t>
      </w:r>
      <w:r w:rsidR="00901B94">
        <w:rPr>
          <w:lang w:val="es-BO"/>
        </w:rPr>
        <w:t>y después de</w:t>
      </w:r>
      <w:r w:rsidRPr="00895D0A">
        <w:rPr>
          <w:lang w:val="es-BO"/>
        </w:rPr>
        <w:t xml:space="preserve"> este, </w:t>
      </w:r>
      <w:r w:rsidR="00901B94">
        <w:rPr>
          <w:lang w:val="es-BO"/>
        </w:rPr>
        <w:t>una vez dictada</w:t>
      </w:r>
      <w:r w:rsidRPr="00895D0A">
        <w:rPr>
          <w:lang w:val="es-BO"/>
        </w:rPr>
        <w:t xml:space="preserve"> la sentencia, hasta </w:t>
      </w:r>
      <w:r w:rsidR="00901B94">
        <w:rPr>
          <w:lang w:val="es-BO"/>
        </w:rPr>
        <w:t>que haya quedado eliminada</w:t>
      </w:r>
      <w:r w:rsidRPr="00895D0A">
        <w:rPr>
          <w:lang w:val="es-BO"/>
        </w:rPr>
        <w:t xml:space="preserve"> la discriminación. Antes de aplicar cualquier medio de protección, la UNAR </w:t>
      </w:r>
      <w:r w:rsidR="00901B94">
        <w:rPr>
          <w:lang w:val="es-BO"/>
        </w:rPr>
        <w:t>toma a su cargo</w:t>
      </w:r>
      <w:r w:rsidRPr="00895D0A">
        <w:rPr>
          <w:lang w:val="es-BO"/>
        </w:rPr>
        <w:t xml:space="preserve"> el acto de discriminación denunciado </w:t>
      </w:r>
      <w:r w:rsidR="00901B94">
        <w:rPr>
          <w:lang w:val="es-BO"/>
        </w:rPr>
        <w:t>a</w:t>
      </w:r>
      <w:r w:rsidRPr="00895D0A">
        <w:rPr>
          <w:lang w:val="es-BO"/>
        </w:rPr>
        <w:t xml:space="preserve"> su Centro de Contacto. Este informa a la víctima de los recursos previstos por ley para defender sus derechos. Una vez iniciadas las actuaciones judiciales (a iniciativa de la asociación o de la </w:t>
      </w:r>
      <w:r w:rsidR="00AC46C4">
        <w:rPr>
          <w:lang w:val="es-BO"/>
        </w:rPr>
        <w:t>propia</w:t>
      </w:r>
      <w:r w:rsidRPr="00895D0A">
        <w:rPr>
          <w:lang w:val="es-BO"/>
        </w:rPr>
        <w:t xml:space="preserve"> víctima), la UNAR presta asesoramiento jurídico, entre otros servicios. Por lo que respecta a las asociaciones (que </w:t>
      </w:r>
      <w:r w:rsidR="00AC46C4">
        <w:rPr>
          <w:lang w:val="es-BO"/>
        </w:rPr>
        <w:t>entablan</w:t>
      </w:r>
      <w:r w:rsidRPr="00895D0A">
        <w:rPr>
          <w:lang w:val="es-BO"/>
        </w:rPr>
        <w:t xml:space="preserve"> una acción judicial), estas opiniones </w:t>
      </w:r>
      <w:r w:rsidR="00AC46C4">
        <w:rPr>
          <w:lang w:val="es-BO"/>
        </w:rPr>
        <w:t xml:space="preserve">suelen transmitirse </w:t>
      </w:r>
      <w:r w:rsidR="00AC46C4">
        <w:rPr>
          <w:i/>
          <w:lang w:val="es-BO"/>
        </w:rPr>
        <w:t>ad adiuvandum</w:t>
      </w:r>
      <w:r w:rsidRPr="00895D0A">
        <w:rPr>
          <w:lang w:val="es-BO"/>
        </w:rPr>
        <w:t xml:space="preserve">. En la tercera </w:t>
      </w:r>
      <w:r w:rsidR="00AC46C4">
        <w:rPr>
          <w:lang w:val="es-BO"/>
        </w:rPr>
        <w:t>fase, en la que la</w:t>
      </w:r>
      <w:r w:rsidRPr="00895D0A">
        <w:rPr>
          <w:lang w:val="es-BO"/>
        </w:rPr>
        <w:t xml:space="preserve"> discriminación</w:t>
      </w:r>
      <w:r w:rsidR="00AC46C4">
        <w:rPr>
          <w:lang w:val="es-BO"/>
        </w:rPr>
        <w:t xml:space="preserve"> queda eliminada</w:t>
      </w:r>
      <w:r w:rsidRPr="00895D0A">
        <w:rPr>
          <w:lang w:val="es-BO"/>
        </w:rPr>
        <w:t xml:space="preserve"> (por lo general, la aplicación de la sentencia), la UNAR sigue y supervisa el procedimiento </w:t>
      </w:r>
      <w:r w:rsidR="00AC46C4">
        <w:rPr>
          <w:lang w:val="es-BO"/>
        </w:rPr>
        <w:t>ejecutivo y, por ende</w:t>
      </w:r>
      <w:r w:rsidRPr="00895D0A">
        <w:rPr>
          <w:lang w:val="es-BO"/>
        </w:rPr>
        <w:t xml:space="preserve">, la eliminación efectiva de la discriminación y </w:t>
      </w:r>
      <w:r w:rsidR="00AC46C4">
        <w:rPr>
          <w:lang w:val="es-BO"/>
        </w:rPr>
        <w:t>la reparación de los daños</w:t>
      </w:r>
      <w:r w:rsidRPr="00895D0A">
        <w:rPr>
          <w:lang w:val="es-BO"/>
        </w:rPr>
        <w:t>. También se mantiene en contacto con la víctima.</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En resumen, la</w:t>
      </w:r>
      <w:r w:rsidR="00AC46C4">
        <w:rPr>
          <w:lang w:val="es-BO"/>
        </w:rPr>
        <w:t xml:space="preserve"> UNAR brinda</w:t>
      </w:r>
      <w:r w:rsidRPr="00895D0A">
        <w:rPr>
          <w:lang w:val="es-BO"/>
        </w:rPr>
        <w:t xml:space="preserve"> asistencia en</w:t>
      </w:r>
      <w:r w:rsidR="00AC46C4">
        <w:rPr>
          <w:lang w:val="es-BO"/>
        </w:rPr>
        <w:t xml:space="preserve"> relación con</w:t>
      </w:r>
      <w:r w:rsidRPr="00895D0A">
        <w:rPr>
          <w:lang w:val="es-BO"/>
        </w:rPr>
        <w:t xml:space="preserve"> las actividades siguientes:</w:t>
      </w:r>
    </w:p>
    <w:p w:rsidR="00895D0A" w:rsidRPr="00895D0A" w:rsidRDefault="00895D0A" w:rsidP="00C11C9E">
      <w:pPr>
        <w:pStyle w:val="Bullet1"/>
        <w:rPr>
          <w:lang w:val="es-BO"/>
        </w:rPr>
      </w:pPr>
      <w:r w:rsidRPr="00895D0A">
        <w:rPr>
          <w:lang w:val="es-BO"/>
        </w:rPr>
        <w:t>Informar a las víctimas de los recursos de que disponen y alentarlas a iniciar una acción, entre otros medios a través de las asociaciones autorizadas para actuar en su nombre;</w:t>
      </w:r>
    </w:p>
    <w:p w:rsidR="00895D0A" w:rsidRPr="00895D0A" w:rsidRDefault="00895D0A" w:rsidP="00C11C9E">
      <w:pPr>
        <w:pStyle w:val="Bullet1"/>
        <w:rPr>
          <w:lang w:val="es-BO"/>
        </w:rPr>
      </w:pPr>
      <w:r w:rsidRPr="00895D0A">
        <w:rPr>
          <w:lang w:val="es-BO"/>
        </w:rPr>
        <w:t xml:space="preserve">Ayudar a las víctimas y las asociaciones pertinentes </w:t>
      </w:r>
      <w:r w:rsidR="00721815">
        <w:rPr>
          <w:lang w:val="es-BO"/>
        </w:rPr>
        <w:t>con sus</w:t>
      </w:r>
      <w:r w:rsidRPr="00895D0A">
        <w:rPr>
          <w:lang w:val="es-BO"/>
        </w:rPr>
        <w:t xml:space="preserve"> opiniones;</w:t>
      </w:r>
    </w:p>
    <w:p w:rsidR="00895D0A" w:rsidRPr="00895D0A" w:rsidRDefault="00895D0A" w:rsidP="00C11C9E">
      <w:pPr>
        <w:pStyle w:val="Bullet1"/>
        <w:rPr>
          <w:lang w:val="es-BO"/>
        </w:rPr>
      </w:pPr>
      <w:r w:rsidRPr="00895D0A">
        <w:rPr>
          <w:lang w:val="es-BO"/>
        </w:rPr>
        <w:t xml:space="preserve">Supervisar todos los procedimientos judiciales iniciados mediante una denuncia </w:t>
      </w:r>
      <w:r w:rsidR="00DC5349">
        <w:rPr>
          <w:lang w:val="es-BO"/>
        </w:rPr>
        <w:t>al</w:t>
      </w:r>
      <w:r w:rsidRPr="00895D0A">
        <w:rPr>
          <w:lang w:val="es-BO"/>
        </w:rPr>
        <w:t xml:space="preserve"> Centro de Contacto de la UNAR;</w:t>
      </w:r>
    </w:p>
    <w:p w:rsidR="00895D0A" w:rsidRPr="00895D0A" w:rsidRDefault="00DC5349" w:rsidP="00C11C9E">
      <w:pPr>
        <w:pStyle w:val="Bullet1"/>
        <w:rPr>
          <w:lang w:val="es-BO"/>
        </w:rPr>
      </w:pPr>
      <w:r>
        <w:rPr>
          <w:lang w:val="es-BO"/>
        </w:rPr>
        <w:t>Con las</w:t>
      </w:r>
      <w:r w:rsidR="00895D0A" w:rsidRPr="00895D0A">
        <w:rPr>
          <w:lang w:val="es-BO"/>
        </w:rPr>
        <w:t xml:space="preserve"> opiniones y recomendaciones </w:t>
      </w:r>
      <w:r>
        <w:rPr>
          <w:lang w:val="es-BO"/>
        </w:rPr>
        <w:t>publicadas, además de su</w:t>
      </w:r>
      <w:r w:rsidR="00895D0A" w:rsidRPr="00895D0A">
        <w:rPr>
          <w:lang w:val="es-BO"/>
        </w:rPr>
        <w:t xml:space="preserve"> sitio web, difundir información y conciencia</w:t>
      </w:r>
      <w:r>
        <w:rPr>
          <w:lang w:val="es-BO"/>
        </w:rPr>
        <w:t>r al público</w:t>
      </w:r>
      <w:r w:rsidR="00895D0A" w:rsidRPr="00895D0A">
        <w:rPr>
          <w:lang w:val="es-BO"/>
        </w:rPr>
        <w:t xml:space="preserve"> sobre la </w:t>
      </w:r>
      <w:r>
        <w:rPr>
          <w:lang w:val="es-BO"/>
        </w:rPr>
        <w:t>legislación antidiscriminatoria</w:t>
      </w:r>
      <w:r w:rsidR="00895D0A" w:rsidRPr="00895D0A">
        <w:rPr>
          <w:lang w:val="es-BO"/>
        </w:rPr>
        <w:t xml:space="preserve"> y los dictámenes de tribunales nacional y supranacionales </w:t>
      </w:r>
      <w:r>
        <w:rPr>
          <w:lang w:val="es-BO"/>
        </w:rPr>
        <w:t>para</w:t>
      </w:r>
      <w:r w:rsidR="00895D0A" w:rsidRPr="00895D0A">
        <w:rPr>
          <w:lang w:val="es-BO"/>
        </w:rPr>
        <w:t xml:space="preserve"> garantizar la protección de las víctimas.</w:t>
      </w:r>
    </w:p>
    <w:p w:rsidR="00895D0A" w:rsidRPr="00895D0A" w:rsidRDefault="00DC5349" w:rsidP="00C11C9E">
      <w:pPr>
        <w:pStyle w:val="SingleTxt"/>
        <w:numPr>
          <w:ilvl w:val="0"/>
          <w:numId w:val="15"/>
        </w:numPr>
        <w:tabs>
          <w:tab w:val="clear" w:pos="475"/>
          <w:tab w:val="num" w:pos="1742"/>
        </w:tabs>
        <w:suppressAutoHyphens w:val="0"/>
        <w:ind w:left="1267"/>
        <w:rPr>
          <w:lang w:val="es-BO"/>
        </w:rPr>
      </w:pPr>
      <w:r>
        <w:rPr>
          <w:lang w:val="es-BO"/>
        </w:rPr>
        <w:t>Con miras a</w:t>
      </w:r>
      <w:r w:rsidR="00895D0A" w:rsidRPr="00895D0A">
        <w:rPr>
          <w:lang w:val="es-BO"/>
        </w:rPr>
        <w:t xml:space="preserve"> obtener información</w:t>
      </w:r>
      <w:r>
        <w:rPr>
          <w:lang w:val="es-BO"/>
        </w:rPr>
        <w:t xml:space="preserve"> más detallada</w:t>
      </w:r>
      <w:r w:rsidR="00895D0A" w:rsidRPr="00895D0A">
        <w:rPr>
          <w:lang w:val="es-BO"/>
        </w:rPr>
        <w:t xml:space="preserve"> sobre los recursos para las víctimas de discriminación racial y sobre las causas judiciales, véanse las observaciones relativas al artículo 6.</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 xml:space="preserve">Entre las iniciativas más recientes de la UNAR, el </w:t>
      </w:r>
      <w:r w:rsidRPr="00895D0A">
        <w:rPr>
          <w:b/>
          <w:lang w:val="es-BO"/>
        </w:rPr>
        <w:t xml:space="preserve">Fondo de Solidaridad para la Protección Jurídica de las Víctimas de Discriminación </w:t>
      </w:r>
      <w:r w:rsidRPr="00895D0A">
        <w:rPr>
          <w:lang w:val="es-BO"/>
        </w:rPr>
        <w:t xml:space="preserve">es particularmente digno de mención. A fin de </w:t>
      </w:r>
      <w:r w:rsidR="00DC5349">
        <w:rPr>
          <w:lang w:val="es-BO"/>
        </w:rPr>
        <w:t>hacer más eficaces</w:t>
      </w:r>
      <w:r w:rsidRPr="00895D0A">
        <w:rPr>
          <w:lang w:val="es-BO"/>
        </w:rPr>
        <w:t xml:space="preserve"> los mecanismos </w:t>
      </w:r>
      <w:r w:rsidR="00DC5349">
        <w:rPr>
          <w:lang w:val="es-BO"/>
        </w:rPr>
        <w:t>de</w:t>
      </w:r>
      <w:r w:rsidRPr="00895D0A">
        <w:rPr>
          <w:lang w:val="es-BO"/>
        </w:rPr>
        <w:t xml:space="preserve"> protección contra la discriminación y facilitar a las víctimas el acceso a la justicia en los casos más importantes y problemáticos, el Departamento de Igualdad de Oportunidades y el Consejo Nacional </w:t>
      </w:r>
      <w:r w:rsidR="00DC5349">
        <w:rPr>
          <w:lang w:val="es-BO"/>
        </w:rPr>
        <w:t>del Foro</w:t>
      </w:r>
      <w:r w:rsidRPr="00895D0A">
        <w:rPr>
          <w:lang w:val="es-BO"/>
        </w:rPr>
        <w:t xml:space="preserve"> (</w:t>
      </w:r>
      <w:r w:rsidRPr="009428BD">
        <w:rPr>
          <w:lang w:val="es-BO"/>
        </w:rPr>
        <w:t>Consiglio Nazionale Forense</w:t>
      </w:r>
      <w:r w:rsidRPr="00895D0A">
        <w:rPr>
          <w:lang w:val="es-BO"/>
        </w:rPr>
        <w:t xml:space="preserve">, órgano de representación institucional de los abogados) han firmado un acuerdo que prevé la creación del fondo mencionado, </w:t>
      </w:r>
      <w:r w:rsidR="00DC5349">
        <w:rPr>
          <w:lang w:val="es-BO"/>
        </w:rPr>
        <w:t>que el</w:t>
      </w:r>
      <w:r w:rsidRPr="00895D0A">
        <w:rPr>
          <w:lang w:val="es-BO"/>
        </w:rPr>
        <w:t xml:space="preserve"> Departamento </w:t>
      </w:r>
      <w:r w:rsidR="00DC5349">
        <w:rPr>
          <w:lang w:val="es-BO"/>
        </w:rPr>
        <w:t>pone a la disposición para</w:t>
      </w:r>
      <w:r w:rsidRPr="00895D0A">
        <w:rPr>
          <w:lang w:val="es-BO"/>
        </w:rPr>
        <w:t xml:space="preserve"> sufragar las costas</w:t>
      </w:r>
      <w:r w:rsidR="00DC5349">
        <w:rPr>
          <w:lang w:val="es-BO"/>
        </w:rPr>
        <w:t xml:space="preserve"> legales</w:t>
      </w:r>
      <w:r w:rsidRPr="00895D0A">
        <w:rPr>
          <w:lang w:val="es-BO"/>
        </w:rPr>
        <w:t xml:space="preserve"> por adelantado.</w:t>
      </w:r>
    </w:p>
    <w:p w:rsidR="00895D0A" w:rsidRPr="00895D0A" w:rsidRDefault="00895D0A" w:rsidP="00C11C9E">
      <w:pPr>
        <w:pStyle w:val="SingleTxt"/>
        <w:numPr>
          <w:ilvl w:val="0"/>
          <w:numId w:val="15"/>
        </w:numPr>
        <w:tabs>
          <w:tab w:val="clear" w:pos="475"/>
          <w:tab w:val="num" w:pos="1742"/>
        </w:tabs>
        <w:suppressAutoHyphens w:val="0"/>
        <w:ind w:left="1267"/>
        <w:rPr>
          <w:lang w:val="es-BO"/>
        </w:rPr>
      </w:pPr>
      <w:r w:rsidRPr="00895D0A">
        <w:rPr>
          <w:lang w:val="es-BO"/>
        </w:rPr>
        <w:t>Pueden solicitar esta contribución:</w:t>
      </w:r>
    </w:p>
    <w:p w:rsidR="00895D0A" w:rsidRPr="00895D0A" w:rsidRDefault="00895D0A" w:rsidP="00C11C9E">
      <w:pPr>
        <w:pStyle w:val="Bullet1"/>
        <w:rPr>
          <w:lang w:val="es-BO"/>
        </w:rPr>
      </w:pPr>
      <w:r w:rsidRPr="00895D0A">
        <w:rPr>
          <w:lang w:val="es-BO"/>
        </w:rPr>
        <w:t>Las víctimas de discriminación por motivos de raza, origen étnico, religión, creencia, edad, discapacidad, orientación sexual e identidad de género;</w:t>
      </w:r>
    </w:p>
    <w:p w:rsidR="00895D0A" w:rsidRPr="00895D0A" w:rsidRDefault="00895D0A" w:rsidP="00C11C9E">
      <w:pPr>
        <w:pStyle w:val="Bullet1"/>
        <w:rPr>
          <w:lang w:val="es-BO"/>
        </w:rPr>
      </w:pPr>
      <w:r w:rsidRPr="00895D0A">
        <w:rPr>
          <w:lang w:val="es-BO"/>
        </w:rPr>
        <w:t xml:space="preserve">Las asociaciones competentes que estén autorizadas </w:t>
      </w:r>
      <w:r w:rsidR="00DC5349">
        <w:rPr>
          <w:lang w:val="es-BO"/>
        </w:rPr>
        <w:t>a</w:t>
      </w:r>
      <w:r w:rsidRPr="00895D0A">
        <w:rPr>
          <w:lang w:val="es-BO"/>
        </w:rPr>
        <w:t xml:space="preserve"> iniciar una acción judicial en nombre de las víctimas, o </w:t>
      </w:r>
      <w:r w:rsidR="00DC5349">
        <w:rPr>
          <w:lang w:val="es-BO"/>
        </w:rPr>
        <w:t>a</w:t>
      </w:r>
      <w:r w:rsidRPr="00895D0A">
        <w:rPr>
          <w:lang w:val="es-BO"/>
        </w:rPr>
        <w:t xml:space="preserve"> defenderlas, de conformidad con el artículo 5 del Decreto </w:t>
      </w:r>
      <w:r w:rsidR="00DC5349">
        <w:rPr>
          <w:lang w:val="es-BO"/>
        </w:rPr>
        <w:t>Ley</w:t>
      </w:r>
      <w:r w:rsidRPr="00895D0A">
        <w:rPr>
          <w:lang w:val="es-BO"/>
        </w:rPr>
        <w:t xml:space="preserve"> núm. 215/2003;</w:t>
      </w:r>
    </w:p>
    <w:p w:rsidR="00895D0A" w:rsidRPr="00895D0A" w:rsidRDefault="00895D0A" w:rsidP="00C11C9E">
      <w:pPr>
        <w:pStyle w:val="Bullet1"/>
        <w:rPr>
          <w:lang w:val="es-BO"/>
        </w:rPr>
      </w:pPr>
      <w:r w:rsidRPr="00895D0A">
        <w:rPr>
          <w:lang w:val="es-BO"/>
        </w:rPr>
        <w:t xml:space="preserve">Los sindicatos </w:t>
      </w:r>
      <w:r w:rsidR="00DC5349">
        <w:rPr>
          <w:lang w:val="es-BO"/>
        </w:rPr>
        <w:t>y</w:t>
      </w:r>
      <w:r w:rsidRPr="00895D0A">
        <w:rPr>
          <w:lang w:val="es-BO"/>
        </w:rPr>
        <w:t xml:space="preserve"> las asociaciones y organizaciones que representen </w:t>
      </w:r>
      <w:r w:rsidR="00DC5349">
        <w:rPr>
          <w:lang w:val="es-BO"/>
        </w:rPr>
        <w:t xml:space="preserve">a </w:t>
      </w:r>
      <w:r w:rsidRPr="00895D0A">
        <w:rPr>
          <w:lang w:val="es-BO"/>
        </w:rPr>
        <w:t xml:space="preserve">la persona cuyos derechos o intereses se han vulnerado, de conformidad con el artículo 5 del Decreto </w:t>
      </w:r>
      <w:r w:rsidR="00DC5349">
        <w:rPr>
          <w:lang w:val="es-BO"/>
        </w:rPr>
        <w:t>Ley</w:t>
      </w:r>
      <w:r w:rsidRPr="00895D0A">
        <w:rPr>
          <w:lang w:val="es-BO"/>
        </w:rPr>
        <w:t xml:space="preserve"> núm. 215/2003.</w:t>
      </w:r>
    </w:p>
    <w:p w:rsidR="00C11C9E" w:rsidRPr="00C11C9E" w:rsidRDefault="00C11C9E" w:rsidP="00C11C9E">
      <w:pPr>
        <w:pStyle w:val="SingleTxt"/>
        <w:spacing w:after="0" w:line="120" w:lineRule="exact"/>
        <w:rPr>
          <w:b/>
          <w:sz w:val="10"/>
        </w:rPr>
      </w:pPr>
    </w:p>
    <w:p w:rsidR="00C11C9E" w:rsidRPr="00C11C9E" w:rsidRDefault="00C11C9E" w:rsidP="00C11C9E">
      <w:pPr>
        <w:pStyle w:val="SingleTxt"/>
        <w:spacing w:after="0" w:line="120" w:lineRule="exact"/>
        <w:rPr>
          <w:b/>
          <w:sz w:val="10"/>
        </w:rPr>
      </w:pPr>
    </w:p>
    <w:p w:rsidR="00895D0A" w:rsidRDefault="00895D0A" w:rsidP="00DC53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III.</w:t>
      </w:r>
      <w:r w:rsidR="00C11C9E">
        <w:tab/>
      </w:r>
      <w:r w:rsidRPr="00895D0A">
        <w:t>Datos recopilados en el marco de derechos concretos</w:t>
      </w:r>
    </w:p>
    <w:p w:rsidR="00C11C9E" w:rsidRPr="00C11C9E" w:rsidRDefault="00C11C9E" w:rsidP="00C11C9E">
      <w:pPr>
        <w:pStyle w:val="SingleTxt"/>
        <w:spacing w:after="0" w:line="120" w:lineRule="exact"/>
        <w:rPr>
          <w:b/>
          <w:sz w:val="10"/>
        </w:rPr>
      </w:pPr>
    </w:p>
    <w:p w:rsidR="00C11C9E" w:rsidRPr="00C11C9E" w:rsidRDefault="00C11C9E" w:rsidP="00C11C9E">
      <w:pPr>
        <w:pStyle w:val="SingleTxt"/>
        <w:spacing w:after="0" w:line="120" w:lineRule="exact"/>
        <w:rPr>
          <w:b/>
          <w:sz w:val="10"/>
        </w:rPr>
      </w:pPr>
    </w:p>
    <w:p w:rsidR="00895D0A" w:rsidRPr="00895D0A" w:rsidRDefault="00895D0A" w:rsidP="00C11C9E">
      <w:pPr>
        <w:pStyle w:val="SingleTxt"/>
        <w:numPr>
          <w:ilvl w:val="0"/>
          <w:numId w:val="15"/>
        </w:numPr>
        <w:tabs>
          <w:tab w:val="clear" w:pos="475"/>
          <w:tab w:val="num" w:pos="1742"/>
        </w:tabs>
        <w:suppressAutoHyphens w:val="0"/>
        <w:ind w:left="1267"/>
      </w:pPr>
      <w:r w:rsidRPr="00895D0A">
        <w:t xml:space="preserve">En relación con el derecho a la </w:t>
      </w:r>
      <w:r w:rsidRPr="00895D0A">
        <w:rPr>
          <w:b/>
        </w:rPr>
        <w:t>seguridad personal y a la protección del Estado contra todo acto de violencia o atentado contra la integridad personal</w:t>
      </w:r>
      <w:r w:rsidRPr="00895D0A">
        <w:t xml:space="preserve"> cometido por funcionarios públicos o por cualquier individuo, grupo o institución, se ha elaborado un sólido marco normativo para prevenir los casos de uso excesivo de la fuerza y cumplir las normas más estrictas de la ética y la profesionalidad.</w:t>
      </w:r>
    </w:p>
    <w:p w:rsidR="00895D0A" w:rsidRPr="00895D0A" w:rsidRDefault="00895D0A" w:rsidP="00C11C9E">
      <w:pPr>
        <w:pStyle w:val="SingleTxt"/>
        <w:numPr>
          <w:ilvl w:val="0"/>
          <w:numId w:val="15"/>
        </w:numPr>
        <w:tabs>
          <w:tab w:val="clear" w:pos="475"/>
          <w:tab w:val="num" w:pos="1742"/>
        </w:tabs>
        <w:suppressAutoHyphens w:val="0"/>
        <w:ind w:left="1267"/>
      </w:pPr>
      <w:r w:rsidRPr="00895D0A">
        <w:t>Las fuerzas policiales deben cumplir sus obligaciones con diligencia</w:t>
      </w:r>
      <w:r w:rsidR="0033201D">
        <w:t>, corrección y lealtad, y respe</w:t>
      </w:r>
      <w:r w:rsidRPr="00895D0A">
        <w:t xml:space="preserve">tando la legalidad. Huelga decir que deben cumplir otras obligaciones y prescripciones específicas, que forman parte de la denominada responsabilidad disciplinaria, que también </w:t>
      </w:r>
      <w:r w:rsidR="0033201D">
        <w:t>se</w:t>
      </w:r>
      <w:r w:rsidRPr="00895D0A">
        <w:t xml:space="preserve"> refleja en el sistema militar. </w:t>
      </w:r>
      <w:r w:rsidRPr="00B71C6B">
        <w:rPr>
          <w:b/>
        </w:rPr>
        <w:t xml:space="preserve">La </w:t>
      </w:r>
      <w:r w:rsidRPr="00895D0A">
        <w:rPr>
          <w:b/>
        </w:rPr>
        <w:t>responsabilidad disciplinaria</w:t>
      </w:r>
      <w:r w:rsidRPr="00895D0A">
        <w:t xml:space="preserve"> está vinculada con los principios constitucionales conform</w:t>
      </w:r>
      <w:r w:rsidR="0033201D">
        <w:t>e</w:t>
      </w:r>
      <w:r w:rsidR="00B71C6B">
        <w:t>s</w:t>
      </w:r>
      <w:r w:rsidRPr="00895D0A">
        <w:t xml:space="preserve"> con el artículo 97</w:t>
      </w:r>
      <w:r w:rsidR="0033201D">
        <w:t>,</w:t>
      </w:r>
      <w:r w:rsidRPr="00895D0A">
        <w:t xml:space="preserve"> que se refiere a la corrección de la administración pública y la diligencia de los procedimientos, por lo que todos y cada uno de los casos o incidentes deben ser investigados </w:t>
      </w:r>
      <w:r w:rsidR="0033201D" w:rsidRPr="00895D0A">
        <w:t>debidamente</w:t>
      </w:r>
      <w:r w:rsidR="0033201D">
        <w:t xml:space="preserve"> y</w:t>
      </w:r>
      <w:r w:rsidR="0033201D" w:rsidRPr="00895D0A">
        <w:t xml:space="preserve"> </w:t>
      </w:r>
      <w:r w:rsidRPr="00895D0A">
        <w:t>sin demora.</w:t>
      </w:r>
    </w:p>
    <w:p w:rsidR="00895D0A" w:rsidRPr="00895D0A" w:rsidRDefault="00895D0A" w:rsidP="00C11C9E">
      <w:pPr>
        <w:pStyle w:val="SingleTxt"/>
        <w:numPr>
          <w:ilvl w:val="0"/>
          <w:numId w:val="15"/>
        </w:numPr>
        <w:tabs>
          <w:tab w:val="clear" w:pos="475"/>
          <w:tab w:val="num" w:pos="1742"/>
        </w:tabs>
        <w:suppressAutoHyphens w:val="0"/>
        <w:ind w:left="1267"/>
      </w:pPr>
      <w:r w:rsidRPr="00895D0A">
        <w:t xml:space="preserve">De conformidad con lo dispuesto en el </w:t>
      </w:r>
      <w:r w:rsidRPr="00895D0A">
        <w:rPr>
          <w:b/>
        </w:rPr>
        <w:t>artículo 582 del Código Penal</w:t>
      </w:r>
      <w:r w:rsidRPr="00895D0A">
        <w:t xml:space="preserve">, relativo al maltrato de personas privadas de libertad, a menudo determinadas conductas de los agentes de las fuerzas del orden son </w:t>
      </w:r>
      <w:r w:rsidR="0033201D">
        <w:t>enjuiciadas</w:t>
      </w:r>
      <w:r w:rsidRPr="00895D0A">
        <w:t xml:space="preserve"> de oficio, incluso en casos de delitos menores como el delito de </w:t>
      </w:r>
      <w:r w:rsidR="0033201D">
        <w:rPr>
          <w:i/>
        </w:rPr>
        <w:t>abuso di a</w:t>
      </w:r>
      <w:r w:rsidRPr="00895D0A">
        <w:rPr>
          <w:i/>
        </w:rPr>
        <w:t>utorità contro arrestati detenuti</w:t>
      </w:r>
      <w:r w:rsidRPr="00895D0A">
        <w:t xml:space="preserve"> (abuso de autoridad sobre personas detenidas o en prisión preventiva) (art. 608 del Código Penal), </w:t>
      </w:r>
      <w:r w:rsidRPr="00895D0A">
        <w:rPr>
          <w:i/>
        </w:rPr>
        <w:t>violenza privata</w:t>
      </w:r>
      <w:r w:rsidR="00B71C6B">
        <w:t xml:space="preserve"> (violencia privada) (art. 610 d</w:t>
      </w:r>
      <w:r w:rsidRPr="00895D0A">
        <w:t xml:space="preserve">el Código Penal), </w:t>
      </w:r>
      <w:r w:rsidRPr="00895D0A">
        <w:rPr>
          <w:i/>
        </w:rPr>
        <w:t>abuso di ufficio</w:t>
      </w:r>
      <w:r w:rsidRPr="00895D0A">
        <w:t xml:space="preserve"> (abuso de funciones) (art. 323 del Código Penal) o el delito de </w:t>
      </w:r>
      <w:r w:rsidRPr="00895D0A">
        <w:rPr>
          <w:i/>
        </w:rPr>
        <w:t>falso en atto pubblico</w:t>
      </w:r>
      <w:r w:rsidRPr="00895D0A">
        <w:t xml:space="preserve"> (falsificación de documentos).</w:t>
      </w:r>
    </w:p>
    <w:p w:rsidR="00895D0A" w:rsidRPr="00895D0A" w:rsidRDefault="00895D0A" w:rsidP="00C11C9E">
      <w:pPr>
        <w:pStyle w:val="SingleTxt"/>
        <w:numPr>
          <w:ilvl w:val="0"/>
          <w:numId w:val="15"/>
        </w:numPr>
        <w:tabs>
          <w:tab w:val="clear" w:pos="475"/>
          <w:tab w:val="num" w:pos="1742"/>
        </w:tabs>
        <w:suppressAutoHyphens w:val="0"/>
        <w:ind w:left="1267"/>
      </w:pPr>
      <w:r w:rsidRPr="00895D0A">
        <w:t xml:space="preserve">Como </w:t>
      </w:r>
      <w:r w:rsidR="002B10B4" w:rsidRPr="00895D0A">
        <w:t xml:space="preserve">es </w:t>
      </w:r>
      <w:r w:rsidRPr="00895D0A">
        <w:t xml:space="preserve">bien sabido, se han </w:t>
      </w:r>
      <w:r w:rsidR="002B10B4">
        <w:t>organizado</w:t>
      </w:r>
      <w:r w:rsidRPr="00895D0A">
        <w:t xml:space="preserve"> actividades de </w:t>
      </w:r>
      <w:r w:rsidR="002B10B4">
        <w:t>formación</w:t>
      </w:r>
      <w:r w:rsidRPr="00895D0A">
        <w:t xml:space="preserve">, entre las que se incluyen cursos </w:t>
      </w:r>
      <w:r w:rsidR="002B10B4">
        <w:t>de enseñanza de</w:t>
      </w:r>
      <w:r w:rsidRPr="00895D0A">
        <w:t xml:space="preserve"> derechos humanos, para todos los organismos policiales. Todas las fuerzas del orden público en Italia conceden la máxima importancia al derecho humanitario internacional y a las normas internacionales de derechos humanos en el marco de programas de </w:t>
      </w:r>
      <w:r w:rsidR="002B10B4">
        <w:t>formación</w:t>
      </w:r>
      <w:r w:rsidRPr="00895D0A">
        <w:t xml:space="preserve"> y educación </w:t>
      </w:r>
      <w:r w:rsidR="002B10B4">
        <w:rPr>
          <w:i/>
        </w:rPr>
        <w:t>ad hoc</w:t>
      </w:r>
      <w:r w:rsidRPr="00895D0A">
        <w:t xml:space="preserve">, </w:t>
      </w:r>
      <w:r w:rsidR="002B10B4">
        <w:t>incluido</w:t>
      </w:r>
      <w:r w:rsidRPr="00895D0A">
        <w:t xml:space="preserve"> el marco mejorado de las actividades </w:t>
      </w:r>
      <w:r w:rsidR="002B10B4">
        <w:t>del</w:t>
      </w:r>
      <w:r w:rsidRPr="00895D0A">
        <w:t xml:space="preserve"> Observatorio para la Seguridad contra los Actos de Discriminación (OSCAD), que está dirigido por</w:t>
      </w:r>
      <w:r w:rsidR="002B10B4">
        <w:t xml:space="preserve"> la policía</w:t>
      </w:r>
      <w:r w:rsidRPr="00895D0A">
        <w:t xml:space="preserve"> </w:t>
      </w:r>
      <w:r w:rsidR="00B71C6B">
        <w:t xml:space="preserve">y </w:t>
      </w:r>
      <w:r w:rsidRPr="00895D0A">
        <w:t>los carabineros.</w:t>
      </w:r>
    </w:p>
    <w:p w:rsidR="00895D0A" w:rsidRPr="00895D0A" w:rsidRDefault="00895D0A" w:rsidP="00C11C9E">
      <w:pPr>
        <w:pStyle w:val="SingleTxt"/>
        <w:numPr>
          <w:ilvl w:val="0"/>
          <w:numId w:val="15"/>
        </w:numPr>
        <w:tabs>
          <w:tab w:val="clear" w:pos="475"/>
          <w:tab w:val="num" w:pos="1742"/>
        </w:tabs>
        <w:suppressAutoHyphens w:val="0"/>
        <w:ind w:left="1267"/>
      </w:pPr>
      <w:r w:rsidRPr="00895D0A">
        <w:t xml:space="preserve">El OSCAD ha llevado a cabo actividades de </w:t>
      </w:r>
      <w:r w:rsidR="002B10B4">
        <w:t>formación</w:t>
      </w:r>
      <w:r w:rsidRPr="00895D0A">
        <w:t xml:space="preserve"> encaminadas a conciencia</w:t>
      </w:r>
      <w:r w:rsidR="002B10B4">
        <w:t>r de manera</w:t>
      </w:r>
      <w:r w:rsidRPr="00895D0A">
        <w:t xml:space="preserve"> más efectiva y completa </w:t>
      </w:r>
      <w:r w:rsidR="002B10B4">
        <w:t>a</w:t>
      </w:r>
      <w:r w:rsidRPr="00895D0A">
        <w:t xml:space="preserve"> los agentes de las fuerzas del orden </w:t>
      </w:r>
      <w:r w:rsidR="002B10B4">
        <w:t>en</w:t>
      </w:r>
      <w:r w:rsidRPr="00895D0A">
        <w:t xml:space="preserve"> cuestiones </w:t>
      </w:r>
      <w:r w:rsidR="002B10B4">
        <w:t xml:space="preserve">tales </w:t>
      </w:r>
      <w:r w:rsidRPr="00895D0A">
        <w:t xml:space="preserve">como el respeto de los derechos humanos, la prevención y la lucha contra la discriminación y los delitos motivados por prejuicios. Para ello, se han estrechado las relaciones con instituciones y asociaciones que </w:t>
      </w:r>
      <w:r w:rsidR="002B10B4">
        <w:t>operan</w:t>
      </w:r>
      <w:r w:rsidRPr="00895D0A">
        <w:t xml:space="preserve"> en este sector, incrementando las actividades conjuntas de </w:t>
      </w:r>
      <w:r w:rsidR="002B10B4">
        <w:t>formación</w:t>
      </w:r>
      <w:r w:rsidRPr="00895D0A">
        <w:t xml:space="preserve"> y educación, en particular con la </w:t>
      </w:r>
      <w:r w:rsidR="002B10B4">
        <w:t>UNAR</w:t>
      </w:r>
      <w:r w:rsidRPr="00895D0A">
        <w:t xml:space="preserve">, </w:t>
      </w:r>
      <w:r w:rsidR="002B10B4">
        <w:t>el servicio del ayuntamiento de Turín para</w:t>
      </w:r>
      <w:r w:rsidRPr="00895D0A">
        <w:t xml:space="preserve"> las personas lesbianas, gais, bisexuales y transgénero (LGBT)</w:t>
      </w:r>
      <w:r w:rsidR="002B10B4">
        <w:t>,</w:t>
      </w:r>
      <w:r w:rsidRPr="00895D0A">
        <w:t xml:space="preserve"> </w:t>
      </w:r>
      <w:r w:rsidR="002B10B4">
        <w:t>que dirige</w:t>
      </w:r>
      <w:r w:rsidRPr="00895D0A">
        <w:t xml:space="preserve"> la </w:t>
      </w:r>
      <w:r w:rsidRPr="009428BD">
        <w:t>Rete Ready</w:t>
      </w:r>
      <w:r w:rsidRPr="00895D0A">
        <w:t xml:space="preserve"> (Red Nacional de las Administraciones Públicas contra los Actos de Discriminación motivados por la Orientación Sexual y la Identidad de Género), Amnistía Internacional, </w:t>
      </w:r>
      <w:r w:rsidRPr="009428BD">
        <w:t>Polis Aperta</w:t>
      </w:r>
      <w:r w:rsidRPr="00895D0A">
        <w:t xml:space="preserve"> (asociación de personas LGBT cuyos miembros son agentes de policía y oficiales del ejército), </w:t>
      </w:r>
      <w:r w:rsidRPr="009428BD">
        <w:t>Rete Lenford</w:t>
      </w:r>
      <w:r w:rsidRPr="00895D0A">
        <w:t xml:space="preserve"> (asociación de abogados expertos en los derechos </w:t>
      </w:r>
      <w:r w:rsidR="002B10B4">
        <w:t>de</w:t>
      </w:r>
      <w:r w:rsidRPr="00895D0A">
        <w:t xml:space="preserve"> las personas LGBT). De hecho, en 2014, tras las iniciativas de cooperación ya aprobadas, se llevaron a cabo varios seminarios conjuntos en modalidad interactiva y combinada con laboratorios, </w:t>
      </w:r>
      <w:r w:rsidR="00B56E74" w:rsidRPr="00895D0A">
        <w:t xml:space="preserve">a nivel </w:t>
      </w:r>
      <w:r w:rsidRPr="00895D0A">
        <w:t xml:space="preserve">tanto central como local. Además, el Observatorio, en </w:t>
      </w:r>
      <w:r w:rsidR="00B56E74">
        <w:t>colaboración con la Cooperación Intergubernamental</w:t>
      </w:r>
      <w:r w:rsidRPr="00895D0A">
        <w:t xml:space="preserve"> del Consejo de Europa, con la Dependencia</w:t>
      </w:r>
      <w:r w:rsidR="00B56E74">
        <w:t xml:space="preserve"> contra el</w:t>
      </w:r>
      <w:r w:rsidRPr="00895D0A">
        <w:t xml:space="preserve"> Antigitanismo y por la Igualdad de los Romaníes y con Amnistía Internacional, ha organizado actividades de formación de instructores, para </w:t>
      </w:r>
      <w:r w:rsidR="00B56E74" w:rsidRPr="00895D0A">
        <w:t xml:space="preserve">mejorar </w:t>
      </w:r>
      <w:r w:rsidR="00B56E74">
        <w:t>los conocimientos y</w:t>
      </w:r>
      <w:r w:rsidRPr="00895D0A">
        <w:t xml:space="preserve"> las aptitudes de los agentes de </w:t>
      </w:r>
      <w:r w:rsidR="00B56E74">
        <w:t>la policía estatal</w:t>
      </w:r>
      <w:r w:rsidRPr="00895D0A">
        <w:t xml:space="preserve"> con respecto a los problemas fundamentales relacionados con las comunidades romaní y sinti.</w:t>
      </w:r>
    </w:p>
    <w:p w:rsidR="00895D0A" w:rsidRPr="00895D0A" w:rsidRDefault="00895D0A" w:rsidP="00C11C9E">
      <w:pPr>
        <w:pStyle w:val="SingleTxt"/>
        <w:numPr>
          <w:ilvl w:val="0"/>
          <w:numId w:val="15"/>
        </w:numPr>
        <w:tabs>
          <w:tab w:val="clear" w:pos="475"/>
          <w:tab w:val="num" w:pos="1742"/>
        </w:tabs>
        <w:suppressAutoHyphens w:val="0"/>
        <w:ind w:left="1267"/>
      </w:pPr>
      <w:r w:rsidRPr="00895D0A">
        <w:t>El Ministerio del Interior pone de relieve que</w:t>
      </w:r>
      <w:r w:rsidR="00B56E74">
        <w:t xml:space="preserve"> se procede a la sensibilización periódica de</w:t>
      </w:r>
      <w:r w:rsidRPr="00895D0A">
        <w:t xml:space="preserve"> los agentes de </w:t>
      </w:r>
      <w:r w:rsidR="00B56E74">
        <w:t xml:space="preserve">policía en el derecho de los </w:t>
      </w:r>
      <w:r w:rsidRPr="00895D0A">
        <w:t>derechos humanos, a fin de asegurar el pleno cumplimiento de las salvaguardias jurídicas y judiciales, especialmente en el caso de las personas detenidas o en prisión preventiva.</w:t>
      </w:r>
    </w:p>
    <w:p w:rsidR="00895D0A" w:rsidRPr="00895D0A" w:rsidRDefault="00895D0A" w:rsidP="00C11C9E">
      <w:pPr>
        <w:pStyle w:val="SingleTxt"/>
        <w:numPr>
          <w:ilvl w:val="0"/>
          <w:numId w:val="15"/>
        </w:numPr>
        <w:tabs>
          <w:tab w:val="clear" w:pos="475"/>
          <w:tab w:val="num" w:pos="1742"/>
        </w:tabs>
        <w:suppressAutoHyphens w:val="0"/>
        <w:ind w:left="1267"/>
      </w:pPr>
      <w:r w:rsidRPr="00895D0A">
        <w:t xml:space="preserve">Del mismo modo, la administración penitenciaria organiza </w:t>
      </w:r>
      <w:r w:rsidR="00D25A95">
        <w:t>frecuentes</w:t>
      </w:r>
      <w:r w:rsidRPr="00895D0A">
        <w:t xml:space="preserve"> actividades de </w:t>
      </w:r>
      <w:r w:rsidR="00D25A95">
        <w:t>formación</w:t>
      </w:r>
      <w:r w:rsidRPr="00895D0A">
        <w:t xml:space="preserve"> y cursos de repaso continuos para el personal de prisiones, entre otras cosas sobre el respeto de la dignidad y los derechos de la persona, así como sobre la gestión y el trato de las diversas personas </w:t>
      </w:r>
      <w:r w:rsidR="00D25A95">
        <w:t>en</w:t>
      </w:r>
      <w:r w:rsidRPr="00895D0A">
        <w:t xml:space="preserve"> libertad restringida, como los colaboradores de la justicia, los menores y las personas detenidas en aplicación del artículo 41 </w:t>
      </w:r>
      <w:r w:rsidRPr="000F5E60">
        <w:rPr>
          <w:i/>
        </w:rPr>
        <w:t>bis</w:t>
      </w:r>
      <w:r w:rsidRPr="00895D0A">
        <w:t>,</w:t>
      </w:r>
      <w:r w:rsidR="00246B35">
        <w:t xml:space="preserve"> </w:t>
      </w:r>
      <w:r w:rsidRPr="00895D0A">
        <w:t xml:space="preserve">que el Decreto Ley </w:t>
      </w:r>
      <w:r w:rsidR="00AA5CC8">
        <w:t xml:space="preserve">núm. </w:t>
      </w:r>
      <w:r w:rsidRPr="00895D0A">
        <w:t xml:space="preserve">92/2014, </w:t>
      </w:r>
      <w:r w:rsidR="00D25A95">
        <w:t>promulgado como</w:t>
      </w:r>
      <w:r w:rsidRPr="00895D0A">
        <w:t xml:space="preserve"> ley el pasado mes de agosto de 2014, ha </w:t>
      </w:r>
      <w:r w:rsidR="00D25A95">
        <w:t>complementado</w:t>
      </w:r>
      <w:r w:rsidRPr="00895D0A">
        <w:t xml:space="preserve"> recientemente.</w:t>
      </w:r>
    </w:p>
    <w:p w:rsidR="00895D0A" w:rsidRDefault="00D25A95" w:rsidP="00C11C9E">
      <w:pPr>
        <w:pStyle w:val="SingleTxt"/>
        <w:numPr>
          <w:ilvl w:val="0"/>
          <w:numId w:val="15"/>
        </w:numPr>
        <w:tabs>
          <w:tab w:val="clear" w:pos="475"/>
          <w:tab w:val="num" w:pos="1742"/>
        </w:tabs>
        <w:suppressAutoHyphens w:val="0"/>
        <w:ind w:left="1267"/>
      </w:pPr>
      <w:r>
        <w:t>A este respecto</w:t>
      </w:r>
      <w:r w:rsidR="00895D0A" w:rsidRPr="00895D0A">
        <w:t xml:space="preserve">, en abril de 2008 el Departamento de Administración Penitenciaria informó a todos los establecimientos penitenciarios sobre el Protocolo de Estambul, también </w:t>
      </w:r>
      <w:r>
        <w:t>llamado</w:t>
      </w:r>
      <w:r w:rsidR="00895D0A" w:rsidRPr="00895D0A">
        <w:t xml:space="preserve"> Manual para la investigación y documentación eficaces de la tortura y otros tratos o penas crueles, inhumanos o degradantes, traducido al italiano por el </w:t>
      </w:r>
      <w:r w:rsidR="00895D0A" w:rsidRPr="009428BD">
        <w:t xml:space="preserve">Ufficio Studi e Ricerche Legislazione </w:t>
      </w:r>
      <w:r w:rsidR="00B71C6B" w:rsidRPr="009428BD">
        <w:t xml:space="preserve">e </w:t>
      </w:r>
      <w:r w:rsidR="00895D0A" w:rsidRPr="009428BD">
        <w:t>Rapporti Internazionali del Dipartimento</w:t>
      </w:r>
      <w:r w:rsidR="00895D0A" w:rsidRPr="00895D0A">
        <w:t xml:space="preserve"> (Oficina de Estudios, Investigación, Legislación y Relaciones Internacionales del Departamento). Más recientemente, el mismo Ministerio propuso la creación de un Garante Nacional de los Reclusos, figura que la Ley </w:t>
      </w:r>
      <w:r w:rsidR="00AA5CC8">
        <w:t xml:space="preserve">núm. </w:t>
      </w:r>
      <w:r w:rsidR="00895D0A" w:rsidRPr="00895D0A">
        <w:t>10/2014 recogió posteriormente.</w:t>
      </w:r>
    </w:p>
    <w:p w:rsidR="00D25A95" w:rsidRPr="00D25A95" w:rsidRDefault="00D25A95" w:rsidP="00D25A95">
      <w:pPr>
        <w:pStyle w:val="SingleTxt"/>
        <w:tabs>
          <w:tab w:val="clear" w:pos="1742"/>
        </w:tabs>
        <w:suppressAutoHyphens w:val="0"/>
        <w:spacing w:after="0" w:line="120" w:lineRule="exact"/>
        <w:rPr>
          <w:sz w:val="10"/>
        </w:rPr>
      </w:pPr>
    </w:p>
    <w:p w:rsidR="00D25A95" w:rsidRPr="00D25A95" w:rsidRDefault="00D25A95" w:rsidP="00D25A95">
      <w:pPr>
        <w:pStyle w:val="SingleTxt"/>
        <w:tabs>
          <w:tab w:val="clear" w:pos="1742"/>
        </w:tabs>
        <w:suppressAutoHyphens w:val="0"/>
        <w:spacing w:after="0" w:line="120" w:lineRule="exact"/>
        <w:rPr>
          <w:sz w:val="10"/>
        </w:rPr>
      </w:pPr>
    </w:p>
    <w:p w:rsidR="00895D0A" w:rsidRPr="00895D0A" w:rsidRDefault="00531400" w:rsidP="00531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895D0A" w:rsidRPr="00895D0A">
        <w:t>Derechos políticos y</w:t>
      </w:r>
    </w:p>
    <w:p w:rsidR="00531400" w:rsidRPr="00531400" w:rsidRDefault="00531400" w:rsidP="00531400">
      <w:pPr>
        <w:pStyle w:val="SingleTxt"/>
        <w:spacing w:after="0" w:line="120" w:lineRule="exact"/>
        <w:rPr>
          <w:b/>
          <w:sz w:val="10"/>
        </w:rPr>
      </w:pPr>
    </w:p>
    <w:p w:rsidR="00531400" w:rsidRPr="00531400" w:rsidRDefault="00531400" w:rsidP="00531400">
      <w:pPr>
        <w:pStyle w:val="SingleTxt"/>
        <w:spacing w:after="0" w:line="120" w:lineRule="exact"/>
        <w:rPr>
          <w:b/>
          <w:sz w:val="10"/>
        </w:rPr>
      </w:pPr>
    </w:p>
    <w:p w:rsidR="00895D0A" w:rsidRDefault="00895D0A" w:rsidP="005314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B.</w:t>
      </w:r>
      <w:r w:rsidR="00531400">
        <w:tab/>
      </w:r>
      <w:r w:rsidRPr="00895D0A">
        <w:t>Otros derechos civiles</w:t>
      </w:r>
    </w:p>
    <w:p w:rsidR="00531400" w:rsidRPr="00531400" w:rsidRDefault="00531400" w:rsidP="00531400">
      <w:pPr>
        <w:pStyle w:val="SingleTxt"/>
        <w:spacing w:after="0" w:line="120" w:lineRule="exact"/>
        <w:rPr>
          <w:b/>
          <w:sz w:val="10"/>
        </w:rPr>
      </w:pPr>
    </w:p>
    <w:p w:rsidR="00531400" w:rsidRPr="00531400" w:rsidRDefault="00531400" w:rsidP="00531400">
      <w:pPr>
        <w:pStyle w:val="SingleTxt"/>
        <w:spacing w:after="0" w:line="120" w:lineRule="exact"/>
        <w:rPr>
          <w:b/>
          <w:sz w:val="10"/>
        </w:rPr>
      </w:pPr>
    </w:p>
    <w:p w:rsidR="00895D0A" w:rsidRPr="00895D0A" w:rsidRDefault="00895D0A" w:rsidP="00531400">
      <w:pPr>
        <w:pStyle w:val="SingleTxt"/>
        <w:numPr>
          <w:ilvl w:val="0"/>
          <w:numId w:val="15"/>
        </w:numPr>
        <w:tabs>
          <w:tab w:val="clear" w:pos="475"/>
          <w:tab w:val="num" w:pos="1742"/>
        </w:tabs>
        <w:suppressAutoHyphens w:val="0"/>
        <w:ind w:left="1267"/>
      </w:pPr>
      <w:r w:rsidRPr="00895D0A">
        <w:t xml:space="preserve">En lo que se refiere a algunos </w:t>
      </w:r>
      <w:r w:rsidRPr="00895D0A">
        <w:rPr>
          <w:b/>
        </w:rPr>
        <w:t>derechos civiles</w:t>
      </w:r>
      <w:r w:rsidRPr="00895D0A">
        <w:t xml:space="preserve"> pertinentes, como el derecho a la libertad de circulación y residencia dentro de las fronteras del Estado, el derecho a salir de cualquier país, incluso del propio, y regresar a su propio país, el derecho a la nacionalidad, así como la participación activa en la vida pública y política, todos </w:t>
      </w:r>
      <w:r w:rsidR="00D25A95">
        <w:t xml:space="preserve">ellos </w:t>
      </w:r>
      <w:r w:rsidRPr="00895D0A">
        <w:t xml:space="preserve">se basan en la concesión de la nacionalidad, que en Italia se rige por la Ley </w:t>
      </w:r>
      <w:r w:rsidR="00AA5CC8">
        <w:t xml:space="preserve">núm. </w:t>
      </w:r>
      <w:r w:rsidRPr="00895D0A">
        <w:t xml:space="preserve">91, de 5 de febrero de 1992, y por los reglamentos que regulan su aplicación, concretamente el Decreto Presidencial </w:t>
      </w:r>
      <w:r w:rsidR="00B71C6B">
        <w:t xml:space="preserve">núm. </w:t>
      </w:r>
      <w:r w:rsidRPr="00895D0A">
        <w:t>572, de 12 de octubre de 1993, y el Decreto Presidencial</w:t>
      </w:r>
      <w:r w:rsidR="00B71C6B">
        <w:t xml:space="preserve"> núm.</w:t>
      </w:r>
      <w:r w:rsidRPr="00895D0A">
        <w:t xml:space="preserve"> 362, de 18 de abril de 1994.</w:t>
      </w:r>
    </w:p>
    <w:p w:rsidR="00895D0A" w:rsidRPr="00895D0A" w:rsidRDefault="00895D0A" w:rsidP="00531400">
      <w:pPr>
        <w:pStyle w:val="SingleTxt"/>
        <w:numPr>
          <w:ilvl w:val="0"/>
          <w:numId w:val="15"/>
        </w:numPr>
        <w:tabs>
          <w:tab w:val="clear" w:pos="475"/>
          <w:tab w:val="num" w:pos="1742"/>
        </w:tabs>
        <w:suppressAutoHyphens w:val="0"/>
        <w:ind w:left="1267"/>
      </w:pPr>
      <w:r w:rsidRPr="00895D0A">
        <w:t>La legislación sobre la nacional</w:t>
      </w:r>
      <w:r w:rsidR="00D25A95">
        <w:t>idad es aplicable a</w:t>
      </w:r>
      <w:r w:rsidRPr="00895D0A">
        <w:t xml:space="preserve"> las personas que nacieron con la nacionalidad italiana, la</w:t>
      </w:r>
      <w:r w:rsidR="00D25A95">
        <w:t xml:space="preserve"> perdieron y desean recuperarla,</w:t>
      </w:r>
      <w:r w:rsidRPr="00895D0A">
        <w:t xml:space="preserve"> los descendientes de ciudadanos italian</w:t>
      </w:r>
      <w:r w:rsidR="00D25A95">
        <w:t>os que reclamen la nacionalidad y</w:t>
      </w:r>
      <w:r w:rsidRPr="00895D0A">
        <w:t xml:space="preserve"> los extranjeros que soliciten la nacionalidad italiana.</w:t>
      </w:r>
    </w:p>
    <w:p w:rsidR="00895D0A" w:rsidRPr="00895D0A" w:rsidRDefault="00895D0A" w:rsidP="00531400">
      <w:pPr>
        <w:pStyle w:val="SingleTxt"/>
        <w:numPr>
          <w:ilvl w:val="0"/>
          <w:numId w:val="15"/>
        </w:numPr>
        <w:tabs>
          <w:tab w:val="clear" w:pos="475"/>
          <w:tab w:val="num" w:pos="1742"/>
        </w:tabs>
        <w:suppressAutoHyphens w:val="0"/>
        <w:ind w:left="1267"/>
      </w:pPr>
      <w:r w:rsidRPr="00895D0A">
        <w:t>La nacionalidad italiana se puede adq</w:t>
      </w:r>
      <w:r w:rsidR="00B71C6B">
        <w:t>uirir de las siguientes maneras.</w:t>
      </w:r>
    </w:p>
    <w:p w:rsidR="00531400" w:rsidRPr="00531400" w:rsidRDefault="00531400" w:rsidP="00531400">
      <w:pPr>
        <w:pStyle w:val="SingleTxt"/>
        <w:spacing w:after="0" w:line="120" w:lineRule="exact"/>
        <w:rPr>
          <w:b/>
          <w:sz w:val="10"/>
        </w:rPr>
      </w:pPr>
    </w:p>
    <w:p w:rsidR="00895D0A" w:rsidRPr="00895D0A" w:rsidRDefault="00531400" w:rsidP="00531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895D0A" w:rsidRPr="00895D0A">
        <w:t>Obtención automática</w:t>
      </w:r>
    </w:p>
    <w:p w:rsidR="00531400" w:rsidRPr="00531400" w:rsidRDefault="00531400" w:rsidP="00531400">
      <w:pPr>
        <w:pStyle w:val="SingleTxt"/>
        <w:spacing w:after="0" w:line="120" w:lineRule="exact"/>
        <w:rPr>
          <w:iCs/>
          <w:sz w:val="10"/>
        </w:rPr>
      </w:pP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 xml:space="preserve">La nacionalidad como consecuencia de </w:t>
      </w:r>
      <w:r w:rsidR="00D25A95">
        <w:rPr>
          <w:b/>
        </w:rPr>
        <w:t xml:space="preserve">tener </w:t>
      </w:r>
      <w:r w:rsidRPr="00895D0A">
        <w:rPr>
          <w:b/>
        </w:rPr>
        <w:t xml:space="preserve">progenitores o antepasados italianos </w:t>
      </w:r>
      <w:r w:rsidRPr="00D727F5">
        <w:rPr>
          <w:b/>
          <w:i/>
        </w:rPr>
        <w:t>(</w:t>
      </w:r>
      <w:r w:rsidR="00D25A95" w:rsidRPr="00D727F5">
        <w:rPr>
          <w:b/>
          <w:i/>
        </w:rPr>
        <w:t>ius</w:t>
      </w:r>
      <w:r w:rsidRPr="00D727F5">
        <w:rPr>
          <w:b/>
          <w:i/>
        </w:rPr>
        <w:t xml:space="preserve"> sanguinis)</w:t>
      </w:r>
      <w:r w:rsidRPr="00D727F5">
        <w:rPr>
          <w:b/>
        </w:rPr>
        <w:t>:</w:t>
      </w:r>
      <w:r w:rsidRPr="00895D0A">
        <w:t xml:space="preserve"> los hijos de padres italianos (madre o padre) que son ciudadanos italianos. La nacionalidad se transmite de padres a hijos sin limitación de generación, a condición de que ninguno de los antepasados haya renunciado en ningún momento a su nacionalidad.</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Determinación de la nacionalidad</w:t>
      </w:r>
      <w:r w:rsidRPr="00EE297F">
        <w:rPr>
          <w:b/>
        </w:rPr>
        <w:t>:</w:t>
      </w:r>
      <w:r w:rsidRPr="00895D0A">
        <w:t xml:space="preserve"> cuando una persona afirma tener padres o antepasados italianos, pero en los registros italianos no </w:t>
      </w:r>
      <w:r w:rsidR="00D727F5">
        <w:t>hay constancia</w:t>
      </w:r>
      <w:r w:rsidRPr="00895D0A">
        <w:t xml:space="preserve"> de ello, es necesario aportar pruebas de que todos los antepasados han mantenido y, por lo tanto, han transmitido la nacionalidad italiana. </w:t>
      </w:r>
      <w:r w:rsidR="00D727F5">
        <w:t>Cual sea la</w:t>
      </w:r>
      <w:r w:rsidRPr="00895D0A">
        <w:t xml:space="preserve"> autoridad </w:t>
      </w:r>
      <w:r w:rsidR="00D727F5">
        <w:t>jurídicamente</w:t>
      </w:r>
      <w:r w:rsidRPr="00895D0A">
        <w:t xml:space="preserve"> competente para determinar estos hechos depende del lugar de residencia de la persona: para los residentes extranjeros, es la misión diplomática o consular en el país de residencia; para los residentes en Italia, la oficina </w:t>
      </w:r>
      <w:r w:rsidR="00D727F5">
        <w:t xml:space="preserve">oficial </w:t>
      </w:r>
      <w:r w:rsidRPr="00895D0A">
        <w:t>de estadística (Anagrafe) de la ciudad de residencia.</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 xml:space="preserve">La nacionalidad concedida a las personas nacidas en suelo italiano </w:t>
      </w:r>
      <w:r w:rsidRPr="00D727F5">
        <w:rPr>
          <w:b/>
          <w:i/>
        </w:rPr>
        <w:t>(</w:t>
      </w:r>
      <w:r w:rsidR="00D727F5" w:rsidRPr="00D727F5">
        <w:rPr>
          <w:b/>
          <w:i/>
        </w:rPr>
        <w:t>ius</w:t>
      </w:r>
      <w:r w:rsidRPr="00D727F5">
        <w:rPr>
          <w:b/>
          <w:i/>
        </w:rPr>
        <w:t xml:space="preserve"> soli)</w:t>
      </w:r>
      <w:r w:rsidRPr="00D727F5">
        <w:rPr>
          <w:b/>
        </w:rPr>
        <w:t>:</w:t>
      </w:r>
      <w:r w:rsidRPr="00895D0A">
        <w:t xml:space="preserve"> la nacionalidad italiana se concede a las personas nacidas en suelo italiano </w:t>
      </w:r>
      <w:r w:rsidR="00D727F5">
        <w:t>que sean hijas de</w:t>
      </w:r>
      <w:r w:rsidRPr="00895D0A">
        <w:t xml:space="preserve"> padres desconocidos o apátridas, o no puedan transmitir </w:t>
      </w:r>
      <w:r w:rsidR="00D727F5">
        <w:t>la</w:t>
      </w:r>
      <w:r w:rsidRPr="00895D0A">
        <w:t xml:space="preserve"> nacionalidad a sus hijos de conformidad con la legislación del Estado del que son nacionales, o a aquellas personas de padres desconocidos que se encuentren en suelo italiano y cuya nacionalidad natural no se pueda determinar.</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 xml:space="preserve">La nacionalidad </w:t>
      </w:r>
      <w:r w:rsidR="00D727F5">
        <w:rPr>
          <w:b/>
        </w:rPr>
        <w:t>por</w:t>
      </w:r>
      <w:r w:rsidRPr="00895D0A">
        <w:rPr>
          <w:b/>
        </w:rPr>
        <w:t xml:space="preserve"> decisión judicial sobre la paternidad o maternidad natural</w:t>
      </w:r>
      <w:r w:rsidRPr="00D727F5">
        <w:rPr>
          <w:b/>
        </w:rPr>
        <w:t>:</w:t>
      </w:r>
      <w:r w:rsidRPr="00895D0A">
        <w:t xml:space="preserve"> reconocimiento o declaración de la filiación italiana de un hijo cuando todavía es menor de edad. </w:t>
      </w:r>
      <w:r w:rsidR="00D727F5">
        <w:t>Las personas mayores de edad</w:t>
      </w:r>
      <w:r w:rsidRPr="00895D0A">
        <w:t xml:space="preserve"> </w:t>
      </w:r>
      <w:r w:rsidR="00D727F5">
        <w:t>reconocidas o declaradas como tales deben optar a</w:t>
      </w:r>
      <w:r w:rsidRPr="00895D0A">
        <w:t xml:space="preserve"> la nacionalidad</w:t>
      </w:r>
      <w:r w:rsidR="00D727F5">
        <w:t xml:space="preserve"> dentro del año siguiente al reconocimiento</w:t>
      </w:r>
      <w:r w:rsidRPr="00895D0A">
        <w:t xml:space="preserve">. La declaración debe ir acompañada de la siguiente documentación: un certificado de nacimiento; un acto de reconocimiento o una copia </w:t>
      </w:r>
      <w:r w:rsidR="00B71C6B">
        <w:t xml:space="preserve">autenticada </w:t>
      </w:r>
      <w:r w:rsidRPr="00895D0A">
        <w:t xml:space="preserve">de la sentencia de paternidad o maternidad, una copia </w:t>
      </w:r>
      <w:r w:rsidR="00D727F5">
        <w:t>autenticada</w:t>
      </w:r>
      <w:r w:rsidRPr="00895D0A">
        <w:t xml:space="preserve"> de la sentencia que declare</w:t>
      </w:r>
      <w:r w:rsidR="00D727F5">
        <w:t xml:space="preserve"> que</w:t>
      </w:r>
      <w:r w:rsidRPr="00895D0A">
        <w:t xml:space="preserve"> una decisión extranjera</w:t>
      </w:r>
      <w:r w:rsidR="00D727F5">
        <w:t xml:space="preserve"> es</w:t>
      </w:r>
      <w:r w:rsidRPr="00895D0A">
        <w:t xml:space="preserve"> vinculante en Italia o una copia </w:t>
      </w:r>
      <w:r w:rsidR="00D727F5">
        <w:t>autenticada</w:t>
      </w:r>
      <w:r w:rsidRPr="00895D0A">
        <w:t xml:space="preserve"> de la sentencia que reconoce el derecho a </w:t>
      </w:r>
      <w:r w:rsidR="00D727F5">
        <w:t xml:space="preserve">recibir </w:t>
      </w:r>
      <w:r w:rsidRPr="00895D0A">
        <w:t xml:space="preserve">una pensión por alimentos o </w:t>
      </w:r>
      <w:r w:rsidR="006331F0">
        <w:t>por hijos a cargo, y</w:t>
      </w:r>
      <w:r w:rsidRPr="00895D0A">
        <w:t xml:space="preserve"> una certifica</w:t>
      </w:r>
      <w:r w:rsidR="006331F0">
        <w:t>ción de la nacionalidad de uno</w:t>
      </w:r>
      <w:r w:rsidRPr="00895D0A">
        <w:t xml:space="preserve"> de los progenitores</w:t>
      </w:r>
      <w:r w:rsidR="006331F0">
        <w:t xml:space="preserve"> o de los dos.</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Nacionalidad por adopción</w:t>
      </w:r>
      <w:r w:rsidRPr="006331F0">
        <w:rPr>
          <w:b/>
        </w:rPr>
        <w:t>:</w:t>
      </w:r>
      <w:r w:rsidRPr="00895D0A">
        <w:t xml:space="preserve"> el derecho a la nacionalidad se aplica a cualquier niño menor de edad adoptado por un ciudadano italiano de conformidad con lo dispuesto por las autoridades judiciales italianas, o en el caso de adopción en el extranjero validada en Italia de conformidad con una orden </w:t>
      </w:r>
      <w:r w:rsidR="006331F0">
        <w:t>del</w:t>
      </w:r>
      <w:r w:rsidRPr="00895D0A">
        <w:t xml:space="preserve"> Tribunal de Menores para la inscripción en una oficina </w:t>
      </w:r>
      <w:r w:rsidR="006331F0" w:rsidRPr="00895D0A">
        <w:t xml:space="preserve">oficial </w:t>
      </w:r>
      <w:r w:rsidRPr="00895D0A">
        <w:t xml:space="preserve">de estadística de Italia (Anagrafe). Los mayores de edad </w:t>
      </w:r>
      <w:r w:rsidR="006331F0" w:rsidRPr="00895D0A">
        <w:t xml:space="preserve">adoptados </w:t>
      </w:r>
      <w:r w:rsidRPr="00895D0A">
        <w:t xml:space="preserve">pueden obtener la nacionalidad </w:t>
      </w:r>
      <w:r w:rsidR="006331F0">
        <w:t>después de</w:t>
      </w:r>
      <w:r w:rsidRPr="00895D0A">
        <w:t xml:space="preserve"> transcurridos cinco años de residencia legal en Italia tras la adopción (véase </w:t>
      </w:r>
      <w:r w:rsidR="00DD1A63">
        <w:t>“</w:t>
      </w:r>
      <w:r w:rsidRPr="00895D0A">
        <w:t>naturalización</w:t>
      </w:r>
      <w:r w:rsidR="00DD1A63">
        <w:t>”</w:t>
      </w:r>
      <w:r w:rsidRPr="00895D0A">
        <w:t>).</w:t>
      </w:r>
    </w:p>
    <w:p w:rsidR="00895D0A" w:rsidRDefault="00895D0A" w:rsidP="00443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b)</w:t>
      </w:r>
      <w:r w:rsidR="00531400">
        <w:tab/>
      </w:r>
      <w:r w:rsidR="006331F0">
        <w:t>Obtención</w:t>
      </w:r>
      <w:r w:rsidRPr="00895D0A">
        <w:t xml:space="preserve"> por reclamación</w:t>
      </w:r>
    </w:p>
    <w:p w:rsidR="00531400" w:rsidRPr="00531400" w:rsidRDefault="00531400" w:rsidP="00443569">
      <w:pPr>
        <w:pStyle w:val="SingleTxt"/>
        <w:keepNext/>
        <w:keepLines/>
        <w:spacing w:after="0" w:line="120" w:lineRule="exact"/>
        <w:rPr>
          <w:b/>
          <w:sz w:val="10"/>
        </w:rPr>
      </w:pPr>
    </w:p>
    <w:p w:rsidR="00895D0A" w:rsidRPr="00895D0A" w:rsidRDefault="006331F0" w:rsidP="00531400">
      <w:pPr>
        <w:pStyle w:val="SingleTxt"/>
        <w:numPr>
          <w:ilvl w:val="0"/>
          <w:numId w:val="15"/>
        </w:numPr>
        <w:tabs>
          <w:tab w:val="clear" w:pos="475"/>
          <w:tab w:val="num" w:pos="1742"/>
        </w:tabs>
        <w:suppressAutoHyphens w:val="0"/>
        <w:ind w:left="1267"/>
      </w:pPr>
      <w:r>
        <w:rPr>
          <w:b/>
        </w:rPr>
        <w:t>D</w:t>
      </w:r>
      <w:r w:rsidR="00895D0A" w:rsidRPr="00895D0A">
        <w:rPr>
          <w:b/>
        </w:rPr>
        <w:t>escendientes extranjeros de italianos hasta el segundo grado o nacidos en Italia</w:t>
      </w:r>
      <w:r w:rsidR="00895D0A" w:rsidRPr="006331F0">
        <w:rPr>
          <w:b/>
        </w:rPr>
        <w:t>:</w:t>
      </w:r>
      <w:r w:rsidR="00895D0A" w:rsidRPr="00895D0A">
        <w:t xml:space="preserve"> </w:t>
      </w:r>
      <w:r>
        <w:t xml:space="preserve">los </w:t>
      </w:r>
      <w:r w:rsidR="00895D0A" w:rsidRPr="00895D0A">
        <w:t>descendientes extranjeros o apátridas (hasta</w:t>
      </w:r>
      <w:r>
        <w:t xml:space="preserve"> el</w:t>
      </w:r>
      <w:r w:rsidR="00895D0A" w:rsidRPr="00895D0A">
        <w:t xml:space="preserve"> segundo grado) de ciudadanos italianos pueden solicitar la nacionalidad. Entre los requisitos para ello figuran uno o varios de los indicados a continuación: haber serv</w:t>
      </w:r>
      <w:r>
        <w:t>ido</w:t>
      </w:r>
      <w:r w:rsidR="00895D0A" w:rsidRPr="00895D0A">
        <w:t xml:space="preserve"> en las fuerzas armadas italianas; haber estado empleado por el Gobierno de I</w:t>
      </w:r>
      <w:r>
        <w:t>talia, incluso en el extranjero, o</w:t>
      </w:r>
      <w:r w:rsidR="00895D0A" w:rsidRPr="00895D0A">
        <w:t xml:space="preserve"> haber residido en Italia durante al menos 2 años antes de alcanza</w:t>
      </w:r>
      <w:r>
        <w:t>r</w:t>
      </w:r>
      <w:r w:rsidR="00895D0A" w:rsidRPr="00895D0A">
        <w:t xml:space="preserve"> la mayoría de edad de 18 años. Las solicitudes deberán ir acompañadas de los siguientes documentos: un certificado de nacimiento; un certificado de nacionalidad italiana de la madre, el padre o el antepasado directo hasta</w:t>
      </w:r>
      <w:r>
        <w:t xml:space="preserve"> el</w:t>
      </w:r>
      <w:r w:rsidR="00895D0A" w:rsidRPr="00895D0A">
        <w:t xml:space="preserve"> segundo grado</w:t>
      </w:r>
      <w:r>
        <w:t xml:space="preserve"> y</w:t>
      </w:r>
      <w:r w:rsidR="00895D0A" w:rsidRPr="00895D0A">
        <w:t xml:space="preserve"> un certificado de residencia, </w:t>
      </w:r>
      <w:r>
        <w:t>si se requiere</w:t>
      </w:r>
      <w:r w:rsidR="00895D0A" w:rsidRPr="00895D0A">
        <w:t>.</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Los extranjeros, incluso los de origen no italiano, nacidos en suelo italiano</w:t>
      </w:r>
      <w:r w:rsidRPr="00895D0A">
        <w:t xml:space="preserve"> pueden solicitar la nacionalidad italiana </w:t>
      </w:r>
      <w:r w:rsidR="006331F0">
        <w:t>si han</w:t>
      </w:r>
      <w:r w:rsidRPr="00895D0A">
        <w:t xml:space="preserve"> residido legalmente de manera continuada en Italia hasta cumplir la mayoría de edad, y </w:t>
      </w:r>
      <w:r w:rsidR="006331F0">
        <w:t>han</w:t>
      </w:r>
      <w:r w:rsidRPr="00895D0A">
        <w:t xml:space="preserve"> declarado su deseo </w:t>
      </w:r>
      <w:r w:rsidR="006331F0">
        <w:t>de obtenerla</w:t>
      </w:r>
      <w:r w:rsidRPr="00895D0A">
        <w:t>. Es</w:t>
      </w:r>
      <w:r w:rsidR="006331F0">
        <w:t>t</w:t>
      </w:r>
      <w:r w:rsidRPr="00895D0A">
        <w:t xml:space="preserve">a declaración, que deberá presentarse </w:t>
      </w:r>
      <w:r w:rsidR="006331F0">
        <w:t>dentro del año siguiente a la fecha en que se hayan cumplido</w:t>
      </w:r>
      <w:r w:rsidRPr="00895D0A">
        <w:t xml:space="preserve"> los 18 años</w:t>
      </w:r>
      <w:r w:rsidR="006331F0">
        <w:t xml:space="preserve"> de edad</w:t>
      </w:r>
      <w:r w:rsidRPr="00895D0A">
        <w:t>, debe ir acompañada de los siguientes documento</w:t>
      </w:r>
      <w:r w:rsidR="006331F0">
        <w:t>s: un certificado de nacimiento y</w:t>
      </w:r>
      <w:r w:rsidRPr="00895D0A">
        <w:t xml:space="preserve"> un certificado de residencia.</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La nacionalidad por matrimonio con un ciudadano italiano:</w:t>
      </w:r>
      <w:r w:rsidRPr="00895D0A">
        <w:t xml:space="preserve"> el cónyuge extranjero de un ciudadano italiano puede solicitar la nacionalidad italiana siempre que se cumplan los siguientes requisitos:</w:t>
      </w:r>
    </w:p>
    <w:p w:rsidR="00895D0A" w:rsidRPr="00895D0A" w:rsidRDefault="00531400" w:rsidP="00895D0A">
      <w:pPr>
        <w:pStyle w:val="SingleTxt"/>
      </w:pPr>
      <w:r>
        <w:tab/>
      </w:r>
      <w:r w:rsidR="00895D0A" w:rsidRPr="00895D0A">
        <w:t>a)</w:t>
      </w:r>
      <w:r>
        <w:tab/>
      </w:r>
      <w:r w:rsidR="00895D0A" w:rsidRPr="00895D0A">
        <w:t xml:space="preserve">En Italia: dos años de residencia legal (permiso de residencia e inscripción en una oficina </w:t>
      </w:r>
      <w:r w:rsidR="006331F0" w:rsidRPr="00895D0A">
        <w:t xml:space="preserve">oficial </w:t>
      </w:r>
      <w:r w:rsidR="00895D0A" w:rsidRPr="00895D0A">
        <w:t>de estadística (Anagrafe)) después de</w:t>
      </w:r>
      <w:r w:rsidR="00B71C6B">
        <w:t xml:space="preserve"> la celebración del matrimonio. E</w:t>
      </w:r>
      <w:r w:rsidR="00895D0A" w:rsidRPr="00895D0A">
        <w:t>n el extranjero: tres años después d</w:t>
      </w:r>
      <w:r w:rsidR="00F32482">
        <w:t>e la celebración del matrimonio.</w:t>
      </w:r>
      <w:r w:rsidR="00895D0A" w:rsidRPr="00895D0A">
        <w:t xml:space="preserve"> </w:t>
      </w:r>
      <w:r w:rsidR="00F32482" w:rsidRPr="00895D0A">
        <w:t xml:space="preserve">Los </w:t>
      </w:r>
      <w:r w:rsidR="00895D0A" w:rsidRPr="00895D0A">
        <w:t>plazos se reducen a la mitad si los cónyuges tie</w:t>
      </w:r>
      <w:r w:rsidR="00443569">
        <w:t>nen hijos naturales o adoptados.</w:t>
      </w:r>
    </w:p>
    <w:p w:rsidR="00895D0A" w:rsidRPr="00895D0A" w:rsidRDefault="00531400" w:rsidP="00895D0A">
      <w:pPr>
        <w:pStyle w:val="SingleTxt"/>
      </w:pPr>
      <w:r>
        <w:tab/>
      </w:r>
      <w:r w:rsidR="00895D0A" w:rsidRPr="00895D0A">
        <w:t>b)</w:t>
      </w:r>
      <w:r>
        <w:tab/>
      </w:r>
      <w:r w:rsidR="00895D0A" w:rsidRPr="00895D0A">
        <w:t xml:space="preserve">Certificado de matrimonio válido y </w:t>
      </w:r>
      <w:r w:rsidR="00F32482">
        <w:t>persistencia</w:t>
      </w:r>
      <w:r w:rsidR="00895D0A" w:rsidRPr="00895D0A">
        <w:t xml:space="preserve"> del vínculo matrimonial hasta la </w:t>
      </w:r>
      <w:r w:rsidR="00F32482">
        <w:t>concesión</w:t>
      </w:r>
      <w:r w:rsidR="00443569">
        <w:t xml:space="preserve"> de la nacionalidad.</w:t>
      </w:r>
    </w:p>
    <w:p w:rsidR="00895D0A" w:rsidRPr="00895D0A" w:rsidRDefault="00531400" w:rsidP="00895D0A">
      <w:pPr>
        <w:pStyle w:val="SingleTxt"/>
      </w:pPr>
      <w:r>
        <w:tab/>
      </w:r>
      <w:r w:rsidR="00895D0A" w:rsidRPr="00895D0A">
        <w:t>c)</w:t>
      </w:r>
      <w:r>
        <w:tab/>
      </w:r>
      <w:r w:rsidR="00F32482">
        <w:t>No haber sido condenado</w:t>
      </w:r>
      <w:r w:rsidR="00895D0A" w:rsidRPr="00895D0A">
        <w:t xml:space="preserve"> por delitos sancionados con penas de hasta tres años de prisión o condenas dictadas por una autoridad judicial extranjera de má</w:t>
      </w:r>
      <w:r w:rsidR="00443569">
        <w:t>s de un año por delitos comunes.</w:t>
      </w:r>
    </w:p>
    <w:p w:rsidR="00895D0A" w:rsidRPr="00895D0A" w:rsidRDefault="00531400" w:rsidP="00895D0A">
      <w:pPr>
        <w:pStyle w:val="SingleTxt"/>
      </w:pPr>
      <w:r>
        <w:tab/>
      </w:r>
      <w:r w:rsidR="00895D0A" w:rsidRPr="00895D0A">
        <w:t>d)</w:t>
      </w:r>
      <w:r>
        <w:tab/>
      </w:r>
      <w:r w:rsidR="00F32482">
        <w:t>No haber sido condenado</w:t>
      </w:r>
      <w:r w:rsidR="00895D0A" w:rsidRPr="00895D0A">
        <w:t xml:space="preserve"> por cualesquiera de los delitos a que hace referencia el libro 2, título I, capítulos I, II y III del Código Penal (delitos co</w:t>
      </w:r>
      <w:r w:rsidR="00443569">
        <w:t>ntra los funcionarios públicos).</w:t>
      </w:r>
    </w:p>
    <w:p w:rsidR="00895D0A" w:rsidRPr="00895D0A" w:rsidRDefault="00531400" w:rsidP="00895D0A">
      <w:pPr>
        <w:pStyle w:val="SingleTxt"/>
      </w:pPr>
      <w:r>
        <w:tab/>
      </w:r>
      <w:r w:rsidR="00895D0A" w:rsidRPr="00895D0A">
        <w:t>e)</w:t>
      </w:r>
      <w:r>
        <w:tab/>
      </w:r>
      <w:r w:rsidR="00F32482">
        <w:t>No haber</w:t>
      </w:r>
      <w:r w:rsidR="00895D0A" w:rsidRPr="00895D0A">
        <w:t xml:space="preserve"> obstáculos relacionados con la seguridad de la República.</w:t>
      </w:r>
    </w:p>
    <w:p w:rsidR="00895D0A" w:rsidRDefault="00895D0A" w:rsidP="00531400">
      <w:pPr>
        <w:pStyle w:val="SingleTxt"/>
        <w:numPr>
          <w:ilvl w:val="0"/>
          <w:numId w:val="15"/>
        </w:numPr>
        <w:tabs>
          <w:tab w:val="clear" w:pos="475"/>
          <w:tab w:val="num" w:pos="1742"/>
        </w:tabs>
        <w:suppressAutoHyphens w:val="0"/>
        <w:ind w:left="1267"/>
      </w:pPr>
      <w:r w:rsidRPr="00895D0A">
        <w:t xml:space="preserve">En caso de residir en Italia, las solicitudes de nacionalidad italiana dirigidas al Ministerio del Interior deben presentarse en la prefectura de la provincia </w:t>
      </w:r>
      <w:r w:rsidR="00F32482">
        <w:t>en que se</w:t>
      </w:r>
      <w:r w:rsidRPr="00895D0A">
        <w:t xml:space="preserve"> resida; en caso de residir en el extranjero, debe</w:t>
      </w:r>
      <w:r w:rsidR="00F32482">
        <w:t>rá</w:t>
      </w:r>
      <w:r w:rsidRPr="00895D0A">
        <w:t xml:space="preserve">n presentarse en la misión diplomática o consular. </w:t>
      </w:r>
      <w:r w:rsidR="00F32482">
        <w:t>L</w:t>
      </w:r>
      <w:r w:rsidRPr="00895D0A">
        <w:t xml:space="preserve">as solicitudes deben </w:t>
      </w:r>
      <w:r w:rsidR="00F32482">
        <w:t>indicar</w:t>
      </w:r>
      <w:r w:rsidRPr="00895D0A">
        <w:t xml:space="preserve"> los motivos por los que se reclama el derecho a la nacionalidad italiana y </w:t>
      </w:r>
      <w:r w:rsidR="00F32482">
        <w:t>han de</w:t>
      </w:r>
      <w:r w:rsidRPr="00895D0A">
        <w:t xml:space="preserve"> ir acompañadas de la documentación </w:t>
      </w:r>
      <w:r w:rsidR="00F32482">
        <w:t>correspondiente</w:t>
      </w:r>
      <w:r w:rsidRPr="00895D0A">
        <w:t>, debidamente legalizada y traducida. De conformidad con lo dispuesto en la Directiva del Ministerio del Interior de 7 de marzo de 2012, a partir de junio de 2012 las autoridades competentes para conceder la nacionalidad son: el prefecto</w:t>
      </w:r>
      <w:r w:rsidR="00F32482">
        <w:t>,</w:t>
      </w:r>
      <w:r w:rsidRPr="00895D0A">
        <w:t xml:space="preserve"> para las solicitudes presentadas por extranjeros que residan legalmente en Italia; el Jefe del Departamento </w:t>
      </w:r>
      <w:r w:rsidR="00F32482">
        <w:t>de</w:t>
      </w:r>
      <w:r w:rsidRPr="00895D0A">
        <w:t xml:space="preserve"> las Libertades Civiles y la Inmigración</w:t>
      </w:r>
      <w:r w:rsidR="00F32482">
        <w:t>,</w:t>
      </w:r>
      <w:r w:rsidRPr="00895D0A">
        <w:t xml:space="preserve"> en el caso de un cónyuge extranjero</w:t>
      </w:r>
      <w:r w:rsidR="00F32482">
        <w:t xml:space="preserve"> que resida en el extranjero,</w:t>
      </w:r>
      <w:r w:rsidRPr="00895D0A">
        <w:t xml:space="preserve"> y el Ministro del Interior </w:t>
      </w:r>
      <w:r w:rsidR="00F32482">
        <w:t>cuando haya</w:t>
      </w:r>
      <w:r w:rsidRPr="00895D0A">
        <w:t xml:space="preserve"> motivos relacionados con la seguridad de la República.</w:t>
      </w:r>
    </w:p>
    <w:p w:rsidR="00895D0A" w:rsidRDefault="00895D0A" w:rsidP="00443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c)</w:t>
      </w:r>
      <w:r w:rsidR="00531400">
        <w:tab/>
      </w:r>
      <w:r w:rsidRPr="00895D0A">
        <w:t>Naturalización</w:t>
      </w:r>
    </w:p>
    <w:p w:rsidR="00531400" w:rsidRPr="00531400" w:rsidRDefault="00531400" w:rsidP="00443569">
      <w:pPr>
        <w:pStyle w:val="SingleTxt"/>
        <w:keepNext/>
        <w:keepLines/>
        <w:spacing w:after="0" w:line="120" w:lineRule="exact"/>
        <w:rPr>
          <w:b/>
          <w:sz w:val="10"/>
        </w:rPr>
      </w:pPr>
    </w:p>
    <w:p w:rsidR="00895D0A" w:rsidRPr="00895D0A" w:rsidRDefault="00F32482" w:rsidP="00443569">
      <w:pPr>
        <w:pStyle w:val="SingleTxt"/>
        <w:keepNext/>
        <w:keepLines/>
        <w:numPr>
          <w:ilvl w:val="0"/>
          <w:numId w:val="15"/>
        </w:numPr>
        <w:tabs>
          <w:tab w:val="clear" w:pos="475"/>
          <w:tab w:val="num" w:pos="1742"/>
        </w:tabs>
        <w:suppressAutoHyphens w:val="0"/>
        <w:ind w:left="1267"/>
      </w:pPr>
      <w:r>
        <w:t>El plazo prescrito de residencia legal en Italia es de</w:t>
      </w:r>
      <w:r w:rsidR="00895D0A" w:rsidRPr="00895D0A">
        <w:t>:</w:t>
      </w:r>
    </w:p>
    <w:p w:rsidR="00895D0A" w:rsidRPr="00895D0A" w:rsidRDefault="00895D0A" w:rsidP="00531400">
      <w:pPr>
        <w:pStyle w:val="Bullet1"/>
      </w:pPr>
      <w:r w:rsidRPr="00895D0A">
        <w:rPr>
          <w:b/>
        </w:rPr>
        <w:t>Tres años</w:t>
      </w:r>
      <w:r w:rsidRPr="00895D0A">
        <w:t xml:space="preserve"> para los descendientes de </w:t>
      </w:r>
      <w:r w:rsidR="00F32482">
        <w:t>ex</w:t>
      </w:r>
      <w:r w:rsidRPr="00895D0A">
        <w:t xml:space="preserve">ciudadanos italianos hasta </w:t>
      </w:r>
      <w:r w:rsidR="00F32482">
        <w:t xml:space="preserve">el </w:t>
      </w:r>
      <w:r w:rsidRPr="00895D0A">
        <w:t>segundo grado y para los extranjeros nacidos en suelo italiano;</w:t>
      </w:r>
    </w:p>
    <w:p w:rsidR="00895D0A" w:rsidRPr="00895D0A" w:rsidRDefault="00895D0A" w:rsidP="00531400">
      <w:pPr>
        <w:pStyle w:val="Bullet1"/>
      </w:pPr>
      <w:r w:rsidRPr="00895D0A">
        <w:rPr>
          <w:b/>
        </w:rPr>
        <w:t>Cuatro años</w:t>
      </w:r>
      <w:r w:rsidRPr="00895D0A">
        <w:t xml:space="preserve"> para los ciudadanos de un país de la Unión Europea;</w:t>
      </w:r>
    </w:p>
    <w:p w:rsidR="00895D0A" w:rsidRPr="00895D0A" w:rsidRDefault="00895D0A" w:rsidP="00531400">
      <w:pPr>
        <w:pStyle w:val="Bullet1"/>
      </w:pPr>
      <w:r w:rsidRPr="00895D0A">
        <w:rPr>
          <w:b/>
        </w:rPr>
        <w:t>Cinco años</w:t>
      </w:r>
      <w:r w:rsidRPr="00895D0A">
        <w:t xml:space="preserve"> para las personas apátridas y los refugiados, así como para los </w:t>
      </w:r>
      <w:r w:rsidR="009758CC" w:rsidRPr="00895D0A">
        <w:t xml:space="preserve">extranjeros </w:t>
      </w:r>
      <w:r w:rsidRPr="00895D0A">
        <w:t>adultos de más de 18 años de edad adoptados por ciudadanos italianos;</w:t>
      </w:r>
    </w:p>
    <w:p w:rsidR="00895D0A" w:rsidRPr="00895D0A" w:rsidRDefault="00895D0A" w:rsidP="00531400">
      <w:pPr>
        <w:pStyle w:val="Bullet1"/>
      </w:pPr>
      <w:r w:rsidRPr="00895D0A">
        <w:rPr>
          <w:b/>
        </w:rPr>
        <w:t>Siete años</w:t>
      </w:r>
      <w:r w:rsidRPr="00895D0A">
        <w:t xml:space="preserve"> para los niños adoptados por ciudadanos italianos antes de la entrada en vigor de la Ley </w:t>
      </w:r>
      <w:r w:rsidR="00AA5CC8">
        <w:t xml:space="preserve">núm. </w:t>
      </w:r>
      <w:r w:rsidRPr="00895D0A">
        <w:t>184/1983;</w:t>
      </w:r>
    </w:p>
    <w:p w:rsidR="00895D0A" w:rsidRPr="00895D0A" w:rsidRDefault="00895D0A" w:rsidP="00531400">
      <w:pPr>
        <w:pStyle w:val="Bullet1"/>
      </w:pPr>
      <w:r w:rsidRPr="00895D0A">
        <w:rPr>
          <w:b/>
        </w:rPr>
        <w:t>Diez años</w:t>
      </w:r>
      <w:r w:rsidRPr="00895D0A">
        <w:t xml:space="preserve"> </w:t>
      </w:r>
      <w:r w:rsidR="009758CC">
        <w:t>para las personas que no sean</w:t>
      </w:r>
      <w:r w:rsidRPr="00895D0A">
        <w:t xml:space="preserve"> ciudadanos </w:t>
      </w:r>
      <w:r w:rsidR="009758CC">
        <w:t>de</w:t>
      </w:r>
      <w:r w:rsidRPr="00895D0A">
        <w:t xml:space="preserve"> la Unión Europea.</w:t>
      </w:r>
    </w:p>
    <w:p w:rsidR="00895D0A" w:rsidRPr="00895D0A" w:rsidRDefault="00895D0A" w:rsidP="00531400">
      <w:pPr>
        <w:pStyle w:val="SingleTxt"/>
        <w:numPr>
          <w:ilvl w:val="0"/>
          <w:numId w:val="15"/>
        </w:numPr>
        <w:tabs>
          <w:tab w:val="clear" w:pos="475"/>
          <w:tab w:val="num" w:pos="1742"/>
        </w:tabs>
        <w:suppressAutoHyphens w:val="0"/>
        <w:ind w:left="1267"/>
      </w:pPr>
      <w:r w:rsidRPr="00895D0A">
        <w:t xml:space="preserve">No se requiere un período de residencia legal para los extranjeros que hayan prestado sus servicios a la República Italiana durante un período de al menos cinco años, </w:t>
      </w:r>
      <w:r w:rsidR="009758CC">
        <w:t>incluso</w:t>
      </w:r>
      <w:r w:rsidRPr="00895D0A">
        <w:t xml:space="preserve"> en el extranjero.</w:t>
      </w:r>
    </w:p>
    <w:p w:rsidR="00895D0A" w:rsidRPr="00895D0A" w:rsidRDefault="00895D0A" w:rsidP="00531400">
      <w:pPr>
        <w:pStyle w:val="SingleTxt"/>
        <w:numPr>
          <w:ilvl w:val="0"/>
          <w:numId w:val="15"/>
        </w:numPr>
        <w:tabs>
          <w:tab w:val="clear" w:pos="475"/>
          <w:tab w:val="num" w:pos="1742"/>
        </w:tabs>
        <w:suppressAutoHyphens w:val="0"/>
        <w:ind w:left="1267"/>
      </w:pPr>
      <w:r w:rsidRPr="00895D0A">
        <w:t xml:space="preserve">Las solicitudes de nacionalidad dirigidas al </w:t>
      </w:r>
      <w:r w:rsidRPr="00895D0A">
        <w:rPr>
          <w:b/>
        </w:rPr>
        <w:t>Presidente de la República</w:t>
      </w:r>
      <w:r w:rsidRPr="00895D0A">
        <w:t xml:space="preserve"> deben presentarse en la prefectura de la provincia de residencia, acompañadas de la documentación</w:t>
      </w:r>
      <w:r w:rsidR="00CA1639">
        <w:t xml:space="preserve"> correspondiente</w:t>
      </w:r>
      <w:r w:rsidRPr="00895D0A">
        <w:t>.</w:t>
      </w:r>
    </w:p>
    <w:p w:rsidR="00531400" w:rsidRPr="00531400" w:rsidRDefault="00531400" w:rsidP="00531400">
      <w:pPr>
        <w:pStyle w:val="SingleTxt"/>
        <w:spacing w:after="0" w:line="120" w:lineRule="exact"/>
        <w:rPr>
          <w:b/>
          <w:sz w:val="10"/>
        </w:rPr>
      </w:pPr>
    </w:p>
    <w:p w:rsidR="00895D0A" w:rsidRDefault="00895D0A" w:rsidP="00531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d)</w:t>
      </w:r>
      <w:r w:rsidR="00531400">
        <w:tab/>
      </w:r>
      <w:r w:rsidRPr="00895D0A">
        <w:t>Concesión de la nacionalidad italiana en virtud de leyes especiales</w:t>
      </w:r>
    </w:p>
    <w:p w:rsidR="00531400" w:rsidRPr="00531400" w:rsidRDefault="00531400" w:rsidP="00531400">
      <w:pPr>
        <w:pStyle w:val="SingleTxt"/>
        <w:spacing w:after="0" w:line="120" w:lineRule="exact"/>
        <w:rPr>
          <w:b/>
          <w:sz w:val="10"/>
        </w:rPr>
      </w:pPr>
    </w:p>
    <w:p w:rsidR="00895D0A" w:rsidRPr="00895D0A" w:rsidRDefault="00895D0A" w:rsidP="00531400">
      <w:pPr>
        <w:pStyle w:val="SingleTxt"/>
        <w:numPr>
          <w:ilvl w:val="0"/>
          <w:numId w:val="15"/>
        </w:numPr>
        <w:tabs>
          <w:tab w:val="clear" w:pos="475"/>
          <w:tab w:val="num" w:pos="1742"/>
        </w:tabs>
        <w:suppressAutoHyphens w:val="0"/>
        <w:ind w:left="1267"/>
      </w:pPr>
      <w:r w:rsidRPr="00895D0A">
        <w:t xml:space="preserve">Varias leyes especiales prevén la concesión de la nacionalidad italiana a </w:t>
      </w:r>
      <w:r w:rsidR="00CA1639">
        <w:t>determinados</w:t>
      </w:r>
      <w:r w:rsidRPr="00895D0A">
        <w:t xml:space="preserve"> grupos de personas según </w:t>
      </w:r>
      <w:r w:rsidR="00CA1639">
        <w:t>que residan</w:t>
      </w:r>
      <w:r w:rsidRPr="00895D0A">
        <w:t xml:space="preserve"> en territorios </w:t>
      </w:r>
      <w:r w:rsidR="00CA1639">
        <w:t>preestablecidos</w:t>
      </w:r>
      <w:r w:rsidRPr="00895D0A">
        <w:t>.</w:t>
      </w:r>
    </w:p>
    <w:p w:rsidR="00531400" w:rsidRPr="00531400" w:rsidRDefault="00531400" w:rsidP="00531400">
      <w:pPr>
        <w:pStyle w:val="SingleTxt"/>
        <w:spacing w:after="0" w:line="120" w:lineRule="exact"/>
        <w:rPr>
          <w:b/>
          <w:sz w:val="10"/>
        </w:rPr>
      </w:pPr>
    </w:p>
    <w:p w:rsidR="00895D0A" w:rsidRDefault="00895D0A" w:rsidP="00531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e)</w:t>
      </w:r>
      <w:r w:rsidR="00531400">
        <w:tab/>
      </w:r>
      <w:r w:rsidRPr="00895D0A">
        <w:t>Doble nacionalidad</w:t>
      </w:r>
    </w:p>
    <w:p w:rsidR="00531400" w:rsidRPr="00531400" w:rsidRDefault="00531400" w:rsidP="00531400">
      <w:pPr>
        <w:pStyle w:val="SingleTxt"/>
        <w:spacing w:after="0" w:line="120" w:lineRule="exact"/>
        <w:rPr>
          <w:b/>
          <w:sz w:val="10"/>
        </w:rPr>
      </w:pPr>
    </w:p>
    <w:p w:rsidR="00895D0A" w:rsidRPr="00895D0A" w:rsidRDefault="00895D0A" w:rsidP="00531400">
      <w:pPr>
        <w:pStyle w:val="SingleTxt"/>
        <w:numPr>
          <w:ilvl w:val="0"/>
          <w:numId w:val="15"/>
        </w:numPr>
        <w:tabs>
          <w:tab w:val="clear" w:pos="475"/>
          <w:tab w:val="num" w:pos="1742"/>
        </w:tabs>
        <w:suppressAutoHyphens w:val="0"/>
        <w:ind w:left="1267"/>
      </w:pPr>
      <w:r w:rsidRPr="00895D0A">
        <w:t xml:space="preserve">A partir del 16 de agosto de 1992, la nacionalidad italiana ya no se pierde </w:t>
      </w:r>
      <w:r w:rsidR="00204B97">
        <w:t>cuando se obtiene</w:t>
      </w:r>
      <w:r w:rsidRPr="00895D0A">
        <w:t xml:space="preserve"> otra nacionalidad, </w:t>
      </w:r>
      <w:r w:rsidR="00204B97">
        <w:t>salvo</w:t>
      </w:r>
      <w:r w:rsidRPr="00895D0A">
        <w:t xml:space="preserve"> que el ciudadano italiano renuncie formalmente a ella, y </w:t>
      </w:r>
      <w:r w:rsidR="00204B97">
        <w:t>según se disponga</w:t>
      </w:r>
      <w:r w:rsidRPr="00895D0A">
        <w:t xml:space="preserve"> en los acuerdos internacionales. </w:t>
      </w:r>
      <w:r w:rsidR="00204B97">
        <w:t>De resultas de la</w:t>
      </w:r>
      <w:r w:rsidRPr="00895D0A">
        <w:t xml:space="preserve"> adhesión del Gobierno </w:t>
      </w:r>
      <w:r w:rsidR="00204B97">
        <w:t>italiano</w:t>
      </w:r>
      <w:r w:rsidRPr="00895D0A">
        <w:t xml:space="preserve"> al </w:t>
      </w:r>
      <w:r w:rsidRPr="00895D0A">
        <w:rPr>
          <w:b/>
        </w:rPr>
        <w:t>Convenio de Estrasburgo de 1963</w:t>
      </w:r>
      <w:r w:rsidRPr="00895D0A">
        <w:t xml:space="preserve">, </w:t>
      </w:r>
      <w:r w:rsidR="00443569">
        <w:t>a partir del 4 de junio de </w:t>
      </w:r>
      <w:r w:rsidR="00204B97">
        <w:t>2010</w:t>
      </w:r>
      <w:r w:rsidRPr="00895D0A">
        <w:t xml:space="preserve"> los ciudadanos italianos que hayan obtenido la nacionalidad de alguno de los países firmantes de ese Convenio no perderán automáticamente la nacionalidad italiana.</w:t>
      </w:r>
    </w:p>
    <w:p w:rsidR="00531400" w:rsidRPr="00531400" w:rsidRDefault="00531400" w:rsidP="00531400">
      <w:pPr>
        <w:pStyle w:val="SingleTxt"/>
        <w:spacing w:after="0" w:line="120" w:lineRule="exact"/>
        <w:rPr>
          <w:b/>
          <w:sz w:val="10"/>
        </w:rPr>
      </w:pPr>
    </w:p>
    <w:p w:rsidR="00895D0A" w:rsidRPr="00895D0A" w:rsidRDefault="00895D0A" w:rsidP="005314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f)</w:t>
      </w:r>
      <w:r w:rsidR="00531400">
        <w:tab/>
      </w:r>
      <w:r w:rsidRPr="00895D0A">
        <w:t>Pérdida de la nacionalidad</w:t>
      </w:r>
    </w:p>
    <w:p w:rsidR="00531400" w:rsidRPr="00531400" w:rsidRDefault="00531400" w:rsidP="00531400">
      <w:pPr>
        <w:pStyle w:val="SingleTxt"/>
        <w:spacing w:after="0" w:line="120" w:lineRule="exact"/>
        <w:rPr>
          <w:iCs/>
          <w:sz w:val="10"/>
        </w:rPr>
      </w:pPr>
    </w:p>
    <w:p w:rsidR="00895D0A" w:rsidRPr="00895D0A" w:rsidRDefault="00B71C6B" w:rsidP="00531400">
      <w:pPr>
        <w:pStyle w:val="SingleTxt"/>
        <w:numPr>
          <w:ilvl w:val="0"/>
          <w:numId w:val="15"/>
        </w:numPr>
        <w:tabs>
          <w:tab w:val="clear" w:pos="475"/>
          <w:tab w:val="num" w:pos="1742"/>
        </w:tabs>
        <w:suppressAutoHyphens w:val="0"/>
        <w:ind w:left="1267"/>
      </w:pPr>
      <w:r>
        <w:t>Un ciudadano italiano puede</w:t>
      </w:r>
      <w:r w:rsidR="00895D0A" w:rsidRPr="00895D0A">
        <w:t xml:space="preserve"> perder la nacionalidad automáticamente o renunciar a ella formalmente.</w:t>
      </w:r>
    </w:p>
    <w:p w:rsidR="00531400" w:rsidRPr="00531400" w:rsidRDefault="00531400" w:rsidP="00531400">
      <w:pPr>
        <w:pStyle w:val="SingleTxt"/>
        <w:spacing w:after="0" w:line="120" w:lineRule="exact"/>
        <w:rPr>
          <w:i/>
          <w:sz w:val="10"/>
        </w:rPr>
      </w:pPr>
    </w:p>
    <w:p w:rsidR="00895D0A" w:rsidRPr="00895D0A" w:rsidRDefault="00895D0A" w:rsidP="00204B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Pierde automáticamente la nacionalidad:</w:t>
      </w:r>
    </w:p>
    <w:p w:rsidR="00531400" w:rsidRPr="00531400" w:rsidRDefault="00531400" w:rsidP="00531400">
      <w:pPr>
        <w:pStyle w:val="SingleTxt"/>
        <w:spacing w:after="0" w:line="120" w:lineRule="exact"/>
        <w:rPr>
          <w:sz w:val="10"/>
        </w:rPr>
      </w:pPr>
    </w:p>
    <w:p w:rsidR="00895D0A" w:rsidRPr="00895D0A" w:rsidRDefault="00895D0A" w:rsidP="00204B97">
      <w:pPr>
        <w:pStyle w:val="Bullet1"/>
      </w:pPr>
      <w:r w:rsidRPr="00895D0A">
        <w:t>Todo ciudadano italiano que se aliste voluntariamente en las fuerzas armadas de un gobierno extranjero o acepte ocupar</w:t>
      </w:r>
      <w:r w:rsidR="00246B35">
        <w:t xml:space="preserve"> </w:t>
      </w:r>
      <w:r w:rsidRPr="00895D0A">
        <w:t>un cargo gubernamental en un Estado extranjero, a pesar de la prohibición expresa que figura en la legislación italiana;</w:t>
      </w:r>
    </w:p>
    <w:p w:rsidR="00895D0A" w:rsidRPr="00895D0A" w:rsidRDefault="00895D0A" w:rsidP="00204B97">
      <w:pPr>
        <w:pStyle w:val="Bullet1"/>
      </w:pPr>
      <w:r w:rsidRPr="00895D0A">
        <w:t>Todo ciudadano italiano que haya prestado sus servicios a un país extranjero durante un estado de guerra o haya ocupado un cargo gubernamental en es</w:t>
      </w:r>
      <w:r w:rsidR="00204B97">
        <w:t>t</w:t>
      </w:r>
      <w:r w:rsidRPr="00895D0A">
        <w:t>e Estado u obtenido es</w:t>
      </w:r>
      <w:r w:rsidR="00204B97">
        <w:t>t</w:t>
      </w:r>
      <w:r w:rsidRPr="00895D0A">
        <w:t>a nacionalidad;</w:t>
      </w:r>
    </w:p>
    <w:p w:rsidR="00895D0A" w:rsidRDefault="00895D0A" w:rsidP="00204B97">
      <w:pPr>
        <w:pStyle w:val="Bullet1"/>
      </w:pPr>
      <w:r w:rsidRPr="00895D0A">
        <w:t xml:space="preserve">Toda persona adoptada cuya adopción haya sido revocada por circunstancias </w:t>
      </w:r>
      <w:r w:rsidR="00204B97">
        <w:t>no ajenas a su voluntad</w:t>
      </w:r>
      <w:r w:rsidRPr="00895D0A">
        <w:t>, siempre que posea o adquiera la nacionalidad de otro país.</w:t>
      </w:r>
    </w:p>
    <w:p w:rsidR="00895D0A" w:rsidRDefault="00895D0A" w:rsidP="0044356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Puede renunciar formalmente a la nacionalidad italiana:</w:t>
      </w:r>
    </w:p>
    <w:p w:rsidR="00531400" w:rsidRPr="00531400" w:rsidRDefault="00531400" w:rsidP="00443569">
      <w:pPr>
        <w:pStyle w:val="SingleTxt"/>
        <w:keepNext/>
        <w:keepLines/>
        <w:spacing w:after="0" w:line="120" w:lineRule="exact"/>
        <w:rPr>
          <w:i/>
          <w:sz w:val="10"/>
        </w:rPr>
      </w:pPr>
    </w:p>
    <w:p w:rsidR="00895D0A" w:rsidRPr="00895D0A" w:rsidRDefault="00895D0A" w:rsidP="00204B97">
      <w:pPr>
        <w:pStyle w:val="Bullet1"/>
      </w:pPr>
      <w:r w:rsidRPr="00895D0A">
        <w:t xml:space="preserve">Toda persona adoptada mayor de edad </w:t>
      </w:r>
      <w:r w:rsidR="000F6960">
        <w:t>cuya adopción</w:t>
      </w:r>
      <w:r w:rsidRPr="00895D0A">
        <w:t xml:space="preserve"> se haya revocado por circunstancias </w:t>
      </w:r>
      <w:r w:rsidR="000F6960">
        <w:t>no ajenas a su voluntad</w:t>
      </w:r>
      <w:r w:rsidRPr="00895D0A">
        <w:t>, siempre que posea o adquiera la nacionalidad de otro país;</w:t>
      </w:r>
    </w:p>
    <w:p w:rsidR="00895D0A" w:rsidRPr="00895D0A" w:rsidRDefault="00895D0A" w:rsidP="00204B97">
      <w:pPr>
        <w:pStyle w:val="Bullet1"/>
      </w:pPr>
      <w:r w:rsidRPr="00895D0A">
        <w:t>Todo ciudadano italiano residente en el extranjero que</w:t>
      </w:r>
      <w:r w:rsidR="00246B35">
        <w:t xml:space="preserve"> </w:t>
      </w:r>
      <w:r w:rsidRPr="00895D0A">
        <w:t>posea, adquiera o recupere la nacionalidad de otro país;</w:t>
      </w:r>
    </w:p>
    <w:p w:rsidR="00895D0A" w:rsidRPr="00895D0A" w:rsidRDefault="00895D0A" w:rsidP="00204B97">
      <w:pPr>
        <w:pStyle w:val="Bullet1"/>
      </w:pPr>
      <w:r w:rsidRPr="00895D0A">
        <w:t>Toda persona mayor de edad que haya obtenido la nacionalidad italiana cuando era menor de edad tras la obtención o recuperación de la nacionalidad de uno de sus progenitores, a condición de que posea la nacionalidad de otro país.</w:t>
      </w:r>
    </w:p>
    <w:p w:rsidR="00895D0A" w:rsidRPr="00895D0A" w:rsidRDefault="00895D0A" w:rsidP="00531400">
      <w:pPr>
        <w:pStyle w:val="SingleTxt"/>
        <w:numPr>
          <w:ilvl w:val="0"/>
          <w:numId w:val="15"/>
        </w:numPr>
        <w:tabs>
          <w:tab w:val="clear" w:pos="475"/>
          <w:tab w:val="num" w:pos="1742"/>
        </w:tabs>
        <w:suppressAutoHyphens w:val="0"/>
        <w:ind w:left="1267"/>
      </w:pPr>
      <w:r w:rsidRPr="00895D0A">
        <w:t xml:space="preserve">La declaración de renuncia a la nacionalidad se </w:t>
      </w:r>
      <w:r w:rsidR="000F6960">
        <w:t>hace</w:t>
      </w:r>
      <w:r w:rsidRPr="00895D0A">
        <w:t xml:space="preserve"> ante un funcionario de la oficina </w:t>
      </w:r>
      <w:r w:rsidR="000F6960" w:rsidRPr="00895D0A">
        <w:t xml:space="preserve">oficial </w:t>
      </w:r>
      <w:r w:rsidRPr="00895D0A">
        <w:t xml:space="preserve">de estadísticas (Anagrafe) de la ciudad italiana </w:t>
      </w:r>
      <w:r w:rsidR="000F6960">
        <w:t>en que se resida</w:t>
      </w:r>
      <w:r w:rsidRPr="00895D0A">
        <w:t xml:space="preserve"> o, en caso de residir en el extranjero, ante un funcionario autorizado del cuerpo diplomático o consular, </w:t>
      </w:r>
      <w:r w:rsidR="000F6960">
        <w:t>y ha de ir</w:t>
      </w:r>
      <w:r w:rsidRPr="00895D0A">
        <w:t xml:space="preserve"> acompañada de la documentación solicitada.</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Los menores NO pierden la nacionalidad italiana</w:t>
      </w:r>
      <w:r w:rsidRPr="00895D0A">
        <w:t xml:space="preserve"> si alguno de los progenitores pierde la nacionalidad u obtiene una nacionalidad extranjera.</w:t>
      </w:r>
    </w:p>
    <w:p w:rsidR="00895D0A" w:rsidRPr="00895D0A" w:rsidRDefault="00895D0A" w:rsidP="00531400">
      <w:pPr>
        <w:pStyle w:val="SingleTxt"/>
        <w:numPr>
          <w:ilvl w:val="0"/>
          <w:numId w:val="15"/>
        </w:numPr>
        <w:tabs>
          <w:tab w:val="clear" w:pos="475"/>
          <w:tab w:val="num" w:pos="1742"/>
        </w:tabs>
        <w:suppressAutoHyphens w:val="0"/>
        <w:ind w:left="1267"/>
      </w:pPr>
      <w:r w:rsidRPr="00895D0A">
        <w:rPr>
          <w:b/>
        </w:rPr>
        <w:t>Las mujeres casadas con extranjeros después del 1 de enero de 1948</w:t>
      </w:r>
      <w:r w:rsidRPr="00895D0A">
        <w:t xml:space="preserve"> que obtengan automáticamente la nacionalidad extranjera </w:t>
      </w:r>
      <w:r w:rsidRPr="00895D0A">
        <w:rPr>
          <w:b/>
        </w:rPr>
        <w:t>NO pierden su nacionalidad italiana</w:t>
      </w:r>
      <w:r w:rsidRPr="00895D0A">
        <w:t>.</w:t>
      </w:r>
    </w:p>
    <w:p w:rsidR="00790265" w:rsidRPr="00790265" w:rsidRDefault="00790265" w:rsidP="00790265">
      <w:pPr>
        <w:pStyle w:val="SingleTxt"/>
        <w:spacing w:after="0" w:line="120" w:lineRule="exact"/>
        <w:rPr>
          <w:i/>
          <w:sz w:val="10"/>
        </w:rPr>
      </w:pPr>
    </w:p>
    <w:p w:rsidR="00895D0A" w:rsidRPr="00895D0A" w:rsidRDefault="00895D0A" w:rsidP="000F69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Recuperación de la nacionalidad</w:t>
      </w:r>
    </w:p>
    <w:p w:rsidR="00790265" w:rsidRPr="00790265" w:rsidRDefault="00790265" w:rsidP="00790265">
      <w:pPr>
        <w:pStyle w:val="SingleTxt"/>
        <w:spacing w:after="0" w:line="120" w:lineRule="exact"/>
        <w:rPr>
          <w:iCs/>
          <w:sz w:val="10"/>
        </w:rPr>
      </w:pP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Los ciudadanos italianos que hayan perdido su nacionalidad la pueden recuperar </w:t>
      </w:r>
      <w:r w:rsidRPr="00895D0A">
        <w:rPr>
          <w:b/>
        </w:rPr>
        <w:t>automáticamente</w:t>
      </w:r>
      <w:r w:rsidRPr="00895D0A">
        <w:t xml:space="preserve"> durante el año que sigue al establecimiento de su residencia en suelo italiano, a menos que renuncien a ella dentro de ese plazo.</w:t>
      </w:r>
    </w:p>
    <w:p w:rsidR="00895D0A" w:rsidRPr="00895D0A" w:rsidRDefault="00895D0A" w:rsidP="00790265">
      <w:pPr>
        <w:pStyle w:val="SingleTxt"/>
        <w:numPr>
          <w:ilvl w:val="0"/>
          <w:numId w:val="15"/>
        </w:numPr>
        <w:tabs>
          <w:tab w:val="clear" w:pos="475"/>
          <w:tab w:val="num" w:pos="1742"/>
        </w:tabs>
        <w:suppressAutoHyphens w:val="0"/>
        <w:ind w:left="1267"/>
        <w:rPr>
          <w:b/>
          <w:bCs/>
        </w:rPr>
      </w:pPr>
      <w:r w:rsidRPr="00895D0A">
        <w:rPr>
          <w:b/>
        </w:rPr>
        <w:t>Por declaración específica:</w:t>
      </w:r>
    </w:p>
    <w:p w:rsidR="00895D0A" w:rsidRPr="00895D0A" w:rsidRDefault="00895D0A" w:rsidP="000F6960">
      <w:pPr>
        <w:pStyle w:val="Bullet1"/>
      </w:pPr>
      <w:r w:rsidRPr="00895D0A">
        <w:t xml:space="preserve">Al </w:t>
      </w:r>
      <w:r w:rsidR="000F6960">
        <w:t>servir</w:t>
      </w:r>
      <w:r w:rsidRPr="00895D0A">
        <w:t xml:space="preserve"> en las fuerzas armadas italianas;</w:t>
      </w:r>
    </w:p>
    <w:p w:rsidR="00895D0A" w:rsidRPr="00895D0A" w:rsidRDefault="00895D0A" w:rsidP="000F6960">
      <w:pPr>
        <w:pStyle w:val="Bullet1"/>
      </w:pPr>
      <w:r w:rsidRPr="00895D0A">
        <w:t>Al trabajar o haber trabajado para el Gobierno de Italia, incluso en el extranjero;</w:t>
      </w:r>
    </w:p>
    <w:p w:rsidR="00895D0A" w:rsidRPr="00895D0A" w:rsidRDefault="00895D0A" w:rsidP="000F6960">
      <w:pPr>
        <w:pStyle w:val="Bullet1"/>
      </w:pPr>
      <w:r w:rsidRPr="00895D0A">
        <w:t>Si se trata de un residente extranjero, una vez establecida su residencia en Italia, durante el año que sigue a la declaración de recuperación de la nacionalidad presentada a las autoridades consulares italianas;</w:t>
      </w:r>
    </w:p>
    <w:p w:rsidR="00895D0A" w:rsidRPr="00895D0A" w:rsidRDefault="00895D0A" w:rsidP="000F6960">
      <w:pPr>
        <w:pStyle w:val="Bullet1"/>
      </w:pPr>
      <w:r w:rsidRPr="00895D0A">
        <w:t>Una vez que se haya establecido la residencia legal en Italia durante al menos dos años y pueda demostrarse que el solicitante</w:t>
      </w:r>
      <w:r w:rsidR="000F6960">
        <w:t>, que prestaba sus servicios a un gobierno o un ejército extranjero a pesar de la prohibición expresa de la legislación italiana, ha dejado de prestarlos</w:t>
      </w:r>
      <w:r w:rsidRPr="00895D0A">
        <w:t>.</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Con respecto a toda la documentación necesaria, sea para la obtención de la nacionalidad </w:t>
      </w:r>
      <w:r w:rsidR="00830193">
        <w:t>o</w:t>
      </w:r>
      <w:r w:rsidRPr="00895D0A">
        <w:t xml:space="preserve"> para su renuncia, oficialmente las administraciones públicas italianas tienen la obligación de reunir información, datos y documentación que ya obren en su </w:t>
      </w:r>
      <w:r w:rsidR="00830193">
        <w:t>poder</w:t>
      </w:r>
      <w:r w:rsidRPr="00895D0A">
        <w:t xml:space="preserve">, previa presentación por la parte interesada de los elementos indispensables para la obtención de </w:t>
      </w:r>
      <w:r w:rsidR="00830193">
        <w:t>la</w:t>
      </w:r>
      <w:r w:rsidRPr="00895D0A">
        <w:t xml:space="preserve"> información o </w:t>
      </w:r>
      <w:r w:rsidR="00830193">
        <w:t>los</w:t>
      </w:r>
      <w:r w:rsidRPr="00895D0A">
        <w:t xml:space="preserve"> datos. Por lo tanto, los solicitantes (italianos o ciudadanos </w:t>
      </w:r>
      <w:r w:rsidR="00830193">
        <w:t xml:space="preserve">o no ciudadanos de la </w:t>
      </w:r>
      <w:r w:rsidR="00B71C6B">
        <w:t>Unión Europea</w:t>
      </w:r>
      <w:r w:rsidRPr="00895D0A">
        <w:t xml:space="preserve"> que residan legalmente en Italia) no están obligados a presentar la información o los datos que ya obran en poder de la administración pública italiana, sino </w:t>
      </w:r>
      <w:r w:rsidR="00830193">
        <w:t>solamente</w:t>
      </w:r>
      <w:r w:rsidRPr="00895D0A">
        <w:t xml:space="preserve"> los elementos indispensables para la obtención de </w:t>
      </w:r>
      <w:r w:rsidR="00830193">
        <w:t>la</w:t>
      </w:r>
      <w:r w:rsidRPr="00895D0A">
        <w:t xml:space="preserve"> información o </w:t>
      </w:r>
      <w:r w:rsidR="00830193">
        <w:t>los</w:t>
      </w:r>
      <w:r w:rsidRPr="00895D0A">
        <w:t xml:space="preserve"> datos. El Decreto Ley </w:t>
      </w:r>
      <w:r w:rsidR="00AA5CC8">
        <w:t xml:space="preserve">núm. </w:t>
      </w:r>
      <w:r w:rsidR="00443569">
        <w:t>69, de 21 de junio de </w:t>
      </w:r>
      <w:r w:rsidRPr="00443569">
        <w:rPr>
          <w:spacing w:val="3"/>
        </w:rPr>
        <w:t xml:space="preserve">2013, </w:t>
      </w:r>
      <w:r w:rsidR="00830193" w:rsidRPr="00443569">
        <w:rPr>
          <w:spacing w:val="3"/>
        </w:rPr>
        <w:t>dispone</w:t>
      </w:r>
      <w:r w:rsidRPr="00443569">
        <w:rPr>
          <w:spacing w:val="3"/>
        </w:rPr>
        <w:t xml:space="preserve"> que la solicitud de la nacionalidad italiana por una persona extranjera o</w:t>
      </w:r>
      <w:r w:rsidRPr="00895D0A">
        <w:t xml:space="preserve"> apátrida nacida en Italia </w:t>
      </w:r>
      <w:r w:rsidR="00830193">
        <w:t>puede</w:t>
      </w:r>
      <w:r w:rsidRPr="00895D0A">
        <w:t xml:space="preserve"> completarse con documentación </w:t>
      </w:r>
      <w:r w:rsidR="00623DF8">
        <w:t>adicional aunque</w:t>
      </w:r>
      <w:r w:rsidRPr="00895D0A">
        <w:t xml:space="preserve"> no obre en </w:t>
      </w:r>
      <w:r w:rsidR="00623DF8">
        <w:t>poder</w:t>
      </w:r>
      <w:r w:rsidRPr="00895D0A">
        <w:t xml:space="preserve"> de la administración pública. El solicitante privado puede realizar el seguimiento de la solicitud </w:t>
      </w:r>
      <w:r w:rsidR="00623DF8">
        <w:t>en</w:t>
      </w:r>
      <w:r w:rsidRPr="00895D0A">
        <w:t xml:space="preserve"> un sitio web especial, t</w:t>
      </w:r>
      <w:r w:rsidR="00443569">
        <w:t>ras registrarse debidamente. En </w:t>
      </w:r>
      <w:r w:rsidRPr="00895D0A">
        <w:t xml:space="preserve">2013, se </w:t>
      </w:r>
      <w:r w:rsidR="00623DF8">
        <w:t>concedió</w:t>
      </w:r>
      <w:r w:rsidRPr="00895D0A">
        <w:t xml:space="preserve"> un 54% más de solicitudes (101.712), la mayoría </w:t>
      </w:r>
      <w:r w:rsidR="00623DF8" w:rsidRPr="00895D0A">
        <w:t xml:space="preserve">de las cuales </w:t>
      </w:r>
      <w:r w:rsidRPr="00895D0A">
        <w:t>fue</w:t>
      </w:r>
      <w:r w:rsidR="00623DF8">
        <w:t>ron</w:t>
      </w:r>
      <w:r w:rsidRPr="00895D0A">
        <w:t xml:space="preserve"> presentada</w:t>
      </w:r>
      <w:r w:rsidR="00623DF8">
        <w:t>s</w:t>
      </w:r>
      <w:r w:rsidRPr="00895D0A">
        <w:t xml:space="preserve"> en el norte de Italia (72,2%), </w:t>
      </w:r>
      <w:r w:rsidR="00623DF8">
        <w:t>mientras que en</w:t>
      </w:r>
      <w:r w:rsidRPr="00895D0A">
        <w:t xml:space="preserve"> el sur de Italia y las islas</w:t>
      </w:r>
      <w:r w:rsidR="00623DF8">
        <w:t xml:space="preserve"> los porcentajes correspondientes fueron del</w:t>
      </w:r>
      <w:r w:rsidRPr="00895D0A">
        <w:t xml:space="preserve"> 34,2% y </w:t>
      </w:r>
      <w:r w:rsidR="00623DF8">
        <w:t xml:space="preserve">el </w:t>
      </w:r>
      <w:r w:rsidRPr="00895D0A">
        <w:t>27,2%, respectivamente.</w:t>
      </w:r>
    </w:p>
    <w:p w:rsidR="00895D0A" w:rsidRPr="00895D0A" w:rsidRDefault="00623DF8" w:rsidP="00790265">
      <w:pPr>
        <w:pStyle w:val="SingleTxt"/>
        <w:numPr>
          <w:ilvl w:val="0"/>
          <w:numId w:val="15"/>
        </w:numPr>
        <w:tabs>
          <w:tab w:val="clear" w:pos="475"/>
          <w:tab w:val="num" w:pos="1742"/>
        </w:tabs>
        <w:suppressAutoHyphens w:val="0"/>
        <w:ind w:left="1267"/>
      </w:pPr>
      <w:r w:rsidRPr="00895D0A">
        <w:t xml:space="preserve">Se ha iniciado el proceso de adhesión </w:t>
      </w:r>
      <w:r w:rsidR="00895D0A" w:rsidRPr="00895D0A">
        <w:t xml:space="preserve">a la </w:t>
      </w:r>
      <w:r w:rsidR="00895D0A" w:rsidRPr="00895D0A">
        <w:rPr>
          <w:b/>
        </w:rPr>
        <w:t>Convención para Reducir los Casos de Apatridia</w:t>
      </w:r>
      <w:r>
        <w:rPr>
          <w:b/>
        </w:rPr>
        <w:t>,</w:t>
      </w:r>
      <w:r w:rsidR="00895D0A" w:rsidRPr="00895D0A">
        <w:rPr>
          <w:b/>
        </w:rPr>
        <w:t xml:space="preserve"> de 1961</w:t>
      </w:r>
      <w:r w:rsidRPr="00443569">
        <w:t>.</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Con respecto a los </w:t>
      </w:r>
      <w:r w:rsidRPr="00895D0A">
        <w:rPr>
          <w:b/>
        </w:rPr>
        <w:t>derechos a la libertad de pensamiento, conciencia y religión y la posible interrelación entre la discriminación racial y la religiosa</w:t>
      </w:r>
      <w:r w:rsidRPr="00895D0A">
        <w:t xml:space="preserve">, </w:t>
      </w:r>
      <w:r w:rsidR="00623DF8">
        <w:t>incluidos</w:t>
      </w:r>
      <w:r w:rsidRPr="00895D0A">
        <w:t xml:space="preserve"> los efectos de las medidas de lucha contra el terrorismo, que pueden dar lugar a discriminación por motivos étnicos contra miembros de determinadas comunidades religiosas, cab</w:t>
      </w:r>
      <w:r w:rsidR="00623DF8">
        <w:t>e</w:t>
      </w:r>
      <w:r w:rsidRPr="00895D0A">
        <w:t xml:space="preserve"> </w:t>
      </w:r>
      <w:r w:rsidR="00B71C6B">
        <w:t>mencionar las</w:t>
      </w:r>
      <w:r w:rsidRPr="00895D0A">
        <w:t xml:space="preserve"> denuncias presentadas </w:t>
      </w:r>
      <w:r w:rsidR="00B71C6B" w:rsidRPr="00895D0A">
        <w:t xml:space="preserve">contra Italia </w:t>
      </w:r>
      <w:r w:rsidR="00B71C6B">
        <w:t>a</w:t>
      </w:r>
      <w:r w:rsidRPr="00895D0A">
        <w:t>l Tribunal Europeo de Derechos Humanos por violaciones relacionadas con las expulsiones.</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El Tribunal de Estrasburgo ha dictado varias sentencias sobre este tema. En sus fallos, el Tribunal destacó la obligación de no devolver a una persona a un país en el que exista un riesgo real de tortura o malos tratos, no solo </w:t>
      </w:r>
      <w:r w:rsidR="00623DF8">
        <w:t>cuando</w:t>
      </w:r>
      <w:r w:rsidRPr="00895D0A">
        <w:t xml:space="preserve"> la expulsión se ha hecho efectiva sino también </w:t>
      </w:r>
      <w:r w:rsidR="00623DF8">
        <w:t>cuando no es así,</w:t>
      </w:r>
      <w:r w:rsidRPr="00895D0A">
        <w:t xml:space="preserve"> declara</w:t>
      </w:r>
      <w:r w:rsidR="00623DF8">
        <w:t>ndo</w:t>
      </w:r>
      <w:r w:rsidRPr="00895D0A">
        <w:t xml:space="preserve"> que </w:t>
      </w:r>
      <w:r w:rsidR="00DD1A63">
        <w:t>“</w:t>
      </w:r>
      <w:r w:rsidRPr="00895D0A">
        <w:t xml:space="preserve">[…] </w:t>
      </w:r>
      <w:r w:rsidRPr="00895D0A">
        <w:rPr>
          <w:i/>
        </w:rPr>
        <w:t>dans l</w:t>
      </w:r>
      <w:r w:rsidR="00A74BF3">
        <w:rPr>
          <w:i/>
        </w:rPr>
        <w:t>’</w:t>
      </w:r>
      <w:r w:rsidRPr="00895D0A">
        <w:rPr>
          <w:i/>
        </w:rPr>
        <w:t xml:space="preserve"> éventualité de la mise à exécution de la décision d</w:t>
      </w:r>
      <w:r w:rsidR="00A74BF3">
        <w:rPr>
          <w:i/>
        </w:rPr>
        <w:t>’</w:t>
      </w:r>
      <w:r w:rsidRPr="00895D0A">
        <w:rPr>
          <w:i/>
        </w:rPr>
        <w:t>expulser le requérant […],</w:t>
      </w:r>
      <w:r w:rsidRPr="00895D0A">
        <w:t xml:space="preserve"> </w:t>
      </w:r>
      <w:r w:rsidRPr="00895D0A">
        <w:rPr>
          <w:i/>
        </w:rPr>
        <w:t>il y aurait violation de l</w:t>
      </w:r>
      <w:r w:rsidR="00A74BF3">
        <w:rPr>
          <w:i/>
        </w:rPr>
        <w:t>’</w:t>
      </w:r>
      <w:r w:rsidRPr="00895D0A">
        <w:rPr>
          <w:i/>
        </w:rPr>
        <w:t>article 3 de la Convention</w:t>
      </w:r>
      <w:r w:rsidR="00DD1A63">
        <w:t>”</w:t>
      </w:r>
      <w:r w:rsidR="00623DF8">
        <w:t xml:space="preserve"> (</w:t>
      </w:r>
      <w:r w:rsidR="00DD1A63">
        <w:t>“</w:t>
      </w:r>
      <w:r w:rsidR="00623DF8">
        <w:t>[...] en el caso de que se llevara a la práctica la decisión de expulsar al solicitante [...], se había violado el artículo 3 de la Convención</w:t>
      </w:r>
      <w:r w:rsidR="00DD1A63">
        <w:t>”</w:t>
      </w:r>
      <w:r w:rsidR="00623DF8">
        <w:t>)</w:t>
      </w:r>
      <w:r w:rsidRPr="00895D0A">
        <w:t>.</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A la </w:t>
      </w:r>
      <w:r w:rsidR="00623DF8">
        <w:t>vista</w:t>
      </w:r>
      <w:r w:rsidRPr="00895D0A">
        <w:t xml:space="preserve"> de las causas de </w:t>
      </w:r>
      <w:r w:rsidRPr="00895D0A">
        <w:rPr>
          <w:i/>
        </w:rPr>
        <w:t>Ben Khemais; Trabelsi; Toumi y Mannai c. Italia</w:t>
      </w:r>
      <w:r w:rsidR="00623DF8">
        <w:t>, qu</w:t>
      </w:r>
      <w:r w:rsidRPr="00895D0A">
        <w:t xml:space="preserve">e, entre otras cosas, se beneficiaron de las salvaguardias </w:t>
      </w:r>
      <w:r w:rsidR="00687B10">
        <w:t>previstas</w:t>
      </w:r>
      <w:r w:rsidRPr="00895D0A">
        <w:t xml:space="preserve"> en el Convenio Europeo, en las reuniones del Comité de Ministros de 2010 (véanse las resoluciones CM/Res DH 82 y 83 de 2010), Italia ya </w:t>
      </w:r>
      <w:r w:rsidR="00687B10">
        <w:t>había asegurado</w:t>
      </w:r>
      <w:r w:rsidRPr="00895D0A">
        <w:t xml:space="preserve"> que, </w:t>
      </w:r>
      <w:r w:rsidR="00687B10">
        <w:t>cuando necesitara proceder a la</w:t>
      </w:r>
      <w:r w:rsidRPr="00895D0A">
        <w:t xml:space="preserve"> expulsión de un terrorista</w:t>
      </w:r>
      <w:r w:rsidR="00687B10">
        <w:t>,</w:t>
      </w:r>
      <w:r w:rsidRPr="00895D0A">
        <w:t xml:space="preserve"> </w:t>
      </w:r>
      <w:r w:rsidR="00687B10">
        <w:t xml:space="preserve">respecto de </w:t>
      </w:r>
      <w:r w:rsidR="00B71C6B">
        <w:t>la</w:t>
      </w:r>
      <w:r w:rsidR="00687B10">
        <w:t xml:space="preserve"> cual</w:t>
      </w:r>
      <w:r w:rsidRPr="00895D0A">
        <w:t xml:space="preserve"> el Tribunal </w:t>
      </w:r>
      <w:r w:rsidR="00687B10">
        <w:t>ya hubiera pronunciado</w:t>
      </w:r>
      <w:r w:rsidRPr="00895D0A">
        <w:t xml:space="preserve"> una medida cautelar, primero </w:t>
      </w:r>
      <w:r w:rsidR="00687B10">
        <w:t>pediría</w:t>
      </w:r>
      <w:r w:rsidRPr="00895D0A">
        <w:t xml:space="preserve"> al Tribunal que anulase dicha medida y apoyaría la solicitud con todos los documentos pertinentes (con excepción de los documentos confidenciales) que </w:t>
      </w:r>
      <w:r w:rsidR="00687B10">
        <w:t>demostrasen</w:t>
      </w:r>
      <w:r w:rsidRPr="00895D0A">
        <w:t xml:space="preserve"> la peligrosidad de la persona en cuestión, el presunto peligro para la seguridad del Estado en caso de no expulsarla o la </w:t>
      </w:r>
      <w:r w:rsidR="00687B10">
        <w:t>inexistencia</w:t>
      </w:r>
      <w:r w:rsidRPr="00895D0A">
        <w:t xml:space="preserve"> de riesgo </w:t>
      </w:r>
      <w:r w:rsidR="00687B10">
        <w:t xml:space="preserve">alguno </w:t>
      </w:r>
      <w:r w:rsidRPr="00895D0A">
        <w:t>en el país de destino.</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Además, con posterioridad a la expulsión del Sr. Mannai, se publicó una circular ministerial </w:t>
      </w:r>
      <w:r w:rsidR="00687B10">
        <w:t>de</w:t>
      </w:r>
      <w:r w:rsidRPr="00895D0A">
        <w:t xml:space="preserve"> fecha 27 de mayo de 2010 </w:t>
      </w:r>
      <w:r w:rsidR="00687B10">
        <w:t>para</w:t>
      </w:r>
      <w:r w:rsidRPr="00895D0A">
        <w:t xml:space="preserve"> sensibilizar a los jueces de paz </w:t>
      </w:r>
      <w:r w:rsidRPr="00D124C4">
        <w:rPr>
          <w:i/>
        </w:rPr>
        <w:t>(giudici di pace)</w:t>
      </w:r>
      <w:r w:rsidRPr="00895D0A">
        <w:t xml:space="preserve"> </w:t>
      </w:r>
      <w:r w:rsidR="00687B10">
        <w:t>respecto</w:t>
      </w:r>
      <w:r w:rsidRPr="00895D0A">
        <w:t xml:space="preserve"> de los principios establecidos por la jurisprudencia del Tribunal Europeo</w:t>
      </w:r>
      <w:r w:rsidR="00687B10">
        <w:t xml:space="preserve"> en materia de expulsiones</w:t>
      </w:r>
      <w:r w:rsidRPr="00895D0A">
        <w:t>, y en particular sobre la necesidad de hacer un minucioso control judicial al validar una medida de ese tipo, verificando no solo que sea correcta</w:t>
      </w:r>
      <w:r w:rsidR="00687B10">
        <w:t xml:space="preserve"> desde un punto de vista formal</w:t>
      </w:r>
      <w:r w:rsidRPr="00895D0A">
        <w:t xml:space="preserve"> sino también que se ajuste </w:t>
      </w:r>
      <w:r w:rsidR="00687B10">
        <w:t>al derecho</w:t>
      </w:r>
      <w:r w:rsidRPr="00895D0A">
        <w:t xml:space="preserve"> internacional de </w:t>
      </w:r>
      <w:r w:rsidR="00687B10">
        <w:t xml:space="preserve">los </w:t>
      </w:r>
      <w:r w:rsidRPr="00895D0A">
        <w:t xml:space="preserve">derechos humanos, más concretamente al artículo 3 del Convenio Europeo de Derechos Humanos. </w:t>
      </w:r>
      <w:r w:rsidR="00687B10">
        <w:t>Así pues</w:t>
      </w:r>
      <w:r w:rsidRPr="00895D0A">
        <w:t>,</w:t>
      </w:r>
      <w:r w:rsidR="00687B10">
        <w:t xml:space="preserve"> los jueces</w:t>
      </w:r>
      <w:r w:rsidRPr="00895D0A">
        <w:t xml:space="preserve"> deben </w:t>
      </w:r>
      <w:r w:rsidR="00687B10">
        <w:t>sopesar</w:t>
      </w:r>
      <w:r w:rsidRPr="00895D0A">
        <w:t xml:space="preserve"> el riesgo de que un presunto terrorista sea sometido a tortura o malos tratos </w:t>
      </w:r>
      <w:r w:rsidR="00687B10">
        <w:t>si es</w:t>
      </w:r>
      <w:r w:rsidRPr="00895D0A">
        <w:t xml:space="preserve"> expulsado del país.</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En cuanto </w:t>
      </w:r>
      <w:r w:rsidR="00687B10">
        <w:t>al</w:t>
      </w:r>
      <w:r w:rsidRPr="00895D0A">
        <w:t xml:space="preserve"> </w:t>
      </w:r>
      <w:r w:rsidR="00687B10">
        <w:rPr>
          <w:b/>
        </w:rPr>
        <w:t>derecho</w:t>
      </w:r>
      <w:r w:rsidRPr="00895D0A">
        <w:rPr>
          <w:b/>
        </w:rPr>
        <w:t xml:space="preserve"> a la libertad de opinión y de expresión</w:t>
      </w:r>
      <w:r w:rsidRPr="00895D0A">
        <w:t xml:space="preserve">, </w:t>
      </w:r>
      <w:r w:rsidR="00687B10">
        <w:t>vinculado</w:t>
      </w:r>
      <w:r w:rsidRPr="00895D0A">
        <w:t xml:space="preserve"> a la libertad de prensa, toda persona está protegida por el artículo 21 de la Ley Fundamental italiana que establece que: </w:t>
      </w:r>
      <w:r w:rsidR="00DD1A63">
        <w:t>“</w:t>
      </w:r>
      <w:r w:rsidRPr="00895D0A">
        <w:t xml:space="preserve">Toda persona tiene derecho a expresar libremente sus opiniones mediante la palabra, </w:t>
      </w:r>
      <w:r w:rsidR="00687B10">
        <w:t>por</w:t>
      </w:r>
      <w:r w:rsidRPr="00895D0A">
        <w:t xml:space="preserve"> escrito o </w:t>
      </w:r>
      <w:r w:rsidR="00687B10">
        <w:t xml:space="preserve">con </w:t>
      </w:r>
      <w:r w:rsidRPr="00895D0A">
        <w:t xml:space="preserve">cualquier otra forma de comunicación. La prensa no debe estar </w:t>
      </w:r>
      <w:r w:rsidR="00687B10">
        <w:t>sujeta</w:t>
      </w:r>
      <w:r w:rsidRPr="00895D0A">
        <w:t xml:space="preserve"> a autorización ni censura alguna […]</w:t>
      </w:r>
      <w:r w:rsidR="00DD1A63">
        <w:t>”</w:t>
      </w:r>
      <w:r w:rsidRPr="00895D0A">
        <w:t>.</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El artículo 594 del Código Penal de Italia </w:t>
      </w:r>
      <w:r w:rsidR="00687B10">
        <w:t>trata</w:t>
      </w:r>
      <w:r w:rsidRPr="00895D0A">
        <w:t xml:space="preserve"> del delito de injurias </w:t>
      </w:r>
      <w:r w:rsidRPr="00D124C4">
        <w:rPr>
          <w:i/>
        </w:rPr>
        <w:t>(ingiuria)</w:t>
      </w:r>
      <w:r w:rsidRPr="00895D0A">
        <w:t xml:space="preserve"> y lo diferencia de la difamación. El artículo 595 define la difamación como el daño causado a la reputación o el honor de una persona a través de la comunicación con varias personas. Existen circunstancias que pueden agravar la difamación: si se denuncia un hecho específico (art. 595, párr. 2); si se utiliza la prensa u otros medios de publicidad, o</w:t>
      </w:r>
      <w:r w:rsidR="00687B10">
        <w:t xml:space="preserve"> una escritura pública (párr. 3), o</w:t>
      </w:r>
      <w:r w:rsidRPr="00895D0A">
        <w:t xml:space="preserve"> si </w:t>
      </w:r>
      <w:r w:rsidR="00687B10">
        <w:t>va dirigida contra</w:t>
      </w:r>
      <w:r w:rsidRPr="00895D0A">
        <w:t xml:space="preserve"> un órgano político, administrativo o judicial (párr. 4).</w:t>
      </w:r>
    </w:p>
    <w:p w:rsidR="00895D0A" w:rsidRPr="00895D0A" w:rsidRDefault="00895D0A" w:rsidP="00790265">
      <w:pPr>
        <w:pStyle w:val="SingleTxt"/>
        <w:numPr>
          <w:ilvl w:val="0"/>
          <w:numId w:val="15"/>
        </w:numPr>
        <w:tabs>
          <w:tab w:val="clear" w:pos="475"/>
          <w:tab w:val="num" w:pos="1742"/>
        </w:tabs>
        <w:suppressAutoHyphens w:val="0"/>
        <w:ind w:left="1267"/>
      </w:pPr>
      <w:r w:rsidRPr="00895D0A">
        <w:t>El artículo 596 excluye la defensa de justificación (demostra</w:t>
      </w:r>
      <w:r w:rsidR="00687B10">
        <w:t>r</w:t>
      </w:r>
      <w:r w:rsidR="00B71C6B">
        <w:t xml:space="preserve"> </w:t>
      </w:r>
      <w:r w:rsidRPr="00895D0A">
        <w:t xml:space="preserve">la veracidad de la denuncia, </w:t>
      </w:r>
      <w:r w:rsidRPr="00895D0A">
        <w:rPr>
          <w:i/>
        </w:rPr>
        <w:t>exceptio veritatis</w:t>
      </w:r>
      <w:r w:rsidRPr="00895D0A">
        <w:t xml:space="preserve">), salvo </w:t>
      </w:r>
      <w:r w:rsidR="00687B10">
        <w:t>cuando la</w:t>
      </w:r>
      <w:r w:rsidRPr="00895D0A">
        <w:t xml:space="preserve"> difamación </w:t>
      </w:r>
      <w:r w:rsidR="00047B31">
        <w:t xml:space="preserve">se </w:t>
      </w:r>
      <w:r w:rsidR="00B71C6B">
        <w:t>comete</w:t>
      </w:r>
      <w:r w:rsidR="00047B31">
        <w:t xml:space="preserve"> al denunciar</w:t>
      </w:r>
      <w:r w:rsidRPr="00895D0A">
        <w:t xml:space="preserve"> un hecho determinado, en tres casos:</w:t>
      </w:r>
      <w:r w:rsidR="00B71C6B">
        <w:t xml:space="preserve"> </w:t>
      </w:r>
      <w:r w:rsidRPr="00895D0A">
        <w:t xml:space="preserve">1) cuando la persona difamada es un funcionario público y el presunto hecho está relacionado con el ejercicio de sus funciones; 2) </w:t>
      </w:r>
      <w:r w:rsidR="00047B31">
        <w:t>si</w:t>
      </w:r>
      <w:r w:rsidRPr="00895D0A">
        <w:t xml:space="preserve"> hay procedimientos penales abiertos sobre el presunto hecho por parte de la persona difamada, o si se han iniciado procedimientos contra </w:t>
      </w:r>
      <w:r w:rsidR="00047B31">
        <w:t>la persona</w:t>
      </w:r>
      <w:r w:rsidRPr="00895D0A">
        <w:t xml:space="preserve">; 3) si el denunciante </w:t>
      </w:r>
      <w:r w:rsidR="00047B31">
        <w:t>pide</w:t>
      </w:r>
      <w:r w:rsidRPr="00895D0A">
        <w:t xml:space="preserve"> formalmente que </w:t>
      </w:r>
      <w:r w:rsidR="00047B31">
        <w:t>el fallo incluya la determinación de</w:t>
      </w:r>
      <w:r w:rsidRPr="00895D0A">
        <w:t xml:space="preserve"> la verdad o falsedad del presunto hecho denunciado. El artículo 596 </w:t>
      </w:r>
      <w:r w:rsidRPr="00047B31">
        <w:rPr>
          <w:i/>
        </w:rPr>
        <w:t>bis</w:t>
      </w:r>
      <w:r w:rsidRPr="00895D0A">
        <w:t xml:space="preserve"> </w:t>
      </w:r>
      <w:r w:rsidR="00047B31">
        <w:t>hace extensivas</w:t>
      </w:r>
      <w:r w:rsidRPr="00895D0A">
        <w:t xml:space="preserve"> a los directores, subdirectores, editores y propietarios de imprentas las disposiciones del artículo 596 sobre la defensa de la verdad. Además, los artículos 57 y 57 </w:t>
      </w:r>
      <w:r w:rsidRPr="000F5E60">
        <w:rPr>
          <w:i/>
        </w:rPr>
        <w:t>bis</w:t>
      </w:r>
      <w:r w:rsidRPr="00895D0A">
        <w:t xml:space="preserve"> del Código Penal prevén la responsabilidad de los directores, subdirectores, editores o propietarios de imprentas</w:t>
      </w:r>
      <w:r w:rsidR="00047B31">
        <w:t xml:space="preserve"> cuando</w:t>
      </w:r>
      <w:r w:rsidRPr="00895D0A">
        <w:t xml:space="preserve"> el delito de difamación </w:t>
      </w:r>
      <w:r w:rsidR="00047B31">
        <w:t>sea consecuencia de</w:t>
      </w:r>
      <w:r w:rsidRPr="00895D0A">
        <w:t xml:space="preserve"> no haber supervisado el contenido de la publicación. El artículo 58 amplía el ámbito de aplicación de esas disposiciones a la prensa clandestina.</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Como se ha </w:t>
      </w:r>
      <w:r w:rsidR="00047B31">
        <w:t>señalado anteriormente</w:t>
      </w:r>
      <w:r w:rsidRPr="00895D0A">
        <w:t xml:space="preserve">, el ordenamiento jurídico italiano contiene disposiciones específicas para combatir las expresiones de racismo y xenofobia, incluidos los actos destinados a difundir ideas basadas en el odio racial o étnico y la incitación a cometer actos de violencia por motivos raciales, étnicos o religiosos. En cuanto a la utilización de expresiones racistas o xenófobas en la política, la ley dispone que las autoridades judiciales tienen la obligación de verificar la existencia de contenidos delictivos en los documentos, discursos y programas elaborados por los representantes políticos. Además, la UNAR y el OSCAD notifican sistemáticamente a las autoridades competentes </w:t>
      </w:r>
      <w:r w:rsidR="00047B31">
        <w:t>los</w:t>
      </w:r>
      <w:r w:rsidRPr="00895D0A">
        <w:t xml:space="preserve"> contenidos de ese tipo. Como se ha mencionado</w:t>
      </w:r>
      <w:r w:rsidR="00047B31">
        <w:t xml:space="preserve"> antes</w:t>
      </w:r>
      <w:r w:rsidRPr="00895D0A">
        <w:t xml:space="preserve">, algunos funcionarios públicos y cargos electos </w:t>
      </w:r>
      <w:r w:rsidR="00047B31">
        <w:t>fueron</w:t>
      </w:r>
      <w:r w:rsidRPr="00895D0A">
        <w:t xml:space="preserve"> procesados recientemente por incitación al odio racial y la propaganda racista.</w:t>
      </w:r>
    </w:p>
    <w:p w:rsidR="00895D0A" w:rsidRPr="00895D0A" w:rsidRDefault="00895D0A" w:rsidP="00790265">
      <w:pPr>
        <w:pStyle w:val="SingleTxt"/>
        <w:numPr>
          <w:ilvl w:val="0"/>
          <w:numId w:val="15"/>
        </w:numPr>
        <w:tabs>
          <w:tab w:val="clear" w:pos="475"/>
          <w:tab w:val="num" w:pos="1742"/>
        </w:tabs>
        <w:suppressAutoHyphens w:val="0"/>
        <w:ind w:left="1267"/>
      </w:pPr>
      <w:r w:rsidRPr="00895D0A">
        <w:t xml:space="preserve">Desde 2010 se han llevado a </w:t>
      </w:r>
      <w:r w:rsidR="00047B31">
        <w:t>la práctica</w:t>
      </w:r>
      <w:r w:rsidRPr="00895D0A">
        <w:t xml:space="preserve"> iniciativas y acciones muy innovadoras y efectivas </w:t>
      </w:r>
      <w:r w:rsidR="00047B31">
        <w:t>para</w:t>
      </w:r>
      <w:r w:rsidRPr="00895D0A">
        <w:t xml:space="preserve"> mejorar la protección y el apoyo a las víctimas, como campañas de sensibilización, principalmente </w:t>
      </w:r>
      <w:r w:rsidR="00047B31">
        <w:t>durante</w:t>
      </w:r>
      <w:r w:rsidRPr="00895D0A">
        <w:t xml:space="preserve"> la </w:t>
      </w:r>
      <w:r w:rsidR="00DD1A63">
        <w:t>“</w:t>
      </w:r>
      <w:r w:rsidRPr="00895D0A">
        <w:t>Semana nacional contra el marco de la violencia</w:t>
      </w:r>
      <w:r w:rsidR="00DD1A63">
        <w:t>”</w:t>
      </w:r>
      <w:r w:rsidRPr="00895D0A">
        <w:t xml:space="preserve">, y </w:t>
      </w:r>
      <w:r w:rsidR="00047B31">
        <w:t>operaciones de</w:t>
      </w:r>
      <w:r w:rsidRPr="00895D0A">
        <w:t xml:space="preserve"> fomento de la capacidad, supervisión y reunión de datos. En </w:t>
      </w:r>
      <w:r w:rsidR="00047B31">
        <w:t>este contexto</w:t>
      </w:r>
      <w:r w:rsidRPr="00895D0A">
        <w:t xml:space="preserve">, la UNAR participa en la campaña del Consejo de Europa titulada </w:t>
      </w:r>
      <w:r w:rsidR="00DD1A63" w:rsidRPr="008977DD">
        <w:t>“</w:t>
      </w:r>
      <w:r w:rsidRPr="008977DD">
        <w:t>No hate speech</w:t>
      </w:r>
      <w:r w:rsidR="00DD1A63" w:rsidRPr="008977DD">
        <w:t>”</w:t>
      </w:r>
      <w:r w:rsidR="00047B31">
        <w:t xml:space="preserve"> (</w:t>
      </w:r>
      <w:r w:rsidR="00DD1A63">
        <w:t>“</w:t>
      </w:r>
      <w:r w:rsidR="00047B31">
        <w:t>No al discurso de odio</w:t>
      </w:r>
      <w:r w:rsidR="00DD1A63">
        <w:t>”</w:t>
      </w:r>
      <w:r w:rsidR="00047B31">
        <w:t>)</w:t>
      </w:r>
      <w:r w:rsidRPr="00895D0A">
        <w:t xml:space="preserve"> (http://www.nohatespeech.it). </w:t>
      </w:r>
      <w:r w:rsidR="00047B31">
        <w:t>A este respecto,</w:t>
      </w:r>
      <w:r w:rsidRPr="00895D0A">
        <w:t xml:space="preserve"> se ha creado </w:t>
      </w:r>
      <w:r w:rsidR="00047B31">
        <w:t>un</w:t>
      </w:r>
      <w:r w:rsidRPr="00895D0A">
        <w:t xml:space="preserve"> grupo de trabajo interministerial en la Presidencia del Consejo de Ministros. Además, esta Oficina tiene la intención de promover</w:t>
      </w:r>
      <w:r w:rsidR="00047B31">
        <w:t>,</w:t>
      </w:r>
      <w:r w:rsidRPr="00895D0A">
        <w:t xml:space="preserve"> </w:t>
      </w:r>
      <w:r w:rsidR="00047B31" w:rsidRPr="00895D0A">
        <w:t xml:space="preserve">en los próximos meses, </w:t>
      </w:r>
      <w:r w:rsidRPr="00895D0A">
        <w:t>una campaña de sensibilización integrada con la participación de representantes italianos de Facebook, Youtube y Twitter.</w:t>
      </w:r>
    </w:p>
    <w:p w:rsidR="00790265" w:rsidRPr="00790265" w:rsidRDefault="00790265" w:rsidP="00790265">
      <w:pPr>
        <w:pStyle w:val="SingleTxt"/>
        <w:spacing w:after="0" w:line="120" w:lineRule="exact"/>
        <w:rPr>
          <w:b/>
          <w:sz w:val="10"/>
        </w:rPr>
      </w:pPr>
    </w:p>
    <w:p w:rsidR="00790265" w:rsidRPr="00790265" w:rsidRDefault="00790265" w:rsidP="00790265">
      <w:pPr>
        <w:pStyle w:val="SingleTxt"/>
        <w:spacing w:after="0" w:line="120" w:lineRule="exact"/>
        <w:rPr>
          <w:b/>
          <w:sz w:val="10"/>
        </w:rPr>
      </w:pPr>
    </w:p>
    <w:p w:rsidR="00895D0A" w:rsidRPr="00895D0A" w:rsidRDefault="00895D0A" w:rsidP="00972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C.</w:t>
      </w:r>
      <w:r w:rsidR="00790265">
        <w:tab/>
      </w:r>
      <w:r w:rsidRPr="00895D0A">
        <w:t>Derechos económicos, sociales y culturales</w:t>
      </w:r>
    </w:p>
    <w:p w:rsidR="009725A4" w:rsidRDefault="009725A4" w:rsidP="009725A4">
      <w:pPr>
        <w:pStyle w:val="SingleTxt"/>
        <w:spacing w:after="0" w:line="120" w:lineRule="exact"/>
        <w:rPr>
          <w:b/>
          <w:sz w:val="10"/>
        </w:rPr>
      </w:pPr>
    </w:p>
    <w:p w:rsidR="00AF51E0" w:rsidRPr="009725A4" w:rsidRDefault="00AF51E0" w:rsidP="009725A4">
      <w:pPr>
        <w:pStyle w:val="SingleTxt"/>
        <w:spacing w:after="0" w:line="120" w:lineRule="exact"/>
        <w:rPr>
          <w:b/>
          <w:sz w:val="10"/>
        </w:rPr>
      </w:pPr>
    </w:p>
    <w:p w:rsidR="00895D0A" w:rsidRPr="00895D0A" w:rsidRDefault="00895D0A" w:rsidP="00972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El derecho a trabajar</w:t>
      </w:r>
    </w:p>
    <w:p w:rsidR="009725A4" w:rsidRPr="009725A4" w:rsidRDefault="009725A4" w:rsidP="009725A4">
      <w:pPr>
        <w:pStyle w:val="SingleTxt"/>
        <w:spacing w:after="0" w:line="120" w:lineRule="exact"/>
        <w:rPr>
          <w:iCs/>
          <w:sz w:val="10"/>
        </w:rPr>
      </w:pP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el </w:t>
      </w:r>
      <w:r w:rsidR="00047B31">
        <w:t>marco legislativo</w:t>
      </w:r>
      <w:r w:rsidRPr="00895D0A">
        <w:t xml:space="preserve"> italiano se han adoptado medidas recientes que permiten el acceso al mercado laboral (en las administraciones públicas) </w:t>
      </w:r>
      <w:r w:rsidR="00047B31">
        <w:t>de</w:t>
      </w:r>
      <w:r w:rsidRPr="00895D0A">
        <w:t xml:space="preserve"> extranjeros (titulares de un permiso de residencia, refugiados y </w:t>
      </w:r>
      <w:r w:rsidR="00047B31">
        <w:t>beneficiarios</w:t>
      </w:r>
      <w:r w:rsidRPr="00895D0A">
        <w:t xml:space="preserve"> de protección subsidiaria,</w:t>
      </w:r>
      <w:r w:rsidR="00047B31">
        <w:t xml:space="preserve"> y</w:t>
      </w:r>
      <w:r w:rsidRPr="00895D0A">
        <w:t xml:space="preserve"> familiares de ciudadanos europeos como titulares del derecho de residencia, incluso con carácter permanente) y la asignación de tarjetas sociales a familias con un mínimo de tres hijos (pueden solicitarla ciudadanos italianos y de la Unión Europea, así como ciudadanos de terceros países </w:t>
      </w:r>
      <w:r w:rsidR="00047B31">
        <w:t>que lleven residiendo mucho tiempo en el país</w:t>
      </w:r>
      <w:r w:rsidRPr="00895D0A">
        <w:t>).</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Como se ha </w:t>
      </w:r>
      <w:r w:rsidR="004D5ACB">
        <w:t>dicho</w:t>
      </w:r>
      <w:r w:rsidRPr="00895D0A">
        <w:t xml:space="preserve">, en nuestro país los migrantes legales están plenamente protegidos en el trabajo y se benefician </w:t>
      </w:r>
      <w:r w:rsidR="004D5ACB">
        <w:t>de</w:t>
      </w:r>
      <w:r w:rsidRPr="00895D0A">
        <w:t xml:space="preserve"> los mismos derechos que los trabajadores italianos</w:t>
      </w:r>
      <w:r w:rsidR="004D5ACB">
        <w:t xml:space="preserve"> en virtud de un</w:t>
      </w:r>
      <w:r w:rsidR="004D5ACB" w:rsidRPr="004D5ACB">
        <w:t xml:space="preserve"> </w:t>
      </w:r>
      <w:r w:rsidR="004D5ACB" w:rsidRPr="00895D0A">
        <w:t>contrato de trabajo</w:t>
      </w:r>
      <w:r w:rsidRPr="00895D0A">
        <w:t xml:space="preserve">. </w:t>
      </w:r>
      <w:r w:rsidR="004D5ACB">
        <w:t>Nuestra legislación prevé un</w:t>
      </w:r>
      <w:r w:rsidRPr="00895D0A">
        <w:t xml:space="preserve"> convenio nacional colectivo de los trabajadores firmado con las organizaciones sindicales y las asociaciones patronales</w:t>
      </w:r>
      <w:r w:rsidR="004D5ACB">
        <w:t>, que</w:t>
      </w:r>
      <w:r w:rsidRPr="00895D0A">
        <w:t xml:space="preserve"> tiene por objeto regular de manera conjunta y preventiva las cuestiones mínimas de índole económica y reglamentaria aplicables a todos los trabajadores.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los últimos cinco años, el aumento de los flujos migratorios y demográficos ha sido tan importante que ha provocado un fuerte crecimiento de la población en edad de trabajar; sin embargo, ese aumento parece haber sido más rápido que la capacidad del sistema económico-productivo de absorber a los trabajadores extranjeros, generando así </w:t>
      </w:r>
      <w:r w:rsidR="004D5ACB">
        <w:t xml:space="preserve">una </w:t>
      </w:r>
      <w:r w:rsidRPr="00895D0A">
        <w:t xml:space="preserve">inestabilidad en el delicado equilibrio sociolaboral, cuya dinámica </w:t>
      </w:r>
      <w:r w:rsidR="004D5ACB">
        <w:t>revelan</w:t>
      </w:r>
      <w:r w:rsidRPr="00895D0A">
        <w:t xml:space="preserve"> claramente los datos disponibles.</w:t>
      </w:r>
    </w:p>
    <w:p w:rsidR="00895D0A" w:rsidRPr="00895D0A" w:rsidRDefault="00895D0A" w:rsidP="009725A4">
      <w:pPr>
        <w:pStyle w:val="SingleTxt"/>
        <w:numPr>
          <w:ilvl w:val="0"/>
          <w:numId w:val="15"/>
        </w:numPr>
        <w:tabs>
          <w:tab w:val="clear" w:pos="475"/>
          <w:tab w:val="num" w:pos="1742"/>
        </w:tabs>
        <w:suppressAutoHyphens w:val="0"/>
        <w:ind w:left="1267"/>
      </w:pPr>
      <w:r w:rsidRPr="00B84373">
        <w:rPr>
          <w:spacing w:val="3"/>
        </w:rPr>
        <w:t xml:space="preserve">En general, entre 2012 y 2013 el número de ciudadanos empleados </w:t>
      </w:r>
      <w:r w:rsidR="004D5ACB" w:rsidRPr="00B84373">
        <w:rPr>
          <w:spacing w:val="3"/>
        </w:rPr>
        <w:t xml:space="preserve">pertenecientes o no a la </w:t>
      </w:r>
      <w:r w:rsidR="00B71C6B">
        <w:rPr>
          <w:spacing w:val="3"/>
        </w:rPr>
        <w:t>Unión Europea</w:t>
      </w:r>
      <w:r w:rsidRPr="00B84373">
        <w:rPr>
          <w:spacing w:val="3"/>
        </w:rPr>
        <w:t xml:space="preserve"> registró un ligero aumento de poco menos de 22.000</w:t>
      </w:r>
      <w:r w:rsidR="004D5ACB" w:rsidRPr="00B84373">
        <w:rPr>
          <w:spacing w:val="3"/>
        </w:rPr>
        <w:t xml:space="preserve"> unidades, mientras que se perdían</w:t>
      </w:r>
      <w:r w:rsidRPr="00B84373">
        <w:rPr>
          <w:spacing w:val="3"/>
        </w:rPr>
        <w:t xml:space="preserve"> 500.000 puestos de trabajo de ciudadanos nacionales. Sin embargo, aunque la tasa de empleo de ciudadanos extranjeros es superior a la de los nacionales, la tendencia ha empeorado en los últimos años. De hecho, desde 2008</w:t>
      </w:r>
      <w:r w:rsidR="004D5ACB" w:rsidRPr="00B84373">
        <w:rPr>
          <w:spacing w:val="3"/>
        </w:rPr>
        <w:t xml:space="preserve"> esta tasa</w:t>
      </w:r>
      <w:r w:rsidRPr="00B84373">
        <w:rPr>
          <w:spacing w:val="3"/>
        </w:rPr>
        <w:t xml:space="preserve"> ha </w:t>
      </w:r>
      <w:r w:rsidR="004D5ACB" w:rsidRPr="00B84373">
        <w:rPr>
          <w:spacing w:val="3"/>
        </w:rPr>
        <w:t>disminuido en</w:t>
      </w:r>
      <w:r w:rsidRPr="00B84373">
        <w:rPr>
          <w:spacing w:val="3"/>
        </w:rPr>
        <w:t xml:space="preserve"> 5 puntos porcentuales, situándose actualmente en el 58,1%. </w:t>
      </w:r>
      <w:r w:rsidR="004D5ACB" w:rsidRPr="00B84373">
        <w:rPr>
          <w:spacing w:val="3"/>
        </w:rPr>
        <w:t>Entre</w:t>
      </w:r>
      <w:r w:rsidRPr="00B84373">
        <w:rPr>
          <w:spacing w:val="3"/>
        </w:rPr>
        <w:t xml:space="preserve"> 2007 (el año del</w:t>
      </w:r>
      <w:r w:rsidR="004D5ACB" w:rsidRPr="00B84373">
        <w:rPr>
          <w:spacing w:val="3"/>
        </w:rPr>
        <w:t xml:space="preserve"> mayor crecimiento del empleo) y</w:t>
      </w:r>
      <w:r w:rsidR="00B84373" w:rsidRPr="00B84373">
        <w:rPr>
          <w:spacing w:val="3"/>
        </w:rPr>
        <w:t xml:space="preserve"> </w:t>
      </w:r>
      <w:r w:rsidRPr="00B84373">
        <w:rPr>
          <w:spacing w:val="3"/>
        </w:rPr>
        <w:t xml:space="preserve">2013, </w:t>
      </w:r>
      <w:r w:rsidRPr="00895D0A">
        <w:t>el empleo de ciudadanos extranjeros aumentó en 853.000 puestos de trabajo</w:t>
      </w:r>
      <w:r w:rsidR="004D5ACB">
        <w:t>,</w:t>
      </w:r>
      <w:r w:rsidRPr="00895D0A">
        <w:t xml:space="preserve"> </w:t>
      </w:r>
      <w:r w:rsidR="004D5ACB">
        <w:t>mientras que para los trabajadores italianos la disminución se cifraba en</w:t>
      </w:r>
      <w:r w:rsidRPr="00895D0A">
        <w:t xml:space="preserve"> 1,6 millones </w:t>
      </w:r>
      <w:r w:rsidR="004D5ACB">
        <w:t xml:space="preserve">de </w:t>
      </w:r>
      <w:r w:rsidR="00B71C6B">
        <w:t>puestos</w:t>
      </w:r>
      <w:r w:rsidRPr="00895D0A">
        <w:t xml:space="preserve">. En consecuencia, a pesar </w:t>
      </w:r>
      <w:r w:rsidR="004D5ACB">
        <w:t>del descenso,</w:t>
      </w:r>
      <w:r w:rsidRPr="00895D0A">
        <w:t xml:space="preserve"> </w:t>
      </w:r>
      <w:r w:rsidR="004D5ACB">
        <w:t>en este período el número</w:t>
      </w:r>
      <w:r w:rsidRPr="00895D0A">
        <w:t xml:space="preserve"> de ciudadanos extranjeros en el mercado de trabajo italiano aumentó. </w:t>
      </w:r>
      <w:r w:rsidR="00853A1C">
        <w:t>Los valores al</w:t>
      </w:r>
      <w:r w:rsidRPr="00895D0A">
        <w:t xml:space="preserve"> respecto son significativos tanto en términos </w:t>
      </w:r>
      <w:r w:rsidR="00853A1C">
        <w:t>agregados</w:t>
      </w:r>
      <w:r w:rsidRPr="00895D0A">
        <w:t xml:space="preserve"> </w:t>
      </w:r>
      <w:r w:rsidR="00853A1C">
        <w:t>(</w:t>
      </w:r>
      <w:r w:rsidRPr="00895D0A">
        <w:t>un 10,5% del total de los trabajadores empleados</w:t>
      </w:r>
      <w:r w:rsidR="00853A1C" w:rsidRPr="00853A1C">
        <w:t xml:space="preserve"> </w:t>
      </w:r>
      <w:r w:rsidR="00853A1C" w:rsidRPr="00895D0A">
        <w:t>en 2013</w:t>
      </w:r>
      <w:r w:rsidR="00853A1C">
        <w:t>)</w:t>
      </w:r>
      <w:r w:rsidRPr="00895D0A">
        <w:t xml:space="preserve"> como en términos sectoriales, en particular en los sectores de la construcción (19,7%), de los servicios (10,7%) y de la agricultura (13%). </w:t>
      </w:r>
      <w:r w:rsidR="00853A1C">
        <w:t>Es bien conocida la</w:t>
      </w:r>
      <w:r w:rsidRPr="00895D0A">
        <w:t xml:space="preserve"> importancia de los trabajadores extranjeros como personal doméstico en las actividades familiares y las cohabitaciones (más del 76% del total de la fuerza de trabajo empleada </w:t>
      </w:r>
      <w:r w:rsidR="00853A1C">
        <w:t>son</w:t>
      </w:r>
      <w:r w:rsidRPr="00895D0A">
        <w:t xml:space="preserve"> inmigrantes), un sector en el que se ha registrado un aumento anual </w:t>
      </w:r>
      <w:r w:rsidR="00853A1C" w:rsidRPr="00895D0A">
        <w:t>del 43,8%</w:t>
      </w:r>
      <w:r w:rsidR="00853A1C">
        <w:t xml:space="preserve"> en </w:t>
      </w:r>
      <w:r w:rsidRPr="00895D0A">
        <w:t>el empleo de ciudadanos no comunitarios. Los efectos de la crisis económica en los menores de 30 años han sido con</w:t>
      </w:r>
      <w:r w:rsidR="00451D67">
        <w:t>siderables. A largo plazo (2007-</w:t>
      </w:r>
      <w:r w:rsidRPr="00895D0A">
        <w:t xml:space="preserve">2013), el empleo de italianos menores de 30 años ha caído </w:t>
      </w:r>
      <w:r w:rsidR="00853A1C">
        <w:t>verticalmente</w:t>
      </w:r>
      <w:r w:rsidR="0055342D">
        <w:t xml:space="preserve"> (se han perdido 1,</w:t>
      </w:r>
      <w:r w:rsidRPr="00895D0A">
        <w:t xml:space="preserve">162 millones de puestos de trabajo), </w:t>
      </w:r>
      <w:r w:rsidR="00853A1C">
        <w:t>mientras que el</w:t>
      </w:r>
      <w:r w:rsidRPr="00895D0A">
        <w:t xml:space="preserve"> empleo de jóvenes inmigrantes </w:t>
      </w:r>
      <w:r w:rsidR="00853A1C">
        <w:t>ha aumentado (en uno</w:t>
      </w:r>
      <w:r w:rsidRPr="00895D0A">
        <w:t xml:space="preserve"> 63.000 puestos de trabajo).</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La necesidad de mano de obra de bajo costo, así como de personal (como los cuidadores) en sectores con tendencias tradicionalmente asimétricas respecto del ciclo económico </w:t>
      </w:r>
      <w:r w:rsidR="00246B35">
        <w:t>y que son esenciales —</w:t>
      </w:r>
      <w:r w:rsidRPr="00895D0A">
        <w:t xml:space="preserve">de lo contrario, el bienestar social de Italia se </w:t>
      </w:r>
      <w:r w:rsidR="00A665B9">
        <w:t>vendría abajo</w:t>
      </w:r>
      <w:r w:rsidRPr="00895D0A">
        <w:t xml:space="preserve">, al estar </w:t>
      </w:r>
      <w:r w:rsidR="00A665B9">
        <w:t xml:space="preserve">más </w:t>
      </w:r>
      <w:r w:rsidRPr="00895D0A">
        <w:t xml:space="preserve">sustentado en la familia </w:t>
      </w:r>
      <w:r w:rsidR="00A665B9">
        <w:t>que en</w:t>
      </w:r>
      <w:r w:rsidR="00246B35">
        <w:t xml:space="preserve"> los servicios públicos—</w:t>
      </w:r>
      <w:r w:rsidRPr="00895D0A">
        <w:t xml:space="preserve">, aumenta, en general, el atractivo para la fuerza de trabajo inmigrante y, </w:t>
      </w:r>
      <w:r w:rsidR="00A665B9">
        <w:t>cuando se pierde el</w:t>
      </w:r>
      <w:r w:rsidRPr="00895D0A">
        <w:t xml:space="preserve"> empleo, </w:t>
      </w:r>
      <w:r w:rsidR="00A665B9">
        <w:t>permite acceder de nuevo al mercado con mayor rapidez.</w:t>
      </w:r>
    </w:p>
    <w:p w:rsidR="00895D0A" w:rsidRPr="00895D0A" w:rsidRDefault="00895D0A" w:rsidP="009725A4">
      <w:pPr>
        <w:pStyle w:val="SingleTxt"/>
        <w:numPr>
          <w:ilvl w:val="0"/>
          <w:numId w:val="15"/>
        </w:numPr>
        <w:tabs>
          <w:tab w:val="clear" w:pos="475"/>
          <w:tab w:val="num" w:pos="1742"/>
        </w:tabs>
        <w:suppressAutoHyphens w:val="0"/>
        <w:ind w:left="1267"/>
      </w:pPr>
      <w:r w:rsidRPr="00895D0A">
        <w:t>En 2013, la</w:t>
      </w:r>
      <w:r w:rsidR="00A665B9">
        <w:t xml:space="preserve"> prolongada</w:t>
      </w:r>
      <w:r w:rsidRPr="00895D0A">
        <w:t xml:space="preserve"> crisis </w:t>
      </w:r>
      <w:r w:rsidR="00A665B9">
        <w:t>hizo que se inscribieran unos</w:t>
      </w:r>
      <w:r w:rsidRPr="00895D0A">
        <w:t xml:space="preserve"> 500.000 ciudadanos extranjeros como solicitantes de empleo, </w:t>
      </w:r>
      <w:r w:rsidR="00A665B9">
        <w:t>y en el último año se inscribieron otros 100.000.</w:t>
      </w:r>
      <w:r w:rsidRPr="00895D0A">
        <w:t xml:space="preserve"> La tasa de desempleo correspondiente ha alcanzado el 17,3%, superando</w:t>
      </w:r>
      <w:r w:rsidR="00A665B9">
        <w:t xml:space="preserve"> a</w:t>
      </w:r>
      <w:r w:rsidRPr="00895D0A">
        <w:t xml:space="preserve"> la de los ciudadanos italianos en unos 6 puntos.</w:t>
      </w:r>
    </w:p>
    <w:p w:rsidR="00895D0A" w:rsidRPr="00895D0A" w:rsidRDefault="00895D0A" w:rsidP="009725A4">
      <w:pPr>
        <w:pStyle w:val="SingleTxt"/>
        <w:numPr>
          <w:ilvl w:val="0"/>
          <w:numId w:val="15"/>
        </w:numPr>
        <w:tabs>
          <w:tab w:val="clear" w:pos="475"/>
          <w:tab w:val="num" w:pos="1742"/>
        </w:tabs>
        <w:suppressAutoHyphens w:val="0"/>
        <w:ind w:left="1267"/>
      </w:pPr>
      <w:r w:rsidRPr="00895D0A">
        <w:t>Además de los datos sobre el desempleo,</w:t>
      </w:r>
      <w:r w:rsidR="00A665B9">
        <w:t xml:space="preserve"> se ha registrado un aumento de</w:t>
      </w:r>
      <w:r w:rsidRPr="00895D0A">
        <w:t xml:space="preserve"> la población extranjera inactiva</w:t>
      </w:r>
      <w:r w:rsidR="00A665B9">
        <w:t>, que alcanza</w:t>
      </w:r>
      <w:r w:rsidR="0055342D">
        <w:t xml:space="preserve"> los 1,</w:t>
      </w:r>
      <w:r w:rsidRPr="00895D0A">
        <w:t>275 mi</w:t>
      </w:r>
      <w:r w:rsidR="00A665B9">
        <w:t>llones (77.000 personas al año);</w:t>
      </w:r>
      <w:r w:rsidRPr="00895D0A">
        <w:t xml:space="preserve"> la mayoría</w:t>
      </w:r>
      <w:r w:rsidR="00A665B9">
        <w:t xml:space="preserve"> de ellos</w:t>
      </w:r>
      <w:r w:rsidRPr="00895D0A">
        <w:t xml:space="preserve"> son ciudadanos no comunitarios (52.000), debido al fenómeno de la reunificación familiar, el aumento</w:t>
      </w:r>
      <w:r w:rsidR="00A665B9">
        <w:t xml:space="preserve"> del número</w:t>
      </w:r>
      <w:r w:rsidRPr="00895D0A">
        <w:t xml:space="preserve"> de ciudadanos extranjeros de </w:t>
      </w:r>
      <w:r w:rsidR="00DD1A63">
        <w:t>“</w:t>
      </w:r>
      <w:r w:rsidRPr="00895D0A">
        <w:t>segunda generación</w:t>
      </w:r>
      <w:r w:rsidR="00DD1A63">
        <w:t>”</w:t>
      </w:r>
      <w:r w:rsidRPr="00895D0A">
        <w:t xml:space="preserve"> y las llegadas no programadas de ciudadanos extranjeros </w:t>
      </w:r>
      <w:r w:rsidR="00A665B9">
        <w:t>no comunitarios como refugiados o</w:t>
      </w:r>
      <w:r w:rsidRPr="00895D0A">
        <w:t xml:space="preserve"> solicitantes de asilo</w:t>
      </w:r>
      <w:r w:rsidR="00A665B9">
        <w:t>,</w:t>
      </w:r>
      <w:r w:rsidRPr="00895D0A">
        <w:t xml:space="preserve"> o </w:t>
      </w:r>
      <w:r w:rsidR="00A665B9">
        <w:t>de personas que entran en el país</w:t>
      </w:r>
      <w:r w:rsidRPr="00895D0A">
        <w:t xml:space="preserve"> por razones familiares. Sobre la base de los datos considera</w:t>
      </w:r>
      <w:r w:rsidR="00A665B9">
        <w:t>dos</w:t>
      </w:r>
      <w:r w:rsidRPr="00895D0A">
        <w:t xml:space="preserve">, la inactividad parece tener una relevancia diferente si se compara con los datos anteriores, </w:t>
      </w:r>
      <w:r w:rsidR="00A665B9">
        <w:t>incluso</w:t>
      </w:r>
      <w:r w:rsidRPr="00895D0A">
        <w:t xml:space="preserve"> desde un punto de vista estrictamente numérico.</w:t>
      </w:r>
    </w:p>
    <w:p w:rsidR="00895D0A" w:rsidRPr="00895D0A" w:rsidRDefault="00895D0A" w:rsidP="00B84373">
      <w:pPr>
        <w:pStyle w:val="SingleTxt"/>
        <w:keepNext/>
        <w:keepLines/>
        <w:numPr>
          <w:ilvl w:val="0"/>
          <w:numId w:val="15"/>
        </w:numPr>
        <w:tabs>
          <w:tab w:val="clear" w:pos="475"/>
          <w:tab w:val="num" w:pos="1742"/>
        </w:tabs>
        <w:suppressAutoHyphens w:val="0"/>
        <w:ind w:left="1267"/>
      </w:pPr>
      <w:r w:rsidRPr="00895D0A">
        <w:t xml:space="preserve">En 2013, el total estimado de jóvenes </w:t>
      </w:r>
      <w:r w:rsidR="00902FFA">
        <w:t>de</w:t>
      </w:r>
      <w:r w:rsidR="00902FFA" w:rsidRPr="00895D0A">
        <w:t xml:space="preserve"> edades comprendidas entre 15 y 29 años </w:t>
      </w:r>
      <w:r w:rsidRPr="00895D0A">
        <w:t xml:space="preserve">que no cursan estudios ni trabajan era de 2.434.740, de los cuales 385.179 eran extranjeros, </w:t>
      </w:r>
      <w:r w:rsidR="00902FFA">
        <w:t xml:space="preserve">lo que representa </w:t>
      </w:r>
      <w:r w:rsidRPr="00895D0A">
        <w:t>el 15.8% de la población considera</w:t>
      </w:r>
      <w:r w:rsidR="00902FFA">
        <w:t>da</w:t>
      </w:r>
      <w:r w:rsidRPr="00895D0A">
        <w:t xml:space="preserve">. Es interesante </w:t>
      </w:r>
      <w:r w:rsidR="00902FFA">
        <w:t>observar</w:t>
      </w:r>
      <w:r w:rsidRPr="00895D0A">
        <w:t xml:space="preserve"> que </w:t>
      </w:r>
      <w:r w:rsidR="00902FFA">
        <w:t>hay más</w:t>
      </w:r>
      <w:r w:rsidRPr="00895D0A">
        <w:t xml:space="preserve"> mujeres en esta situación entre los ciudadanos jóvenes comunitarios y no comunitarios que entre los italianos. En </w:t>
      </w:r>
      <w:r w:rsidR="00902FFA">
        <w:t>comparación</w:t>
      </w:r>
      <w:r w:rsidRPr="00895D0A">
        <w:t xml:space="preserve"> con Marruecos, Bangladesh, la India, la República d</w:t>
      </w:r>
      <w:r w:rsidR="00902FFA">
        <w:t>e Moldova, Ucrania, el Pakistán y</w:t>
      </w:r>
      <w:r w:rsidR="000F5E60">
        <w:t xml:space="preserve"> Sri </w:t>
      </w:r>
      <w:r w:rsidRPr="00895D0A">
        <w:t xml:space="preserve">Lanka (Ceilán), las mujeres representan las dos terceras partes </w:t>
      </w:r>
      <w:r w:rsidR="00902FFA">
        <w:t>de</w:t>
      </w:r>
      <w:r w:rsidRPr="00895D0A">
        <w:t xml:space="preserve"> los jóvenes en esta situación, es decir, más del 70% del total. En lo que respecta a los valores de la tasa de personas que no cursan estudios ni trabajan </w:t>
      </w:r>
      <w:r w:rsidR="00902FFA">
        <w:t>—o sea</w:t>
      </w:r>
      <w:r w:rsidRPr="00895D0A">
        <w:t xml:space="preserve"> la incidencia de los jóvenes </w:t>
      </w:r>
      <w:r w:rsidR="00902FFA">
        <w:t>de</w:t>
      </w:r>
      <w:r w:rsidR="00902FFA" w:rsidRPr="00895D0A">
        <w:t xml:space="preserve"> edades comprendidas entre 15 y 29 años </w:t>
      </w:r>
      <w:r w:rsidRPr="00895D0A">
        <w:t>en esta situación</w:t>
      </w:r>
      <w:r w:rsidR="00902FFA">
        <w:t>,</w:t>
      </w:r>
      <w:r w:rsidRPr="00895D0A">
        <w:t xml:space="preserve"> </w:t>
      </w:r>
      <w:r w:rsidR="00755D95">
        <w:t>en relación con el</w:t>
      </w:r>
      <w:r w:rsidRPr="00895D0A">
        <w:t xml:space="preserve"> total de la población de la misma edad</w:t>
      </w:r>
      <w:r w:rsidR="00755D95">
        <w:t>—</w:t>
      </w:r>
      <w:r w:rsidRPr="00895D0A">
        <w:t xml:space="preserve"> las comunidades con los valores más elevados son las siguientes: la tasa de ciudadanos italianos, que asciende al 24,7%, es inferior al de los ciudadanos de Bangladesh (5</w:t>
      </w:r>
      <w:r w:rsidR="00B84373">
        <w:t xml:space="preserve">6,3%), Marruecos (50,5%), Túnez </w:t>
      </w:r>
      <w:r w:rsidRPr="00895D0A">
        <w:t>(49,3%), Egi</w:t>
      </w:r>
      <w:r w:rsidR="00755D95">
        <w:t>pto (48,4%) y Sri Lanka (39,1%), mientras que</w:t>
      </w:r>
      <w:r w:rsidRPr="00895D0A">
        <w:t xml:space="preserve"> por debajo de la media </w:t>
      </w:r>
      <w:r w:rsidR="00755D95">
        <w:t>(</w:t>
      </w:r>
      <w:r w:rsidR="0055342D">
        <w:t>el </w:t>
      </w:r>
      <w:r w:rsidRPr="00895D0A">
        <w:t xml:space="preserve">26%) se </w:t>
      </w:r>
      <w:r w:rsidR="00755D95">
        <w:t>sitúan</w:t>
      </w:r>
      <w:r w:rsidRPr="00895D0A">
        <w:t xml:space="preserve"> la República de Moldova (24,6%), Ghana (24%), Filipinas (21,2%), el Perú (20,1%) y China (18,5%).</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2013, el número de familias inmigrantes </w:t>
      </w:r>
      <w:r w:rsidR="00755D95">
        <w:t>superó de</w:t>
      </w:r>
      <w:r w:rsidRPr="00895D0A">
        <w:t xml:space="preserve"> poco </w:t>
      </w:r>
      <w:r w:rsidR="00755D95">
        <w:t>los</w:t>
      </w:r>
      <w:r w:rsidRPr="00895D0A">
        <w:t xml:space="preserve"> 1,8 millones, de las cuales 585.000 </w:t>
      </w:r>
      <w:r w:rsidR="00755D95">
        <w:t>eran de</w:t>
      </w:r>
      <w:r w:rsidRPr="00895D0A">
        <w:t xml:space="preserve"> ciudadanos comunitarios y 1,2 millones </w:t>
      </w:r>
      <w:r w:rsidR="00755D95">
        <w:t>de</w:t>
      </w:r>
      <w:r w:rsidRPr="00895D0A">
        <w:t xml:space="preserve"> ciudadanos no comunitarios</w:t>
      </w:r>
      <w:r w:rsidR="00755D95">
        <w:t>;</w:t>
      </w:r>
      <w:r w:rsidRPr="00895D0A">
        <w:t xml:space="preserve"> </w:t>
      </w:r>
      <w:r w:rsidR="00755D95">
        <w:t>las</w:t>
      </w:r>
      <w:r w:rsidRPr="00895D0A">
        <w:t xml:space="preserve"> estructuras parentales, edades de sus miembros y número de integrantes</w:t>
      </w:r>
      <w:r w:rsidR="00755D95">
        <w:t xml:space="preserve"> de estos últimos</w:t>
      </w:r>
      <w:r w:rsidRPr="00895D0A">
        <w:t xml:space="preserve"> diferían de</w:t>
      </w:r>
      <w:r w:rsidR="00755D95">
        <w:t xml:space="preserve"> los de</w:t>
      </w:r>
      <w:r w:rsidRPr="00895D0A">
        <w:t xml:space="preserve"> las familias italianas, y las comunidades</w:t>
      </w:r>
      <w:r w:rsidR="00755D95">
        <w:t xml:space="preserve"> también se diferenciaban</w:t>
      </w:r>
      <w:r w:rsidRPr="00895D0A">
        <w:t xml:space="preserve"> entre sí. En términos </w:t>
      </w:r>
      <w:r w:rsidR="00755D95">
        <w:t>agregados en</w:t>
      </w:r>
      <w:r w:rsidRPr="00895D0A">
        <w:t xml:space="preserve"> el 59,8% de las familias italianas </w:t>
      </w:r>
      <w:r w:rsidR="00755D95">
        <w:t>había por lo</w:t>
      </w:r>
      <w:r w:rsidRPr="00895D0A">
        <w:t xml:space="preserve"> menos un trabajador</w:t>
      </w:r>
      <w:r w:rsidR="00755D95">
        <w:t>,</w:t>
      </w:r>
      <w:r w:rsidRPr="00895D0A">
        <w:t xml:space="preserve"> frente al 82,8% de las familias de ciudadanos extranjeros. Sin embargo, cuanto mayor es la participación en el mercado de trabajo, </w:t>
      </w:r>
      <w:r w:rsidR="00755D95">
        <w:t>más se está expuesto</w:t>
      </w:r>
      <w:r w:rsidRPr="00895D0A">
        <w:t xml:space="preserve"> al riesgo de desempleo. En 2013, el porcentaje de las familias de ciudadanos extranjeros con al menos un miembro desempleado por despido, cierre de la empresa o </w:t>
      </w:r>
      <w:r w:rsidR="00755D95">
        <w:t>vencimiento</w:t>
      </w:r>
      <w:r w:rsidRPr="00895D0A">
        <w:t xml:space="preserve"> de un contrato de duración determinada, ascendió al 24% del total </w:t>
      </w:r>
      <w:r w:rsidR="00150D44">
        <w:t>(</w:t>
      </w:r>
      <w:r w:rsidR="00755D95">
        <w:t>e</w:t>
      </w:r>
      <w:r w:rsidRPr="00895D0A">
        <w:t>l 14,6% en el caso de las familias italianas</w:t>
      </w:r>
      <w:r w:rsidR="00150D44">
        <w:t>)</w:t>
      </w:r>
      <w:r w:rsidRPr="00895D0A">
        <w:t>. El porcentaje varía en función de la tipología de la familia considera</w:t>
      </w:r>
      <w:r w:rsidR="00150D44">
        <w:t>da</w:t>
      </w:r>
      <w:r w:rsidRPr="00895D0A">
        <w:t xml:space="preserve">; la brecha entre las familias de ciudadanos extranjeros y las familias </w:t>
      </w:r>
      <w:r w:rsidR="00150D44">
        <w:t>de</w:t>
      </w:r>
      <w:r w:rsidRPr="00895D0A">
        <w:t xml:space="preserve"> italianos es aún mayor, </w:t>
      </w:r>
      <w:r w:rsidR="00150D44">
        <w:t>como puede verse</w:t>
      </w:r>
      <w:r w:rsidRPr="00895D0A">
        <w:t xml:space="preserve"> en el caso de las </w:t>
      </w:r>
      <w:r w:rsidR="00DD1A63">
        <w:t>“</w:t>
      </w:r>
      <w:r w:rsidRPr="00895D0A">
        <w:t>parejas sin hijos</w:t>
      </w:r>
      <w:r w:rsidR="00DD1A63">
        <w:t>”</w:t>
      </w:r>
      <w:r w:rsidRPr="00895D0A">
        <w:t xml:space="preserve"> (28% en comparación con el 8,7%), o </w:t>
      </w:r>
      <w:r w:rsidR="00150D44">
        <w:t>de</w:t>
      </w:r>
      <w:r w:rsidRPr="00895D0A">
        <w:t xml:space="preserve"> los </w:t>
      </w:r>
      <w:r w:rsidR="00DD1A63">
        <w:t>“</w:t>
      </w:r>
      <w:r w:rsidRPr="00895D0A">
        <w:t>solteros</w:t>
      </w:r>
      <w:r w:rsidR="00DD1A63">
        <w:t>”</w:t>
      </w:r>
      <w:r w:rsidRPr="00895D0A">
        <w:t xml:space="preserve"> (16,3% de los casos frente al 4,7%).</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Los datos administrativos confirman las dificultades </w:t>
      </w:r>
      <w:r w:rsidR="00B24B8B">
        <w:t>con</w:t>
      </w:r>
      <w:r w:rsidRPr="00895D0A">
        <w:t xml:space="preserve"> que se enfrentan los trabajadores extranjeros en el mercado de trabajo italiano. En 2013, el </w:t>
      </w:r>
      <w:r w:rsidRPr="00DB00A4">
        <w:t>Sistema Informativo delle Comunicazioni Obbligatorie</w:t>
      </w:r>
      <w:r w:rsidRPr="00895D0A">
        <w:t xml:space="preserve"> </w:t>
      </w:r>
      <w:r w:rsidR="00B24B8B">
        <w:t xml:space="preserve">(Sistema Informativo de las Comunicaciones Obligatorias) </w:t>
      </w:r>
      <w:r w:rsidRPr="00895D0A">
        <w:t xml:space="preserve">registró un volumen de relaciones </w:t>
      </w:r>
      <w:r w:rsidR="00B24B8B">
        <w:t>de trabajo activadas</w:t>
      </w:r>
      <w:r w:rsidRPr="00895D0A">
        <w:t xml:space="preserve"> que implicaban a ciudadanos extranjeros </w:t>
      </w:r>
      <w:r w:rsidR="00B24B8B">
        <w:t>en un total de</w:t>
      </w:r>
      <w:r w:rsidRPr="00895D0A">
        <w:t xml:space="preserve"> 1.861.943 </w:t>
      </w:r>
      <w:r w:rsidR="00B24B8B">
        <w:t>unidades, de las cuales</w:t>
      </w:r>
      <w:r w:rsidRPr="00895D0A">
        <w:t xml:space="preserve"> 766.150 eran </w:t>
      </w:r>
      <w:r w:rsidR="00B24B8B">
        <w:t xml:space="preserve">de la </w:t>
      </w:r>
      <w:r w:rsidR="0055342D">
        <w:t>Unión Europea</w:t>
      </w:r>
      <w:r w:rsidRPr="00895D0A">
        <w:t xml:space="preserve"> (el 41,1% del total) y 1.095.793 </w:t>
      </w:r>
      <w:r w:rsidR="00B24B8B">
        <w:t>de otras procedencias</w:t>
      </w:r>
      <w:r w:rsidRPr="00895D0A">
        <w:t xml:space="preserve"> (58,9%). En los últimos 12 meses, la demanda de mano de obra</w:t>
      </w:r>
      <w:r w:rsidR="00B24B8B">
        <w:t xml:space="preserve"> se</w:t>
      </w:r>
      <w:r w:rsidRPr="00895D0A">
        <w:t xml:space="preserve"> ha </w:t>
      </w:r>
      <w:r w:rsidR="00B24B8B">
        <w:t>contraído mucho</w:t>
      </w:r>
      <w:r w:rsidRPr="00895D0A">
        <w:t xml:space="preserve">. En relación con el volumen de empleo registrado en 2012, se observa una contracción de </w:t>
      </w:r>
      <w:r w:rsidR="0055342D">
        <w:t>-9</w:t>
      </w:r>
      <w:r w:rsidRPr="00895D0A">
        <w:t>% p</w:t>
      </w:r>
      <w:r w:rsidR="00725004">
        <w:t xml:space="preserve">ara los ciudadanos de la </w:t>
      </w:r>
      <w:r w:rsidR="0055342D">
        <w:t>Unión Europea y</w:t>
      </w:r>
      <w:r w:rsidRPr="00895D0A">
        <w:t xml:space="preserve"> </w:t>
      </w:r>
      <w:r w:rsidR="00725004">
        <w:t>de -</w:t>
      </w:r>
      <w:r w:rsidRPr="00895D0A">
        <w:t xml:space="preserve">5,4% para los </w:t>
      </w:r>
      <w:r w:rsidR="00725004">
        <w:t xml:space="preserve">otros </w:t>
      </w:r>
      <w:r w:rsidRPr="00895D0A">
        <w:t xml:space="preserve">ciudadanos. En general, los contratos de ciudadanos extranjeros han disminuido </w:t>
      </w:r>
      <w:r w:rsidR="00725004">
        <w:t xml:space="preserve">en </w:t>
      </w:r>
      <w:r w:rsidRPr="00895D0A">
        <w:t xml:space="preserve">casi 7 puntos, con pérdidas de </w:t>
      </w:r>
      <w:r w:rsidR="00725004">
        <w:t>-</w:t>
      </w:r>
      <w:r w:rsidRPr="00895D0A">
        <w:t xml:space="preserve">7,7% en el mercado de trabajo </w:t>
      </w:r>
      <w:r w:rsidR="00725004">
        <w:t>d</w:t>
      </w:r>
      <w:r w:rsidRPr="00895D0A">
        <w:t xml:space="preserve">el norte del país y de </w:t>
      </w:r>
      <w:r w:rsidR="00725004">
        <w:t>-</w:t>
      </w:r>
      <w:r w:rsidRPr="00895D0A">
        <w:t>6,8% en el centro.</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lo que se refiere a las actividades promovidas por los migrantes en Italia, la base de datos </w:t>
      </w:r>
      <w:r w:rsidRPr="00725004">
        <w:rPr>
          <w:i/>
        </w:rPr>
        <w:t>Infocamere</w:t>
      </w:r>
      <w:r w:rsidRPr="00895D0A">
        <w:t xml:space="preserve"> recopila datos útiles </w:t>
      </w:r>
      <w:r w:rsidR="00725004">
        <w:t>sobre</w:t>
      </w:r>
      <w:r w:rsidRPr="00895D0A">
        <w:t xml:space="preserve"> las empresas </w:t>
      </w:r>
      <w:r w:rsidR="00725004">
        <w:t>registradas</w:t>
      </w:r>
      <w:r w:rsidRPr="00895D0A">
        <w:t xml:space="preserve"> </w:t>
      </w:r>
      <w:r w:rsidR="00725004">
        <w:t>en</w:t>
      </w:r>
      <w:r w:rsidRPr="00895D0A">
        <w:t xml:space="preserve"> las cámaras de comercio italianas. El porcentaje de empresas creadas por migrantes aumentó </w:t>
      </w:r>
      <w:r w:rsidR="00725004" w:rsidRPr="00895D0A">
        <w:t xml:space="preserve">en un 9,5% </w:t>
      </w:r>
      <w:r w:rsidRPr="00895D0A">
        <w:t xml:space="preserve">de 2011 a 2013 (24.000 y 23.000 empresas creadas respectivamente cada año). A finales de 2013 </w:t>
      </w:r>
      <w:r w:rsidR="00725004">
        <w:t>había</w:t>
      </w:r>
      <w:r w:rsidRPr="00895D0A">
        <w:t xml:space="preserve"> 500.000 empresas dirigidas por ciudadanos extranjeros que trabajaban principalmente en los siguientes sectores: comercio (32,5%), construcción (25,4%), manufactura (8,3%),</w:t>
      </w:r>
      <w:r w:rsidR="00725004">
        <w:t xml:space="preserve"> servicios de hostelería (7,2%) y</w:t>
      </w:r>
      <w:r w:rsidRPr="00895D0A">
        <w:t xml:space="preserve"> alquiler, viajes y servicios de apoyo a las empresas (4,7%). Las empresas están ubicadas principalmente en el norte (51,7%) y el centro </w:t>
      </w:r>
      <w:r w:rsidR="00725004" w:rsidRPr="00895D0A">
        <w:t xml:space="preserve">de Italia </w:t>
      </w:r>
      <w:r w:rsidRPr="00895D0A">
        <w:t>(26,3%). Los extranjeros que promueven estas actividades proceden de Marruecos (15,3% o 61.000 personas), Rumania (11,5% o 46.000 personas), China (11</w:t>
      </w:r>
      <w:r w:rsidR="0055342D">
        <w:t>,2% o 45.000 personas), Albania</w:t>
      </w:r>
      <w:r w:rsidRPr="00895D0A">
        <w:t xml:space="preserve"> (7,6% o 30.000 personas), Bangladesh (5,2% o 21.000 personas) y el Senegal (4,2% o 17.000 personas).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El Ministerio de Trabajo y Políticas Sociales ha participado activamente en la lucha contra </w:t>
      </w:r>
      <w:r w:rsidRPr="00895D0A">
        <w:rPr>
          <w:b/>
        </w:rPr>
        <w:t>la explotación ilegal de los trabajadores migrantes</w:t>
      </w:r>
      <w:r w:rsidRPr="00895D0A">
        <w:t xml:space="preserve"> que carecen de permisos de residencia válidos. </w:t>
      </w:r>
      <w:r w:rsidR="00942394">
        <w:t>L</w:t>
      </w:r>
      <w:r w:rsidR="00942394" w:rsidRPr="00895D0A">
        <w:t>os trabajadores migrantes</w:t>
      </w:r>
      <w:r w:rsidR="00942394">
        <w:t>, que</w:t>
      </w:r>
      <w:r w:rsidR="00942394" w:rsidRPr="00895D0A">
        <w:t xml:space="preserve"> son particularmente vulnerables, </w:t>
      </w:r>
      <w:r w:rsidR="00942394">
        <w:t>a</w:t>
      </w:r>
      <w:r w:rsidRPr="00895D0A">
        <w:t xml:space="preserve">l no cumplir las leyes vigentes relativas a la residencia en el territorio </w:t>
      </w:r>
      <w:r w:rsidR="00942394">
        <w:t>nacional</w:t>
      </w:r>
      <w:r w:rsidRPr="00895D0A">
        <w:t xml:space="preserve"> </w:t>
      </w:r>
      <w:r w:rsidR="00942394">
        <w:t>permiten que</w:t>
      </w:r>
      <w:r w:rsidRPr="00895D0A">
        <w:t xml:space="preserve"> los empleadores </w:t>
      </w:r>
      <w:r w:rsidR="00942394">
        <w:t>exploten su situación</w:t>
      </w:r>
      <w:r w:rsidRPr="00895D0A">
        <w:t xml:space="preserve"> injust</w:t>
      </w:r>
      <w:r w:rsidR="00942394">
        <w:t>a</w:t>
      </w:r>
      <w:r w:rsidRPr="00895D0A">
        <w:t xml:space="preserve"> y desfavorecida. Las actuaciones ilícitas rela</w:t>
      </w:r>
      <w:r w:rsidR="00942394">
        <w:t>tivas</w:t>
      </w:r>
      <w:r w:rsidRPr="00895D0A">
        <w:t xml:space="preserve"> </w:t>
      </w:r>
      <w:r w:rsidR="00942394">
        <w:t>a</w:t>
      </w:r>
      <w:r w:rsidRPr="00895D0A">
        <w:t xml:space="preserve">l empleo irregular y la explotación laboral de los trabajadores migrantes </w:t>
      </w:r>
      <w:r w:rsidR="00942394" w:rsidRPr="00895D0A">
        <w:t xml:space="preserve">no solo </w:t>
      </w:r>
      <w:r w:rsidRPr="00895D0A">
        <w:t xml:space="preserve">se producen en los sectores tradicionalmente </w:t>
      </w:r>
      <w:r w:rsidR="00DD1A63">
        <w:t>“</w:t>
      </w:r>
      <w:r w:rsidRPr="00895D0A">
        <w:t>cruciales</w:t>
      </w:r>
      <w:r w:rsidR="00DD1A63">
        <w:t>”</w:t>
      </w:r>
      <w:r w:rsidRPr="00895D0A">
        <w:t xml:space="preserve"> como la construcción y la agricultura, caracterizados por el </w:t>
      </w:r>
      <w:r w:rsidR="00942394" w:rsidRPr="00895D0A">
        <w:t xml:space="preserve">deplorable </w:t>
      </w:r>
      <w:r w:rsidRPr="00895D0A">
        <w:t xml:space="preserve">fenómeno del </w:t>
      </w:r>
      <w:r w:rsidRPr="00895D0A">
        <w:rPr>
          <w:i/>
        </w:rPr>
        <w:t>caporalato</w:t>
      </w:r>
      <w:r w:rsidRPr="00895D0A">
        <w:t xml:space="preserve"> (contratación ilegal de trabajadores </w:t>
      </w:r>
      <w:r w:rsidR="00942394">
        <w:t>agrícolas con</w:t>
      </w:r>
      <w:r w:rsidRPr="00895D0A">
        <w:t xml:space="preserve"> salarios muy bajos por mediación de un agente), sino que </w:t>
      </w:r>
      <w:r w:rsidR="00942394" w:rsidRPr="00895D0A">
        <w:t xml:space="preserve">también </w:t>
      </w:r>
      <w:r w:rsidRPr="00895D0A">
        <w:t xml:space="preserve">tienen una incidencia </w:t>
      </w:r>
      <w:r w:rsidR="00942394">
        <w:t xml:space="preserve">más </w:t>
      </w:r>
      <w:r w:rsidRPr="00895D0A">
        <w:t>elevada en los sectores industrial y terciario.</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2012, el Ministerio de Trabajo y Políticas Sociales financió un programa </w:t>
      </w:r>
      <w:r w:rsidR="008932CA">
        <w:t>de</w:t>
      </w:r>
      <w:r w:rsidRPr="00895D0A">
        <w:t xml:space="preserve"> lucha contra el empleo sumergido (RE.LA.R, </w:t>
      </w:r>
      <w:r w:rsidR="0055342D" w:rsidRPr="00DB00A4">
        <w:t>Rete dei servizi por la prevenzione del l</w:t>
      </w:r>
      <w:r w:rsidRPr="00DB00A4">
        <w:t>avoro sommers</w:t>
      </w:r>
      <w:r w:rsidR="008932CA" w:rsidRPr="00DB00A4">
        <w:t>o</w:t>
      </w:r>
      <w:r w:rsidRPr="00895D0A">
        <w:t>)</w:t>
      </w:r>
      <w:r w:rsidR="008932CA">
        <w:t xml:space="preserve"> (Red de servicios para la prevención del empleo sumergido)</w:t>
      </w:r>
      <w:r w:rsidRPr="00895D0A">
        <w:t xml:space="preserve">, </w:t>
      </w:r>
      <w:r w:rsidR="008932CA">
        <w:t>de consuno</w:t>
      </w:r>
      <w:r w:rsidRPr="00895D0A">
        <w:t xml:space="preserve"> con cuatro regiones y con la participación de los servicios públicos y privados para el empleo y las </w:t>
      </w:r>
      <w:r w:rsidR="008932CA" w:rsidRPr="00895D0A">
        <w:t xml:space="preserve">ventanillas únicas </w:t>
      </w:r>
      <w:r w:rsidRPr="00895D0A">
        <w:t>en los sectores de la construcci</w:t>
      </w:r>
      <w:r w:rsidR="008932CA">
        <w:t>ón, la agricultura y el turismo;</w:t>
      </w:r>
      <w:r w:rsidRPr="00895D0A">
        <w:t xml:space="preserve"> </w:t>
      </w:r>
      <w:r w:rsidR="008932CA">
        <w:t>se aportaron 5 millones de</w:t>
      </w:r>
      <w:r w:rsidRPr="00895D0A">
        <w:t xml:space="preserve"> euros de conformidad con el Fondo Social Europeo. Se </w:t>
      </w:r>
      <w:r w:rsidR="008932CA">
        <w:t>impartieron</w:t>
      </w:r>
      <w:r w:rsidRPr="00895D0A">
        <w:t xml:space="preserve"> 2.030 cursos de aprendizaje en las regiones de Campania (559), Calabria (390), Apulia (425), y Sicilia (656) </w:t>
      </w:r>
      <w:r w:rsidR="007B4085">
        <w:t xml:space="preserve">en </w:t>
      </w:r>
      <w:r w:rsidRPr="00895D0A">
        <w:t>relaci</w:t>
      </w:r>
      <w:r w:rsidR="007B4085">
        <w:t>ón</w:t>
      </w:r>
      <w:r w:rsidRPr="00895D0A">
        <w:t xml:space="preserve"> con la agricultura (12%), la construcción (26%) y el turismo (62%). </w:t>
      </w:r>
      <w:r w:rsidR="007B4085" w:rsidRPr="00895D0A">
        <w:t xml:space="preserve">Participaron </w:t>
      </w:r>
      <w:r w:rsidR="007B4085">
        <w:t>e</w:t>
      </w:r>
      <w:r w:rsidRPr="00895D0A">
        <w:t xml:space="preserve">n el proyecto 101 órganos promotores (órganos de </w:t>
      </w:r>
      <w:r w:rsidR="007B4085">
        <w:t>forma</w:t>
      </w:r>
      <w:r w:rsidRPr="00895D0A">
        <w:t xml:space="preserve">ción acreditados, órganos bilaterales, entidades privadas autorizadas para la intermediación de la oferta y la demanda en el mercado de trabajo). </w:t>
      </w:r>
      <w:r w:rsidR="007B4085">
        <w:t>Alrededor del</w:t>
      </w:r>
      <w:r w:rsidRPr="00895D0A">
        <w:t xml:space="preserve"> 78% de los 2.030 cursos de aprendizaje </w:t>
      </w:r>
      <w:r w:rsidR="007B4085">
        <w:t>impartidos permitieron establecer</w:t>
      </w:r>
      <w:r w:rsidRPr="00895D0A">
        <w:t xml:space="preserve"> relaciones laborales, como lo demuestran las comunicaciones obligatorias.</w:t>
      </w:r>
    </w:p>
    <w:p w:rsidR="00895D0A" w:rsidRPr="00895D0A" w:rsidRDefault="00895D0A" w:rsidP="009725A4">
      <w:pPr>
        <w:pStyle w:val="SingleTxt"/>
        <w:numPr>
          <w:ilvl w:val="0"/>
          <w:numId w:val="15"/>
        </w:numPr>
        <w:tabs>
          <w:tab w:val="clear" w:pos="475"/>
          <w:tab w:val="num" w:pos="1742"/>
        </w:tabs>
        <w:suppressAutoHyphens w:val="0"/>
        <w:ind w:left="1267"/>
      </w:pPr>
      <w:r w:rsidRPr="00895D0A">
        <w:t>Para prevenir el empleo sumergido en el sector de los servicios sociales, el Ministerio de Trabajo y Políticas Sociales financió un programa (9.757.000,00 euros</w:t>
      </w:r>
      <w:r w:rsidR="00781078">
        <w:t>,</w:t>
      </w:r>
      <w:r w:rsidRPr="00895D0A">
        <w:t xml:space="preserve"> de conformidad con el Fondo Social Europeo) </w:t>
      </w:r>
      <w:r w:rsidR="00781078">
        <w:t>de difusión de</w:t>
      </w:r>
      <w:r w:rsidRPr="00895D0A">
        <w:t xml:space="preserve"> servicios transversales de oferta y demanda entre los trabajadores y sus familias, con la participación de entidades asociadas autorizadas (órganos bilaterales, sociedades de asistencia, etc.). El objetivo era poner en marcha actividades de </w:t>
      </w:r>
      <w:r w:rsidR="00781078">
        <w:t>formación</w:t>
      </w:r>
      <w:r w:rsidRPr="00895D0A">
        <w:t xml:space="preserve"> individualizadas o colectivas sobre las posibles salidas profesionales, como cuidadores y empleados domésticos, mediante la participación de entidades privadas del mercado de trabajo acreditadas o autorizadas. Los principales resultados conseguidos en las cuatro regiones implicadas son los siguientes: se crearon 435 mostradores de información y finalizaron sus </w:t>
      </w:r>
      <w:r w:rsidR="00781078">
        <w:t xml:space="preserve">cursos de formación </w:t>
      </w:r>
      <w:r w:rsidR="00781078" w:rsidRPr="00895D0A">
        <w:t>4.862 cuidadores</w:t>
      </w:r>
      <w:r w:rsidRPr="00895D0A">
        <w:t xml:space="preserve">, de los cuales 3.726 fueron contratados. Esta intervención complementa la acción </w:t>
      </w:r>
      <w:r w:rsidR="00781078">
        <w:t>emprendida</w:t>
      </w:r>
      <w:r w:rsidRPr="00895D0A">
        <w:t xml:space="preserve"> en 2011 con la firma de acuerdos programáticos con las regiones central y septentrional del país, </w:t>
      </w:r>
      <w:r w:rsidR="00C230CE">
        <w:t xml:space="preserve">a la que se destinaron </w:t>
      </w:r>
      <w:r w:rsidR="00781078">
        <w:t>7 millones de</w:t>
      </w:r>
      <w:r w:rsidRPr="00895D0A">
        <w:t xml:space="preserve"> euros con cargo al presupuesto del Estado</w:t>
      </w:r>
      <w:r w:rsidR="00781078">
        <w:t>,</w:t>
      </w:r>
      <w:r w:rsidRPr="00895D0A">
        <w:t xml:space="preserve"> y que contó además con otros recursos regionales por valor de 15.320.056,00 euros. Según el análisis de los resultados </w:t>
      </w:r>
      <w:r w:rsidR="00781078">
        <w:t>al</w:t>
      </w:r>
      <w:r w:rsidRPr="00895D0A">
        <w:t xml:space="preserve"> 31 de septiembre de 2013, el plan de </w:t>
      </w:r>
      <w:r w:rsidR="00781078">
        <w:t>formación proporcionó empleo a unas</w:t>
      </w:r>
      <w:r w:rsidRPr="00895D0A">
        <w:t xml:space="preserve"> 6.000 personas en los servicios sociales, de las cuales 3.500 fueron contratadas por familias y cooperativas.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La lucha contra el empleo sumergido se llevó a cabo gracias al aumento de las inspecciones. En lo que respecta especialmente a los resultados de la actividad de vigilancia </w:t>
      </w:r>
      <w:r w:rsidR="00FC3136">
        <w:t>realizada</w:t>
      </w:r>
      <w:r w:rsidRPr="00895D0A">
        <w:t xml:space="preserve"> en 2013, quedó patente que</w:t>
      </w:r>
      <w:r w:rsidR="00FC3136">
        <w:t>, en</w:t>
      </w:r>
      <w:r w:rsidRPr="00895D0A">
        <w:t xml:space="preserve"> un total de 139.624 empresas inspeccionadas, </w:t>
      </w:r>
      <w:r w:rsidR="00FC3136">
        <w:t>el número</w:t>
      </w:r>
      <w:r w:rsidRPr="00895D0A">
        <w:t xml:space="preserve"> de trabajadores en situación irregular fue de 44.652, de los cuales 1.091 procedían de países no comunitarios </w:t>
      </w:r>
      <w:r w:rsidR="00FC3136">
        <w:t>y</w:t>
      </w:r>
      <w:r w:rsidRPr="00895D0A">
        <w:t xml:space="preserve"> carecían de permiso de residencia.</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Además, es importante señalar que, </w:t>
      </w:r>
      <w:r w:rsidR="00FC3136">
        <w:t>para arbitrar</w:t>
      </w:r>
      <w:r w:rsidRPr="00895D0A">
        <w:t xml:space="preserve"> medidas </w:t>
      </w:r>
      <w:r w:rsidR="008F0E7D">
        <w:t>de</w:t>
      </w:r>
      <w:r w:rsidR="0055342D">
        <w:t xml:space="preserve"> prevención y lucha </w:t>
      </w:r>
      <w:r w:rsidRPr="00895D0A">
        <w:t xml:space="preserve">contra el empleo sumergido, se aprobó </w:t>
      </w:r>
      <w:r w:rsidR="008F0E7D">
        <w:t xml:space="preserve">el </w:t>
      </w:r>
      <w:r w:rsidRPr="00895D0A">
        <w:t xml:space="preserve">Decreto Ley </w:t>
      </w:r>
      <w:r w:rsidR="00AA5CC8">
        <w:t xml:space="preserve">núm. </w:t>
      </w:r>
      <w:r w:rsidRPr="00895D0A">
        <w:t xml:space="preserve">145, de 23 de diciembre de 2013, que, después de ser enmendado, </w:t>
      </w:r>
      <w:r w:rsidR="008F0E7D">
        <w:t>fue promulgado como</w:t>
      </w:r>
      <w:r w:rsidRPr="00895D0A">
        <w:t xml:space="preserve"> Ley </w:t>
      </w:r>
      <w:r w:rsidR="00AA5CC8">
        <w:t xml:space="preserve">núm. </w:t>
      </w:r>
      <w:r w:rsidR="0055342D">
        <w:t xml:space="preserve">9 de 21 de </w:t>
      </w:r>
      <w:r w:rsidRPr="00895D0A">
        <w:t>febrero de 2014</w:t>
      </w:r>
      <w:r w:rsidR="008F0E7D">
        <w:t>; esta Ley</w:t>
      </w:r>
      <w:r w:rsidR="0055342D">
        <w:t xml:space="preserve"> </w:t>
      </w:r>
      <w:r w:rsidRPr="00895D0A">
        <w:t xml:space="preserve">prevé la incorporación de 250 inspectores, un aumento del 30% de las sanciones administrativas por empleo irregular de trabajadores, </w:t>
      </w:r>
      <w:r w:rsidR="008F0E7D">
        <w:t>y</w:t>
      </w:r>
      <w:r w:rsidRPr="00895D0A">
        <w:t xml:space="preserve"> un aumento del importe adicional que hay que abonar para </w:t>
      </w:r>
      <w:r w:rsidR="008F0E7D">
        <w:t>dejar sin efecto</w:t>
      </w:r>
      <w:r w:rsidRPr="00895D0A">
        <w:t xml:space="preserve"> la medida de suspensión de la actividad empresarial.</w:t>
      </w:r>
    </w:p>
    <w:p w:rsidR="00895D0A" w:rsidRPr="00895D0A" w:rsidRDefault="00895D0A" w:rsidP="009725A4">
      <w:pPr>
        <w:pStyle w:val="SingleTxt"/>
        <w:numPr>
          <w:ilvl w:val="0"/>
          <w:numId w:val="15"/>
        </w:numPr>
        <w:tabs>
          <w:tab w:val="clear" w:pos="475"/>
          <w:tab w:val="num" w:pos="1742"/>
        </w:tabs>
        <w:suppressAutoHyphens w:val="0"/>
        <w:ind w:left="1267"/>
      </w:pPr>
      <w:r w:rsidRPr="00895D0A">
        <w:t>En 2013, los inspectores del Organismo Nacional de la Seguridad Social (INPS) llevar</w:t>
      </w:r>
      <w:r w:rsidR="00BF21D7">
        <w:t>on a cabo 71.821 intervenciones y</w:t>
      </w:r>
      <w:r w:rsidRPr="00895D0A">
        <w:t xml:space="preserve"> detectaron un total de 53.009 trabajadores ilegales, de los que 33.490 se encontraban en situación completamente irregular</w:t>
      </w:r>
      <w:r w:rsidR="00BF21D7">
        <w:t>;</w:t>
      </w:r>
      <w:r w:rsidR="0055342D">
        <w:t xml:space="preserve"> el </w:t>
      </w:r>
      <w:r w:rsidRPr="00895D0A">
        <w:t xml:space="preserve">22,92% de </w:t>
      </w:r>
      <w:r w:rsidR="00BF21D7">
        <w:t>estos trabajadores</w:t>
      </w:r>
      <w:r w:rsidRPr="00895D0A">
        <w:t xml:space="preserve"> no </w:t>
      </w:r>
      <w:r w:rsidR="0055342D">
        <w:t>pertenecían a la Unión Europea</w:t>
      </w:r>
      <w:r w:rsidRPr="00895D0A">
        <w:t>.</w:t>
      </w:r>
    </w:p>
    <w:p w:rsidR="00895D0A" w:rsidRPr="00C230CE" w:rsidRDefault="00895D0A" w:rsidP="009725A4">
      <w:pPr>
        <w:pStyle w:val="SingleTxt"/>
        <w:numPr>
          <w:ilvl w:val="0"/>
          <w:numId w:val="15"/>
        </w:numPr>
        <w:tabs>
          <w:tab w:val="clear" w:pos="475"/>
          <w:tab w:val="num" w:pos="1742"/>
        </w:tabs>
        <w:suppressAutoHyphens w:val="0"/>
        <w:ind w:left="1267"/>
        <w:rPr>
          <w:spacing w:val="3"/>
        </w:rPr>
      </w:pPr>
      <w:r w:rsidRPr="00C230CE">
        <w:rPr>
          <w:spacing w:val="3"/>
        </w:rPr>
        <w:t xml:space="preserve">En 2013, de conformidad con lo dispuesto en el documento </w:t>
      </w:r>
      <w:r w:rsidR="00BF21D7" w:rsidRPr="00C230CE">
        <w:rPr>
          <w:spacing w:val="3"/>
        </w:rPr>
        <w:t>de</w:t>
      </w:r>
      <w:r w:rsidRPr="00C230CE">
        <w:rPr>
          <w:spacing w:val="3"/>
        </w:rPr>
        <w:t xml:space="preserve"> planificación de las actividades de vigilancia, el Instituto Nacional para la Prevención de los Accidentes de Trabajo (INAIL) realizó inspecciones y adoptó medidas de control </w:t>
      </w:r>
      <w:r w:rsidR="00BF21D7" w:rsidRPr="00C230CE">
        <w:rPr>
          <w:spacing w:val="3"/>
        </w:rPr>
        <w:t>de</w:t>
      </w:r>
      <w:r w:rsidRPr="00C230CE">
        <w:rPr>
          <w:spacing w:val="3"/>
        </w:rPr>
        <w:t xml:space="preserve"> los fenómenos del empleo sumergido y la evasión</w:t>
      </w:r>
      <w:r w:rsidR="004A1CAB">
        <w:rPr>
          <w:spacing w:val="3"/>
        </w:rPr>
        <w:t>/</w:t>
      </w:r>
      <w:r w:rsidR="00BF21D7" w:rsidRPr="00C230CE">
        <w:rPr>
          <w:spacing w:val="3"/>
        </w:rPr>
        <w:t>impago</w:t>
      </w:r>
      <w:r w:rsidRPr="00C230CE">
        <w:rPr>
          <w:spacing w:val="3"/>
        </w:rPr>
        <w:t xml:space="preserve"> de las primas de los seguros por las empresas, sectores o grupos</w:t>
      </w:r>
      <w:r w:rsidR="00BF21D7" w:rsidRPr="00C230CE">
        <w:rPr>
          <w:spacing w:val="3"/>
        </w:rPr>
        <w:t>,</w:t>
      </w:r>
      <w:r w:rsidRPr="00C230CE">
        <w:rPr>
          <w:spacing w:val="3"/>
        </w:rPr>
        <w:t xml:space="preserve"> mediante el análisis y el estudio de los comportamientos adoptados en relac</w:t>
      </w:r>
      <w:r w:rsidR="00BF21D7" w:rsidRPr="00C230CE">
        <w:rPr>
          <w:spacing w:val="3"/>
        </w:rPr>
        <w:t>ión con diversos factores, como</w:t>
      </w:r>
      <w:r w:rsidRPr="00C230CE">
        <w:rPr>
          <w:spacing w:val="3"/>
        </w:rPr>
        <w:t xml:space="preserve"> por ejemplo la </w:t>
      </w:r>
      <w:r w:rsidR="00BF21D7" w:rsidRPr="00C230CE">
        <w:rPr>
          <w:spacing w:val="3"/>
        </w:rPr>
        <w:t>frecuencia</w:t>
      </w:r>
      <w:r w:rsidRPr="00C230CE">
        <w:rPr>
          <w:spacing w:val="3"/>
        </w:rPr>
        <w:t xml:space="preserve"> de los accidentes. Más del 50% de las inspecciones </w:t>
      </w:r>
      <w:r w:rsidR="00BF21D7" w:rsidRPr="00C230CE">
        <w:rPr>
          <w:spacing w:val="3"/>
        </w:rPr>
        <w:t>se efectuaron en</w:t>
      </w:r>
      <w:r w:rsidRPr="00C230CE">
        <w:rPr>
          <w:spacing w:val="3"/>
        </w:rPr>
        <w:t xml:space="preserve"> empresas de los siguientes sectores (según el Código Ateco): la industria manufacturera, la construcción, el transporte y el almacenamiento y los servicios de hostelería</w:t>
      </w:r>
      <w:r w:rsidR="00BF21D7" w:rsidRPr="00C230CE">
        <w:rPr>
          <w:spacing w:val="3"/>
        </w:rPr>
        <w:t>. U</w:t>
      </w:r>
      <w:r w:rsidRPr="00C230CE">
        <w:rPr>
          <w:spacing w:val="3"/>
        </w:rPr>
        <w:t xml:space="preserve">n gran número de trabajadores ilegales </w:t>
      </w:r>
      <w:r w:rsidR="00BF21D7" w:rsidRPr="00C230CE">
        <w:rPr>
          <w:spacing w:val="3"/>
        </w:rPr>
        <w:t>procedían de</w:t>
      </w:r>
      <w:r w:rsidRPr="00C230CE">
        <w:rPr>
          <w:spacing w:val="3"/>
        </w:rPr>
        <w:t xml:space="preserve"> países no comunitarios.</w:t>
      </w:r>
    </w:p>
    <w:p w:rsidR="009725A4" w:rsidRPr="009725A4" w:rsidRDefault="009725A4" w:rsidP="009725A4">
      <w:pPr>
        <w:pStyle w:val="SingleTxt"/>
        <w:spacing w:after="0" w:line="120" w:lineRule="exact"/>
        <w:rPr>
          <w:b/>
          <w:sz w:val="10"/>
        </w:rPr>
      </w:pPr>
    </w:p>
    <w:p w:rsidR="00895D0A" w:rsidRPr="00895D0A" w:rsidRDefault="00895D0A" w:rsidP="00972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El derecho a la vivienda</w:t>
      </w:r>
    </w:p>
    <w:p w:rsidR="009725A4" w:rsidRPr="009725A4" w:rsidRDefault="009725A4" w:rsidP="009725A4">
      <w:pPr>
        <w:pStyle w:val="SingleTxt"/>
        <w:spacing w:after="0" w:line="120" w:lineRule="exact"/>
        <w:rPr>
          <w:iCs/>
          <w:sz w:val="10"/>
        </w:rPr>
      </w:pP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Con respecto a la inclusión social de los inmigrantes y los romaníes, el Ministerio de Trabajo y Políticas Sociales definió programas </w:t>
      </w:r>
      <w:r w:rsidR="00BF21D7">
        <w:t>en</w:t>
      </w:r>
      <w:r w:rsidRPr="00895D0A">
        <w:t xml:space="preserve"> tres </w:t>
      </w:r>
      <w:r w:rsidR="00BF21D7">
        <w:t>áreas</w:t>
      </w:r>
      <w:r w:rsidRPr="00895D0A">
        <w:t xml:space="preserve"> principales: el idioma italiano, </w:t>
      </w:r>
      <w:r w:rsidR="00BF21D7">
        <w:t>como</w:t>
      </w:r>
      <w:r w:rsidRPr="00895D0A">
        <w:t xml:space="preserve"> primer paso hacia la integración plena; el trabajo regular, </w:t>
      </w:r>
      <w:r w:rsidR="00BF21D7">
        <w:t>porque</w:t>
      </w:r>
      <w:r w:rsidRPr="00895D0A">
        <w:t xml:space="preserve"> garantiza los derechos y protecciones y es una herramienta </w:t>
      </w:r>
      <w:r w:rsidR="00BF21D7">
        <w:t>de</w:t>
      </w:r>
      <w:r w:rsidRPr="00895D0A">
        <w:t xml:space="preserve"> integración de los inmigrantes en el contexto socioeconómico en </w:t>
      </w:r>
      <w:r w:rsidR="00BF21D7">
        <w:t xml:space="preserve">el </w:t>
      </w:r>
      <w:r w:rsidRPr="00895D0A">
        <w:t>que viven</w:t>
      </w:r>
      <w:r w:rsidR="00BF21D7">
        <w:t>,</w:t>
      </w:r>
      <w:r w:rsidRPr="00895D0A">
        <w:t xml:space="preserve"> y</w:t>
      </w:r>
      <w:r w:rsidR="00BF21D7">
        <w:t xml:space="preserve"> la</w:t>
      </w:r>
      <w:r w:rsidRPr="00895D0A">
        <w:t xml:space="preserve"> vivienda, que </w:t>
      </w:r>
      <w:r w:rsidR="009E4482">
        <w:t>se considera</w:t>
      </w:r>
      <w:r w:rsidRPr="00895D0A">
        <w:t xml:space="preserve"> necesaria para asegurar unas condiciones de </w:t>
      </w:r>
      <w:r w:rsidR="009E4482">
        <w:t>alojamiento</w:t>
      </w:r>
      <w:r w:rsidRPr="00895D0A">
        <w:t xml:space="preserve"> dignas y combatir ciertas formas de discriminación.</w:t>
      </w:r>
    </w:p>
    <w:p w:rsidR="00895D0A" w:rsidRPr="00895D0A" w:rsidRDefault="009E4482" w:rsidP="009725A4">
      <w:pPr>
        <w:pStyle w:val="SingleTxt"/>
        <w:numPr>
          <w:ilvl w:val="0"/>
          <w:numId w:val="15"/>
        </w:numPr>
        <w:tabs>
          <w:tab w:val="clear" w:pos="475"/>
          <w:tab w:val="num" w:pos="1742"/>
        </w:tabs>
        <w:suppressAutoHyphens w:val="0"/>
        <w:ind w:left="1267"/>
      </w:pPr>
      <w:r>
        <w:t>El acceso a la vivienda</w:t>
      </w:r>
      <w:r w:rsidR="00895D0A" w:rsidRPr="00895D0A">
        <w:t xml:space="preserve"> se ha promovido </w:t>
      </w:r>
      <w:r>
        <w:t>con</w:t>
      </w:r>
      <w:r w:rsidR="00895D0A" w:rsidRPr="00895D0A">
        <w:t xml:space="preserve"> medidas de recuperación de zonas y barrios degradados, renovación de viviendas abandonadas, construcción de viviendas de transición, fortalecimiento de la práctica de la asociación público-privada destinada a aumentar la oferta de vivienda, lucha contra la discriminación, concienciación pública e iniciativas de recepción, información y orientación.</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Se decidió iniciar una investigación cuantitativa con el ISTAT, Cáritas y la </w:t>
      </w:r>
      <w:r w:rsidR="009E4482" w:rsidRPr="00895D0A">
        <w:t xml:space="preserve">Federación </w:t>
      </w:r>
      <w:r w:rsidRPr="00895D0A">
        <w:t>de organizaciones del sector (FIO.psd</w:t>
      </w:r>
      <w:r w:rsidR="009E4482">
        <w:t>,</w:t>
      </w:r>
      <w:r w:rsidRPr="00895D0A">
        <w:t xml:space="preserve"> la dirección italiana de FEANTSA (European Federation of National Organisations Working with the Homeless – Federación Europea de Organizaciones Nacionales para las Personas sin Hogar)) </w:t>
      </w:r>
      <w:r w:rsidR="009E4482">
        <w:t>para</w:t>
      </w:r>
      <w:r w:rsidRPr="00895D0A">
        <w:t xml:space="preserve"> subsanar la persistente falta de datos sobre el fenómeno de las personas que viven en la pobreza extrema y la falta de vivienda y profundizar el análisis de este fenómeno en nuestro país. El estudio se </w:t>
      </w:r>
      <w:r w:rsidR="009E4482">
        <w:t>basa en un</w:t>
      </w:r>
      <w:r w:rsidRPr="00895D0A">
        <w:t xml:space="preserve"> conocimiento </w:t>
      </w:r>
      <w:r w:rsidR="009E4482">
        <w:t>detallado</w:t>
      </w:r>
      <w:r w:rsidRPr="00895D0A">
        <w:t xml:space="preserve"> de las estadísticas, el análisis de las necesidades, las causas y el progreso de las </w:t>
      </w:r>
      <w:r w:rsidR="00DD1A63">
        <w:t>“</w:t>
      </w:r>
      <w:r w:rsidRPr="00895D0A">
        <w:t>carreras de la pobreza</w:t>
      </w:r>
      <w:r w:rsidR="00DD1A63">
        <w:t>”</w:t>
      </w:r>
      <w:r w:rsidRPr="00895D0A">
        <w:t xml:space="preserve"> y en los servicios que se ofrecen a estos grupos. Al mismo tiempo se </w:t>
      </w:r>
      <w:r w:rsidR="009E4482">
        <w:t>emprendió</w:t>
      </w:r>
      <w:r w:rsidRPr="00895D0A">
        <w:t xml:space="preserve"> una investigación etnográfica en las cinco ciudades </w:t>
      </w:r>
      <w:r w:rsidR="009E4482">
        <w:t>principales</w:t>
      </w:r>
      <w:r w:rsidRPr="00895D0A">
        <w:t xml:space="preserve"> (Milán, Génova, Bolonia, Roma y Bari) sobre la vida cotidiana de las personas sin hogar, su dinámica de supervivencia y su relación con la realidad, con su espacio y especialmente con los servicios de primer asilo. El objeto de este estudio es exponer el fenómeno para elaborar políticas, medidas y proyectos encaminados a mejorar las condiciones de vida de estas personas (el estudio, que está a cargo de centros de investigación y de las principales universidades italianas, comenzó en enero de 2008 y</w:t>
      </w:r>
      <w:r w:rsidR="009E4482">
        <w:t xml:space="preserve"> </w:t>
      </w:r>
      <w:r w:rsidR="009E4482" w:rsidRPr="00895D0A">
        <w:t xml:space="preserve">todavía </w:t>
      </w:r>
      <w:r w:rsidR="009E4482">
        <w:t>no se ha terminado</w:t>
      </w:r>
      <w:r w:rsidR="004A1CAB">
        <w:t>)</w:t>
      </w:r>
      <w:r w:rsidRPr="00895D0A">
        <w:t>.</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Las personas sin hogar son un grupo </w:t>
      </w:r>
      <w:r w:rsidR="009E4482">
        <w:t>seleccionado por</w:t>
      </w:r>
      <w:r w:rsidRPr="00895D0A">
        <w:t xml:space="preserve"> el Gobierno de Italia </w:t>
      </w:r>
      <w:r w:rsidR="009E4482">
        <w:t>para</w:t>
      </w:r>
      <w:r w:rsidRPr="00895D0A">
        <w:t xml:space="preserve"> ejercer una acción convergente de medidas e intervenciones, a fin de mejorar los instrumentos para tratar este problema. </w:t>
      </w:r>
      <w:r w:rsidR="009E4482">
        <w:t>A</w:t>
      </w:r>
      <w:r w:rsidRPr="00895D0A">
        <w:t xml:space="preserve"> este </w:t>
      </w:r>
      <w:r w:rsidR="009E4482">
        <w:t>respecto</w:t>
      </w:r>
      <w:r w:rsidRPr="00895D0A">
        <w:t xml:space="preserve">, se promueven experiencias de observadores locales, ya establecidos y financiados con recursos de la </w:t>
      </w:r>
      <w:r w:rsidR="004A1CAB">
        <w:t>Unión Europea</w:t>
      </w:r>
      <w:r w:rsidRPr="00895D0A">
        <w:t xml:space="preserve"> y locales, fomentando el fortalecimiento de la red y el papel de los individuos como incentivos para la formulación de políticas regionales adecuadas. Conforme a la propuesta de la Asociación de Municipios Italianos (ANCI), se aplicará en todo el país una ley general sobre la residencia registrada (iniciativa </w:t>
      </w:r>
      <w:r w:rsidR="009E4482">
        <w:t>que ya se ha puesto en práctica</w:t>
      </w:r>
      <w:r w:rsidRPr="00895D0A">
        <w:t xml:space="preserve"> en algunos de los principales municipios italianos), </w:t>
      </w:r>
      <w:r w:rsidR="009E4482">
        <w:t>para</w:t>
      </w:r>
      <w:r w:rsidRPr="00895D0A">
        <w:t xml:space="preserve"> permitir el acceso a derechos y la entrada en el sistema </w:t>
      </w:r>
      <w:r w:rsidR="009E4482">
        <w:t>de</w:t>
      </w:r>
      <w:r w:rsidRPr="00895D0A">
        <w:t xml:space="preserve"> intervenciones de apoyo e inclusión. Esto podría convertirse en una plataforma de acceso a un espectro aún más amplio de prestaciones y servicios, que se configurará como vía de reintegración.</w:t>
      </w:r>
    </w:p>
    <w:p w:rsidR="00895D0A" w:rsidRPr="00895D0A" w:rsidRDefault="00895D0A" w:rsidP="009725A4">
      <w:pPr>
        <w:pStyle w:val="SingleTxt"/>
        <w:numPr>
          <w:ilvl w:val="0"/>
          <w:numId w:val="15"/>
        </w:numPr>
        <w:tabs>
          <w:tab w:val="clear" w:pos="475"/>
          <w:tab w:val="num" w:pos="1742"/>
        </w:tabs>
        <w:suppressAutoHyphens w:val="0"/>
        <w:ind w:left="1267"/>
      </w:pPr>
      <w:r w:rsidRPr="00C230CE">
        <w:rPr>
          <w:spacing w:val="3"/>
        </w:rPr>
        <w:t xml:space="preserve">En relación con el acceso a la vivienda </w:t>
      </w:r>
      <w:r w:rsidR="006F2312" w:rsidRPr="00C230CE">
        <w:rPr>
          <w:spacing w:val="3"/>
        </w:rPr>
        <w:t>de</w:t>
      </w:r>
      <w:r w:rsidRPr="00C230CE">
        <w:rPr>
          <w:spacing w:val="3"/>
        </w:rPr>
        <w:t xml:space="preserve"> las comunidades romaní, sin</w:t>
      </w:r>
      <w:r w:rsidR="006F2312" w:rsidRPr="00C230CE">
        <w:rPr>
          <w:spacing w:val="3"/>
        </w:rPr>
        <w:t>ti e itinerante</w:t>
      </w:r>
      <w:r w:rsidRPr="00C230CE">
        <w:rPr>
          <w:spacing w:val="3"/>
        </w:rPr>
        <w:t xml:space="preserve"> </w:t>
      </w:r>
      <w:r w:rsidR="006F2312" w:rsidRPr="00C230CE">
        <w:rPr>
          <w:i/>
          <w:spacing w:val="3"/>
        </w:rPr>
        <w:t>(</w:t>
      </w:r>
      <w:r w:rsidRPr="00C230CE">
        <w:rPr>
          <w:i/>
          <w:spacing w:val="3"/>
        </w:rPr>
        <w:t>caminanti</w:t>
      </w:r>
      <w:r w:rsidR="006F2312" w:rsidRPr="00C230CE">
        <w:rPr>
          <w:i/>
          <w:spacing w:val="3"/>
        </w:rPr>
        <w:t>)</w:t>
      </w:r>
      <w:r w:rsidRPr="00C230CE">
        <w:rPr>
          <w:spacing w:val="3"/>
        </w:rPr>
        <w:t xml:space="preserve">, en el </w:t>
      </w:r>
      <w:r w:rsidR="006F2312" w:rsidRPr="00C230CE">
        <w:rPr>
          <w:spacing w:val="3"/>
        </w:rPr>
        <w:t xml:space="preserve">marco del </w:t>
      </w:r>
      <w:r w:rsidRPr="00C230CE">
        <w:rPr>
          <w:spacing w:val="3"/>
        </w:rPr>
        <w:t xml:space="preserve">proceso </w:t>
      </w:r>
      <w:r w:rsidR="006F2312" w:rsidRPr="00C230CE">
        <w:rPr>
          <w:spacing w:val="3"/>
        </w:rPr>
        <w:t>de</w:t>
      </w:r>
      <w:r w:rsidRPr="00C230CE">
        <w:rPr>
          <w:spacing w:val="3"/>
        </w:rPr>
        <w:t xml:space="preserve"> elaboración de la Estrategia Nacional para la Inclusión de las Comunidades Romaní, Sinti e Itinerante en Italia 2012-2020,</w:t>
      </w:r>
      <w:r w:rsidRPr="00895D0A">
        <w:t xml:space="preserve"> el 18 de noviembre de 2013 se creó un grupo de trabajo sobre vivienda </w:t>
      </w:r>
      <w:r w:rsidRPr="00DB4189">
        <w:t>(Tavolo Politiche Abitative)</w:t>
      </w:r>
      <w:r w:rsidRPr="00895D0A">
        <w:t xml:space="preserve">. </w:t>
      </w:r>
      <w:r w:rsidR="006F2312">
        <w:t>E</w:t>
      </w:r>
      <w:r w:rsidRPr="00895D0A">
        <w:t xml:space="preserve">n cuanto a los grupos de trabajo regionales, la UNAR celebró una reunión con la Conferencia de Estados-Regiones el 3 de diciembre de 2012. En </w:t>
      </w:r>
      <w:r w:rsidR="006F2312">
        <w:t>lo relativo al</w:t>
      </w:r>
      <w:r w:rsidRPr="00895D0A">
        <w:t xml:space="preserve"> seguimiento, la UNAR pidió a todas las regiones italianas que procediesen a establece</w:t>
      </w:r>
      <w:r w:rsidR="006F2312">
        <w:t>r</w:t>
      </w:r>
      <w:r w:rsidRPr="00895D0A">
        <w:t xml:space="preserve"> mesas regionales en sus respectivas regiones, a más tardar el 28 de febrero de 2013. En consecuencia, ocho regiones (Emilia Romaña, Liguria, Toscana, Lacio, Umbría, Molise, Marche y Calabria) se apresuraron a hacerlo.</w:t>
      </w:r>
    </w:p>
    <w:p w:rsidR="009725A4" w:rsidRPr="009725A4" w:rsidRDefault="009725A4" w:rsidP="009725A4">
      <w:pPr>
        <w:pStyle w:val="SingleTxt"/>
        <w:spacing w:after="0" w:line="120" w:lineRule="exact"/>
        <w:rPr>
          <w:b/>
          <w:sz w:val="10"/>
        </w:rPr>
      </w:pPr>
    </w:p>
    <w:p w:rsidR="00895D0A" w:rsidRPr="00895D0A" w:rsidRDefault="00895D0A" w:rsidP="00972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El derecho a la salud pública, la asistencia médica, la seguridad social y los servicios sociales</w:t>
      </w:r>
    </w:p>
    <w:p w:rsidR="009725A4" w:rsidRPr="009725A4" w:rsidRDefault="009725A4" w:rsidP="009725A4">
      <w:pPr>
        <w:pStyle w:val="SingleTxt"/>
        <w:spacing w:after="0" w:line="120" w:lineRule="exact"/>
        <w:rPr>
          <w:iCs/>
          <w:sz w:val="10"/>
        </w:rPr>
      </w:pP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De acuerdo con </w:t>
      </w:r>
      <w:r w:rsidR="00613E44">
        <w:t>las disposiciones</w:t>
      </w:r>
      <w:r w:rsidRPr="00895D0A">
        <w:t xml:space="preserve"> pertinente</w:t>
      </w:r>
      <w:r w:rsidR="00613E44">
        <w:t>s</w:t>
      </w:r>
      <w:r w:rsidRPr="00895D0A">
        <w:t xml:space="preserve"> de la Ley Fundamental italiana, el Estado aplica políticas sociales y de bienestar y promueve la justicia social. En este contexto se deben garantizar los siguientes derechos: el derecho a la salud y al más alto nivel d</w:t>
      </w:r>
      <w:r w:rsidR="00613E44">
        <w:t>e salud física y mental, incluida la</w:t>
      </w:r>
      <w:r w:rsidRPr="00895D0A">
        <w:t xml:space="preserve"> atención m</w:t>
      </w:r>
      <w:r w:rsidR="00AA5CC8">
        <w:t>édica gratuita para todos (art. </w:t>
      </w:r>
      <w:r w:rsidRPr="00895D0A">
        <w:t>32), un nivel de vida mínimo</w:t>
      </w:r>
      <w:r w:rsidR="00613E44">
        <w:t xml:space="preserve"> para los necesitados (art. 38)</w:t>
      </w:r>
      <w:r w:rsidRPr="00895D0A">
        <w:t xml:space="preserve"> y protección de la familia, en particular de l</w:t>
      </w:r>
      <w:r w:rsidR="00451D67">
        <w:t xml:space="preserve">as madres y los niños (arts. 29 a </w:t>
      </w:r>
      <w:r w:rsidRPr="00895D0A">
        <w:t>31).</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La asistencia sanitaria a ciudadanos no </w:t>
      </w:r>
      <w:r w:rsidR="00613E44">
        <w:t xml:space="preserve">pertenecientes a la </w:t>
      </w:r>
      <w:r w:rsidR="004A1CAB">
        <w:t>Unión Europea</w:t>
      </w:r>
      <w:r w:rsidRPr="00895D0A">
        <w:t xml:space="preserve"> que se encuentran ilegalmente en Italia se garantiza mediante servicios hospitalarios de emergencia con arreglo a memorandos de entendimiento regionales en los que participan ONG con experiencia específica al respecto. La </w:t>
      </w:r>
      <w:r w:rsidR="00613E44">
        <w:t>ley</w:t>
      </w:r>
      <w:r w:rsidRPr="00895D0A">
        <w:t xml:space="preserve"> prohíbe al personal sanitario y administrativo alertar a la policía respecto de los migrantes ilegales que acuden a los establecimientos sanitarios. En 2011 el Ministerio de Salud adoptó un sistema de alerta sindrómica para la primera asistencia a migrantes, que se actualizó en 2012 con la publicación del documento de recomendaciones para la gestión de situaciones sanitarias críticas debidas a los flujos migratorios a</w:t>
      </w:r>
      <w:r w:rsidR="00613E44">
        <w:t xml:space="preserve"> islas pequeñas. Este</w:t>
      </w:r>
      <w:r w:rsidRPr="00895D0A">
        <w:t xml:space="preserve"> documento se remitió a todas las oficinas sanitarias regionales y</w:t>
      </w:r>
      <w:r w:rsidR="00613E44">
        <w:t xml:space="preserve"> en él se</w:t>
      </w:r>
      <w:r w:rsidRPr="00895D0A">
        <w:t xml:space="preserve"> apoya</w:t>
      </w:r>
      <w:r w:rsidR="00613E44">
        <w:t>n</w:t>
      </w:r>
      <w:r w:rsidR="004A1CAB">
        <w:t xml:space="preserve"> proyectos</w:t>
      </w:r>
      <w:r w:rsidRPr="00895D0A">
        <w:t xml:space="preserve"> con la OMS hasta 2015 (</w:t>
      </w:r>
      <w:r w:rsidR="00DD1A63">
        <w:t>“</w:t>
      </w:r>
      <w:r w:rsidRPr="00895D0A">
        <w:t>Aspectos de salud públ</w:t>
      </w:r>
      <w:r w:rsidR="00613E44">
        <w:t>ica de la migración en Europa</w:t>
      </w:r>
      <w:r w:rsidR="00DD1A63">
        <w:t>”</w:t>
      </w:r>
      <w:r w:rsidR="00613E44">
        <w:t>), y</w:t>
      </w:r>
      <w:r w:rsidRPr="00895D0A">
        <w:t xml:space="preserve"> con la Oficina Regional de la Oficina Internacional de Migraciones de Europa (</w:t>
      </w:r>
      <w:r w:rsidR="00DD1A63">
        <w:t>“</w:t>
      </w:r>
      <w:r w:rsidRPr="00895D0A">
        <w:t>Proyecto EQIE-Health</w:t>
      </w:r>
      <w:r w:rsidR="00DD1A63">
        <w:t>”</w:t>
      </w:r>
      <w:r w:rsidRPr="00895D0A">
        <w:t>), para proteger la</w:t>
      </w:r>
      <w:r w:rsidR="004A1CAB">
        <w:t>s condiciones sanitarias de los </w:t>
      </w:r>
      <w:r w:rsidRPr="00895D0A">
        <w:t>migrantes vulnerables (solicitantes de asilo, romaníes</w:t>
      </w:r>
      <w:r w:rsidR="004A1CAB">
        <w:t xml:space="preserve">, minorías étnicas). Además, en </w:t>
      </w:r>
      <w:r w:rsidRPr="00895D0A">
        <w:t xml:space="preserve">2014 se han programado y financiado actividades de formación específica </w:t>
      </w:r>
      <w:r w:rsidR="00613E44">
        <w:t>de</w:t>
      </w:r>
      <w:r w:rsidRPr="00895D0A">
        <w:t xml:space="preserve"> personal sanitario, particularmente en Sicilia, </w:t>
      </w:r>
      <w:r w:rsidR="00613E44">
        <w:t>entre otras cosas</w:t>
      </w:r>
      <w:r w:rsidRPr="00895D0A">
        <w:t xml:space="preserve"> para salvar las barreras interculturales que limitan en gran medida la eficacia y la eficiencia de los servicios sanitarios para la población migrante. También ha prestado servicios el Instituto Nacional de Migración y Pobreza (institución integrada en el Servicio Nacional de Salud)</w:t>
      </w:r>
      <w:r w:rsidR="00613E44">
        <w:t>,</w:t>
      </w:r>
      <w:r w:rsidRPr="00895D0A">
        <w:t xml:space="preserve"> con</w:t>
      </w:r>
      <w:r w:rsidR="00613E44">
        <w:t xml:space="preserve"> un total de</w:t>
      </w:r>
      <w:r w:rsidRPr="00895D0A">
        <w:t xml:space="preserve"> </w:t>
      </w:r>
      <w:r w:rsidR="00613E44" w:rsidRPr="00895D0A">
        <w:t xml:space="preserve">10 millones de euros </w:t>
      </w:r>
      <w:r w:rsidR="00613E44">
        <w:t xml:space="preserve">de </w:t>
      </w:r>
      <w:r w:rsidRPr="00895D0A">
        <w:t>recursos en 2013. Entre el 1 de septiembre de 2007 y</w:t>
      </w:r>
      <w:r w:rsidR="00613E44">
        <w:t xml:space="preserve"> el</w:t>
      </w:r>
      <w:r w:rsidRPr="00895D0A">
        <w:t xml:space="preserve"> 3 de marzo de 2014, el Instituto prestó asistencia a 46.752</w:t>
      </w:r>
      <w:r w:rsidR="004A1CAB">
        <w:t> </w:t>
      </w:r>
      <w:r w:rsidRPr="00895D0A">
        <w:t>pacientes extranjeros (el 70,6% de los pacientes asistidos), entre ellos 5.453 personas que solicitaban protección internacional y recibieron primeros auxilios.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Las condiciones de trabajo de los empleados se rigen por la legislación nacional o por la negociación colectiva si esta puede garantizar un trato más favorable. Las leyes intervienen en situaciones que afectan </w:t>
      </w:r>
      <w:r w:rsidR="00BD17E9">
        <w:t xml:space="preserve">a </w:t>
      </w:r>
      <w:r w:rsidRPr="00895D0A">
        <w:t xml:space="preserve">las condiciones de salubridad y seguridad </w:t>
      </w:r>
      <w:r w:rsidR="00BD17E9">
        <w:t>(</w:t>
      </w:r>
      <w:r w:rsidRPr="00895D0A">
        <w:t xml:space="preserve">limitación del tiempo de trabajo, horas extraordinarias, un mínimo de vacaciones anuales, descanso diario y semanal) y en materia de seguridad social. Las disposiciones pueden suspenderse por negociación colectiva, según el principio del </w:t>
      </w:r>
      <w:r w:rsidRPr="00895D0A">
        <w:rPr>
          <w:i/>
        </w:rPr>
        <w:t>favor prestatoris</w:t>
      </w:r>
      <w:r w:rsidRPr="00895D0A">
        <w:t xml:space="preserve">, si se establecen condiciones más favorables para los trabajadores. Para hacer frente a las situaciones de trabajo irregular que puedan afectar negativamente a la salud de los trabajadores extranjeros, se han adoptado medidas legislativas adecuadas y se han elaborado mecanismos </w:t>
      </w:r>
      <w:r w:rsidR="004A1CAB">
        <w:t>de procedimiento</w:t>
      </w:r>
      <w:r w:rsidR="00BD17E9">
        <w:t xml:space="preserve"> a este</w:t>
      </w:r>
      <w:r w:rsidRPr="00895D0A">
        <w:t xml:space="preserve"> respecto (véase el apartado E, derecho a trabajar).</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la perspectiva de la promoción de los derechos de la mujer y </w:t>
      </w:r>
      <w:r w:rsidR="00FD05A7">
        <w:t>de</w:t>
      </w:r>
      <w:r w:rsidRPr="00895D0A">
        <w:t xml:space="preserve"> su protección física como víctima de conductas discriminatorias y violentas, el Departamento de Igualdad de Oportunidades ha elaborado un plan de acción extraordinario contra la violencia sexual y de género</w:t>
      </w:r>
      <w:r w:rsidR="00FD05A7">
        <w:t>,</w:t>
      </w:r>
      <w:r w:rsidRPr="00895D0A">
        <w:t xml:space="preserve"> con la contribución de las organizaciones de la sociedad civil y los centros contra la violencia</w:t>
      </w:r>
      <w:r w:rsidR="00FD05A7">
        <w:t>,</w:t>
      </w:r>
      <w:r w:rsidRPr="00895D0A">
        <w:t xml:space="preserve"> </w:t>
      </w:r>
      <w:r w:rsidR="00FD05A7">
        <w:t>para</w:t>
      </w:r>
      <w:r w:rsidRPr="00895D0A">
        <w:t xml:space="preserve"> asegurar la uniformidad de las medidas a escala nacional. En particular </w:t>
      </w:r>
      <w:r w:rsidR="00FD05A7">
        <w:t xml:space="preserve">se </w:t>
      </w:r>
      <w:r w:rsidRPr="00895D0A">
        <w:t>prevé</w:t>
      </w:r>
      <w:r w:rsidR="00FD05A7">
        <w:t>n</w:t>
      </w:r>
      <w:r w:rsidRPr="00895D0A">
        <w:t xml:space="preserve"> campañas de información y sensibilización del público; mejora de los centros antiviolencia; servicios de apoyo </w:t>
      </w:r>
      <w:r w:rsidR="00FD05A7">
        <w:t>a</w:t>
      </w:r>
      <w:r w:rsidRPr="00895D0A">
        <w:t xml:space="preserve"> las víctimas de violencia de género y acoso; formación especializada de los agentes del sector sanitario; cooperación entre instituciones, y acopio y tratamiento de los datos. El Grupo de Tareas Interministerial sobre la violencia contra la mujer, estableci</w:t>
      </w:r>
      <w:r w:rsidR="00C230CE">
        <w:t>do en </w:t>
      </w:r>
      <w:r w:rsidRPr="00895D0A">
        <w:t>2013 en la Presidencia del Consejo de Ministros y articulado en siete subgrupos, es responsable de la ejecución del plan.</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Por último, en relación con el estado de salud física y mental de las personas con discapacidad en tanto que posibles víctimas de actos discriminatorios, en 2013 se aprobó </w:t>
      </w:r>
      <w:r w:rsidR="00FD05A7">
        <w:t>un</w:t>
      </w:r>
      <w:r w:rsidRPr="00895D0A">
        <w:t xml:space="preserve"> programa de acción </w:t>
      </w:r>
      <w:r w:rsidR="00FD05A7">
        <w:t>de</w:t>
      </w:r>
      <w:r w:rsidRPr="00895D0A">
        <w:t xml:space="preserve"> dos años para promover los derechos y la inclusión de </w:t>
      </w:r>
      <w:r w:rsidR="00FD05A7">
        <w:t>las personas con discapacidad. Este programa f</w:t>
      </w:r>
      <w:r w:rsidRPr="00895D0A">
        <w:t>ue preparado por el Observatorio Nacional sobre la Situación de las Personas con Discapacidad, con la contribución de todas las organizaciones de personas con discapacidad. El programa establece siete líneas de acción prioritarias: un examen del sistema de acceso, el reconocimiento de la certificación de discapacidad y el modelo de intervención sociomédica; trabajo y empleo; políticas, servicios y modelos de organización para la vida independiente y la inclusión en la sociedad; promoción y aplicación de los principios de accesibilidad y movilidad; proceso educativo e integración escolar; salud, derecho a la vida, habilitación y rehabilitación, y cooperación internacional.</w:t>
      </w:r>
    </w:p>
    <w:p w:rsidR="009725A4" w:rsidRPr="009725A4" w:rsidRDefault="009725A4" w:rsidP="009725A4">
      <w:pPr>
        <w:pStyle w:val="SingleTxt"/>
        <w:spacing w:after="0" w:line="120" w:lineRule="exact"/>
        <w:rPr>
          <w:b/>
          <w:sz w:val="10"/>
        </w:rPr>
      </w:pPr>
    </w:p>
    <w:p w:rsidR="00895D0A" w:rsidRPr="00895D0A" w:rsidRDefault="00895D0A" w:rsidP="009725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El derecho a la educación y la formación profesional</w:t>
      </w:r>
    </w:p>
    <w:p w:rsidR="009725A4" w:rsidRPr="009725A4" w:rsidRDefault="009725A4" w:rsidP="009725A4">
      <w:pPr>
        <w:pStyle w:val="SingleTxt"/>
        <w:spacing w:after="0" w:line="120" w:lineRule="exact"/>
        <w:rPr>
          <w:iCs/>
          <w:sz w:val="10"/>
        </w:rPr>
      </w:pPr>
    </w:p>
    <w:p w:rsidR="00895D0A" w:rsidRPr="00895D0A" w:rsidRDefault="00895D0A" w:rsidP="009725A4">
      <w:pPr>
        <w:pStyle w:val="SingleTxt"/>
        <w:numPr>
          <w:ilvl w:val="0"/>
          <w:numId w:val="15"/>
        </w:numPr>
        <w:tabs>
          <w:tab w:val="clear" w:pos="475"/>
          <w:tab w:val="num" w:pos="1742"/>
        </w:tabs>
        <w:suppressAutoHyphens w:val="0"/>
        <w:ind w:left="1267"/>
        <w:rPr>
          <w:bCs/>
        </w:rPr>
      </w:pPr>
      <w:r w:rsidRPr="00895D0A">
        <w:t xml:space="preserve">En virtud de la Ley </w:t>
      </w:r>
      <w:r w:rsidR="00AA5CC8">
        <w:t xml:space="preserve">núm. </w:t>
      </w:r>
      <w:r w:rsidRPr="00895D0A">
        <w:t xml:space="preserve">169, de 30 de octubre de 2008, se ha introducido una nueva </w:t>
      </w:r>
      <w:r w:rsidRPr="00895D0A">
        <w:rPr>
          <w:b/>
        </w:rPr>
        <w:t>asignatura</w:t>
      </w:r>
      <w:r w:rsidRPr="00895D0A">
        <w:t xml:space="preserve"> en los planes de estudio de todos los sistemas de</w:t>
      </w:r>
      <w:r w:rsidR="00FD05A7">
        <w:t xml:space="preserve"> educación</w:t>
      </w:r>
      <w:r w:rsidRPr="00895D0A">
        <w:t xml:space="preserve"> primaria y secundaria</w:t>
      </w:r>
      <w:r w:rsidR="00FD05A7">
        <w:t xml:space="preserve"> en Italia</w:t>
      </w:r>
      <w:r w:rsidRPr="00895D0A">
        <w:t xml:space="preserve"> para </w:t>
      </w:r>
      <w:r w:rsidR="00FD05A7">
        <w:t>tratar</w:t>
      </w:r>
      <w:r w:rsidRPr="00895D0A">
        <w:t xml:space="preserve"> cuestiones</w:t>
      </w:r>
      <w:r w:rsidR="00FD05A7">
        <w:t xml:space="preserve"> tales</w:t>
      </w:r>
      <w:r w:rsidRPr="00895D0A">
        <w:t xml:space="preserve"> como el contenido de la Ley Fundamental italiana, la ciudadanía europea, los derechos humanos, el diálogo intercultural, la educación para la legalidad, la educación ambiental y todos los temas relacionados con el concepto de nacionalidad activa. En particular, la educación </w:t>
      </w:r>
      <w:r w:rsidR="00FD05A7">
        <w:t>basada en el</w:t>
      </w:r>
      <w:r w:rsidRPr="00895D0A">
        <w:t xml:space="preserve"> reconocimiento de derechos y deberes de los niños, niñas y adolescentes </w:t>
      </w:r>
      <w:r w:rsidR="00FD05A7">
        <w:t>escolarizados</w:t>
      </w:r>
      <w:r w:rsidRPr="00895D0A">
        <w:t xml:space="preserve"> es un elemento esencial de los programas educativos </w:t>
      </w:r>
      <w:r w:rsidR="00FD05A7">
        <w:t>sobre la</w:t>
      </w:r>
      <w:r w:rsidRPr="00895D0A">
        <w:t xml:space="preserve"> legalidad. De acuerdo con las líneas programáticas sobre este tema, el principio básico fundamental del sistema escolar italiano consiste en proponer modelos de buen comportamiento: el alcance de la educación incluye la promoción de las relaciones interpersonales, inte</w:t>
      </w:r>
      <w:r w:rsidR="00FD05A7">
        <w:t>rculturales, sociales y cívicas</w:t>
      </w:r>
      <w:r w:rsidRPr="00895D0A">
        <w:t xml:space="preserve"> entre los estudiantes, </w:t>
      </w:r>
      <w:r w:rsidR="00FD05A7">
        <w:t>para</w:t>
      </w:r>
      <w:r w:rsidRPr="00895D0A">
        <w:t xml:space="preserve"> forjar su contribución al crecimiento social y profesional de nuestra sociedad. El respeto de la legalidad y el ejercicio de los derechos y deberes hacen que los niños, niñas y adolescentes sean responsables de su futuro y debe incluirse en los programas escolares como un principio de educación básica (como se establece en </w:t>
      </w:r>
      <w:r w:rsidR="00FD05A7">
        <w:t>el reglamento adjunto al</w:t>
      </w:r>
      <w:r w:rsidRPr="00895D0A">
        <w:t xml:space="preserve"> Decreto Ministerial </w:t>
      </w:r>
      <w:r w:rsidR="004A1CAB">
        <w:t xml:space="preserve">núm. </w:t>
      </w:r>
      <w:r w:rsidRPr="00895D0A">
        <w:t>139, de 22 de agosto de 2007).</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Cabe mencionar una </w:t>
      </w:r>
      <w:r w:rsidRPr="00CE6E8A">
        <w:rPr>
          <w:b/>
        </w:rPr>
        <w:t>práctica</w:t>
      </w:r>
      <w:r w:rsidR="00CE6E8A" w:rsidRPr="004A1CAB">
        <w:rPr>
          <w:b/>
        </w:rPr>
        <w:t xml:space="preserve"> </w:t>
      </w:r>
      <w:r w:rsidR="00625F93" w:rsidRPr="004A1CAB">
        <w:rPr>
          <w:b/>
        </w:rPr>
        <w:t>idónea</w:t>
      </w:r>
      <w:r w:rsidR="00625F93">
        <w:t xml:space="preserve"> </w:t>
      </w:r>
      <w:r w:rsidRPr="00CE6E8A">
        <w:t>en</w:t>
      </w:r>
      <w:r w:rsidRPr="00895D0A">
        <w:t xml:space="preserve"> esta esfera, </w:t>
      </w:r>
      <w:r w:rsidR="00625F93">
        <w:t xml:space="preserve">que se </w:t>
      </w:r>
      <w:r w:rsidRPr="00895D0A">
        <w:t xml:space="preserve">aplica </w:t>
      </w:r>
      <w:r w:rsidR="00625F93">
        <w:t>en el marco del</w:t>
      </w:r>
      <w:r w:rsidRPr="00895D0A">
        <w:t xml:space="preserve"> programa nacional operativo </w:t>
      </w:r>
      <w:r w:rsidR="00DD1A63">
        <w:t>“</w:t>
      </w:r>
      <w:r w:rsidRPr="00895D0A">
        <w:t>Competencias para el Desarrollo</w:t>
      </w:r>
      <w:r w:rsidR="00DD1A63">
        <w:t>”</w:t>
      </w:r>
      <w:r w:rsidRPr="00895D0A">
        <w:t xml:space="preserve">, financiado por el Fondo Social Europeo para el período 2007-2013 </w:t>
      </w:r>
      <w:r w:rsidRPr="00DB4189">
        <w:t>(Improve knowledge and competencies of young generations</w:t>
      </w:r>
      <w:r w:rsidR="00625F93" w:rsidRPr="00DB4189">
        <w:t>)</w:t>
      </w:r>
      <w:r w:rsidRPr="00DB4189">
        <w:t xml:space="preserve"> </w:t>
      </w:r>
      <w:r w:rsidRPr="00895D0A">
        <w:t>(Mejora del conocimiento y las competenci</w:t>
      </w:r>
      <w:r w:rsidR="00625F93">
        <w:t>as de las jóvenes generaciones).</w:t>
      </w:r>
      <w:r w:rsidRPr="00895D0A">
        <w:t xml:space="preserve"> </w:t>
      </w:r>
      <w:r w:rsidR="00625F93">
        <w:t>La</w:t>
      </w:r>
      <w:r w:rsidRPr="00895D0A">
        <w:t xml:space="preserve"> acción C.3 </w:t>
      </w:r>
      <w:r w:rsidR="00625F93">
        <w:t xml:space="preserve">de este programa </w:t>
      </w:r>
      <w:r w:rsidRPr="00895D0A">
        <w:t xml:space="preserve">prevé la elaboración y puesta en práctica de intervenciones sobre temas </w:t>
      </w:r>
      <w:r w:rsidR="00625F93">
        <w:t xml:space="preserve">tales </w:t>
      </w:r>
      <w:r w:rsidRPr="00895D0A">
        <w:t>como la legalidad, la educación ambien</w:t>
      </w:r>
      <w:r w:rsidR="00625F93">
        <w:t>tal, la educación intercultural y</w:t>
      </w:r>
      <w:r w:rsidRPr="00895D0A">
        <w:t xml:space="preserve"> los derechos humanos, </w:t>
      </w:r>
      <w:r w:rsidR="00625F93">
        <w:t>entre otras cosas</w:t>
      </w:r>
      <w:r w:rsidRPr="00895D0A">
        <w:t xml:space="preserve"> a través de metodologías </w:t>
      </w:r>
      <w:r w:rsidR="00625F93">
        <w:t>informales, o sea</w:t>
      </w:r>
      <w:r w:rsidRPr="00895D0A">
        <w:t xml:space="preserve"> con la participación de instituciones públicas y privadas, entidades culturales y museos, centros científicos e instituciones académicas, tribunales y jefaturas </w:t>
      </w:r>
      <w:r w:rsidR="00625F93">
        <w:t>de</w:t>
      </w:r>
      <w:r w:rsidRPr="00895D0A">
        <w:t xml:space="preserve"> polic</w:t>
      </w:r>
      <w:r w:rsidR="00625F93">
        <w:t>ía</w:t>
      </w:r>
      <w:r w:rsidRPr="00895D0A">
        <w:t>, emisiones de televisión y radio, editores d</w:t>
      </w:r>
      <w:r w:rsidR="00625F93">
        <w:t>e periódicos y revistas, etc.</w:t>
      </w:r>
    </w:p>
    <w:p w:rsidR="00895D0A" w:rsidRPr="00895D0A" w:rsidRDefault="00895D0A" w:rsidP="009725A4">
      <w:pPr>
        <w:pStyle w:val="SingleTxt"/>
        <w:numPr>
          <w:ilvl w:val="0"/>
          <w:numId w:val="15"/>
        </w:numPr>
        <w:tabs>
          <w:tab w:val="clear" w:pos="475"/>
          <w:tab w:val="num" w:pos="1742"/>
        </w:tabs>
        <w:suppressAutoHyphens w:val="0"/>
        <w:ind w:left="1267"/>
        <w:rPr>
          <w:bCs/>
        </w:rPr>
      </w:pPr>
      <w:r w:rsidRPr="00895D0A">
        <w:t>Las personas que han inmigrado recientemente req</w:t>
      </w:r>
      <w:r w:rsidR="004A1CAB">
        <w:t xml:space="preserve">uieren una atención particular. </w:t>
      </w:r>
      <w:r w:rsidRPr="00895D0A">
        <w:t xml:space="preserve">Como se </w:t>
      </w:r>
      <w:r w:rsidR="00625F93">
        <w:t>indica</w:t>
      </w:r>
      <w:r w:rsidRPr="00895D0A">
        <w:t xml:space="preserve"> en el </w:t>
      </w:r>
      <w:r w:rsidR="004A1CAB" w:rsidRPr="00895D0A">
        <w:t xml:space="preserve">Informe Nacional </w:t>
      </w:r>
      <w:r w:rsidRPr="00895D0A">
        <w:t>del EPU, el Min</w:t>
      </w:r>
      <w:r w:rsidR="004A1CAB">
        <w:t>isterio de Educación Pública </w:t>
      </w:r>
      <w:r w:rsidR="00C230CE">
        <w:t xml:space="preserve">ha </w:t>
      </w:r>
      <w:r w:rsidRPr="00895D0A">
        <w:t xml:space="preserve">puesto en marcha un plan </w:t>
      </w:r>
      <w:r w:rsidR="00625F93" w:rsidRPr="00895D0A">
        <w:t xml:space="preserve">experimental </w:t>
      </w:r>
      <w:r w:rsidRPr="00895D0A">
        <w:t xml:space="preserve">de formación </w:t>
      </w:r>
      <w:r w:rsidR="00625F93">
        <w:t>de</w:t>
      </w:r>
      <w:r w:rsidR="004A1CAB">
        <w:t xml:space="preserve">l personal docente y los </w:t>
      </w:r>
      <w:r w:rsidRPr="00895D0A">
        <w:t>directores de las escuelas, con una inversión de 400.</w:t>
      </w:r>
      <w:r w:rsidR="004A1CAB">
        <w:t xml:space="preserve">000 euros y la participación de </w:t>
      </w:r>
      <w:r w:rsidRPr="00895D0A">
        <w:t>415 escuelas. Otro de los planes es</w:t>
      </w:r>
      <w:r w:rsidR="00625F93">
        <w:t xml:space="preserve"> el titulado</w:t>
      </w:r>
      <w:r w:rsidRPr="00895D0A">
        <w:t xml:space="preserve"> </w:t>
      </w:r>
      <w:r w:rsidR="00DD1A63" w:rsidRPr="00DB4189">
        <w:t>“</w:t>
      </w:r>
      <w:r w:rsidRPr="00DB4189">
        <w:t>Lingue di scolarizzazione e curricolo plurilingue e interculturale</w:t>
      </w:r>
      <w:r w:rsidR="00DD1A63" w:rsidRPr="00DB4189">
        <w:t>”</w:t>
      </w:r>
      <w:r w:rsidR="00625F93" w:rsidRPr="00DB4189">
        <w:t xml:space="preserve"> </w:t>
      </w:r>
      <w:r w:rsidR="00625F93">
        <w:t>(Idiomas de escolarización</w:t>
      </w:r>
      <w:r w:rsidR="004A1CAB">
        <w:t xml:space="preserve"> y plan de estudios plurilingüe </w:t>
      </w:r>
      <w:r w:rsidR="00625F93">
        <w:t>e intercultural)</w:t>
      </w:r>
      <w:r w:rsidRPr="00895D0A">
        <w:t xml:space="preserve">, para las escuelas primarias (100 clases, con un presupuesto de 60.000 euros), destinado a promover el patrimonio lingüístico y cultural de los estudiantes extranjeros. También se ha creado un observatorio nacional para la integración de estudiantes extranjeros. En 2014 se aprobaron las nuevas </w:t>
      </w:r>
      <w:r w:rsidR="00DD1A63">
        <w:t>“</w:t>
      </w:r>
      <w:r w:rsidRPr="00895D0A">
        <w:t>Directrices para la recepción e integración de los estudiantes extranjeros</w:t>
      </w:r>
      <w:r w:rsidR="00DD1A63">
        <w:t>”</w:t>
      </w:r>
      <w:r w:rsidR="00C230CE">
        <w:t xml:space="preserve"> teniendo en cuenta que </w:t>
      </w:r>
      <w:r w:rsidRPr="00895D0A">
        <w:t xml:space="preserve">la situación de la población de alumnos extranjeros es </w:t>
      </w:r>
      <w:r w:rsidR="00C230CE">
        <w:t xml:space="preserve">diferente: el número de alumnos </w:t>
      </w:r>
      <w:r w:rsidRPr="00895D0A">
        <w:t xml:space="preserve">extranjeros pasó de 430.000 en 2006 (cuando </w:t>
      </w:r>
      <w:r w:rsidR="00625F93">
        <w:t>se</w:t>
      </w:r>
      <w:r w:rsidRPr="00895D0A">
        <w:t xml:space="preserve"> </w:t>
      </w:r>
      <w:r w:rsidR="00625F93">
        <w:t>aprobaron</w:t>
      </w:r>
      <w:r w:rsidR="00C230CE">
        <w:t xml:space="preserve"> las directrices anteriores) a </w:t>
      </w:r>
      <w:r w:rsidRPr="00895D0A">
        <w:t>830.000 cu</w:t>
      </w:r>
      <w:r w:rsidR="00625F93">
        <w:t>ando se aprobaron las actuales,</w:t>
      </w:r>
      <w:r w:rsidRPr="00895D0A">
        <w:t xml:space="preserve"> a</w:t>
      </w:r>
      <w:r w:rsidR="00625F93">
        <w:t xml:space="preserve">sisten a la escuela secundaria </w:t>
      </w:r>
      <w:r w:rsidRPr="00895D0A">
        <w:t xml:space="preserve">200.000 estudiantes, el 80% </w:t>
      </w:r>
      <w:r w:rsidR="00625F93">
        <w:t xml:space="preserve">de ellos </w:t>
      </w:r>
      <w:r w:rsidRPr="00895D0A">
        <w:t>en los in</w:t>
      </w:r>
      <w:r w:rsidR="00625F93">
        <w:t>stitutos técnicos de secundaria</w:t>
      </w:r>
      <w:r w:rsidRPr="00895D0A">
        <w:t>.</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Según el Ministerio de Educación, </w:t>
      </w:r>
      <w:r w:rsidR="00C56C3C">
        <w:t>en el</w:t>
      </w:r>
      <w:r w:rsidRPr="00895D0A">
        <w:t xml:space="preserve"> año escolar</w:t>
      </w:r>
      <w:r w:rsidR="00C56C3C">
        <w:t xml:space="preserve"> de</w:t>
      </w:r>
      <w:r w:rsidR="004A1CAB">
        <w:t xml:space="preserve"> 2012/</w:t>
      </w:r>
      <w:r w:rsidRPr="00895D0A">
        <w:t xml:space="preserve">13, los estudiantes romaníes, sintis </w:t>
      </w:r>
      <w:r w:rsidR="00C56C3C">
        <w:t>e itinerantes</w:t>
      </w:r>
      <w:r w:rsidRPr="00895D0A">
        <w:t xml:space="preserve"> </w:t>
      </w:r>
      <w:r w:rsidR="00C56C3C">
        <w:t>escolarizados</w:t>
      </w:r>
      <w:r w:rsidRPr="00895D0A">
        <w:t xml:space="preserve"> ascendían a 11.481, divididos </w:t>
      </w:r>
      <w:r w:rsidR="00C56C3C">
        <w:t>como</w:t>
      </w:r>
      <w:r w:rsidRPr="00895D0A">
        <w:t xml:space="preserve"> sigue: 1.906 en los jardines de infancia, 6.253 en la escuela primaria, 3.215 en escuelas de enseñanza media y 107 en la escuela secundaria. De conformidad con estas premisas, el sistema escolar italiano </w:t>
      </w:r>
      <w:r w:rsidR="00C56C3C">
        <w:t>contribuye a</w:t>
      </w:r>
      <w:r w:rsidRPr="00895D0A">
        <w:t xml:space="preserve"> la integración de los niños romaníes y sintis mediante programas especi</w:t>
      </w:r>
      <w:r w:rsidR="00C56C3C">
        <w:t xml:space="preserve">ales como el denominado </w:t>
      </w:r>
      <w:r w:rsidR="00DD1A63">
        <w:t>“</w:t>
      </w:r>
      <w:r w:rsidR="004A1CAB">
        <w:t>Acción integradora</w:t>
      </w:r>
      <w:r w:rsidRPr="00895D0A">
        <w:t xml:space="preserve"> de los jóvenes romaníes, sintis </w:t>
      </w:r>
      <w:r w:rsidR="00C56C3C">
        <w:t>e itinerantes</w:t>
      </w:r>
      <w:r w:rsidR="00DD1A63">
        <w:t>”</w:t>
      </w:r>
      <w:r w:rsidRPr="00895D0A">
        <w:t xml:space="preserve"> promovido por el Ministerio de Trabajo y Políticas Sociales junto con varias autoridades locales</w:t>
      </w:r>
      <w:r w:rsidR="00C56C3C">
        <w:t>,</w:t>
      </w:r>
      <w:r w:rsidRPr="00895D0A">
        <w:t xml:space="preserve"> </w:t>
      </w:r>
      <w:r w:rsidR="00C56C3C">
        <w:t>que integró a</w:t>
      </w:r>
      <w:r w:rsidRPr="00895D0A">
        <w:t xml:space="preserve"> niños, niñas y adolescentes de 13 ciudades (Turín, Milán, Génova, Venecia, Bolonia, Roma, Nápoles, Reggio</w:t>
      </w:r>
      <w:r w:rsidR="004A1CAB">
        <w:t>,</w:t>
      </w:r>
      <w:r w:rsidRPr="00895D0A">
        <w:t xml:space="preserve"> Calabria, Bari, Palermo, Catania y Cagliari). El presupuesto del proyecto asciende a 600.000 euros.</w:t>
      </w:r>
    </w:p>
    <w:p w:rsidR="009725A4" w:rsidRPr="009725A4" w:rsidRDefault="009725A4" w:rsidP="009725A4">
      <w:pPr>
        <w:pStyle w:val="SingleTxt"/>
        <w:spacing w:after="0" w:line="120" w:lineRule="exact"/>
        <w:rPr>
          <w:b/>
          <w:sz w:val="10"/>
        </w:rPr>
      </w:pPr>
    </w:p>
    <w:p w:rsidR="009725A4" w:rsidRPr="009725A4" w:rsidRDefault="009725A4" w:rsidP="009725A4">
      <w:pPr>
        <w:pStyle w:val="SingleTxt"/>
        <w:spacing w:after="0" w:line="120" w:lineRule="exact"/>
        <w:rPr>
          <w:b/>
          <w:sz w:val="10"/>
        </w:rPr>
      </w:pPr>
    </w:p>
    <w:p w:rsidR="00895D0A" w:rsidRPr="00895D0A" w:rsidRDefault="00895D0A" w:rsidP="009725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IV.</w:t>
      </w:r>
      <w:r w:rsidRPr="00895D0A">
        <w:tab/>
        <w:t>Información por los grupos per</w:t>
      </w:r>
      <w:r w:rsidR="00C230CE">
        <w:t>tinentes de víctimas o posibles </w:t>
      </w:r>
      <w:r w:rsidRPr="00895D0A">
        <w:t>víctimas de la discriminación racial</w:t>
      </w:r>
    </w:p>
    <w:p w:rsidR="009725A4" w:rsidRPr="009725A4" w:rsidRDefault="009725A4" w:rsidP="009725A4">
      <w:pPr>
        <w:pStyle w:val="SingleTxt"/>
        <w:spacing w:after="0" w:line="120" w:lineRule="exact"/>
        <w:rPr>
          <w:b/>
          <w:sz w:val="10"/>
        </w:rPr>
      </w:pPr>
    </w:p>
    <w:p w:rsidR="009725A4" w:rsidRPr="009725A4" w:rsidRDefault="009725A4" w:rsidP="009725A4">
      <w:pPr>
        <w:pStyle w:val="SingleTxt"/>
        <w:spacing w:after="0" w:line="120" w:lineRule="exact"/>
        <w:rPr>
          <w:b/>
          <w:sz w:val="10"/>
        </w:rPr>
      </w:pPr>
    </w:p>
    <w:p w:rsidR="00895D0A" w:rsidRPr="00895D0A" w:rsidRDefault="00895D0A" w:rsidP="00972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009725A4">
        <w:t>A.</w:t>
      </w:r>
      <w:r w:rsidRPr="00895D0A">
        <w:tab/>
        <w:t>Refugiados y desplazados</w:t>
      </w:r>
    </w:p>
    <w:p w:rsidR="009725A4" w:rsidRPr="009725A4" w:rsidRDefault="009725A4" w:rsidP="009725A4">
      <w:pPr>
        <w:pStyle w:val="SingleTxt"/>
        <w:spacing w:after="0" w:line="120" w:lineRule="exact"/>
        <w:rPr>
          <w:b/>
          <w:sz w:val="10"/>
        </w:rPr>
      </w:pPr>
    </w:p>
    <w:p w:rsidR="009725A4" w:rsidRPr="009725A4" w:rsidRDefault="009725A4" w:rsidP="009725A4">
      <w:pPr>
        <w:pStyle w:val="SingleTxt"/>
        <w:spacing w:after="0" w:line="120" w:lineRule="exact"/>
        <w:rPr>
          <w:b/>
          <w:sz w:val="10"/>
        </w:rPr>
      </w:pPr>
    </w:p>
    <w:p w:rsidR="00895D0A" w:rsidRPr="00895D0A" w:rsidRDefault="00895D0A" w:rsidP="009725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B.</w:t>
      </w:r>
      <w:r w:rsidRPr="00895D0A">
        <w:tab/>
        <w:t>No ciudadanos</w:t>
      </w:r>
    </w:p>
    <w:p w:rsidR="009725A4" w:rsidRPr="009725A4" w:rsidRDefault="009725A4" w:rsidP="009725A4">
      <w:pPr>
        <w:pStyle w:val="SingleTxt"/>
        <w:spacing w:after="0" w:line="120" w:lineRule="exact"/>
        <w:rPr>
          <w:iCs/>
          <w:sz w:val="10"/>
        </w:rPr>
      </w:pPr>
    </w:p>
    <w:p w:rsidR="009725A4" w:rsidRPr="009725A4" w:rsidRDefault="009725A4" w:rsidP="009725A4">
      <w:pPr>
        <w:pStyle w:val="SingleTxt"/>
        <w:spacing w:after="0" w:line="120" w:lineRule="exact"/>
        <w:rPr>
          <w:iCs/>
          <w:sz w:val="10"/>
        </w:rPr>
      </w:pP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Debido a su situación geográfica, Italia se ha visto expuesta en los dos últimos años a flujos masivos de migrantes. Italia </w:t>
      </w:r>
      <w:r w:rsidR="00C56C3C">
        <w:t>lleva la iniciativa</w:t>
      </w:r>
      <w:r w:rsidRPr="00895D0A">
        <w:t xml:space="preserve"> de un esfuerzo extraordinario para salvar vidas humanas en el mar.</w:t>
      </w:r>
    </w:p>
    <w:p w:rsidR="00895D0A" w:rsidRPr="00895D0A" w:rsidRDefault="00C56C3C" w:rsidP="009725A4">
      <w:pPr>
        <w:pStyle w:val="SingleTxt"/>
        <w:numPr>
          <w:ilvl w:val="0"/>
          <w:numId w:val="15"/>
        </w:numPr>
        <w:tabs>
          <w:tab w:val="clear" w:pos="475"/>
          <w:tab w:val="num" w:pos="1742"/>
        </w:tabs>
        <w:suppressAutoHyphens w:val="0"/>
        <w:ind w:left="1267"/>
      </w:pPr>
      <w:r>
        <w:t xml:space="preserve">El principio de </w:t>
      </w:r>
      <w:r w:rsidR="00DD1A63">
        <w:t>“</w:t>
      </w:r>
      <w:r>
        <w:t>no devolución</w:t>
      </w:r>
      <w:r w:rsidR="00DD1A63">
        <w:t>”</w:t>
      </w:r>
      <w:r>
        <w:t xml:space="preserve"> se aplica siempre estrictamente</w:t>
      </w:r>
      <w:r w:rsidR="00895D0A" w:rsidRPr="00895D0A">
        <w:t>, de conformidad con las normas internacionales. Italia</w:t>
      </w:r>
      <w:r>
        <w:t xml:space="preserve"> está integrada</w:t>
      </w:r>
      <w:r w:rsidR="00895D0A" w:rsidRPr="00895D0A">
        <w:t xml:space="preserve">, más que nunca, </w:t>
      </w:r>
      <w:r>
        <w:t xml:space="preserve">a </w:t>
      </w:r>
      <w:r w:rsidR="00895D0A" w:rsidRPr="00895D0A">
        <w:t xml:space="preserve">numerosas actividades de búsqueda y salvamento marítimo (SAR), que muy frecuentemente van más allá del ámbito de su </w:t>
      </w:r>
      <w:r>
        <w:t>responsabilidad, que estriba en rescatar a los</w:t>
      </w:r>
      <w:r w:rsidR="00895D0A" w:rsidRPr="00895D0A">
        <w:t xml:space="preserve"> migrantes y traslad</w:t>
      </w:r>
      <w:r>
        <w:t>arlos</w:t>
      </w:r>
      <w:r w:rsidR="00895D0A" w:rsidRPr="00895D0A">
        <w:t xml:space="preserve"> a territorio italiano. Tras la tragedia de Lampedusa, Italia ha intensificado sus actividades de búsqueda y salvamento, </w:t>
      </w:r>
      <w:r>
        <w:t>y con esta finalidad</w:t>
      </w:r>
      <w:r w:rsidR="00895D0A" w:rsidRPr="00895D0A">
        <w:t xml:space="preserve"> en octubre de 2013</w:t>
      </w:r>
      <w:r>
        <w:t xml:space="preserve"> puso en marcha</w:t>
      </w:r>
      <w:r w:rsidR="00895D0A" w:rsidRPr="00895D0A">
        <w:t xml:space="preserve"> la Operación </w:t>
      </w:r>
      <w:r w:rsidR="00DD1A63">
        <w:t>“</w:t>
      </w:r>
      <w:r w:rsidR="00895D0A" w:rsidRPr="00895D0A">
        <w:t>Mare Nostrum</w:t>
      </w:r>
      <w:r w:rsidR="00DD1A63">
        <w:t>”</w:t>
      </w:r>
      <w:r w:rsidR="00895D0A" w:rsidRPr="00895D0A">
        <w:t xml:space="preserve">, </w:t>
      </w:r>
      <w:r>
        <w:t>para</w:t>
      </w:r>
      <w:r w:rsidR="00895D0A" w:rsidRPr="00895D0A">
        <w:t xml:space="preserve"> hacer frente a la emergencia humanitaria derivada de la llegada de un número excepcional de migrantes </w:t>
      </w:r>
      <w:r>
        <w:t>por</w:t>
      </w:r>
      <w:r w:rsidR="00895D0A" w:rsidRPr="00895D0A">
        <w:t xml:space="preserve"> la ruta del Mediterráneo Central. </w:t>
      </w:r>
      <w:r>
        <w:t>Mediante</w:t>
      </w:r>
      <w:r w:rsidR="00895D0A" w:rsidRPr="00895D0A">
        <w:t xml:space="preserve"> la operación </w:t>
      </w:r>
      <w:r w:rsidR="00DD1A63">
        <w:t>“</w:t>
      </w:r>
      <w:r w:rsidR="00895D0A" w:rsidRPr="00895D0A">
        <w:t>Mare Nostrum</w:t>
      </w:r>
      <w:r w:rsidR="00DD1A63">
        <w:t>”</w:t>
      </w:r>
      <w:r w:rsidR="00895D0A" w:rsidRPr="00895D0A">
        <w:t xml:space="preserve"> Italia rescató a más de 101.000 personas </w:t>
      </w:r>
      <w:r>
        <w:t>con 563</w:t>
      </w:r>
      <w:r w:rsidR="00895D0A" w:rsidRPr="00895D0A">
        <w:t xml:space="preserve"> operaciones de búsqueda y salvamento marítimo. Además, se ha detenido a 728 personas involucradas en del</w:t>
      </w:r>
      <w:r w:rsidR="00E82535">
        <w:t xml:space="preserve">itos de tráfico ilícito y trata </w:t>
      </w:r>
      <w:r w:rsidR="00895D0A" w:rsidRPr="00895D0A">
        <w:t>de seres humanos</w:t>
      </w:r>
      <w:r w:rsidR="00E82535">
        <w:t>.</w:t>
      </w:r>
      <w:r w:rsidR="00895D0A" w:rsidRPr="00895D0A">
        <w:t xml:space="preserve"> En </w:t>
      </w:r>
      <w:r>
        <w:t>el</w:t>
      </w:r>
      <w:r w:rsidR="00895D0A" w:rsidRPr="00895D0A">
        <w:t xml:space="preserve"> último año Italia ha </w:t>
      </w:r>
      <w:r>
        <w:t>gastado por</w:t>
      </w:r>
      <w:r w:rsidR="00895D0A" w:rsidRPr="00895D0A">
        <w:t xml:space="preserve"> este concep</w:t>
      </w:r>
      <w:r w:rsidR="00E82535">
        <w:t>to unos 9,3  </w:t>
      </w:r>
      <w:r w:rsidR="00895D0A" w:rsidRPr="00E82535">
        <w:t xml:space="preserve">millones de euros al mes. Mare Nostrum </w:t>
      </w:r>
      <w:r w:rsidR="004A5D08" w:rsidRPr="00E82535">
        <w:t>está reduciendo</w:t>
      </w:r>
      <w:r w:rsidR="00895D0A" w:rsidRPr="00E82535">
        <w:t xml:space="preserve"> gradual</w:t>
      </w:r>
      <w:r w:rsidR="004A5D08" w:rsidRPr="00E82535">
        <w:t>mente</w:t>
      </w:r>
      <w:r w:rsidR="00895D0A" w:rsidRPr="00E82535">
        <w:t xml:space="preserve"> sus actividades</w:t>
      </w:r>
      <w:r w:rsidR="00895D0A" w:rsidRPr="00895D0A">
        <w:t xml:space="preserve"> </w:t>
      </w:r>
      <w:r w:rsidR="00E82535">
        <w:t>y</w:t>
      </w:r>
      <w:r w:rsidR="00895D0A" w:rsidRPr="00895D0A">
        <w:t xml:space="preserve"> a fines del presente año</w:t>
      </w:r>
      <w:r w:rsidR="00E82535">
        <w:t xml:space="preserve"> dejará de funcionar</w:t>
      </w:r>
      <w:r w:rsidR="00895D0A" w:rsidRPr="00895D0A">
        <w:t xml:space="preserve">. La operación Tritón, que </w:t>
      </w:r>
      <w:r w:rsidR="004A5D08">
        <w:t>viene ejecutándose</w:t>
      </w:r>
      <w:r w:rsidR="00895D0A" w:rsidRPr="00895D0A">
        <w:t xml:space="preserve"> desde el 1 de noviembre, tiene por misión la vigilancia de las fronteras marítimas, </w:t>
      </w:r>
      <w:r w:rsidR="004A5D08">
        <w:t>y al mismo tiempo</w:t>
      </w:r>
      <w:r w:rsidR="00895D0A" w:rsidRPr="00895D0A">
        <w:t xml:space="preserve"> el rescate de personas a bordo de buques en peligro.</w:t>
      </w:r>
    </w:p>
    <w:p w:rsidR="00895D0A" w:rsidRPr="00895D0A" w:rsidRDefault="00895D0A" w:rsidP="009725A4">
      <w:pPr>
        <w:pStyle w:val="SingleTxt"/>
        <w:numPr>
          <w:ilvl w:val="0"/>
          <w:numId w:val="15"/>
        </w:numPr>
        <w:tabs>
          <w:tab w:val="clear" w:pos="475"/>
          <w:tab w:val="num" w:pos="1742"/>
        </w:tabs>
        <w:suppressAutoHyphens w:val="0"/>
        <w:ind w:left="1267"/>
      </w:pPr>
      <w:r w:rsidRPr="00895D0A">
        <w:t>La estrategia adoptada por Italia en favor de los solicitantes de asilo y de las personas que tienen derecho a una protección internacional persigue su integración en el plano local y el fortalecimiento de la cohesión social.</w:t>
      </w:r>
    </w:p>
    <w:p w:rsidR="00895D0A" w:rsidRPr="00895D0A" w:rsidRDefault="00895D0A" w:rsidP="009725A4">
      <w:pPr>
        <w:pStyle w:val="SingleTxt"/>
        <w:numPr>
          <w:ilvl w:val="0"/>
          <w:numId w:val="15"/>
        </w:numPr>
        <w:tabs>
          <w:tab w:val="clear" w:pos="475"/>
          <w:tab w:val="num" w:pos="1742"/>
        </w:tabs>
        <w:suppressAutoHyphens w:val="0"/>
        <w:ind w:left="1267"/>
      </w:pPr>
      <w:r w:rsidRPr="00895D0A">
        <w:t>En el presente año Italia creó un sistema de a</w:t>
      </w:r>
      <w:r w:rsidR="00C230CE">
        <w:t>cogida, que el 17 de octubre de </w:t>
      </w:r>
      <w:r w:rsidRPr="00895D0A">
        <w:t>2014</w:t>
      </w:r>
      <w:r w:rsidR="004A5D08" w:rsidRPr="004A5D08">
        <w:t xml:space="preserve"> </w:t>
      </w:r>
      <w:r w:rsidR="004A5D08">
        <w:t xml:space="preserve">tenía una capacidad de </w:t>
      </w:r>
      <w:r w:rsidR="004A5D08" w:rsidRPr="00895D0A">
        <w:t>63.328 personas</w:t>
      </w:r>
      <w:r w:rsidRPr="00895D0A">
        <w:t>. El sistema de acogida en Italia consta en el primer nivel de 14 centros de acogida y</w:t>
      </w:r>
      <w:r w:rsidR="000F5E60">
        <w:t xml:space="preserve"> </w:t>
      </w:r>
      <w:r w:rsidRPr="00895D0A">
        <w:t>centros de primeros auxilios y acogida, donde se presta a los inmigrantes primeros auxilios. Estos centros se encuentran en las ciudades costeras más afectadas por las llegada</w:t>
      </w:r>
      <w:r w:rsidR="004A5D08">
        <w:t>s por vía marítima, por ejemplo</w:t>
      </w:r>
      <w:r w:rsidRPr="00895D0A">
        <w:t xml:space="preserve"> en la isla de Lampedusa.</w:t>
      </w:r>
    </w:p>
    <w:p w:rsidR="00895D0A" w:rsidRPr="00895D0A" w:rsidRDefault="00895D0A" w:rsidP="009725A4">
      <w:pPr>
        <w:pStyle w:val="SingleTxt"/>
        <w:numPr>
          <w:ilvl w:val="0"/>
          <w:numId w:val="15"/>
        </w:numPr>
        <w:tabs>
          <w:tab w:val="clear" w:pos="475"/>
          <w:tab w:val="num" w:pos="1742"/>
        </w:tabs>
        <w:suppressAutoHyphens w:val="0"/>
        <w:ind w:left="1267"/>
      </w:pPr>
      <w:r w:rsidRPr="00895D0A">
        <w:t>Tras un período inicial en centros de recep</w:t>
      </w:r>
      <w:r w:rsidR="004A5D08">
        <w:t>ción para solicitantes de asilo</w:t>
      </w:r>
      <w:r w:rsidRPr="00895D0A">
        <w:t xml:space="preserve"> que, según la afluencia</w:t>
      </w:r>
      <w:r w:rsidR="004A5D08">
        <w:t>,</w:t>
      </w:r>
      <w:r w:rsidR="004A5D08" w:rsidRPr="004A5D08">
        <w:t xml:space="preserve"> </w:t>
      </w:r>
      <w:r w:rsidR="004A5D08" w:rsidRPr="00895D0A">
        <w:t>podría durar de 20 a 35 días</w:t>
      </w:r>
      <w:r w:rsidRPr="00895D0A">
        <w:t xml:space="preserve">, los refugiados y solicitantes de asilo son albergados por la red del Sistema de Protección de Solicitantes de Asilo y Refugiados (SPRAR), que está gestionada por las autoridades locales </w:t>
      </w:r>
      <w:r w:rsidR="004A5D08">
        <w:t xml:space="preserve">y </w:t>
      </w:r>
      <w:r w:rsidR="00E82535">
        <w:t xml:space="preserve">se </w:t>
      </w:r>
      <w:r w:rsidR="004A5D08">
        <w:t>financia</w:t>
      </w:r>
      <w:r w:rsidRPr="00895D0A">
        <w:t xml:space="preserve"> con cargo al Fondo Nacional de Políticas y Servicios de Asilo. Desde 2013 hasta la fecha, su capacidad de acogida ha pasado de 3.000 a casi 21.000 personas, lo que ha supuesto un costo adicional de más de 50 millones de euros.</w:t>
      </w:r>
    </w:p>
    <w:p w:rsidR="00895D0A" w:rsidRPr="00895D0A" w:rsidRDefault="00895D0A" w:rsidP="009725A4">
      <w:pPr>
        <w:pStyle w:val="SingleTxt"/>
        <w:numPr>
          <w:ilvl w:val="0"/>
          <w:numId w:val="15"/>
        </w:numPr>
        <w:tabs>
          <w:tab w:val="clear" w:pos="475"/>
          <w:tab w:val="num" w:pos="1742"/>
        </w:tabs>
        <w:suppressAutoHyphens w:val="0"/>
        <w:ind w:left="1267"/>
      </w:pPr>
      <w:r w:rsidRPr="00895D0A">
        <w:t>En particular</w:t>
      </w:r>
      <w:r w:rsidR="004A5D08">
        <w:t>,</w:t>
      </w:r>
      <w:r w:rsidRPr="00895D0A">
        <w:t xml:space="preserve"> el SPRAR tiene el cometido de gestionar la asignación de los solicitantes</w:t>
      </w:r>
      <w:r w:rsidR="004A5D08">
        <w:t>,</w:t>
      </w:r>
      <w:r w:rsidRPr="00895D0A">
        <w:t xml:space="preserve"> </w:t>
      </w:r>
      <w:r w:rsidR="004A5D08">
        <w:t>repartiéndolos</w:t>
      </w:r>
      <w:r w:rsidRPr="00895D0A">
        <w:t xml:space="preserve"> entre las regiones, las provincias y los municipios. </w:t>
      </w:r>
      <w:r w:rsidR="004A5D08">
        <w:t>E</w:t>
      </w:r>
      <w:r w:rsidRPr="00895D0A">
        <w:t>n julio de 2014 el Estado, las regiones y los entes administrativos locales firmaron un acuerdo</w:t>
      </w:r>
      <w:r w:rsidR="004A5D08">
        <w:t xml:space="preserve"> con esta finalidad</w:t>
      </w:r>
      <w:r w:rsidRPr="00895D0A">
        <w:t xml:space="preserve">. Se ha encomendado a un grupo de trabajo de coordinación nacional, con la asistencia de grupos de trabajo regionales, la planificación de todas las actividades relacionadas con los flujos masivos de migrantes, </w:t>
      </w:r>
      <w:r w:rsidR="004A5D08">
        <w:t>con</w:t>
      </w:r>
      <w:r w:rsidRPr="00895D0A">
        <w:t xml:space="preserve"> especial atención a la optimización del sistema de acogida. En virtud de ese acuerdo, el Grupo</w:t>
      </w:r>
      <w:r w:rsidR="000F5E60">
        <w:t xml:space="preserve"> </w:t>
      </w:r>
      <w:r w:rsidRPr="00895D0A">
        <w:t xml:space="preserve">Nacional de Coordinación se ha encargado de redactar un plan </w:t>
      </w:r>
      <w:r w:rsidR="004A5D08">
        <w:t>bienal</w:t>
      </w:r>
      <w:r w:rsidRPr="00895D0A">
        <w:t xml:space="preserve"> para evaluar las necesidades de capacidad de acogida. El Grupo formulará estrategias de preparación, mitigación y respuesta ante la presión sobre el sistema de acogida de solicitantes de asilo</w:t>
      </w:r>
      <w:r w:rsidR="00C230CE">
        <w:t>.</w:t>
      </w:r>
    </w:p>
    <w:p w:rsidR="00895D0A" w:rsidRPr="00895D0A" w:rsidRDefault="00895D0A" w:rsidP="009725A4">
      <w:pPr>
        <w:pStyle w:val="SingleTxt"/>
        <w:numPr>
          <w:ilvl w:val="0"/>
          <w:numId w:val="15"/>
        </w:numPr>
        <w:tabs>
          <w:tab w:val="clear" w:pos="475"/>
          <w:tab w:val="num" w:pos="1742"/>
        </w:tabs>
        <w:suppressAutoHyphens w:val="0"/>
        <w:ind w:left="1267"/>
      </w:pPr>
      <w:r w:rsidRPr="00895D0A">
        <w:t>En relación con la asignación y el uso del nuevo Fondo</w:t>
      </w:r>
      <w:r w:rsidR="004A5D08">
        <w:t xml:space="preserve"> Europeo</w:t>
      </w:r>
      <w:r w:rsidRPr="00895D0A">
        <w:t xml:space="preserve"> de Asilo, Migración e Integración 2014-2020, el programa nacional de acción se centra en la gestión int</w:t>
      </w:r>
      <w:r w:rsidR="004A5D08">
        <w:t>egral de los flujos migratorios</w:t>
      </w:r>
      <w:r w:rsidRPr="00895D0A">
        <w:t xml:space="preserve"> </w:t>
      </w:r>
      <w:r w:rsidR="004A5D08">
        <w:t>(</w:t>
      </w:r>
      <w:r w:rsidRPr="00895D0A">
        <w:t>solicitantes de asilo, migración legal, integración y repatriación de los inmigrantes irregulares</w:t>
      </w:r>
      <w:r w:rsidR="004A5D08">
        <w:t>)</w:t>
      </w:r>
      <w:r w:rsidRPr="00895D0A">
        <w:t>. El programa nacional está financiado con 500 millones de euros, de los que 310 millones los aporta la Unión Europea. En 2013 el Gobierno de Italia habilitó fondos por un valor de 190 millones de euros para hacer frente a los gastos extraordinarios relacionados con este flujo migratorio sin precedentes. En 2014 se asignaron fondo</w:t>
      </w:r>
      <w:r w:rsidR="00C230CE">
        <w:t>s adicionales por valor de casi </w:t>
      </w:r>
      <w:r w:rsidRPr="00895D0A">
        <w:t>63 millones de euros.</w:t>
      </w:r>
      <w:smartTag w:uri="urn:schemas-microsoft-com:office:smarttags" w:element="metricconverter">
        <w:smartTagPr>
          <w:attr w:name="ProductID" w:val="2014 a"/>
        </w:smartTagPr>
      </w:smartTag>
    </w:p>
    <w:p w:rsidR="00895D0A" w:rsidRPr="00895D0A" w:rsidRDefault="00895D0A" w:rsidP="009725A4">
      <w:pPr>
        <w:pStyle w:val="SingleTxt"/>
        <w:numPr>
          <w:ilvl w:val="0"/>
          <w:numId w:val="15"/>
        </w:numPr>
        <w:tabs>
          <w:tab w:val="clear" w:pos="475"/>
          <w:tab w:val="num" w:pos="1742"/>
        </w:tabs>
        <w:suppressAutoHyphens w:val="0"/>
        <w:ind w:left="1267"/>
      </w:pPr>
      <w:r w:rsidRPr="00895D0A">
        <w:t>En cuanto a las llegadas de migrantes por vía mar</w:t>
      </w:r>
      <w:r w:rsidR="00C230CE">
        <w:t xml:space="preserve">ítima, en el último año nuestro </w:t>
      </w:r>
      <w:r w:rsidRPr="00895D0A">
        <w:t>país tuvo que enfrentarse a una crec</w:t>
      </w:r>
      <w:r w:rsidR="004A5D08">
        <w:t>iente presión migratoria, debida</w:t>
      </w:r>
      <w:r w:rsidR="00C230CE">
        <w:t xml:space="preserve"> a la pobreza, las </w:t>
      </w:r>
      <w:r w:rsidRPr="00895D0A">
        <w:t>guerras y la inestabilidad política en varias</w:t>
      </w:r>
      <w:r w:rsidR="004A5D08">
        <w:t xml:space="preserve"> zonas del mundo. Desde enero hasta el</w:t>
      </w:r>
      <w:r w:rsidRPr="00895D0A">
        <w:t xml:space="preserve"> 23 de octubre de 2014, casi 151.126 migrantes llegaron por mar, de los que unos 12.000 eran menores no acompañados. </w:t>
      </w:r>
      <w:r w:rsidR="004A5D08">
        <w:t>Para</w:t>
      </w:r>
      <w:r w:rsidRPr="00895D0A">
        <w:t xml:space="preserve"> hacer frente a las necesidades extraordinarias </w:t>
      </w:r>
      <w:r w:rsidR="004A5D08">
        <w:t>derivadas de</w:t>
      </w:r>
      <w:r w:rsidRPr="00895D0A">
        <w:t xml:space="preserve"> este flujo migratorio excepcional, en 2013 el Gobierno h</w:t>
      </w:r>
      <w:r w:rsidR="004A5D08">
        <w:t>abilitó fondos por valor de 190 millones de</w:t>
      </w:r>
      <w:r w:rsidRPr="00895D0A">
        <w:t xml:space="preserve"> euros y recientemente</w:t>
      </w:r>
      <w:r w:rsidR="004A5D08">
        <w:t xml:space="preserve"> proporcionó otros</w:t>
      </w:r>
      <w:r w:rsidR="00C230CE">
        <w:t> </w:t>
      </w:r>
      <w:r w:rsidRPr="00895D0A">
        <w:t>62.700.000</w:t>
      </w:r>
      <w:r w:rsidR="004A5D08">
        <w:t xml:space="preserve"> euros</w:t>
      </w:r>
      <w:r w:rsidRPr="00895D0A">
        <w:t xml:space="preserve">. </w:t>
      </w:r>
      <w:r w:rsidR="00C5303D">
        <w:t>La mayor parte de los</w:t>
      </w:r>
      <w:r w:rsidRPr="00895D0A">
        <w:t xml:space="preserve"> migrantes que llegan por vía marítima son personas </w:t>
      </w:r>
      <w:r w:rsidR="00C5303D">
        <w:t>necesitadas</w:t>
      </w:r>
      <w:r w:rsidRPr="00895D0A">
        <w:t xml:space="preserve"> de protección internacional, que huyen de la guerra, la persecución o</w:t>
      </w:r>
      <w:r w:rsidR="00C5303D">
        <w:t xml:space="preserve"> un peligro grave. Desde enero hasta el</w:t>
      </w:r>
      <w:r w:rsidRPr="00895D0A">
        <w:t xml:space="preserve"> 17 de octubre del presente año, se han presentado</w:t>
      </w:r>
      <w:r w:rsidR="000F5E60">
        <w:t xml:space="preserve"> </w:t>
      </w:r>
      <w:r w:rsidRPr="00895D0A">
        <w:t xml:space="preserve">56.485 solicitudes de asilo, mientras que en 2013 </w:t>
      </w:r>
      <w:r w:rsidR="00C5303D">
        <w:t>se habían presentado</w:t>
      </w:r>
      <w:r w:rsidRPr="00895D0A">
        <w:t xml:space="preserve"> 26.620. En </w:t>
      </w:r>
      <w:r w:rsidR="00C5303D">
        <w:t>términos estadístico</w:t>
      </w:r>
      <w:r w:rsidRPr="00895D0A">
        <w:t>s, en el año en curso se aceptó el 61% de las solicitudes presentadas.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A fin de acelerar la tramitación de las solicitudes de asilo sin limitar los derechos </w:t>
      </w:r>
      <w:r w:rsidR="00C5303D">
        <w:t>de procedimiento</w:t>
      </w:r>
      <w:r w:rsidRPr="00895D0A">
        <w:t xml:space="preserve"> establecidos por la legislación europea y nacional, se aprobó una nueva ley que ha aumentado </w:t>
      </w:r>
      <w:r w:rsidR="00C5303D" w:rsidRPr="00895D0A">
        <w:t xml:space="preserve">de 20 a 50 </w:t>
      </w:r>
      <w:r w:rsidRPr="00895D0A">
        <w:t>el número de comisiones encargadas de conceder la protección internacional</w:t>
      </w:r>
      <w:r w:rsidR="00C5303D">
        <w:t>, previendo que estén situadas</w:t>
      </w:r>
      <w:r w:rsidRPr="00895D0A">
        <w:t xml:space="preserve"> cerca de los centros de acogida. Para asegurar la transparencia del procedimiento, en todas esas comisiones hay un representante del ACNUR. </w:t>
      </w:r>
      <w:r w:rsidR="00C5303D">
        <w:t>Si</w:t>
      </w:r>
      <w:r w:rsidRPr="00895D0A">
        <w:t xml:space="preserve"> en el plazo de seis meses —período durante el cual el Estado puede dar alojamiento al solicitante— no se </w:t>
      </w:r>
      <w:r w:rsidR="00C5303D">
        <w:t>ha tomado</w:t>
      </w:r>
      <w:r w:rsidRPr="00895D0A">
        <w:t xml:space="preserve"> una decisión sobre </w:t>
      </w:r>
      <w:r w:rsidR="00C5303D">
        <w:t>un caso particular, se concede</w:t>
      </w:r>
      <w:r w:rsidRPr="00895D0A">
        <w:t xml:space="preserve"> al solicitante un perm</w:t>
      </w:r>
      <w:r w:rsidR="00C5303D">
        <w:t>iso de residencia que le permite</w:t>
      </w:r>
      <w:r w:rsidRPr="00895D0A">
        <w:t xml:space="preserve"> trabajar.</w:t>
      </w:r>
    </w:p>
    <w:p w:rsidR="00895D0A" w:rsidRPr="00895D0A" w:rsidRDefault="00895D0A" w:rsidP="009725A4">
      <w:pPr>
        <w:pStyle w:val="SingleTxt"/>
        <w:numPr>
          <w:ilvl w:val="0"/>
          <w:numId w:val="15"/>
        </w:numPr>
        <w:tabs>
          <w:tab w:val="clear" w:pos="475"/>
          <w:tab w:val="num" w:pos="1742"/>
        </w:tabs>
        <w:suppressAutoHyphens w:val="0"/>
        <w:ind w:left="1267"/>
      </w:pPr>
      <w:r w:rsidRPr="00895D0A">
        <w:t>La legislación italiana también brinda protección humanitaria a las personas que no reúnen las condiciones para adquirir la condición de refugiados o el derecho a la protección subsidiaria prevista en la Convención de 1951 y el derecho europeo, pero que no pueden ser repatriadas por motivos humanitarios (por lo general, este permiso de estancia tiene una duración de un año y es prorrogable mientras sigan siendo válidos los motivos humanitarios).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Como se ha señalado </w:t>
      </w:r>
      <w:r w:rsidR="00C5303D">
        <w:t>anteriormente, hay que</w:t>
      </w:r>
      <w:r w:rsidRPr="00895D0A">
        <w:t xml:space="preserve"> prestar una atención específica a la situación de los menores no acompañados. Desde el 1 de enero </w:t>
      </w:r>
      <w:r w:rsidR="00C5303D">
        <w:t>hasta el</w:t>
      </w:r>
      <w:r w:rsidRPr="00895D0A">
        <w:t xml:space="preserve"> 23 de octubre de 2014, llegaron por vía marítima 12.164 menores no acompañados. </w:t>
      </w:r>
      <w:r w:rsidR="00C5303D">
        <w:t xml:space="preserve">Los </w:t>
      </w:r>
      <w:r w:rsidRPr="00895D0A">
        <w:t>menores no acompañados</w:t>
      </w:r>
      <w:r w:rsidR="00E82535">
        <w:t xml:space="preserve"> son alo</w:t>
      </w:r>
      <w:r w:rsidR="00C5303D">
        <w:t>jados</w:t>
      </w:r>
      <w:r w:rsidRPr="00895D0A">
        <w:t xml:space="preserve"> en centros de acogida para menores o en familias de acogida, pues no pueden serlo en centros de acogida para solicitantes de asilo o en centros de identificación y expulsión. La legislación italiana prohíbe, </w:t>
      </w:r>
      <w:r w:rsidR="00C5303D">
        <w:t>en</w:t>
      </w:r>
      <w:r w:rsidRPr="00895D0A">
        <w:t xml:space="preserve"> general, la deportación de </w:t>
      </w:r>
      <w:r w:rsidR="00C5303D">
        <w:t>menores</w:t>
      </w:r>
      <w:r w:rsidRPr="00895D0A">
        <w:t xml:space="preserve">. </w:t>
      </w:r>
      <w:r w:rsidR="00246B35">
        <w:t>E</w:t>
      </w:r>
      <w:r w:rsidR="00C5303D">
        <w:t>stos t</w:t>
      </w:r>
      <w:r w:rsidRPr="00895D0A">
        <w:t xml:space="preserve">ienen derecho a un permiso de residencia hasta que cumplan los 18 años de edad. Al cumplir la mayoría de edad pueden obtener un permiso de residencia </w:t>
      </w:r>
      <w:r w:rsidR="00C5303D">
        <w:t>para estudiar o trabajar</w:t>
      </w:r>
      <w:r w:rsidRPr="00895D0A">
        <w:t xml:space="preserve">. Los menores no acompañados pueden acogerse a </w:t>
      </w:r>
      <w:r w:rsidR="00C5303D">
        <w:t>toda una serie</w:t>
      </w:r>
      <w:r w:rsidRPr="00895D0A">
        <w:t xml:space="preserve"> de medidas de protección: el derecho a la educación, a la atención sanitaria, al alojamiento en un lugar seguro y </w:t>
      </w:r>
      <w:r w:rsidR="00C5303D">
        <w:t>a tener</w:t>
      </w:r>
      <w:r w:rsidRPr="00895D0A">
        <w:t xml:space="preserve"> un tutor.</w:t>
      </w:r>
    </w:p>
    <w:p w:rsidR="00895D0A" w:rsidRPr="00895D0A" w:rsidRDefault="00895D0A" w:rsidP="009725A4">
      <w:pPr>
        <w:pStyle w:val="SingleTxt"/>
        <w:numPr>
          <w:ilvl w:val="0"/>
          <w:numId w:val="15"/>
        </w:numPr>
        <w:tabs>
          <w:tab w:val="clear" w:pos="475"/>
          <w:tab w:val="num" w:pos="1742"/>
        </w:tabs>
        <w:suppressAutoHyphens w:val="0"/>
        <w:ind w:left="1267"/>
      </w:pPr>
      <w:r w:rsidRPr="00895D0A">
        <w:t>En cuanto a las necesidades específicas de los migrantes y, en particular, de los niños acompañados de sus padres, en el</w:t>
      </w:r>
      <w:r w:rsidR="00A91A3F">
        <w:t xml:space="preserve"> llamado</w:t>
      </w:r>
      <w:r w:rsidRPr="00895D0A">
        <w:t xml:space="preserve"> </w:t>
      </w:r>
      <w:r w:rsidR="00DD1A63">
        <w:t>“</w:t>
      </w:r>
      <w:r w:rsidRPr="00895D0A">
        <w:t>Capitolato d</w:t>
      </w:r>
      <w:r w:rsidR="00A74BF3">
        <w:t>’</w:t>
      </w:r>
      <w:r w:rsidRPr="00895D0A">
        <w:t>appalto</w:t>
      </w:r>
      <w:r w:rsidR="00DD1A63">
        <w:t>”</w:t>
      </w:r>
      <w:r w:rsidRPr="00895D0A">
        <w:t xml:space="preserve"> (pliego de condiciones) para la gestión de centros públicos (apro</w:t>
      </w:r>
      <w:r w:rsidR="00C230CE">
        <w:t>bado por Decreto Ministerial de </w:t>
      </w:r>
      <w:r w:rsidRPr="00895D0A">
        <w:t xml:space="preserve">21 de noviembre de 2008) se contemplan servicios específicos para las necesidades de los migrantes, incluidas las familias con hijos. Además, el 20 de octubre de 2014 se promulgó un nuevo reglamento sobre centros de identificación y expulsión en virtud de un decreto del Ministro del Interior, </w:t>
      </w:r>
      <w:r w:rsidR="00A91A3F">
        <w:t>previa</w:t>
      </w:r>
      <w:r w:rsidRPr="00895D0A">
        <w:t xml:space="preserve"> consulta c</w:t>
      </w:r>
      <w:r w:rsidR="00A91A3F">
        <w:t>on un grupo de trabajo especial</w:t>
      </w:r>
      <w:r w:rsidRPr="00895D0A">
        <w:t xml:space="preserve"> integrado por el Ministerio de Salud, la OIM, la Cruz Roja Italiana, Medici Senza Frontiere,</w:t>
      </w:r>
      <w:r w:rsidR="00A91A3F">
        <w:t xml:space="preserve"> y</w:t>
      </w:r>
      <w:r w:rsidRPr="00895D0A">
        <w:t xml:space="preserve"> el Instituto Nacional de Promoción de la Salud de la Población Migrante y Control de las Enfermedades de la Pobreza (INMP). El nuevo reglamento trata de los criterios de gestión de los centros de identificación e incluye disposiciones sobre, entre otras cosas,</w:t>
      </w:r>
      <w:r w:rsidR="00A91A3F">
        <w:t xml:space="preserve"> lo siguiente:</w:t>
      </w:r>
      <w:r w:rsidRPr="00895D0A">
        <w:t xml:space="preserve"> la información a los migrantes sobre sus derechos; la evaluación de sus condiciones de salud y asistencia médica; las normas de acceso a los centros, incluido el acceso de los periodistas y las </w:t>
      </w:r>
      <w:r w:rsidR="00DD1A63">
        <w:t>ONG</w:t>
      </w:r>
      <w:r w:rsidRPr="00895D0A">
        <w:t xml:space="preserve">; la supervisión de la gestión </w:t>
      </w:r>
      <w:r w:rsidR="004F36D6">
        <w:t xml:space="preserve">de los centros y el respeto del mencionado </w:t>
      </w:r>
      <w:r w:rsidR="00DD1A63">
        <w:t>“</w:t>
      </w:r>
      <w:r w:rsidRPr="00895D0A">
        <w:t>Capitolato d</w:t>
      </w:r>
      <w:r w:rsidR="00A74BF3">
        <w:t>’</w:t>
      </w:r>
      <w:r w:rsidRPr="00895D0A">
        <w:t>Appalto</w:t>
      </w:r>
      <w:r w:rsidR="00DD1A63">
        <w:t>”</w:t>
      </w:r>
      <w:r w:rsidRPr="00895D0A">
        <w:t>.</w:t>
      </w:r>
    </w:p>
    <w:p w:rsidR="009725A4" w:rsidRPr="009725A4" w:rsidRDefault="009725A4" w:rsidP="009725A4">
      <w:pPr>
        <w:pStyle w:val="SingleTxt"/>
        <w:spacing w:after="0" w:line="120" w:lineRule="exact"/>
        <w:rPr>
          <w:b/>
          <w:sz w:val="10"/>
        </w:rPr>
      </w:pPr>
    </w:p>
    <w:p w:rsidR="009725A4" w:rsidRPr="009725A4" w:rsidRDefault="009725A4" w:rsidP="009725A4">
      <w:pPr>
        <w:pStyle w:val="SingleTxt"/>
        <w:spacing w:after="0" w:line="120" w:lineRule="exact"/>
        <w:rPr>
          <w:b/>
          <w:sz w:val="10"/>
        </w:rPr>
      </w:pPr>
    </w:p>
    <w:p w:rsidR="00895D0A" w:rsidRPr="00895D0A" w:rsidRDefault="00895D0A" w:rsidP="004F36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C.</w:t>
      </w:r>
      <w:r w:rsidRPr="00895D0A">
        <w:tab/>
        <w:t>Las minorías, incluidos los romaníes</w:t>
      </w:r>
    </w:p>
    <w:p w:rsidR="009725A4" w:rsidRPr="009725A4" w:rsidRDefault="009725A4" w:rsidP="009725A4">
      <w:pPr>
        <w:pStyle w:val="SingleTxt"/>
        <w:spacing w:after="0" w:line="120" w:lineRule="exact"/>
        <w:rPr>
          <w:iCs/>
          <w:sz w:val="10"/>
        </w:rPr>
      </w:pPr>
    </w:p>
    <w:p w:rsidR="009725A4" w:rsidRPr="009725A4" w:rsidRDefault="009725A4" w:rsidP="009725A4">
      <w:pPr>
        <w:pStyle w:val="SingleTxt"/>
        <w:spacing w:after="0" w:line="120" w:lineRule="exact"/>
        <w:rPr>
          <w:iCs/>
          <w:sz w:val="10"/>
        </w:rPr>
      </w:pP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nuestro ordenamiento jurídico el concepto de minoría está vinculado a la singularidad lingüística y se basa en el artículo 6 de la </w:t>
      </w:r>
      <w:r w:rsidR="00103817" w:rsidRPr="00895D0A">
        <w:t>Ley Fundamental</w:t>
      </w:r>
      <w:r w:rsidRPr="00895D0A">
        <w:t xml:space="preserve">, que establece que </w:t>
      </w:r>
      <w:r w:rsidR="00E82535">
        <w:t>“</w:t>
      </w:r>
      <w:r w:rsidRPr="00895D0A">
        <w:t xml:space="preserve">la República protegerá a las minorías lingüísticas </w:t>
      </w:r>
      <w:r w:rsidR="00103817">
        <w:t>con</w:t>
      </w:r>
      <w:r w:rsidRPr="00895D0A">
        <w:t xml:space="preserve"> disposiciones apropiadas</w:t>
      </w:r>
      <w:r w:rsidR="00DD1A63">
        <w:t>”</w:t>
      </w:r>
      <w:r w:rsidRPr="00895D0A">
        <w:t xml:space="preserve">. La protección </w:t>
      </w:r>
      <w:r w:rsidR="00103817">
        <w:t>está relacionada</w:t>
      </w:r>
      <w:r w:rsidRPr="00895D0A">
        <w:t xml:space="preserve"> con el reconocimiento de los derechos inviolables del hombre, como individuo y como parte de grupos sociales en que se desarrolla personalidad, y con la igualdad de la dignidad social de todos los ciudadanos, sin distinciones por motivos de sexo, idioma, religión, opiniones políticas y condiciones sociales y personales (arts. 2 y 3 de la </w:t>
      </w:r>
      <w:r w:rsidR="00103817" w:rsidRPr="00895D0A">
        <w:t>Ley Fundamental</w:t>
      </w:r>
      <w:r w:rsidRPr="00895D0A">
        <w:t>)</w:t>
      </w:r>
      <w:r w:rsidR="00E82535">
        <w:t>.</w:t>
      </w:r>
      <w:r w:rsidRPr="00895D0A">
        <w:t xml:space="preserve"> Este principio </w:t>
      </w:r>
      <w:r w:rsidR="00103817">
        <w:t>es</w:t>
      </w:r>
      <w:r w:rsidRPr="00895D0A">
        <w:t xml:space="preserve"> reforzado por otros artículos que, por </w:t>
      </w:r>
      <w:r w:rsidR="00103817">
        <w:t>una parte</w:t>
      </w:r>
      <w:r w:rsidRPr="00895D0A">
        <w:t>, persiguen que el ordenamiento jurídico italiano se ajuste a las normas del derecho internacional generalmente reconocidas (art. 10), y, por la otra, se focalizan en adecuar los principios y métodos de su legislación a las exigencias derivadas de la autonom</w:t>
      </w:r>
      <w:r w:rsidR="00C230CE">
        <w:t>ía y la descentralización (art. </w:t>
      </w:r>
      <w:r w:rsidRPr="00895D0A">
        <w:t>5). El sistema de autonomía local y regional es especialmente importante para la protección y la promoción de las minorías. Algunos grupos minoritarios que viven en las regiones</w:t>
      </w:r>
      <w:r w:rsidR="00103817">
        <w:t xml:space="preserve"> fronterizas gozan de una forma </w:t>
      </w:r>
      <w:r w:rsidRPr="00895D0A">
        <w:t>especial de autonomía, ya que sus estatutos se aprobaron mediante ley</w:t>
      </w:r>
      <w:r w:rsidR="00103817">
        <w:t>es</w:t>
      </w:r>
      <w:r w:rsidRPr="00895D0A">
        <w:t xml:space="preserve"> constitucional</w:t>
      </w:r>
      <w:r w:rsidR="00103817">
        <w:t>es</w:t>
      </w:r>
      <w:r w:rsidRPr="00895D0A">
        <w:t>.</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Un </w:t>
      </w:r>
      <w:r w:rsidR="00103817">
        <w:t>hito</w:t>
      </w:r>
      <w:r w:rsidRPr="00895D0A">
        <w:t xml:space="preserve"> en el desarrollo de nuestro ordenamiento jurídico </w:t>
      </w:r>
      <w:r w:rsidR="00103817">
        <w:t>lo constituye</w:t>
      </w:r>
      <w:r w:rsidRPr="00895D0A">
        <w:t xml:space="preserve"> la </w:t>
      </w:r>
      <w:r w:rsidRPr="00E82535">
        <w:rPr>
          <w:b/>
        </w:rPr>
        <w:t xml:space="preserve">Ley núm. 482, de 15 de diciembre de 1999, titulada </w:t>
      </w:r>
      <w:r w:rsidR="00DD1A63" w:rsidRPr="00E82535">
        <w:rPr>
          <w:b/>
        </w:rPr>
        <w:t>“</w:t>
      </w:r>
      <w:r w:rsidRPr="00E82535">
        <w:rPr>
          <w:b/>
        </w:rPr>
        <w:t>Normas de Protección de las Minorías Lingüísticas Históricas</w:t>
      </w:r>
      <w:r w:rsidR="00DD1A63" w:rsidRPr="00E82535">
        <w:rPr>
          <w:b/>
        </w:rPr>
        <w:t>”</w:t>
      </w:r>
      <w:r w:rsidRPr="00895D0A">
        <w:t xml:space="preserve">. La Ley, aunque </w:t>
      </w:r>
      <w:r w:rsidR="00E82535">
        <w:t>respe</w:t>
      </w:r>
      <w:r w:rsidR="00103817">
        <w:t>ta</w:t>
      </w:r>
      <w:r w:rsidRPr="00895D0A">
        <w:t xml:space="preserve"> el principio de unidad nacional, reconoce la multiplicidad de formas de expresión lingüística y cultural </w:t>
      </w:r>
      <w:r w:rsidR="00103817">
        <w:t>de</w:t>
      </w:r>
      <w:r w:rsidRPr="00895D0A">
        <w:t xml:space="preserve"> nuestro país y al mismo tiempo </w:t>
      </w:r>
      <w:r w:rsidR="00103817">
        <w:t>atribuye</w:t>
      </w:r>
      <w:r w:rsidRPr="00895D0A">
        <w:t xml:space="preserve"> importancia </w:t>
      </w:r>
      <w:r w:rsidR="00103817">
        <w:t>al</w:t>
      </w:r>
      <w:r w:rsidRPr="00895D0A">
        <w:t xml:space="preserve"> papel de la</w:t>
      </w:r>
      <w:r w:rsidR="00103817">
        <w:t>s</w:t>
      </w:r>
      <w:r w:rsidRPr="00895D0A">
        <w:t xml:space="preserve"> autonomía</w:t>
      </w:r>
      <w:r w:rsidR="00103817">
        <w:t>s</w:t>
      </w:r>
      <w:r w:rsidRPr="00895D0A">
        <w:t xml:space="preserve"> en la descentralización administrativa</w:t>
      </w:r>
      <w:r w:rsidR="00103817">
        <w:t>,</w:t>
      </w:r>
      <w:r w:rsidRPr="00895D0A">
        <w:t xml:space="preserve"> al asignar a las autoridades locales </w:t>
      </w:r>
      <w:r w:rsidR="00103817">
        <w:t>tareas esenciales</w:t>
      </w:r>
      <w:r w:rsidRPr="00895D0A">
        <w:t xml:space="preserve"> en la aplicación de las disposiciones pertinentes. Vale la pena destacar que en casi todas las regiones donde </w:t>
      </w:r>
      <w:r w:rsidR="00103817">
        <w:t>viven</w:t>
      </w:r>
      <w:r w:rsidRPr="00895D0A">
        <w:t xml:space="preserve"> comunidades de lenguas minoritarias se han </w:t>
      </w:r>
      <w:r w:rsidR="00103817">
        <w:t>previsto</w:t>
      </w:r>
      <w:r w:rsidRPr="00895D0A">
        <w:t xml:space="preserve"> disposiciones de protección de conformidad con las funciones atribuidas a las regiones en virtud de la </w:t>
      </w:r>
      <w:r w:rsidR="00103817" w:rsidRPr="00895D0A">
        <w:t xml:space="preserve">Ley Fundamental </w:t>
      </w:r>
      <w:r w:rsidRPr="00895D0A">
        <w:t xml:space="preserve">y </w:t>
      </w:r>
      <w:r w:rsidR="00103817">
        <w:t xml:space="preserve">de </w:t>
      </w:r>
      <w:r w:rsidRPr="00895D0A">
        <w:t>los principios generales establecidos a nivel europeo e internacional. La Ley núm. 482/1999 permite atender</w:t>
      </w:r>
      <w:r w:rsidR="00103817">
        <w:t xml:space="preserve"> a</w:t>
      </w:r>
      <w:r w:rsidRPr="00895D0A">
        <w:t xml:space="preserve"> las necesidades reales de las personas </w:t>
      </w:r>
      <w:r w:rsidR="00103817">
        <w:t>de</w:t>
      </w:r>
      <w:r w:rsidRPr="00895D0A">
        <w:t xml:space="preserve"> grupos minoritarios, que </w:t>
      </w:r>
      <w:r w:rsidR="00103817">
        <w:t>pueden</w:t>
      </w:r>
      <w:r w:rsidRPr="00895D0A">
        <w:t xml:space="preserve"> elegir </w:t>
      </w:r>
      <w:r w:rsidR="00103817">
        <w:t>libremente si pertenecen</w:t>
      </w:r>
      <w:r w:rsidRPr="00895D0A">
        <w:t xml:space="preserve"> o no a una minoría. La condición previa para </w:t>
      </w:r>
      <w:r w:rsidR="00103817">
        <w:t>que</w:t>
      </w:r>
      <w:r w:rsidRPr="00895D0A">
        <w:t xml:space="preserve"> estas disposiciones </w:t>
      </w:r>
      <w:r w:rsidR="00103817">
        <w:t xml:space="preserve">surtan efecto es que se delimite </w:t>
      </w:r>
      <w:r w:rsidRPr="00895D0A">
        <w:t xml:space="preserve">el ámbito territorial en el que </w:t>
      </w:r>
      <w:r w:rsidR="00103817">
        <w:t>vive</w:t>
      </w:r>
      <w:r w:rsidRPr="00895D0A">
        <w:t xml:space="preserve"> la comunidad que vaya a ser protegida. </w:t>
      </w:r>
      <w:r w:rsidR="00103817">
        <w:t>L</w:t>
      </w:r>
      <w:r w:rsidRPr="00895D0A">
        <w:t xml:space="preserve">a provincia </w:t>
      </w:r>
      <w:r w:rsidR="00103817">
        <w:t xml:space="preserve">debe </w:t>
      </w:r>
      <w:r w:rsidRPr="00895D0A">
        <w:t>identificar a las correspondientes comunidades.</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Desde la entrada en vigor de la Ley núm. 482/1999, el Ministerio del Interior ha elaborado una lista de los municipios pertenecientes a las diversas minorías, que se actualiza periódicamente </w:t>
      </w:r>
      <w:r w:rsidR="004142BC">
        <w:t>con la</w:t>
      </w:r>
      <w:r w:rsidRPr="00895D0A">
        <w:t xml:space="preserve"> inclusión de otras comunidades que h</w:t>
      </w:r>
      <w:r w:rsidR="004142BC">
        <w:t>ayan</w:t>
      </w:r>
      <w:r w:rsidRPr="00895D0A">
        <w:t xml:space="preserve"> solicitado acogerse a la protección prevista en ella. El censo general de población no prevé la recopilación de datos sobre el idioma y las creencias religiosas que puedan revelar el origen racial o étnico. La recopilación de datos sensibles requiere el consentimiento escrito de la persona en cuestión</w:t>
      </w:r>
      <w:r w:rsidR="004142BC">
        <w:t>,</w:t>
      </w:r>
      <w:r w:rsidRPr="00895D0A">
        <w:t xml:space="preserve"> previa autorización del Garante para la Protección de Datos Personales de Italia; </w:t>
      </w:r>
      <w:r w:rsidR="004142BC">
        <w:t>tampoco</w:t>
      </w:r>
      <w:r w:rsidRPr="00895D0A">
        <w:t xml:space="preserve"> se permite la difusión de datos sensibles por las entidades públicas si </w:t>
      </w:r>
      <w:r w:rsidR="004142BC">
        <w:t xml:space="preserve">no </w:t>
      </w:r>
      <w:r w:rsidRPr="00895D0A">
        <w:t>está expresamente autorizado por</w:t>
      </w:r>
      <w:r w:rsidR="004142BC">
        <w:t xml:space="preserve"> la</w:t>
      </w:r>
      <w:r w:rsidRPr="00895D0A">
        <w:t xml:space="preserve"> ley (Ley núm. 675/1996, art. 22, párrs. 3 y 3 </w:t>
      </w:r>
      <w:r w:rsidRPr="004142BC">
        <w:rPr>
          <w:i/>
        </w:rPr>
        <w:t>bis</w:t>
      </w:r>
      <w:r w:rsidRPr="00895D0A">
        <w:t xml:space="preserve">). Una serie de disposiciones legislativas específicas establecen que, </w:t>
      </w:r>
      <w:r w:rsidR="004142BC">
        <w:t>cuando se confeccione</w:t>
      </w:r>
      <w:r w:rsidRPr="00895D0A">
        <w:t xml:space="preserve"> el censo de población, solo </w:t>
      </w:r>
      <w:r w:rsidR="004142BC">
        <w:t>podrá</w:t>
      </w:r>
      <w:r w:rsidRPr="00895D0A">
        <w:t xml:space="preserve"> obtenerse la información relativa al tamaño</w:t>
      </w:r>
      <w:r w:rsidR="004142BC">
        <w:t xml:space="preserve"> numérico</w:t>
      </w:r>
      <w:r w:rsidRPr="00895D0A">
        <w:t xml:space="preserve"> y la distribución de algunos grupos lingüísticos en dos casos: cuando se </w:t>
      </w:r>
      <w:r w:rsidR="004142BC">
        <w:t>quieran</w:t>
      </w:r>
      <w:r w:rsidRPr="00895D0A">
        <w:t xml:space="preserve"> recopilar datos relativos a las personas pertenecientes a minorías que hablen los idiomas mócheno, cimbriano y ladino, residentes en la provincia de Trento (Decreto Legislativo núm. 592, d</w:t>
      </w:r>
      <w:r w:rsidR="00C230CE">
        <w:t>e 16 de diciembre de 1993, art. </w:t>
      </w:r>
      <w:r w:rsidRPr="00895D0A">
        <w:t xml:space="preserve">4) y </w:t>
      </w:r>
      <w:r w:rsidR="004142BC">
        <w:t>cuando se quieran recopilar</w:t>
      </w:r>
      <w:r w:rsidRPr="00895D0A">
        <w:t xml:space="preserve"> datos sobre los grupos de expresión italiana, alemana o ladina de la provincia de Bolzano (Decreto del Presidente de la República núm. 752, de 26 de julio de 1976).</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Cabe </w:t>
      </w:r>
      <w:r w:rsidR="004142BC">
        <w:t>evocar</w:t>
      </w:r>
      <w:r w:rsidRPr="00895D0A">
        <w:t xml:space="preserve"> también varias actividades de </w:t>
      </w:r>
      <w:r w:rsidR="00C230CE">
        <w:t xml:space="preserve">las autoridades regionales, que </w:t>
      </w:r>
      <w:r w:rsidRPr="00895D0A">
        <w:t>asignan fondos para proyectos en los que participan administraciones</w:t>
      </w:r>
      <w:r w:rsidR="00C230CE">
        <w:t xml:space="preserve"> públicas locales </w:t>
      </w:r>
      <w:r w:rsidRPr="00895D0A">
        <w:t>y afectan al ejercicio del derecho al uso público de los idiomas de las distintas minorías reconocidos a nivel regional. Si bien existen diferencias en los procedimientos como consecuencia de la aplicación</w:t>
      </w:r>
      <w:r w:rsidR="00C230CE">
        <w:t xml:space="preserve"> de las disposiciones de la Ley  </w:t>
      </w:r>
      <w:r w:rsidRPr="00895D0A">
        <w:t>núm. 482/1999</w:t>
      </w:r>
      <w:r w:rsidR="00D124C4">
        <w:t>, los tipos de proyectos que reú</w:t>
      </w:r>
      <w:r w:rsidRPr="00895D0A">
        <w:t xml:space="preserve">nen los requisitos para obtener financiación son los siguientes: </w:t>
      </w:r>
      <w:r w:rsidR="004142BC">
        <w:t>organización</w:t>
      </w:r>
      <w:r w:rsidRPr="00895D0A">
        <w:t xml:space="preserve"> de servicios de asistencia en distintos idiomas para los ciudadanos que emplean lengua</w:t>
      </w:r>
      <w:r w:rsidR="004142BC">
        <w:t>s</w:t>
      </w:r>
      <w:r w:rsidRPr="00895D0A">
        <w:t xml:space="preserve"> minoritaria</w:t>
      </w:r>
      <w:r w:rsidR="004142BC">
        <w:t>s</w:t>
      </w:r>
      <w:r w:rsidRPr="00895D0A">
        <w:t xml:space="preserve">, cursos de </w:t>
      </w:r>
      <w:r w:rsidR="004142BC">
        <w:t>formación</w:t>
      </w:r>
      <w:r w:rsidRPr="00895D0A">
        <w:t xml:space="preserve"> en el idioma minoritario para el personal de las administraciones interesadas, traducción de escrituras y documentos oficiales de la administración pública e interpretación en relación con las actividades de órganos mixtos, señalética estatal e institucional, diseño de sitios web institucionales que utilizan un idioma de las minorías, diseñ</w:t>
      </w:r>
      <w:r w:rsidR="004142BC">
        <w:t>o de sitios web institucionales y</w:t>
      </w:r>
      <w:r w:rsidRPr="00895D0A">
        <w:t xml:space="preserve"> publicación de materiales de promoción y divulgación. Las regiones apoyan la ejecución de planes de mejora de la diversidad cultural y lingüística, así como </w:t>
      </w:r>
      <w:r w:rsidR="004142BC">
        <w:t>de refuerzo del diálogo intercultural, y</w:t>
      </w:r>
      <w:r w:rsidRPr="00895D0A">
        <w:t xml:space="preserve"> promueven y apoyan las iniciativas públicas y privadas encaminadas a mantener y ampliar el uso de los idiomas de las minorías en sus respectivos territorios. Se </w:t>
      </w:r>
      <w:r w:rsidR="004142BC">
        <w:t>proporciona</w:t>
      </w:r>
      <w:r w:rsidRPr="00895D0A">
        <w:t xml:space="preserve"> un gran apoyo a la labor de promoción </w:t>
      </w:r>
      <w:r w:rsidR="004142BC">
        <w:t>y</w:t>
      </w:r>
      <w:r w:rsidRPr="00895D0A">
        <w:t xml:space="preserve"> a las formas de cooperación entre instituciones en las esferas de la lingüística, la educación, la </w:t>
      </w:r>
      <w:r w:rsidR="004142BC">
        <w:t>formación</w:t>
      </w:r>
      <w:r w:rsidRPr="00895D0A">
        <w:t xml:space="preserve"> y los medios de información.</w:t>
      </w:r>
    </w:p>
    <w:p w:rsidR="00895D0A" w:rsidRPr="00895D0A" w:rsidRDefault="00895D0A" w:rsidP="009725A4">
      <w:pPr>
        <w:pStyle w:val="SingleTxt"/>
        <w:numPr>
          <w:ilvl w:val="0"/>
          <w:numId w:val="15"/>
        </w:numPr>
        <w:tabs>
          <w:tab w:val="clear" w:pos="475"/>
          <w:tab w:val="num" w:pos="1742"/>
        </w:tabs>
        <w:suppressAutoHyphens w:val="0"/>
        <w:ind w:left="1267"/>
      </w:pPr>
      <w:r w:rsidRPr="00895D0A">
        <w:t xml:space="preserve">En las zonas donde residen las minorías nacionales se adoptan distintas </w:t>
      </w:r>
      <w:r w:rsidRPr="00E82535">
        <w:rPr>
          <w:b/>
        </w:rPr>
        <w:t>iniciativas culturales</w:t>
      </w:r>
      <w:r w:rsidRPr="00895D0A">
        <w:t xml:space="preserve"> de carácter nacional y local</w:t>
      </w:r>
      <w:r w:rsidR="0057285C">
        <w:t>,</w:t>
      </w:r>
      <w:r w:rsidRPr="00895D0A">
        <w:t xml:space="preserve"> muchas de </w:t>
      </w:r>
      <w:r w:rsidR="0057285C">
        <w:t>las cuales</w:t>
      </w:r>
      <w:r w:rsidRPr="00895D0A">
        <w:t xml:space="preserve"> se financian en virtud de la Ley núm. 482/1999</w:t>
      </w:r>
      <w:r w:rsidR="0057285C">
        <w:t>,</w:t>
      </w:r>
      <w:r w:rsidRPr="00895D0A">
        <w:t xml:space="preserve"> y otras con</w:t>
      </w:r>
      <w:r w:rsidR="0057285C">
        <w:t xml:space="preserve"> el</w:t>
      </w:r>
      <w:r w:rsidRPr="00895D0A">
        <w:t xml:space="preserve"> apoyo eco</w:t>
      </w:r>
      <w:r w:rsidR="0057285C">
        <w:t xml:space="preserve">nómico de las autoridades </w:t>
      </w:r>
      <w:r w:rsidRPr="00895D0A">
        <w:t>regionales o locales. También</w:t>
      </w:r>
      <w:r w:rsidR="0057285C">
        <w:t xml:space="preserve"> </w:t>
      </w:r>
      <w:r w:rsidRPr="00895D0A">
        <w:t xml:space="preserve">los museos </w:t>
      </w:r>
      <w:r w:rsidR="0057285C">
        <w:t>e</w:t>
      </w:r>
      <w:r w:rsidRPr="00895D0A">
        <w:t xml:space="preserve"> institutos han adoptado algunas iniciativas destinadas a </w:t>
      </w:r>
      <w:r w:rsidR="0057285C">
        <w:t>proporcionar</w:t>
      </w:r>
      <w:r w:rsidRPr="00895D0A">
        <w:t xml:space="preserve"> servicios culturales a los migrantes residentes en el territorio nacional o a catalogar y exhibir los archivos históricos de la</w:t>
      </w:r>
      <w:r w:rsidR="00E82535">
        <w:t>s</w:t>
      </w:r>
      <w:r w:rsidRPr="00895D0A">
        <w:t xml:space="preserve"> comunidades </w:t>
      </w:r>
      <w:r w:rsidR="0057285C">
        <w:t>de</w:t>
      </w:r>
      <w:r w:rsidRPr="00895D0A">
        <w:t xml:space="preserve"> minorías nacionales reconocidas. Los municipios han brindado amplias </w:t>
      </w:r>
      <w:r w:rsidR="0057285C">
        <w:t>facilidades</w:t>
      </w:r>
      <w:r w:rsidRPr="00895D0A">
        <w:t xml:space="preserve"> para la celebración de reuniones, fiestas y festivales</w:t>
      </w:r>
      <w:r w:rsidR="000F5E60">
        <w:t xml:space="preserve"> </w:t>
      </w:r>
      <w:r w:rsidRPr="00895D0A">
        <w:t xml:space="preserve">populares con el fin de profundizar en el estudio de sus propios idiomas y el conocimiento de las minorías étnicas que viven en Europa. Además, se han organizado exposiciones fotográficas y se han habilitado espacios dedicados a la promoción de </w:t>
      </w:r>
      <w:r w:rsidR="0057285C">
        <w:t>las</w:t>
      </w:r>
      <w:r w:rsidRPr="00895D0A">
        <w:t xml:space="preserve"> raíces culturales e históricas</w:t>
      </w:r>
      <w:r w:rsidR="0057285C">
        <w:t xml:space="preserve"> de estas minorías</w:t>
      </w:r>
      <w:r w:rsidRPr="00895D0A">
        <w:t>, obras de teatro, premios literarios en lengua original, estudios monográficos</w:t>
      </w:r>
      <w:r w:rsidR="0057285C">
        <w:t>,</w:t>
      </w:r>
      <w:r w:rsidRPr="00895D0A">
        <w:t xml:space="preserve"> discos compactos interactivos </w:t>
      </w:r>
      <w:r w:rsidR="0057285C">
        <w:t>y</w:t>
      </w:r>
      <w:r w:rsidRPr="00895D0A">
        <w:t xml:space="preserve"> DVD bilingües.</w:t>
      </w:r>
    </w:p>
    <w:p w:rsidR="00895D0A" w:rsidRPr="00895D0A" w:rsidRDefault="0057285C" w:rsidP="009725A4">
      <w:pPr>
        <w:pStyle w:val="SingleTxt"/>
        <w:numPr>
          <w:ilvl w:val="0"/>
          <w:numId w:val="15"/>
        </w:numPr>
        <w:tabs>
          <w:tab w:val="clear" w:pos="475"/>
          <w:tab w:val="num" w:pos="1742"/>
        </w:tabs>
        <w:suppressAutoHyphens w:val="0"/>
        <w:ind w:left="1267"/>
      </w:pPr>
      <w:r>
        <w:t>R</w:t>
      </w:r>
      <w:r w:rsidR="00895D0A" w:rsidRPr="00895D0A">
        <w:t xml:space="preserve">ecientes observaciones y declaraciones </w:t>
      </w:r>
      <w:r w:rsidRPr="00E82535">
        <w:rPr>
          <w:b/>
        </w:rPr>
        <w:t>transmitidas</w:t>
      </w:r>
      <w:r>
        <w:t xml:space="preserve"> por la</w:t>
      </w:r>
      <w:r w:rsidR="00895D0A" w:rsidRPr="00895D0A">
        <w:t xml:space="preserve"> radio y</w:t>
      </w:r>
      <w:r>
        <w:t xml:space="preserve"> la</w:t>
      </w:r>
      <w:r w:rsidR="00895D0A" w:rsidRPr="00895D0A">
        <w:t xml:space="preserve"> televisión, de ámbito </w:t>
      </w:r>
      <w:r w:rsidRPr="00895D0A">
        <w:t xml:space="preserve">tanto </w:t>
      </w:r>
      <w:r w:rsidR="00895D0A" w:rsidRPr="00895D0A">
        <w:t>nacional como local, han puesto de rel</w:t>
      </w:r>
      <w:r w:rsidR="00E82535">
        <w:t xml:space="preserve">ieve la alarmante frecuencia de </w:t>
      </w:r>
      <w:r w:rsidR="00895D0A" w:rsidRPr="00895D0A">
        <w:t xml:space="preserve">los casos de discriminación por motivos de diversidad étnica y cultural. </w:t>
      </w:r>
      <w:r>
        <w:t>E</w:t>
      </w:r>
      <w:r w:rsidRPr="00895D0A">
        <w:t xml:space="preserve">n enero de 2014, </w:t>
      </w:r>
      <w:r>
        <w:t>e</w:t>
      </w:r>
      <w:r w:rsidR="00895D0A" w:rsidRPr="00895D0A">
        <w:t xml:space="preserve">l Presidente de la AGCOM (organismo regulador de las </w:t>
      </w:r>
      <w:r w:rsidR="00E82535">
        <w:t>comunicaciones) envió una carta</w:t>
      </w:r>
      <w:r w:rsidR="00895D0A" w:rsidRPr="00895D0A">
        <w:t xml:space="preserve"> a todas las emisoras de radio y </w:t>
      </w:r>
      <w:r>
        <w:t>televisión</w:t>
      </w:r>
      <w:r w:rsidR="00895D0A" w:rsidRPr="00895D0A">
        <w:t xml:space="preserve"> públicas y privadas, tanto nacionales </w:t>
      </w:r>
      <w:r>
        <w:t>y</w:t>
      </w:r>
      <w:r w:rsidR="00895D0A" w:rsidRPr="00895D0A">
        <w:t xml:space="preserve"> locales, en la que señalaba</w:t>
      </w:r>
      <w:r>
        <w:t>n</w:t>
      </w:r>
      <w:r w:rsidR="00895D0A" w:rsidRPr="00895D0A">
        <w:t xml:space="preserve"> los riesgos </w:t>
      </w:r>
      <w:r>
        <w:t>implícitos en estos</w:t>
      </w:r>
      <w:r w:rsidR="00895D0A" w:rsidRPr="00895D0A">
        <w:t xml:space="preserve"> mensajes transmitidos por los medios de información. En esa carta, el Presidente de la AGCOM, después de afirmar una vez más que el ejercicio del derecho a la libertad de expresión —consagrado en la </w:t>
      </w:r>
      <w:r w:rsidR="00E82535" w:rsidRPr="00895D0A">
        <w:t>Ley Fundamental</w:t>
      </w:r>
      <w:r w:rsidR="00895D0A" w:rsidRPr="00895D0A">
        <w:t xml:space="preserve">— </w:t>
      </w:r>
      <w:r w:rsidRPr="00895D0A">
        <w:t>nunca pod</w:t>
      </w:r>
      <w:r>
        <w:t>r</w:t>
      </w:r>
      <w:r w:rsidRPr="00895D0A">
        <w:t xml:space="preserve">ía garantizarse </w:t>
      </w:r>
      <w:r w:rsidR="00895D0A" w:rsidRPr="00895D0A">
        <w:t xml:space="preserve">cuando </w:t>
      </w:r>
      <w:r>
        <w:t>fuera</w:t>
      </w:r>
      <w:r w:rsidR="00895D0A" w:rsidRPr="00895D0A">
        <w:t xml:space="preserve"> en detrimento de la dignidad humana, expresaba su esperanza de que</w:t>
      </w:r>
      <w:r w:rsidR="000F5E60">
        <w:t xml:space="preserve"> </w:t>
      </w:r>
      <w:r w:rsidR="00895D0A" w:rsidRPr="00895D0A">
        <w:t xml:space="preserve">las instituciones renovasen su adhesión </w:t>
      </w:r>
      <w:r>
        <w:t>a</w:t>
      </w:r>
      <w:r w:rsidR="00895D0A" w:rsidRPr="00895D0A">
        <w:t xml:space="preserve"> los derechos fundamentales de la persona; el Presidente de la AGCOM </w:t>
      </w:r>
      <w:r>
        <w:t>concluía su carta</w:t>
      </w:r>
      <w:r w:rsidR="00895D0A" w:rsidRPr="00895D0A">
        <w:t xml:space="preserve"> declarando que su organismo, dentro de los límites de </w:t>
      </w:r>
      <w:r>
        <w:t>sus</w:t>
      </w:r>
      <w:r w:rsidR="00895D0A" w:rsidRPr="00895D0A">
        <w:t xml:space="preserve"> competencias</w:t>
      </w:r>
      <w:r>
        <w:t>,</w:t>
      </w:r>
      <w:r w:rsidR="00895D0A" w:rsidRPr="00895D0A">
        <w:t xml:space="preserve"> </w:t>
      </w:r>
      <w:r>
        <w:t>procedería a la vigilancia</w:t>
      </w:r>
      <w:r w:rsidR="00895D0A" w:rsidRPr="00895D0A">
        <w:t xml:space="preserve"> periódica del sistema de radio y televisión e instaría a las radios y televisiones a que respetasen los principios fundamentales consagrados en la legislación vigente.</w:t>
      </w:r>
    </w:p>
    <w:p w:rsidR="00895D0A" w:rsidRPr="00895D0A" w:rsidRDefault="00895D0A" w:rsidP="00AC7ED0">
      <w:pPr>
        <w:pStyle w:val="SingleTxt"/>
        <w:keepNext/>
        <w:keepLines/>
        <w:numPr>
          <w:ilvl w:val="0"/>
          <w:numId w:val="15"/>
        </w:numPr>
        <w:tabs>
          <w:tab w:val="clear" w:pos="475"/>
          <w:tab w:val="num" w:pos="1742"/>
        </w:tabs>
        <w:suppressAutoHyphens w:val="0"/>
        <w:ind w:left="1267"/>
      </w:pPr>
      <w:r w:rsidRPr="00895D0A">
        <w:t xml:space="preserve">En cuanto a las </w:t>
      </w:r>
      <w:r w:rsidRPr="009E2AF1">
        <w:rPr>
          <w:b/>
        </w:rPr>
        <w:t xml:space="preserve">comunidades romaní, sinti </w:t>
      </w:r>
      <w:r w:rsidR="0057285C" w:rsidRPr="009E2AF1">
        <w:rPr>
          <w:b/>
        </w:rPr>
        <w:t>e itinerantes</w:t>
      </w:r>
      <w:r w:rsidRPr="00895D0A">
        <w:t xml:space="preserve">, hay que señalar ante todo que a lo largo de los años se han promovido diversas medidas encaminadas, entre otras cosas, a la integración y la inclusión de esas tres comunidades, lo que evidencia la complejidad de su situación. La más importante de </w:t>
      </w:r>
      <w:r w:rsidR="0057285C">
        <w:t>esas medidas</w:t>
      </w:r>
      <w:r w:rsidRPr="00895D0A">
        <w:t xml:space="preserve"> es la reciente aprobación de la </w:t>
      </w:r>
      <w:r w:rsidRPr="009E2AF1">
        <w:rPr>
          <w:b/>
        </w:rPr>
        <w:t>Estrategia Nacional</w:t>
      </w:r>
      <w:r w:rsidR="000F5E60" w:rsidRPr="009E2AF1">
        <w:rPr>
          <w:b/>
        </w:rPr>
        <w:t xml:space="preserve"> </w:t>
      </w:r>
      <w:r w:rsidR="009E2AF1">
        <w:rPr>
          <w:b/>
        </w:rPr>
        <w:t>2012-</w:t>
      </w:r>
      <w:r w:rsidRPr="009E2AF1">
        <w:rPr>
          <w:b/>
        </w:rPr>
        <w:t xml:space="preserve">2020 de </w:t>
      </w:r>
      <w:r w:rsidR="009E2AF1" w:rsidRPr="009E2AF1">
        <w:rPr>
          <w:b/>
        </w:rPr>
        <w:t xml:space="preserve">Inclusión </w:t>
      </w:r>
      <w:r w:rsidRPr="009E2AF1">
        <w:rPr>
          <w:b/>
        </w:rPr>
        <w:t xml:space="preserve">de los </w:t>
      </w:r>
      <w:r w:rsidR="009E2AF1" w:rsidRPr="009E2AF1">
        <w:rPr>
          <w:b/>
        </w:rPr>
        <w:t>Romaníes</w:t>
      </w:r>
      <w:r w:rsidRPr="00895D0A">
        <w:t>.</w:t>
      </w:r>
    </w:p>
    <w:p w:rsidR="00895D0A" w:rsidRPr="00895D0A" w:rsidRDefault="00895D0A" w:rsidP="00250F6C">
      <w:pPr>
        <w:pStyle w:val="SingleTxt"/>
        <w:numPr>
          <w:ilvl w:val="0"/>
          <w:numId w:val="15"/>
        </w:numPr>
        <w:tabs>
          <w:tab w:val="clear" w:pos="475"/>
          <w:tab w:val="num" w:pos="1742"/>
        </w:tabs>
        <w:suppressAutoHyphens w:val="0"/>
        <w:ind w:left="1267"/>
      </w:pPr>
      <w:r w:rsidRPr="00895D0A">
        <w:t>Con esta nueva iniciativa Italia se ajusta a los instrumentos internacionales</w:t>
      </w:r>
      <w:r w:rsidR="00A66A0C">
        <w:t xml:space="preserve"> pertinentes</w:t>
      </w:r>
      <w:r w:rsidRPr="00895D0A">
        <w:t xml:space="preserve"> de derechos humanos al tiempo que aplica principios específicos, como por ejemplo el enfoque basado en los derechos human</w:t>
      </w:r>
      <w:r w:rsidR="00A66A0C">
        <w:t>os y la perspectiva de género. La iniciativa s</w:t>
      </w:r>
      <w:r w:rsidRPr="00895D0A">
        <w:t xml:space="preserve">e centra en los cuatro principales ejes propuestos por la Comisión Europea, a saber, trabajo, vivienda, salud y educación; su preparación y aplicación </w:t>
      </w:r>
      <w:r w:rsidR="00A66A0C">
        <w:t>corren por cuenta de</w:t>
      </w:r>
      <w:r w:rsidRPr="00895D0A">
        <w:t xml:space="preserve"> las </w:t>
      </w:r>
      <w:r w:rsidR="00DD1A63">
        <w:t>“</w:t>
      </w:r>
      <w:r w:rsidRPr="00895D0A">
        <w:t>mesas</w:t>
      </w:r>
      <w:r w:rsidR="00A66A0C">
        <w:t>/</w:t>
      </w:r>
      <w:r w:rsidRPr="00895D0A">
        <w:t>grupos de trabajo</w:t>
      </w:r>
      <w:r w:rsidR="00DD1A63">
        <w:t>”</w:t>
      </w:r>
      <w:r w:rsidRPr="00895D0A">
        <w:t xml:space="preserve"> a nivel</w:t>
      </w:r>
      <w:r w:rsidR="00A66A0C">
        <w:t xml:space="preserve"> nacional y regional, así como de</w:t>
      </w:r>
      <w:r w:rsidRPr="00895D0A">
        <w:t xml:space="preserve"> los </w:t>
      </w:r>
      <w:r w:rsidR="00DD1A63">
        <w:t>“</w:t>
      </w:r>
      <w:r w:rsidRPr="00895D0A">
        <w:t>planes locales de inclusión social</w:t>
      </w:r>
      <w:r w:rsidR="00DD1A63">
        <w:t>”</w:t>
      </w:r>
      <w:r w:rsidRPr="00895D0A">
        <w:t>. En materia de gobernanza, se ha creado</w:t>
      </w:r>
      <w:r w:rsidR="00A66A0C">
        <w:t xml:space="preserve"> </w:t>
      </w:r>
      <w:r w:rsidRPr="00895D0A">
        <w:t>una denominada sala de control político, integrada por los ministros competentes</w:t>
      </w:r>
      <w:r w:rsidR="00A66A0C">
        <w:t>,</w:t>
      </w:r>
      <w:r w:rsidR="00A66A0C" w:rsidRPr="00A66A0C">
        <w:t xml:space="preserve"> </w:t>
      </w:r>
      <w:r w:rsidR="00A66A0C">
        <w:t>con objeto de</w:t>
      </w:r>
      <w:r w:rsidR="00A66A0C" w:rsidRPr="00895D0A">
        <w:t xml:space="preserve"> velar por la aplica</w:t>
      </w:r>
      <w:r w:rsidR="00A66A0C">
        <w:t>ción efectiva de la Estrategia</w:t>
      </w:r>
      <w:r w:rsidRPr="00895D0A">
        <w:t>. Además, se han creado dos grupos de trabajo sobre la condición jurídica de los romaníes y sobre la recopilación de los datos pertinentes</w:t>
      </w:r>
      <w:r w:rsidR="00A66A0C">
        <w:t>,</w:t>
      </w:r>
      <w:r w:rsidRPr="00895D0A">
        <w:t xml:space="preserve"> en consonancia con las modalidades que se implantarán de los indicadores relativos a la integración de los romaníes de la Agencia de Derechos Fundamentales.</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En </w:t>
      </w:r>
      <w:r w:rsidR="00CC59EA">
        <w:t>el marco</w:t>
      </w:r>
      <w:r w:rsidRPr="00895D0A">
        <w:t xml:space="preserve"> de esta Estrategia se ha adoptado un planteamiento inclusivo plurisectorial que se basa en una estrecha cooperac</w:t>
      </w:r>
      <w:r w:rsidR="00CC59EA">
        <w:t>ión con las autoridades locales y</w:t>
      </w:r>
      <w:r w:rsidRPr="00895D0A">
        <w:t xml:space="preserve"> las organizaciones de la sociedad civil</w:t>
      </w:r>
      <w:r w:rsidR="00CC59EA">
        <w:t>,</w:t>
      </w:r>
      <w:r w:rsidRPr="00895D0A">
        <w:t xml:space="preserve"> y </w:t>
      </w:r>
      <w:r w:rsidR="00CC59EA">
        <w:t xml:space="preserve">en </w:t>
      </w:r>
      <w:r w:rsidRPr="00895D0A">
        <w:t>una coordinación interinstitucional con todas las administraciones participantes. Las autoridades italianas aprobaron con prontitud la Estrategia Nacional y encomendaron su aplicación a la Oficina Nacional de Lucha contra la Discriminación Racial (UNAR). Con ello, las autoridades italianas han tenido plenamente en cuenta la sentencia núm. 6050 del Consejo de Estado, de 16 de noviembre de 2011, en virtud de la cual se declaró nulo el Decreto de</w:t>
      </w:r>
      <w:r w:rsidR="00CC59EA">
        <w:t xml:space="preserve"> </w:t>
      </w:r>
      <w:r w:rsidRPr="00895D0A">
        <w:t>l</w:t>
      </w:r>
      <w:r w:rsidR="00CC59EA">
        <w:t>a Presidencia</w:t>
      </w:r>
      <w:r w:rsidRPr="00895D0A">
        <w:t xml:space="preserve"> del Consejo de Ministros de 21 de mayo de 2008, relativo al estado de excepción en relación con los asentamientos de las comunidades nómadas en las regiones de Campania, Lombardía y Lacio. Por consiguiente</w:t>
      </w:r>
      <w:r w:rsidR="00CC59EA">
        <w:t>,</w:t>
      </w:r>
      <w:r w:rsidRPr="00895D0A">
        <w:t xml:space="preserve"> dado que el Decreto había previsto el nombramiento de comisionados delegados, también quedaron declaradas nulas de pleno derecho sus facultades en materia de emergencia d</w:t>
      </w:r>
      <w:r w:rsidR="00AC7ED0">
        <w:t>e protección civil. En abril de </w:t>
      </w:r>
      <w:r w:rsidRPr="00895D0A">
        <w:t>2013, el Tribunal de Casación confirmó esa resolución.</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En diciembre de 2012 se crearon </w:t>
      </w:r>
      <w:r w:rsidR="00CC59EA">
        <w:t>los mencionados</w:t>
      </w:r>
      <w:r w:rsidRPr="00895D0A">
        <w:t xml:space="preserve"> grupos de trabajo, a nivel </w:t>
      </w:r>
      <w:r w:rsidR="00CC59EA" w:rsidRPr="00895D0A">
        <w:t xml:space="preserve">tanto </w:t>
      </w:r>
      <w:r w:rsidRPr="00895D0A">
        <w:t>nacional como regional.</w:t>
      </w:r>
    </w:p>
    <w:p w:rsidR="00895D0A" w:rsidRPr="00895D0A" w:rsidRDefault="00895D0A" w:rsidP="00250F6C">
      <w:pPr>
        <w:pStyle w:val="SingleTxt"/>
        <w:numPr>
          <w:ilvl w:val="0"/>
          <w:numId w:val="15"/>
        </w:numPr>
        <w:tabs>
          <w:tab w:val="clear" w:pos="475"/>
          <w:tab w:val="num" w:pos="1742"/>
        </w:tabs>
        <w:suppressAutoHyphens w:val="0"/>
        <w:ind w:left="1267"/>
      </w:pPr>
      <w:r w:rsidRPr="00895D0A">
        <w:t>Con arreglo a lo expuesto anteriormente, la UNAR sigue promoviendo, entre otras</w:t>
      </w:r>
      <w:r w:rsidR="00CC59EA">
        <w:t xml:space="preserve"> cosas</w:t>
      </w:r>
      <w:r w:rsidRPr="00895D0A">
        <w:t xml:space="preserve">, actividades de sensibilización y </w:t>
      </w:r>
      <w:r w:rsidR="00CC59EA">
        <w:t>formación</w:t>
      </w:r>
      <w:r w:rsidRPr="00895D0A">
        <w:t xml:space="preserve"> en el marco de varias iniciativas, como los programas ROMED2, ROMACT y la campaña </w:t>
      </w:r>
      <w:r w:rsidR="00DD1A63">
        <w:t>“</w:t>
      </w:r>
      <w:r w:rsidRPr="00895D0A">
        <w:t>DOSTA</w:t>
      </w:r>
      <w:r w:rsidR="00DD1A63">
        <w:t>”</w:t>
      </w:r>
      <w:r w:rsidRPr="00895D0A">
        <w:t xml:space="preserve"> (</w:t>
      </w:r>
      <w:r w:rsidR="00CC59EA">
        <w:t xml:space="preserve">¡Basta!) del Consejo de Europa, </w:t>
      </w:r>
      <w:r w:rsidRPr="00895D0A">
        <w:t xml:space="preserve">el proyecto Com.In.Rom, así como otras iniciativas relacionadas con </w:t>
      </w:r>
      <w:r w:rsidR="00CC59EA">
        <w:t>la conmemoración</w:t>
      </w:r>
      <w:r w:rsidRPr="00895D0A">
        <w:t xml:space="preserve"> del </w:t>
      </w:r>
      <w:r w:rsidR="00DD1A63">
        <w:t>“</w:t>
      </w:r>
      <w:r w:rsidRPr="00895D0A">
        <w:t>Porraimos</w:t>
      </w:r>
      <w:r w:rsidR="00DD1A63">
        <w:t>”</w:t>
      </w:r>
      <w:r w:rsidRPr="00895D0A">
        <w:t>, el Día Internacional de los Romaníes, la semana contra la violenc</w:t>
      </w:r>
      <w:r w:rsidR="00CC59EA">
        <w:t>ia, la semana contra el racismo, etc</w:t>
      </w:r>
      <w:r w:rsidRPr="00895D0A">
        <w:t>.</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En </w:t>
      </w:r>
      <w:r w:rsidR="00CC59EA">
        <w:t>lo relativo a las buenas prácticas</w:t>
      </w:r>
      <w:r w:rsidRPr="00895D0A">
        <w:t xml:space="preserve"> se han puesto en marcha varias iniciativas</w:t>
      </w:r>
      <w:r w:rsidR="00CC59EA">
        <w:t xml:space="preserve">, a saber: </w:t>
      </w:r>
      <w:r w:rsidR="00DD1A63">
        <w:t>“</w:t>
      </w:r>
      <w:r w:rsidR="00CC59EA">
        <w:t>Italian Acceder</w:t>
      </w:r>
      <w:r w:rsidR="00DD1A63">
        <w:t>”</w:t>
      </w:r>
      <w:r w:rsidR="00CC59EA">
        <w:t>,</w:t>
      </w:r>
      <w:r w:rsidRPr="00895D0A">
        <w:t xml:space="preserve"> </w:t>
      </w:r>
      <w:r w:rsidR="00CC59EA">
        <w:t>que es un</w:t>
      </w:r>
      <w:r w:rsidRPr="00895D0A">
        <w:t xml:space="preserve"> proyecto conjunto de la ANCI y el Instituto Nacional de Estadística en las regiones del objetivo de convergencia </w:t>
      </w:r>
      <w:r w:rsidR="00CC59EA">
        <w:t>para</w:t>
      </w:r>
      <w:r w:rsidRPr="00895D0A">
        <w:t xml:space="preserve"> la identificación de fuentes y </w:t>
      </w:r>
      <w:r w:rsidR="00CC59EA">
        <w:t xml:space="preserve">la </w:t>
      </w:r>
      <w:r w:rsidRPr="00895D0A">
        <w:t>reunión de datos, especialmente sobre vivienda</w:t>
      </w:r>
      <w:r w:rsidR="00CC59EA">
        <w:t xml:space="preserve">, en el marco de </w:t>
      </w:r>
      <w:r w:rsidRPr="00895D0A">
        <w:t>los indicadores relativos a la integración de los romaníes de la Ag</w:t>
      </w:r>
      <w:r w:rsidR="00CC59EA">
        <w:t>encia de Derechos Fundamentales,</w:t>
      </w:r>
      <w:r w:rsidRPr="00895D0A">
        <w:t xml:space="preserve"> </w:t>
      </w:r>
      <w:r w:rsidR="00CC59EA" w:rsidRPr="00895D0A">
        <w:t>elaborados por el grupo de trabajo</w:t>
      </w:r>
      <w:r w:rsidR="00CC59EA">
        <w:t xml:space="preserve"> pertinente;</w:t>
      </w:r>
      <w:r w:rsidR="00CC59EA" w:rsidRPr="00895D0A">
        <w:t xml:space="preserve"> </w:t>
      </w:r>
      <w:r w:rsidRPr="00895D0A">
        <w:t xml:space="preserve">el proyecto, que está gestionado conjuntamente por la UNAR, la ANCI y el FORMEZ, </w:t>
      </w:r>
      <w:r w:rsidR="00CC59EA">
        <w:t>tiene por objeto promover</w:t>
      </w:r>
      <w:r w:rsidRPr="00895D0A">
        <w:t xml:space="preserve"> planes locales de inclusión social, inicialmente en las cinco regiones que experimentaron la </w:t>
      </w:r>
      <w:r w:rsidR="00DD1A63">
        <w:t>“</w:t>
      </w:r>
      <w:r w:rsidRPr="00895D0A">
        <w:t>emergencia de los nómadas</w:t>
      </w:r>
      <w:r w:rsidR="00DD1A63">
        <w:t>”</w:t>
      </w:r>
      <w:r w:rsidRPr="00895D0A">
        <w:t>; otros proyectos dirigidos por el Ministerio de Trabajo, el Ministerio de Salud (mediante un plan sectorial</w:t>
      </w:r>
      <w:r w:rsidR="00CC59EA">
        <w:t>, entre otras cosas</w:t>
      </w:r>
      <w:r w:rsidRPr="00895D0A">
        <w:t xml:space="preserve">), el Ministerio de Educación (a través de un proyecto especial dedicado al </w:t>
      </w:r>
      <w:r w:rsidR="00DD1A63">
        <w:t>“</w:t>
      </w:r>
      <w:r w:rsidRPr="00895D0A">
        <w:t>Porraimos</w:t>
      </w:r>
      <w:r w:rsidR="00DD1A63">
        <w:t>”</w:t>
      </w:r>
      <w:r w:rsidRPr="00895D0A">
        <w:t xml:space="preserve"> que se pondrá </w:t>
      </w:r>
      <w:r w:rsidR="00CC59EA">
        <w:t>en marcha en diciembre de 2014) y</w:t>
      </w:r>
      <w:r w:rsidRPr="00895D0A">
        <w:t xml:space="preserve"> el Ministerio del Interior </w:t>
      </w:r>
      <w:r w:rsidR="00942A63">
        <w:t xml:space="preserve">que, en el </w:t>
      </w:r>
      <w:r w:rsidRPr="00895D0A">
        <w:t xml:space="preserve">marco de sus competencias, se </w:t>
      </w:r>
      <w:r w:rsidR="00942A63">
        <w:t>c</w:t>
      </w:r>
      <w:r w:rsidR="00DD4B2E">
        <w:t>entró</w:t>
      </w:r>
      <w:r w:rsidRPr="00895D0A">
        <w:t xml:space="preserve"> especialmente en los jóvenes y las mujeres.</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El 8 de abril de cada año, la UNAR celebra el Día Mundial de las Comunidades Romaní y Sinti; en 2014 se promovieron varias iniciativas y </w:t>
      </w:r>
      <w:r w:rsidR="00DD4B2E">
        <w:t>actos a este respecto</w:t>
      </w:r>
      <w:r w:rsidRPr="00895D0A">
        <w:t>. Por último, en el marco de la Presidencia italiana de la Unión Europea, la UNAR organizó iniciativas y actividades a nivel regional, en particular la reunión de los coordinadores nacionales romaníes, que se celebró en Roma los días 5 y 6 de noviembre de 2014.</w:t>
      </w:r>
    </w:p>
    <w:p w:rsidR="00250F6C" w:rsidRPr="00250F6C" w:rsidRDefault="00250F6C" w:rsidP="00250F6C">
      <w:pPr>
        <w:pStyle w:val="SingleTxt"/>
        <w:spacing w:after="0" w:line="120" w:lineRule="exact"/>
        <w:rPr>
          <w:b/>
          <w:sz w:val="10"/>
        </w:rPr>
      </w:pPr>
    </w:p>
    <w:p w:rsidR="00250F6C" w:rsidRPr="00250F6C" w:rsidRDefault="00250F6C" w:rsidP="00250F6C">
      <w:pPr>
        <w:pStyle w:val="SingleTxt"/>
        <w:spacing w:after="0" w:line="120" w:lineRule="exact"/>
        <w:rPr>
          <w:b/>
          <w:sz w:val="10"/>
        </w:rPr>
      </w:pPr>
    </w:p>
    <w:p w:rsidR="00895D0A" w:rsidRDefault="00DD4B2E" w:rsidP="00250F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La m</w:t>
      </w:r>
      <w:r w:rsidR="00895D0A" w:rsidRPr="00895D0A">
        <w:t>ujer</w:t>
      </w:r>
    </w:p>
    <w:p w:rsidR="00250F6C" w:rsidRPr="00250F6C" w:rsidRDefault="00250F6C" w:rsidP="00250F6C">
      <w:pPr>
        <w:pStyle w:val="SingleTxt"/>
        <w:spacing w:after="0" w:line="120" w:lineRule="exact"/>
        <w:rPr>
          <w:b/>
          <w:sz w:val="10"/>
        </w:rPr>
      </w:pPr>
    </w:p>
    <w:p w:rsidR="00250F6C" w:rsidRPr="00250F6C" w:rsidRDefault="00250F6C" w:rsidP="00250F6C">
      <w:pPr>
        <w:pStyle w:val="SingleTxt"/>
        <w:spacing w:after="0" w:line="120" w:lineRule="exact"/>
        <w:rPr>
          <w:b/>
          <w:sz w:val="10"/>
        </w:rPr>
      </w:pPr>
    </w:p>
    <w:p w:rsidR="00895D0A" w:rsidRPr="00895D0A" w:rsidRDefault="00895D0A" w:rsidP="00250F6C">
      <w:pPr>
        <w:pStyle w:val="SingleTxt"/>
        <w:numPr>
          <w:ilvl w:val="0"/>
          <w:numId w:val="15"/>
        </w:numPr>
        <w:tabs>
          <w:tab w:val="clear" w:pos="475"/>
          <w:tab w:val="num" w:pos="1742"/>
        </w:tabs>
        <w:suppressAutoHyphens w:val="0"/>
        <w:ind w:left="1267"/>
      </w:pPr>
      <w:r w:rsidRPr="00895D0A">
        <w:t>En 2013</w:t>
      </w:r>
      <w:r w:rsidR="00DD4B2E">
        <w:t>,</w:t>
      </w:r>
      <w:r w:rsidRPr="00895D0A">
        <w:t xml:space="preserve"> el centro de contacto de la UNAR registró 114 casos de discriminación basada en la orientación sexual y la identidad de género (10% del total), </w:t>
      </w:r>
      <w:r w:rsidR="00DD4B2E" w:rsidRPr="00895D0A">
        <w:t xml:space="preserve">102 </w:t>
      </w:r>
      <w:r w:rsidRPr="00895D0A">
        <w:t xml:space="preserve">de ellos de discriminación directa y 12 de discriminación indirecta. La tercera parte de las denuncias </w:t>
      </w:r>
      <w:r w:rsidR="00DD4B2E">
        <w:t>eran</w:t>
      </w:r>
      <w:r w:rsidRPr="00895D0A">
        <w:t xml:space="preserve"> de víctimas o testigos</w:t>
      </w:r>
      <w:r w:rsidR="00DD4B2E">
        <w:t>,</w:t>
      </w:r>
      <w:r w:rsidRPr="00895D0A">
        <w:t xml:space="preserve"> y el 10% de organizaciones. La mayoría de las investigaciones (60%) fueron emprendidas por la UNAR </w:t>
      </w:r>
      <w:r w:rsidR="00DD4B2E">
        <w:t>en el marco</w:t>
      </w:r>
      <w:r w:rsidRPr="00895D0A">
        <w:t xml:space="preserve"> de sus actividades de vigilancia de los medios de información. Las denuncias presentadas tenían que ver principalmente con la vida pública (44, de ellas 22 casos de agresión), </w:t>
      </w:r>
      <w:r w:rsidR="00DD4B2E">
        <w:t xml:space="preserve">los </w:t>
      </w:r>
      <w:r w:rsidRPr="00895D0A">
        <w:t>medios de comunicación de masas (37, de e</w:t>
      </w:r>
      <w:r w:rsidR="00DD4B2E">
        <w:t>llas 25 en Facebook y blogs) y e</w:t>
      </w:r>
      <w:r w:rsidRPr="00895D0A">
        <w:t>l entorno escolar (12).</w:t>
      </w:r>
    </w:p>
    <w:p w:rsidR="00895D0A" w:rsidRPr="00895D0A" w:rsidRDefault="00895D0A" w:rsidP="00250F6C">
      <w:pPr>
        <w:pStyle w:val="SingleTxt"/>
        <w:numPr>
          <w:ilvl w:val="0"/>
          <w:numId w:val="15"/>
        </w:numPr>
        <w:tabs>
          <w:tab w:val="clear" w:pos="475"/>
          <w:tab w:val="num" w:pos="1742"/>
        </w:tabs>
        <w:suppressAutoHyphens w:val="0"/>
        <w:ind w:left="1267"/>
      </w:pPr>
      <w:r w:rsidRPr="00246B35">
        <w:t>Estos datos podrí</w:t>
      </w:r>
      <w:r w:rsidR="00246B35" w:rsidRPr="00246B35">
        <w:t>a</w:t>
      </w:r>
      <w:r w:rsidR="00942A63">
        <w:t>n</w:t>
      </w:r>
      <w:r w:rsidR="00246B35" w:rsidRPr="00246B35">
        <w:t xml:space="preserve"> interpretarse en relación con </w:t>
      </w:r>
      <w:r w:rsidRPr="00246B35">
        <w:t>la</w:t>
      </w:r>
      <w:r w:rsidR="00246B35" w:rsidRPr="00246B35">
        <w:t xml:space="preserve"> iniciativa para el bienio</w:t>
      </w:r>
      <w:r w:rsidR="00246B35">
        <w:t> </w:t>
      </w:r>
      <w:r w:rsidR="00942A63">
        <w:t>2011-</w:t>
      </w:r>
      <w:r w:rsidRPr="00246B35">
        <w:t>2013</w:t>
      </w:r>
      <w:r w:rsidRPr="00895D0A">
        <w:t xml:space="preserve"> del Departamento de Igualdad de Oportunidades de la Presidencia del Consejo de Ministros para promover una nueva forma de colaboración con el Instituto de Autodisciplina Publicitaria (IAP), </w:t>
      </w:r>
      <w:r w:rsidR="00DD4B2E">
        <w:t>gracias a la cual</w:t>
      </w:r>
      <w:r w:rsidRPr="00895D0A">
        <w:t xml:space="preserve"> solo en 2012, se retira</w:t>
      </w:r>
      <w:r w:rsidR="00DD4B2E">
        <w:t>ro</w:t>
      </w:r>
      <w:r w:rsidRPr="00895D0A">
        <w:t>n rápidamente más de 100 anuncios contrarios a la correcta representación de la mujer</w:t>
      </w:r>
      <w:r w:rsidR="00942A63">
        <w:t>,</w:t>
      </w:r>
      <w:r w:rsidRPr="00895D0A">
        <w:t xml:space="preserve"> a petición del Departamento. </w:t>
      </w:r>
      <w:r w:rsidR="00DD4B2E">
        <w:t>En el marco de esta</w:t>
      </w:r>
      <w:r w:rsidRPr="00895D0A">
        <w:t xml:space="preserve"> colaboración se han firmado dos memorandos de entendimiento: uno </w:t>
      </w:r>
      <w:r w:rsidR="00DD4B2E">
        <w:t>bienal</w:t>
      </w:r>
      <w:r w:rsidRPr="00895D0A">
        <w:t xml:space="preserve"> en 2011 y </w:t>
      </w:r>
      <w:r w:rsidR="00DD4B2E">
        <w:t xml:space="preserve">el </w:t>
      </w:r>
      <w:r w:rsidRPr="00895D0A">
        <w:t xml:space="preserve">otro, el 31 de enero de 2013, por un bienio adicional para confirmar los compromisos adquiridos anteriormente y </w:t>
      </w:r>
      <w:r w:rsidR="00DD4B2E">
        <w:t>hacer extensivas</w:t>
      </w:r>
      <w:r w:rsidRPr="00895D0A">
        <w:t xml:space="preserve"> la lucha a </w:t>
      </w:r>
      <w:r w:rsidR="00DD4B2E">
        <w:t>ciertas</w:t>
      </w:r>
      <w:r w:rsidRPr="00895D0A">
        <w:t xml:space="preserve"> formas de discriminación, como los fenómenos de intimidación por motivos de homofobia y transfobia. </w:t>
      </w:r>
      <w:r w:rsidR="00DD4B2E">
        <w:t>El</w:t>
      </w:r>
      <w:r w:rsidRPr="00895D0A">
        <w:t xml:space="preserve"> Departamento, en cooperación con el Ministerio de Educación, apoya la organización anual de una semana de acción contra la violencia, cuyo objetivo es luchar contra todas las formas de discriminación mediante la organización de campañas de sensibilización, información y cursos de </w:t>
      </w:r>
      <w:r w:rsidR="00DD4B2E">
        <w:t>formación</w:t>
      </w:r>
      <w:r w:rsidRPr="00895D0A">
        <w:t xml:space="preserve"> sobre la prevención de la violencia y la lucha contra todas las formas de intolerancia, especialmente por motivos de raza y género</w:t>
      </w:r>
      <w:r w:rsidR="00DD4B2E">
        <w:t>,</w:t>
      </w:r>
      <w:r w:rsidRPr="00895D0A">
        <w:t xml:space="preserve"> y la intolerancia religiosa</w:t>
      </w:r>
      <w:r w:rsidR="00DD4B2E">
        <w:t>; se abordan además</w:t>
      </w:r>
      <w:r w:rsidRPr="00895D0A">
        <w:t xml:space="preserve"> todas las formas y causas profundas de la violencia, especialmente las basadas en la orientación sexual y la identidad de género, </w:t>
      </w:r>
      <w:r w:rsidR="00DD4B2E">
        <w:t>con</w:t>
      </w:r>
      <w:r w:rsidRPr="00895D0A">
        <w:t xml:space="preserve"> especial atención a la intimidación. El Departamento, en colaboración con todas las escuelas del país, llevó a cabo todas las actividades previstas en los programas del </w:t>
      </w:r>
      <w:r w:rsidR="00DD4B2E">
        <w:t>año</w:t>
      </w:r>
      <w:r w:rsidR="00942A63">
        <w:t xml:space="preserve"> académico 2012/</w:t>
      </w:r>
      <w:r w:rsidRPr="00895D0A">
        <w:t xml:space="preserve">13. Durante esa semana, todos los centros de enseñanza primaria y secundaria participan en varias iniciativas de sensibilización, información y </w:t>
      </w:r>
      <w:r w:rsidR="00DD4B2E">
        <w:t>formación de</w:t>
      </w:r>
      <w:r w:rsidRPr="00895D0A">
        <w:t xml:space="preserve"> los estudiantes, los padres y los profesores</w:t>
      </w:r>
      <w:r w:rsidR="00DD4B2E">
        <w:t>,</w:t>
      </w:r>
      <w:r w:rsidRPr="00895D0A">
        <w:t xml:space="preserve"> sobre la prevención y la represión de toda forma de violencia y discriminación. Los estudiantes pueden debatir con expertos y agentes de policía </w:t>
      </w:r>
      <w:r w:rsidR="00DD4B2E">
        <w:t>para</w:t>
      </w:r>
      <w:r w:rsidRPr="00895D0A">
        <w:t xml:space="preserve"> adquirir un conocimiento más profundo de los instrumentos jurídicos vigentes en </w:t>
      </w:r>
      <w:r w:rsidR="00DD4B2E">
        <w:t>el</w:t>
      </w:r>
      <w:r w:rsidRPr="00895D0A">
        <w:t xml:space="preserve"> país. </w:t>
      </w:r>
      <w:r w:rsidR="00DD4B2E">
        <w:t>A este respecto</w:t>
      </w:r>
      <w:r w:rsidRPr="00895D0A">
        <w:t xml:space="preserve">, el Ministerio de Educación y el Ministerio de Trabajo y Políticas Sociales firmaron un acuerdo, el 18 de febrero de 2013, para luchar contra la violencia y la discriminación </w:t>
      </w:r>
      <w:r w:rsidR="00DD4B2E">
        <w:t>a fin de que</w:t>
      </w:r>
      <w:r w:rsidRPr="00895D0A">
        <w:t xml:space="preserve"> las generaciones futuras</w:t>
      </w:r>
      <w:r w:rsidR="00DD4B2E">
        <w:t xml:space="preserve"> aprendan</w:t>
      </w:r>
      <w:r w:rsidRPr="00895D0A">
        <w:t xml:space="preserve"> el respeto </w:t>
      </w:r>
      <w:r w:rsidR="00DD4B2E">
        <w:t>a</w:t>
      </w:r>
      <w:r w:rsidRPr="00895D0A">
        <w:t xml:space="preserve"> los demás, el rechazo de toda form</w:t>
      </w:r>
      <w:r w:rsidR="00C725A7">
        <w:t>a de violencia y discriminación y</w:t>
      </w:r>
      <w:r w:rsidRPr="00895D0A">
        <w:t xml:space="preserve"> e</w:t>
      </w:r>
      <w:r w:rsidR="00246B35">
        <w:t>l valor de la inclusión social —</w:t>
      </w:r>
      <w:r w:rsidRPr="00895D0A">
        <w:t>con la convicción de que esa actividad es una inversión infalible para el futuro.</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Pese a las dificultades, Italia está experimentando una </w:t>
      </w:r>
      <w:r w:rsidR="00871D8B">
        <w:t>verdadera</w:t>
      </w:r>
      <w:r w:rsidRPr="00895D0A">
        <w:t xml:space="preserve"> revolución en lo que se refiere a la presencia femenina en los cargos directivos. Una ley reciente (la Ley núm. 120/2011, también </w:t>
      </w:r>
      <w:r w:rsidR="00871D8B">
        <w:t>llamada</w:t>
      </w:r>
      <w:r w:rsidRPr="00895D0A">
        <w:t xml:space="preserve"> Ley Golfo-Mosca) prescribe el aumento de la representación de las mujeres en los consejos de administración de las sociedades cotizadas en bolsa y las empresas públicas. La Ley</w:t>
      </w:r>
      <w:r w:rsidR="000F5E60">
        <w:t xml:space="preserve"> </w:t>
      </w:r>
      <w:r w:rsidRPr="00895D0A">
        <w:t xml:space="preserve">Golfo-Mosca </w:t>
      </w:r>
      <w:r w:rsidR="00871D8B">
        <w:t>prescribe</w:t>
      </w:r>
      <w:r w:rsidRPr="00895D0A">
        <w:t xml:space="preserve"> que</w:t>
      </w:r>
      <w:r w:rsidR="00942A63">
        <w:t>,</w:t>
      </w:r>
      <w:r w:rsidRPr="00895D0A">
        <w:t xml:space="preserve"> a más tardar en 2015</w:t>
      </w:r>
      <w:r w:rsidR="00871D8B">
        <w:t>, en los consejos (ejecutivo</w:t>
      </w:r>
      <w:r w:rsidRPr="00895D0A">
        <w:t>s y no ejecutivos) de las empresas que cotizan en bolsa y las empresas públicas al menos el 33% de sus miembros sea de uno u otro género, y establece un objetivo del 20% para el período de transición. En caso de incumplimiento, hay un sistema de alerta progresiva que puede dar lugar a la posible disolución del consejo.</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Un nuevo paso importante hacia el logro de la plena participación de la mujer en la vida institucional </w:t>
      </w:r>
      <w:r w:rsidR="00871D8B">
        <w:t>del país</w:t>
      </w:r>
      <w:r w:rsidRPr="00895D0A">
        <w:t xml:space="preserve"> es la aprobación de la Ley núm. 215/2012</w:t>
      </w:r>
      <w:r w:rsidR="00871D8B">
        <w:t>,</w:t>
      </w:r>
      <w:r w:rsidRPr="00895D0A">
        <w:t xml:space="preserve"> </w:t>
      </w:r>
      <w:r w:rsidR="00871D8B">
        <w:t>que prevé</w:t>
      </w:r>
      <w:r w:rsidRPr="00895D0A">
        <w:t xml:space="preserve"> </w:t>
      </w:r>
      <w:r w:rsidR="00DD1A63">
        <w:t>“</w:t>
      </w:r>
      <w:r w:rsidRPr="00895D0A">
        <w:t>disposiciones para promover el equilibrio de género en los gobiernos locales y los consejos regionales</w:t>
      </w:r>
      <w:r w:rsidR="00871D8B">
        <w:t>, así como d</w:t>
      </w:r>
      <w:r w:rsidRPr="00895D0A">
        <w:t>isposiciones sobre la igualdad de oportunidades en la composición de las comisiones de selección por concurso en las administraciones públicas</w:t>
      </w:r>
      <w:r w:rsidR="00DD1A63">
        <w:t>”</w:t>
      </w:r>
      <w:r w:rsidRPr="00895D0A">
        <w:t>.</w:t>
      </w:r>
    </w:p>
    <w:p w:rsidR="00895D0A" w:rsidRPr="00895D0A" w:rsidRDefault="00895D0A" w:rsidP="00250F6C">
      <w:pPr>
        <w:pStyle w:val="SingleTxt"/>
        <w:numPr>
          <w:ilvl w:val="0"/>
          <w:numId w:val="15"/>
        </w:numPr>
        <w:tabs>
          <w:tab w:val="clear" w:pos="475"/>
          <w:tab w:val="num" w:pos="1742"/>
        </w:tabs>
        <w:suppressAutoHyphens w:val="0"/>
        <w:ind w:left="1267"/>
      </w:pPr>
      <w:r w:rsidRPr="00895D0A">
        <w:t>El Gobierno de Italia ha</w:t>
      </w:r>
      <w:r w:rsidR="0005757E">
        <w:t xml:space="preserve"> apoyado el proyecto titulado </w:t>
      </w:r>
      <w:r w:rsidR="00DD1A63">
        <w:t>“</w:t>
      </w:r>
      <w:r w:rsidRPr="00895D0A">
        <w:t>Women</w:t>
      </w:r>
      <w:r w:rsidR="000F5E60">
        <w:t xml:space="preserve"> </w:t>
      </w:r>
      <w:r w:rsidRPr="00895D0A">
        <w:t>Me</w:t>
      </w:r>
      <w:r w:rsidR="0005757E">
        <w:t>an</w:t>
      </w:r>
      <w:r w:rsidR="000F5E60">
        <w:t xml:space="preserve"> </w:t>
      </w:r>
      <w:r w:rsidR="0005757E">
        <w:t xml:space="preserve">Business and Economic Growth – Promoting Gender Balance in Company </w:t>
      </w:r>
      <w:r w:rsidR="00942A63">
        <w:t>Boards</w:t>
      </w:r>
      <w:r w:rsidR="00DD1A63">
        <w:t>”</w:t>
      </w:r>
      <w:r w:rsidRPr="00895D0A">
        <w:t xml:space="preserve">, que </w:t>
      </w:r>
      <w:r w:rsidR="0005757E">
        <w:t>promueve</w:t>
      </w:r>
      <w:r w:rsidRPr="00895D0A">
        <w:t xml:space="preserve"> el equilibrio de género en los consejos de administración de las empresas. El proyecto tiene por objeto </w:t>
      </w:r>
      <w:r w:rsidR="0005757E">
        <w:t>favorecer el equilibrio en</w:t>
      </w:r>
      <w:r w:rsidRPr="00895D0A">
        <w:t xml:space="preserve"> la representación de mujeres y hombres en la adopción de decisiones económicas. </w:t>
      </w:r>
      <w:r w:rsidR="0005757E">
        <w:t>E</w:t>
      </w:r>
      <w:r w:rsidRPr="00895D0A">
        <w:t>l proyecto pre</w:t>
      </w:r>
      <w:r w:rsidR="0005757E">
        <w:t>vé un conjunto de medidas, como</w:t>
      </w:r>
      <w:r w:rsidRPr="00895D0A">
        <w:t xml:space="preserve"> sentar las bases para la participación de la mujer en la adopción de decisiones, proporcionar información sobre </w:t>
      </w:r>
      <w:r w:rsidR="0005757E">
        <w:t>la acción directiva de las mujeres italianas y el mejor modo de promoverla</w:t>
      </w:r>
      <w:r w:rsidRPr="00895D0A">
        <w:t xml:space="preserve">, y examinar la bibliografía sobre los efectos benéficos del empleo femenino y </w:t>
      </w:r>
      <w:r w:rsidR="0005757E">
        <w:t>del nombramiento de</w:t>
      </w:r>
      <w:r w:rsidRPr="00895D0A">
        <w:t xml:space="preserve"> mujeres </w:t>
      </w:r>
      <w:r w:rsidR="0005757E">
        <w:t>a</w:t>
      </w:r>
      <w:r w:rsidRPr="00895D0A">
        <w:t xml:space="preserve"> puestos directivos en la adopción de decisiones para el </w:t>
      </w:r>
      <w:r w:rsidR="0005757E">
        <w:t>crecimiento, el desarrollo y la actividad empresarial; crear una nueva base de</w:t>
      </w:r>
      <w:r w:rsidRPr="00895D0A">
        <w:t xml:space="preserve"> datos </w:t>
      </w:r>
      <w:r w:rsidR="0005757E">
        <w:t>sobre las</w:t>
      </w:r>
      <w:r w:rsidRPr="00895D0A">
        <w:t xml:space="preserve"> mujeres en los consejos de administración de empresas italianas; analizar </w:t>
      </w:r>
      <w:r w:rsidR="0005757E">
        <w:t>los efectos</w:t>
      </w:r>
      <w:r w:rsidRPr="00895D0A">
        <w:t xml:space="preserve"> de la Ley Golfo-Mosca </w:t>
      </w:r>
      <w:r w:rsidR="0005757E">
        <w:t>en varios</w:t>
      </w:r>
      <w:r w:rsidRPr="00895D0A">
        <w:t xml:space="preserve"> resultados, como el número de mujeres que ocupan altos cargos de dirección, la calidad media de los consejos, la diversidad y el desempeño de la organización, los efectos de retroacción en medidas agregadas </w:t>
      </w:r>
      <w:r w:rsidR="0005757E">
        <w:t xml:space="preserve">tales </w:t>
      </w:r>
      <w:r w:rsidRPr="00895D0A">
        <w:t>como el empleo femenino, la presencia femeni</w:t>
      </w:r>
      <w:r w:rsidR="0005757E">
        <w:t>na entre el personal directivo,</w:t>
      </w:r>
      <w:r w:rsidRPr="00895D0A">
        <w:t xml:space="preserve"> la educación de la mujer</w:t>
      </w:r>
      <w:r w:rsidR="0005757E">
        <w:t>, etc</w:t>
      </w:r>
      <w:r w:rsidRPr="00895D0A">
        <w:t>.</w:t>
      </w:r>
    </w:p>
    <w:p w:rsidR="00895D0A" w:rsidRPr="00895D0A" w:rsidRDefault="0005757E" w:rsidP="00250F6C">
      <w:pPr>
        <w:pStyle w:val="SingleTxt"/>
        <w:numPr>
          <w:ilvl w:val="0"/>
          <w:numId w:val="15"/>
        </w:numPr>
        <w:tabs>
          <w:tab w:val="clear" w:pos="475"/>
          <w:tab w:val="num" w:pos="1742"/>
        </w:tabs>
        <w:suppressAutoHyphens w:val="0"/>
        <w:ind w:left="1267"/>
      </w:pPr>
      <w:r>
        <w:t>S</w:t>
      </w:r>
      <w:r w:rsidR="00895D0A" w:rsidRPr="00895D0A">
        <w:t xml:space="preserve">e ha puesto en marcha una importante campaña de sensibilización sobre </w:t>
      </w:r>
      <w:r>
        <w:t>este</w:t>
      </w:r>
      <w:r w:rsidR="00895D0A" w:rsidRPr="00895D0A">
        <w:t xml:space="preserve"> tema. Su título es </w:t>
      </w:r>
      <w:r w:rsidR="00DD1A63">
        <w:t>“</w:t>
      </w:r>
      <w:r w:rsidR="00895D0A" w:rsidRPr="00895D0A">
        <w:t>Quote di genere. Un paese più equilibrato ha un futuro migliore</w:t>
      </w:r>
      <w:r w:rsidR="00DD1A63">
        <w:t>”</w:t>
      </w:r>
      <w:r w:rsidR="00895D0A" w:rsidRPr="00895D0A">
        <w:t xml:space="preserve"> (</w:t>
      </w:r>
      <w:r w:rsidR="00DD1A63">
        <w:t>“</w:t>
      </w:r>
      <w:r w:rsidR="00895D0A" w:rsidRPr="00895D0A">
        <w:t>Cuotas de género. Un país más equilibrado tiene un futuro mejor</w:t>
      </w:r>
      <w:r w:rsidR="00DD1A63">
        <w:t>”</w:t>
      </w:r>
      <w:r w:rsidR="00895D0A" w:rsidRPr="00895D0A">
        <w:t>), cuya finalidad es promover el equilibrio de género en la adopción de decisiones</w:t>
      </w:r>
      <w:r>
        <w:t>, entre otras cosas</w:t>
      </w:r>
      <w:r w:rsidR="00895D0A" w:rsidRPr="00895D0A">
        <w:t xml:space="preserve"> mediante la difusión de las disposiciones</w:t>
      </w:r>
      <w:r w:rsidR="000F5E60">
        <w:t xml:space="preserve"> </w:t>
      </w:r>
      <w:r w:rsidR="00895D0A" w:rsidRPr="00895D0A">
        <w:t>antes mencionadas sobre la igualdad de acceso a los consejos de administración y las comisiones de auditores de cuentas de las empresas, tanto de las que cotizan en bolsa como</w:t>
      </w:r>
      <w:r>
        <w:t xml:space="preserve"> de las</w:t>
      </w:r>
      <w:r w:rsidR="00895D0A" w:rsidRPr="00895D0A">
        <w:t xml:space="preserve"> públicas, de conformidad con la Ley núm. 120/2011 y el Decreto del Presidente núm. 251/2012. Se han previsto iniciativas </w:t>
      </w:r>
      <w:r w:rsidR="00CF0313">
        <w:t>de</w:t>
      </w:r>
      <w:r w:rsidR="00895D0A" w:rsidRPr="00895D0A">
        <w:t xml:space="preserve"> lucha contra los estereotipos en el sistema escolar y la revisión de libros de texto, </w:t>
      </w:r>
      <w:r w:rsidR="00AE7AF2">
        <w:t>y se han as</w:t>
      </w:r>
      <w:r w:rsidR="00CF0313">
        <w:t>i</w:t>
      </w:r>
      <w:r w:rsidR="00AE7AF2">
        <w:t>g</w:t>
      </w:r>
      <w:r w:rsidR="00CF0313">
        <w:t>nado</w:t>
      </w:r>
      <w:r w:rsidR="00895D0A" w:rsidRPr="00895D0A">
        <w:t xml:space="preserve"> al Departamento de Igualdad de Oportunidades facultades especiales para señalar a las autoridades competentes los anuncios publicitarios que presenten una imagen incorrecta de la mujer. A</w:t>
      </w:r>
      <w:r w:rsidR="00CF0313">
        <w:t xml:space="preserve"> este</w:t>
      </w:r>
      <w:r w:rsidR="00895D0A" w:rsidRPr="00895D0A">
        <w:t xml:space="preserve"> respecto, el sistema de la RAI se ha comprometido </w:t>
      </w:r>
      <w:r w:rsidR="00CF0313">
        <w:t>a dar una imagen</w:t>
      </w:r>
      <w:r w:rsidR="00895D0A" w:rsidRPr="00895D0A">
        <w:t xml:space="preserve"> más adecuada </w:t>
      </w:r>
      <w:r w:rsidR="00942A63">
        <w:t>d</w:t>
      </w:r>
      <w:r w:rsidR="00895D0A" w:rsidRPr="00895D0A">
        <w:t>el papel de la mujer.</w:t>
      </w:r>
    </w:p>
    <w:p w:rsidR="00895D0A" w:rsidRPr="00895D0A" w:rsidRDefault="00895D0A" w:rsidP="00250F6C">
      <w:pPr>
        <w:pStyle w:val="SingleTxt"/>
        <w:numPr>
          <w:ilvl w:val="0"/>
          <w:numId w:val="15"/>
        </w:numPr>
        <w:tabs>
          <w:tab w:val="clear" w:pos="475"/>
          <w:tab w:val="num" w:pos="1742"/>
        </w:tabs>
        <w:suppressAutoHyphens w:val="0"/>
        <w:ind w:left="1267"/>
        <w:rPr>
          <w:i/>
        </w:rPr>
      </w:pPr>
      <w:r w:rsidRPr="00895D0A">
        <w:t xml:space="preserve">En este </w:t>
      </w:r>
      <w:r w:rsidR="00CF0313">
        <w:t>orden de cosas</w:t>
      </w:r>
      <w:r w:rsidRPr="00895D0A">
        <w:t xml:space="preserve">, el Departamento de Igualdad de Oportunidades, el Ministerio de Desarrollo Económico y el Ministerio de Economía han firmado un acuerdo para crear una sección especial del Fondo de Garantía para Pequeñas y Medianas Empresas, que </w:t>
      </w:r>
      <w:r w:rsidR="00CF0313">
        <w:t>cuenta</w:t>
      </w:r>
      <w:r w:rsidRPr="00895D0A">
        <w:t xml:space="preserve"> con 20 millones de euros</w:t>
      </w:r>
      <w:r w:rsidR="00CF0313">
        <w:t xml:space="preserve"> de financiación</w:t>
      </w:r>
      <w:r w:rsidRPr="00895D0A">
        <w:t>. En 2014, el Departamento y el Ministerio de Desarrollo Económico firmaron un memorando de entendimiento con todas las partes interesadas (ABI, CONFINDUSTRIA, CONFAPI, Rete Imprese Italia y Alleanza delle Cooperative) para fomentar el emprendimiento y el trabajo por cuenta propia</w:t>
      </w:r>
      <w:r w:rsidR="00CF0313" w:rsidRPr="00CF0313">
        <w:t xml:space="preserve"> </w:t>
      </w:r>
      <w:r w:rsidR="00CF0313" w:rsidRPr="00895D0A">
        <w:t>entre las mujeres</w:t>
      </w:r>
      <w:r w:rsidRPr="00895D0A">
        <w:t xml:space="preserve">. </w:t>
      </w:r>
      <w:r w:rsidR="00CF0313" w:rsidRPr="00895D0A">
        <w:t xml:space="preserve">Una </w:t>
      </w:r>
      <w:r w:rsidRPr="00895D0A">
        <w:t>línea de crédito garantizada por el Estado para nuevas inversiones y la creación de nuevas empresas</w:t>
      </w:r>
      <w:r w:rsidR="00CF0313">
        <w:t xml:space="preserve"> s</w:t>
      </w:r>
      <w:r w:rsidR="00CF0313" w:rsidRPr="00895D0A">
        <w:t>e pondrá a disposición de 1.400.000 pequeñas y medianas empresas</w:t>
      </w:r>
      <w:r w:rsidRPr="00895D0A">
        <w:t xml:space="preserve">. En este contexto, se creó el Observatorio Nacional para el Mundo Empresarial y el Trabajo Femenino en Agricultura (ONILFA) con el fin de promover el emprendimiento femenino en la agricultura y las zonas rurales. En 2012 el Departamento firmó un nuevo acuerdo para la conciliación de la vida laboral y familiar y modalidades de trabajo flexibles </w:t>
      </w:r>
      <w:r w:rsidRPr="00DB4189">
        <w:t>(</w:t>
      </w:r>
      <w:r w:rsidR="00215E7B" w:rsidRPr="00DB4189">
        <w:t>Intesa </w:t>
      </w:r>
      <w:r w:rsidRPr="00DB4189">
        <w:t>2)</w:t>
      </w:r>
      <w:r w:rsidRPr="00895D0A">
        <w:t xml:space="preserve"> </w:t>
      </w:r>
      <w:r w:rsidR="00CF0313" w:rsidRPr="00895D0A">
        <w:t>con las regiones italianas</w:t>
      </w:r>
      <w:r w:rsidR="00CF0313">
        <w:t>,</w:t>
      </w:r>
      <w:r w:rsidR="00CF0313" w:rsidRPr="00895D0A">
        <w:t xml:space="preserve"> </w:t>
      </w:r>
      <w:r w:rsidRPr="00895D0A">
        <w:t>con el fin de ampliar y reforzar las iniciativas encaminadas a apoyar a las mujeres y los hombres con hijos o adultos a su cargo, así como promover nuevas oportunidades de empleo centradas en los cuidados y los servicios de base familiar o comunitaria.</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En el marco del programa anual del Fondo Europeo para la Integración de 2012, se puso en marcha el proyecto </w:t>
      </w:r>
      <w:r w:rsidR="00DD1A63">
        <w:t>“</w:t>
      </w:r>
      <w:r w:rsidRPr="00895D0A">
        <w:t>Autonomía e integración de jóvenes extranjeras</w:t>
      </w:r>
      <w:r w:rsidR="00DD1A63">
        <w:t>”</w:t>
      </w:r>
      <w:r w:rsidRPr="00895D0A">
        <w:t xml:space="preserve"> </w:t>
      </w:r>
      <w:r w:rsidR="00CF0313">
        <w:t>destinado a</w:t>
      </w:r>
      <w:r w:rsidRPr="00895D0A">
        <w:t xml:space="preserve"> apoyar la autonomía de migrantes </w:t>
      </w:r>
      <w:r w:rsidR="00CF0313">
        <w:t>particularmente vulnerables, como menores no acompañado</w:t>
      </w:r>
      <w:r w:rsidRPr="00895D0A">
        <w:t xml:space="preserve">s de 16 y 17 años y mujeres jóvenes menores de 24 años en riesgo de exclusión social. Participan en el proyecto 380 mujeres jóvenes. Además, se han asignado recursos del Fondo Social Europeo para facilitar el acceso al mercado de trabajo. El Ministerio de Educación </w:t>
      </w:r>
      <w:r w:rsidR="00CF0313">
        <w:t>empezó a ejecutar el</w:t>
      </w:r>
      <w:r w:rsidRPr="00895D0A">
        <w:t xml:space="preserve"> proyecto </w:t>
      </w:r>
      <w:r w:rsidR="00DD1A63">
        <w:t>“</w:t>
      </w:r>
      <w:r w:rsidRPr="00895D0A">
        <w:t>Emergencia en Lampedusa</w:t>
      </w:r>
      <w:r w:rsidR="00DD1A63">
        <w:t>”</w:t>
      </w:r>
      <w:r w:rsidR="00CF0313">
        <w:t>,</w:t>
      </w:r>
      <w:r w:rsidRPr="00895D0A">
        <w:t xml:space="preserve"> </w:t>
      </w:r>
      <w:r w:rsidR="00CF0313">
        <w:t>destinado</w:t>
      </w:r>
      <w:r w:rsidRPr="00895D0A">
        <w:t xml:space="preserve"> a todos los niños menores de 18 años que se hallen en la isla.</w:t>
      </w:r>
    </w:p>
    <w:p w:rsidR="00895D0A" w:rsidRPr="00895D0A" w:rsidRDefault="00895D0A" w:rsidP="00250F6C">
      <w:pPr>
        <w:pStyle w:val="SingleTxt"/>
        <w:numPr>
          <w:ilvl w:val="0"/>
          <w:numId w:val="15"/>
        </w:numPr>
        <w:tabs>
          <w:tab w:val="clear" w:pos="475"/>
          <w:tab w:val="num" w:pos="1742"/>
        </w:tabs>
        <w:suppressAutoHyphens w:val="0"/>
        <w:ind w:left="1267"/>
      </w:pPr>
      <w:r w:rsidRPr="00215E7B">
        <w:rPr>
          <w:spacing w:val="2"/>
        </w:rPr>
        <w:t xml:space="preserve">En 2012 Italia se sumó al programa del Consejo de Europa </w:t>
      </w:r>
      <w:r w:rsidR="00DD1A63" w:rsidRPr="00215E7B">
        <w:rPr>
          <w:spacing w:val="2"/>
        </w:rPr>
        <w:t>“</w:t>
      </w:r>
      <w:r w:rsidRPr="00215E7B">
        <w:rPr>
          <w:spacing w:val="2"/>
        </w:rPr>
        <w:t>Combatir la discriminación por motivos de orientació</w:t>
      </w:r>
      <w:r w:rsidR="00CF0313" w:rsidRPr="00215E7B">
        <w:rPr>
          <w:spacing w:val="2"/>
        </w:rPr>
        <w:t>n sexual e identidad de género</w:t>
      </w:r>
      <w:r w:rsidR="00DD1A63" w:rsidRPr="00215E7B">
        <w:rPr>
          <w:spacing w:val="2"/>
        </w:rPr>
        <w:t>”</w:t>
      </w:r>
      <w:r w:rsidR="00CF0313" w:rsidRPr="00215E7B">
        <w:rPr>
          <w:spacing w:val="2"/>
        </w:rPr>
        <w:t>; en este proyecto,</w:t>
      </w:r>
      <w:r w:rsidRPr="00215E7B">
        <w:rPr>
          <w:spacing w:val="2"/>
        </w:rPr>
        <w:t xml:space="preserve"> la UNAR actúa como centro de coordinación nacional encargado de elaborar la estrategia nacional </w:t>
      </w:r>
      <w:r w:rsidR="00CF0313" w:rsidRPr="00215E7B">
        <w:rPr>
          <w:spacing w:val="2"/>
        </w:rPr>
        <w:t>para las</w:t>
      </w:r>
      <w:r w:rsidRPr="00215E7B">
        <w:rPr>
          <w:spacing w:val="2"/>
        </w:rPr>
        <w:t xml:space="preserve"> personas LGBT adoptada en 2013. En los últimos años, la doctrina ha </w:t>
      </w:r>
      <w:r w:rsidR="00CF0313" w:rsidRPr="00215E7B">
        <w:rPr>
          <w:spacing w:val="2"/>
        </w:rPr>
        <w:t>destacado</w:t>
      </w:r>
      <w:r w:rsidRPr="00215E7B">
        <w:rPr>
          <w:spacing w:val="2"/>
        </w:rPr>
        <w:t xml:space="preserve"> las esferas en </w:t>
      </w:r>
      <w:r w:rsidR="00CF0313" w:rsidRPr="00215E7B">
        <w:rPr>
          <w:spacing w:val="2"/>
        </w:rPr>
        <w:t xml:space="preserve">las </w:t>
      </w:r>
      <w:r w:rsidRPr="00215E7B">
        <w:rPr>
          <w:spacing w:val="2"/>
        </w:rPr>
        <w:t>que</w:t>
      </w:r>
      <w:r w:rsidR="000F5E60" w:rsidRPr="00215E7B">
        <w:rPr>
          <w:spacing w:val="2"/>
        </w:rPr>
        <w:t xml:space="preserve"> </w:t>
      </w:r>
      <w:r w:rsidRPr="00215E7B">
        <w:rPr>
          <w:spacing w:val="2"/>
        </w:rPr>
        <w:t xml:space="preserve">sigue habiendo un vacío legislativo. </w:t>
      </w:r>
      <w:r w:rsidR="00215E7B" w:rsidRPr="00215E7B">
        <w:rPr>
          <w:spacing w:val="2"/>
        </w:rPr>
        <w:t xml:space="preserve">A </w:t>
      </w:r>
      <w:r w:rsidR="006C1EFC" w:rsidRPr="00215E7B">
        <w:rPr>
          <w:spacing w:val="2"/>
        </w:rPr>
        <w:t>este respecto</w:t>
      </w:r>
      <w:r w:rsidRPr="00215E7B">
        <w:rPr>
          <w:spacing w:val="2"/>
        </w:rPr>
        <w:t>, cabe mencionar: 1) la sentencia del Tribunal Constitucional núm. 138/2010</w:t>
      </w:r>
      <w:r w:rsidRPr="00895D0A">
        <w:t xml:space="preserve"> (que prevé la igualdad de trato entre las parejas casadas sin distinción de sexo), y 2) el apoyo del Gobierno de Italia a la primera estrategia nacional de lucha contra la discriminación por motivos de orientación sexual e identidad de género, en cumplimiento </w:t>
      </w:r>
      <w:r w:rsidR="006C1EFC">
        <w:t>de</w:t>
      </w:r>
      <w:r w:rsidRPr="00895D0A">
        <w:t xml:space="preserve"> lo dispuesto en el proyecto </w:t>
      </w:r>
      <w:r w:rsidR="006C1EFC">
        <w:t>del</w:t>
      </w:r>
      <w:r w:rsidRPr="00895D0A">
        <w:t xml:space="preserve"> Consejo de Europa para la aplicación de la recomendación CM/REC 5 (2010) de su Comité de Ministros.</w:t>
      </w:r>
    </w:p>
    <w:p w:rsidR="00895D0A" w:rsidRPr="00895D0A" w:rsidRDefault="00895D0A" w:rsidP="00250F6C">
      <w:pPr>
        <w:pStyle w:val="SingleTxt"/>
        <w:numPr>
          <w:ilvl w:val="0"/>
          <w:numId w:val="15"/>
        </w:numPr>
        <w:tabs>
          <w:tab w:val="clear" w:pos="475"/>
          <w:tab w:val="num" w:pos="1742"/>
        </w:tabs>
        <w:suppressAutoHyphens w:val="0"/>
        <w:ind w:left="1267"/>
      </w:pPr>
      <w:r w:rsidRPr="00895D0A">
        <w:t>En la práctica, la idea de elaborar una estrategia fue de la UNAR, que también coordina su aplicación. La UNAR propuso y adoptó un sistema de gobernanza que incluye a todas la</w:t>
      </w:r>
      <w:r w:rsidR="006C1EFC">
        <w:t>s partes interesadas, entre ella</w:t>
      </w:r>
      <w:r w:rsidRPr="00895D0A">
        <w:t>s el OSCAD, el Departamento de la Administración Penitenciaria y la Federación Italiana de la Prensa. Desde un punto de vista temático, se presta atención al sector laboral y del empleo, en los que la discriminación es más corriente</w:t>
      </w:r>
      <w:r w:rsidR="00942A63">
        <w:t>.</w:t>
      </w:r>
      <w:r w:rsidRPr="00895D0A">
        <w:t xml:space="preserve"> También se presta atención </w:t>
      </w:r>
      <w:r w:rsidR="006C1EFC">
        <w:t>a los otros</w:t>
      </w:r>
      <w:r w:rsidRPr="00895D0A">
        <w:t xml:space="preserve"> </w:t>
      </w:r>
      <w:r w:rsidR="006C1EFC" w:rsidRPr="00895D0A">
        <w:t xml:space="preserve">motivos </w:t>
      </w:r>
      <w:r w:rsidRPr="00895D0A">
        <w:t xml:space="preserve">principales de preocupación para las personas LGTB en la vida cotidiana, como el acceso al empleo y </w:t>
      </w:r>
      <w:r w:rsidR="006C1EFC">
        <w:t>a</w:t>
      </w:r>
      <w:r w:rsidRPr="00895D0A">
        <w:t>l mundo del trabajo en general, la educación (integración, superación de los estereotipos y lucha contra la intimidación), la seguridad y las prisiones, las comunicación y los medios de información.</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La </w:t>
      </w:r>
      <w:r w:rsidR="00942A63" w:rsidRPr="00942A63">
        <w:rPr>
          <w:b/>
        </w:rPr>
        <w:t xml:space="preserve">Estrategia Nacional </w:t>
      </w:r>
      <w:r w:rsidRPr="00942A63">
        <w:rPr>
          <w:b/>
        </w:rPr>
        <w:t xml:space="preserve">de Italia en </w:t>
      </w:r>
      <w:r w:rsidR="006C1EFC" w:rsidRPr="00942A63">
        <w:rPr>
          <w:b/>
        </w:rPr>
        <w:t>lo relativo a los</w:t>
      </w:r>
      <w:r w:rsidRPr="00942A63">
        <w:rPr>
          <w:b/>
        </w:rPr>
        <w:t xml:space="preserve"> </w:t>
      </w:r>
      <w:r w:rsidR="00942A63" w:rsidRPr="00942A63">
        <w:rPr>
          <w:b/>
        </w:rPr>
        <w:t xml:space="preserve">Derechos </w:t>
      </w:r>
      <w:r w:rsidRPr="00942A63">
        <w:rPr>
          <w:b/>
        </w:rPr>
        <w:t xml:space="preserve">de las </w:t>
      </w:r>
      <w:r w:rsidR="00942A63" w:rsidRPr="00942A63">
        <w:rPr>
          <w:b/>
        </w:rPr>
        <w:t xml:space="preserve">Personas </w:t>
      </w:r>
      <w:r w:rsidRPr="00942A63">
        <w:rPr>
          <w:b/>
        </w:rPr>
        <w:t>LGTB para el período 2013-2015</w:t>
      </w:r>
      <w:r w:rsidRPr="00895D0A">
        <w:t xml:space="preserve"> quedó aprobada oficialmente </w:t>
      </w:r>
      <w:r w:rsidR="006C1EFC">
        <w:t>por</w:t>
      </w:r>
      <w:r w:rsidRPr="00895D0A">
        <w:t xml:space="preserve"> Decreto Ministerial de 16 de abril de 2013.</w:t>
      </w:r>
    </w:p>
    <w:p w:rsidR="00895D0A" w:rsidRPr="00895D0A" w:rsidRDefault="00895D0A" w:rsidP="00250F6C">
      <w:pPr>
        <w:pStyle w:val="SingleTxt"/>
        <w:numPr>
          <w:ilvl w:val="0"/>
          <w:numId w:val="15"/>
        </w:numPr>
        <w:tabs>
          <w:tab w:val="clear" w:pos="475"/>
          <w:tab w:val="num" w:pos="1742"/>
        </w:tabs>
        <w:suppressAutoHyphens w:val="0"/>
        <w:ind w:left="1267"/>
      </w:pPr>
      <w:r w:rsidRPr="00895D0A">
        <w:t xml:space="preserve">En cuanto a los temas, se han seleccionado como principales ejes de intervención cuatro </w:t>
      </w:r>
      <w:r w:rsidR="006C1EFC">
        <w:t>áreas</w:t>
      </w:r>
      <w:r w:rsidRPr="00895D0A">
        <w:t xml:space="preserve"> de política (educación, trabajo, seguridad en las cárceles y medios de información y comunicación). En cada una de ellas se han determinado los objetivos prioritarios y se aplicarán medidas concretas con un enfoque pluridisciplinar</w:t>
      </w:r>
      <w:r w:rsidR="006C1EFC">
        <w:t>io</w:t>
      </w:r>
      <w:r w:rsidRPr="00895D0A">
        <w:t xml:space="preserve">. </w:t>
      </w:r>
      <w:r w:rsidR="006C1EFC">
        <w:t>E</w:t>
      </w:r>
      <w:r w:rsidRPr="00895D0A">
        <w:t xml:space="preserve">l Departamento de Igualdad de Oportunidades y el municipio de Turín, </w:t>
      </w:r>
      <w:r w:rsidR="00942A63">
        <w:t xml:space="preserve">que </w:t>
      </w:r>
      <w:r w:rsidR="006C1EFC">
        <w:t>ejerce de secretaría n</w:t>
      </w:r>
      <w:r w:rsidRPr="00895D0A">
        <w:t>acional de la red RE.A.DY (Red Nacional de las Administraciones Públicas contra la Discriminación por Motivos de Orientación Sexual e Identidad de Género), han firmado un memorando de entendimiento y han asignado recursos por valor de 500.000 euros</w:t>
      </w:r>
      <w:r w:rsidR="006C1EFC">
        <w:t xml:space="preserve"> a este objetivo</w:t>
      </w:r>
      <w:r w:rsidRPr="00895D0A">
        <w:t xml:space="preserve">. Se llevan a cabo actividades de sensibilización y </w:t>
      </w:r>
      <w:r w:rsidR="006C1EFC">
        <w:t>formación de</w:t>
      </w:r>
      <w:r w:rsidRPr="00895D0A">
        <w:t xml:space="preserve"> funcionarios superiores de centros escolares y de trabajo y agentes de las fuerzas del orden</w:t>
      </w:r>
      <w:r w:rsidR="006C1EFC">
        <w:t>,</w:t>
      </w:r>
      <w:r w:rsidRPr="00895D0A">
        <w:t xml:space="preserve"> mediante la organización de seminarios nacionales y proyectos experimentales de ámbito local, así como a través de una plataforma web especial.</w:t>
      </w:r>
    </w:p>
    <w:p w:rsidR="00895D0A" w:rsidRPr="00895D0A" w:rsidRDefault="00895D0A" w:rsidP="00250F6C">
      <w:pPr>
        <w:pStyle w:val="SingleTxt"/>
        <w:numPr>
          <w:ilvl w:val="0"/>
          <w:numId w:val="15"/>
        </w:numPr>
        <w:tabs>
          <w:tab w:val="clear" w:pos="475"/>
          <w:tab w:val="num" w:pos="1742"/>
        </w:tabs>
        <w:suppressAutoHyphens w:val="0"/>
        <w:ind w:left="1267"/>
      </w:pPr>
      <w:r w:rsidRPr="00895D0A">
        <w:t>Con motivo del Día Internacional contra la</w:t>
      </w:r>
      <w:r w:rsidR="006C1EFC">
        <w:t xml:space="preserve"> Homofobia (17 de mayo de 2013), </w:t>
      </w:r>
      <w:r w:rsidRPr="00895D0A">
        <w:t>se celebró en el Senado de Italia una reunión organizada por la UNAR que contó con la presencia del Presidente del Senado, la Presidenta de la Cámara de Diputados y la</w:t>
      </w:r>
      <w:r w:rsidR="006C1EFC">
        <w:t xml:space="preserve"> entonces</w:t>
      </w:r>
      <w:r w:rsidRPr="00895D0A">
        <w:t xml:space="preserve"> </w:t>
      </w:r>
      <w:r w:rsidR="006C1EFC" w:rsidRPr="00895D0A">
        <w:t>Ministra</w:t>
      </w:r>
      <w:r w:rsidRPr="00895D0A">
        <w:t xml:space="preserve"> para la </w:t>
      </w:r>
      <w:r w:rsidR="006C1EFC" w:rsidRPr="00895D0A">
        <w:t xml:space="preserve">Igualdad </w:t>
      </w:r>
      <w:r w:rsidRPr="00895D0A">
        <w:t xml:space="preserve">de </w:t>
      </w:r>
      <w:r w:rsidR="006C1EFC" w:rsidRPr="00895D0A">
        <w:t>Oportunidades</w:t>
      </w:r>
      <w:r w:rsidR="008D4040">
        <w:t>,</w:t>
      </w:r>
      <w:r w:rsidR="006C1EFC" w:rsidRPr="00895D0A">
        <w:t xml:space="preserve"> </w:t>
      </w:r>
      <w:r w:rsidRPr="00895D0A">
        <w:t xml:space="preserve">y en </w:t>
      </w:r>
      <w:r w:rsidR="008D4040">
        <w:t>la que</w:t>
      </w:r>
      <w:r w:rsidRPr="00895D0A">
        <w:t xml:space="preserve"> estuvieron representadas importantes instituciones y asociaciones </w:t>
      </w:r>
      <w:r w:rsidR="008D4040">
        <w:t>del ramo</w:t>
      </w:r>
      <w:r w:rsidRPr="00895D0A">
        <w:t>. La UNAR participó también en el Día Nacional del Orgullo</w:t>
      </w:r>
      <w:r w:rsidR="008D4040">
        <w:t xml:space="preserve"> Gay celebrado en Palermo en junio de 2013</w:t>
      </w:r>
      <w:r w:rsidRPr="00895D0A">
        <w:t xml:space="preserve">, en </w:t>
      </w:r>
      <w:r w:rsidR="008D4040">
        <w:t>el</w:t>
      </w:r>
      <w:r w:rsidRPr="00895D0A">
        <w:t xml:space="preserve"> que se presentó oficialmente la </w:t>
      </w:r>
      <w:r w:rsidR="00942A63" w:rsidRPr="00895D0A">
        <w:t xml:space="preserve">Estrategia Nacional </w:t>
      </w:r>
      <w:r w:rsidR="008D4040">
        <w:t>para las</w:t>
      </w:r>
      <w:r w:rsidRPr="00895D0A">
        <w:t xml:space="preserve"> </w:t>
      </w:r>
      <w:r w:rsidR="00942A63" w:rsidRPr="00895D0A">
        <w:t xml:space="preserve">Personas </w:t>
      </w:r>
      <w:r w:rsidRPr="00895D0A">
        <w:t xml:space="preserve">LGTB. </w:t>
      </w:r>
      <w:r w:rsidR="008D4040">
        <w:t>En cumplimiento del</w:t>
      </w:r>
      <w:r w:rsidRPr="00895D0A">
        <w:t xml:space="preserve"> memorando de entendimiento especial firmado con el OSCAD, la UNAR promovió sesiones especiales de </w:t>
      </w:r>
      <w:r w:rsidR="008D4040">
        <w:t>formación de</w:t>
      </w:r>
      <w:r w:rsidRPr="00895D0A">
        <w:t xml:space="preserve"> agentes del orden entre mayo y junio de 2013. En cuanto al eje prioritario </w:t>
      </w:r>
      <w:r w:rsidR="00DD1A63">
        <w:t>“</w:t>
      </w:r>
      <w:r w:rsidRPr="00895D0A">
        <w:t>Medio</w:t>
      </w:r>
      <w:r w:rsidR="008D4040">
        <w:t>s de información y comunicación</w:t>
      </w:r>
      <w:r w:rsidR="00DD1A63">
        <w:t>”</w:t>
      </w:r>
      <w:r w:rsidRPr="00895D0A">
        <w:t xml:space="preserve">, la UNAR firmó un acuerdo con el Consejo de Europa para apoyar actividades de información, </w:t>
      </w:r>
      <w:r w:rsidR="008D4040">
        <w:t>formación</w:t>
      </w:r>
      <w:r w:rsidRPr="00895D0A">
        <w:t xml:space="preserve"> y sensibilización </w:t>
      </w:r>
      <w:r w:rsidR="008D4040">
        <w:t>de</w:t>
      </w:r>
      <w:r w:rsidRPr="00895D0A">
        <w:t xml:space="preserve"> profesionales, </w:t>
      </w:r>
      <w:r w:rsidR="008D4040">
        <w:t>con objeto de</w:t>
      </w:r>
      <w:r w:rsidRPr="00895D0A">
        <w:t xml:space="preserve"> fomentar una información</w:t>
      </w:r>
      <w:r w:rsidR="000F5E60">
        <w:t xml:space="preserve"> </w:t>
      </w:r>
      <w:r w:rsidRPr="00895D0A">
        <w:t>respetuosa y correcta sobre cuestiones relacionadas con las personas LGTB. En octubre de 2013, el Consejo de Europa y el ACNUR, en colaboración con la UNAR</w:t>
      </w:r>
      <w:r w:rsidR="008D4040">
        <w:t>,</w:t>
      </w:r>
      <w:r w:rsidR="008D4040" w:rsidRPr="008D4040">
        <w:t xml:space="preserve"> </w:t>
      </w:r>
      <w:r w:rsidR="008D4040" w:rsidRPr="00895D0A">
        <w:t>organizaron</w:t>
      </w:r>
      <w:r w:rsidRPr="00895D0A">
        <w:t xml:space="preserve"> un seminario internacional sobre solicitudes de asilo por motivos de orientación sexual e identidad de género</w:t>
      </w:r>
      <w:r w:rsidR="00DA272C">
        <w:t>.</w:t>
      </w:r>
    </w:p>
    <w:p w:rsidR="00250F6C" w:rsidRPr="00250F6C" w:rsidRDefault="00250F6C" w:rsidP="00250F6C">
      <w:pPr>
        <w:pStyle w:val="SingleTxt"/>
        <w:spacing w:after="0" w:line="120" w:lineRule="exact"/>
        <w:rPr>
          <w:b/>
          <w:sz w:val="10"/>
        </w:rPr>
      </w:pPr>
    </w:p>
    <w:p w:rsidR="00250F6C" w:rsidRPr="00250F6C" w:rsidRDefault="00250F6C" w:rsidP="00250F6C">
      <w:pPr>
        <w:pStyle w:val="SingleTxt"/>
        <w:spacing w:after="0" w:line="120" w:lineRule="exact"/>
        <w:rPr>
          <w:b/>
          <w:sz w:val="10"/>
        </w:rPr>
      </w:pPr>
    </w:p>
    <w:p w:rsidR="00895D0A" w:rsidRPr="00895D0A" w:rsidRDefault="00250F6C" w:rsidP="009544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r>
      <w:r w:rsidR="00895D0A" w:rsidRPr="00895D0A">
        <w:t>La práctica y las decisiones de los tribunales y otros órganos judiciales y administrativos</w:t>
      </w:r>
    </w:p>
    <w:p w:rsidR="00250F6C" w:rsidRPr="00250F6C" w:rsidRDefault="00250F6C" w:rsidP="00250F6C">
      <w:pPr>
        <w:pStyle w:val="SingleTxt"/>
        <w:spacing w:after="0" w:line="120" w:lineRule="exact"/>
        <w:rPr>
          <w:iCs/>
          <w:sz w:val="10"/>
        </w:rPr>
      </w:pPr>
    </w:p>
    <w:p w:rsidR="00250F6C" w:rsidRPr="00250F6C" w:rsidRDefault="00250F6C" w:rsidP="00250F6C">
      <w:pPr>
        <w:pStyle w:val="SingleTxt"/>
        <w:spacing w:after="0" w:line="120" w:lineRule="exact"/>
        <w:rPr>
          <w:iCs/>
          <w:sz w:val="10"/>
        </w:rPr>
      </w:pPr>
    </w:p>
    <w:p w:rsidR="00895D0A" w:rsidRPr="00895D0A" w:rsidRDefault="008D4040" w:rsidP="00954432">
      <w:pPr>
        <w:pStyle w:val="SingleTxt"/>
        <w:numPr>
          <w:ilvl w:val="0"/>
          <w:numId w:val="15"/>
        </w:numPr>
        <w:tabs>
          <w:tab w:val="clear" w:pos="475"/>
          <w:tab w:val="num" w:pos="1742"/>
        </w:tabs>
        <w:suppressAutoHyphens w:val="0"/>
        <w:ind w:left="1267"/>
        <w:rPr>
          <w:b/>
        </w:rPr>
      </w:pPr>
      <w:r>
        <w:t>De 2010 a 2013 se aprobaron varias decisiones sobre</w:t>
      </w:r>
      <w:r w:rsidR="00895D0A" w:rsidRPr="00895D0A">
        <w:t xml:space="preserve"> la jurisprudencia italiana relativa a la discriminación en todas sus formas</w:t>
      </w:r>
      <w:r w:rsidR="00942A63">
        <w:t>. Cabe mencionar las siguientes.</w:t>
      </w:r>
    </w:p>
    <w:p w:rsidR="00954432" w:rsidRPr="00954432" w:rsidRDefault="00954432" w:rsidP="00954432">
      <w:pPr>
        <w:pStyle w:val="SingleTxt"/>
        <w:spacing w:after="0" w:line="120" w:lineRule="exact"/>
        <w:rPr>
          <w:b/>
          <w:sz w:val="10"/>
        </w:rPr>
      </w:pPr>
    </w:p>
    <w:p w:rsidR="00895D0A" w:rsidRDefault="00954432" w:rsidP="00954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95D0A" w:rsidRPr="00895D0A">
        <w:tab/>
        <w:t>Orientación sexual e identidad de género</w:t>
      </w:r>
    </w:p>
    <w:p w:rsidR="00954432" w:rsidRPr="00954432" w:rsidRDefault="00954432" w:rsidP="00954432">
      <w:pPr>
        <w:pStyle w:val="SingleTxt"/>
        <w:spacing w:after="0" w:line="120" w:lineRule="exact"/>
        <w:rPr>
          <w:b/>
          <w:sz w:val="10"/>
        </w:rPr>
      </w:pPr>
    </w:p>
    <w:p w:rsidR="00895D0A" w:rsidRPr="00895D0A" w:rsidRDefault="00895D0A" w:rsidP="00954432">
      <w:pPr>
        <w:pStyle w:val="Bullet1"/>
        <w:rPr>
          <w:b/>
        </w:rPr>
      </w:pPr>
      <w:r w:rsidRPr="00895D0A">
        <w:t>En la sentencia núm. 94/2011 del Tribunal Constitucional y en la sentencia</w:t>
      </w:r>
      <w:r w:rsidR="000F5E60">
        <w:t xml:space="preserve"> </w:t>
      </w:r>
      <w:r w:rsidR="00DA272C">
        <w:t>núm. </w:t>
      </w:r>
      <w:r w:rsidRPr="00895D0A">
        <w:t>7186/2011 del Tribunal de Casación se reiteró la importancia de luchar contra las actitudes discriminatorias por motivos de orientación sexual e identidad de género y se reafir</w:t>
      </w:r>
      <w:r w:rsidR="008D4040">
        <w:t>mó</w:t>
      </w:r>
      <w:r w:rsidRPr="00895D0A">
        <w:t xml:space="preserve"> que el principio de no discriminación debe considerarse un derecho absoluto de la persona.</w:t>
      </w:r>
    </w:p>
    <w:p w:rsidR="00954432" w:rsidRPr="00954432" w:rsidRDefault="00954432" w:rsidP="00954432">
      <w:pPr>
        <w:pStyle w:val="SingleTxt"/>
        <w:spacing w:after="0" w:line="120" w:lineRule="exact"/>
        <w:rPr>
          <w:b/>
          <w:sz w:val="10"/>
        </w:rPr>
      </w:pPr>
    </w:p>
    <w:p w:rsidR="00895D0A" w:rsidRPr="00895D0A" w:rsidRDefault="00895D0A" w:rsidP="00954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Delitos por motivos raciales</w:t>
      </w:r>
    </w:p>
    <w:p w:rsidR="00954432" w:rsidRPr="00954432" w:rsidRDefault="00954432" w:rsidP="00954432">
      <w:pPr>
        <w:pStyle w:val="SingleTxt"/>
        <w:spacing w:after="0" w:line="120" w:lineRule="exact"/>
        <w:rPr>
          <w:sz w:val="10"/>
        </w:rPr>
      </w:pPr>
    </w:p>
    <w:p w:rsidR="00895D0A" w:rsidRPr="00895D0A" w:rsidRDefault="008D4040" w:rsidP="00954432">
      <w:pPr>
        <w:pStyle w:val="Bullet1"/>
      </w:pPr>
      <w:r>
        <w:t xml:space="preserve">En su sentencia </w:t>
      </w:r>
      <w:r w:rsidR="00895D0A" w:rsidRPr="00895D0A">
        <w:t>núm. 2798, de 21 de julio de 2010, el Tribunal de Casación co</w:t>
      </w:r>
      <w:r>
        <w:t xml:space="preserve">nsideró que la expresión </w:t>
      </w:r>
      <w:r w:rsidR="00DD1A63">
        <w:t>“</w:t>
      </w:r>
      <w:r>
        <w:t>sucio negro</w:t>
      </w:r>
      <w:r w:rsidR="00DD1A63">
        <w:t>”</w:t>
      </w:r>
      <w:r>
        <w:t>,</w:t>
      </w:r>
      <w:r w:rsidR="00895D0A" w:rsidRPr="00895D0A">
        <w:t xml:space="preserve"> pronunciada durante un robo</w:t>
      </w:r>
      <w:r>
        <w:t>,</w:t>
      </w:r>
      <w:r w:rsidR="00895D0A" w:rsidRPr="00895D0A">
        <w:t xml:space="preserve"> debía considerarse circunstancia agravante por </w:t>
      </w:r>
      <w:r>
        <w:t>su</w:t>
      </w:r>
      <w:r w:rsidR="00895D0A" w:rsidRPr="00895D0A">
        <w:t xml:space="preserve"> tenor discriminatorio y de</w:t>
      </w:r>
      <w:r>
        <w:t xml:space="preserve"> incitación al</w:t>
      </w:r>
      <w:r w:rsidR="00942A63">
        <w:t xml:space="preserve"> odio;</w:t>
      </w:r>
    </w:p>
    <w:p w:rsidR="00895D0A" w:rsidRPr="00895D0A" w:rsidRDefault="00895D0A" w:rsidP="00954432">
      <w:pPr>
        <w:pStyle w:val="Bullet1"/>
        <w:rPr>
          <w:bCs/>
        </w:rPr>
      </w:pPr>
      <w:r w:rsidRPr="00895D0A">
        <w:t xml:space="preserve">En su sentencia núm. 29330, de 26 de julio de 2010, el Tribunal de Casación consideró que una expresión racista dirigida a funcionarios públicos, </w:t>
      </w:r>
      <w:r w:rsidR="008D4040">
        <w:t>aunque</w:t>
      </w:r>
      <w:r w:rsidRPr="00895D0A">
        <w:t xml:space="preserve"> limitaba la seguridad personal de dos extranjeros, no era constitutiva de delito (insultos)</w:t>
      </w:r>
      <w:r w:rsidR="00942A63">
        <w:t>;</w:t>
      </w:r>
    </w:p>
    <w:p w:rsidR="00895D0A" w:rsidRPr="00895D0A" w:rsidRDefault="00895D0A" w:rsidP="00954432">
      <w:pPr>
        <w:pStyle w:val="Bullet1"/>
      </w:pPr>
      <w:r w:rsidRPr="00895D0A">
        <w:t xml:space="preserve">En su auto de 2 de mayo de 2011, el Tribunal de Milán </w:t>
      </w:r>
      <w:r w:rsidR="008D4040">
        <w:t>se pronunció en el sentido de</w:t>
      </w:r>
      <w:r w:rsidRPr="00895D0A">
        <w:t xml:space="preserve"> que la sugerencia de una autoridad pública local de que no se alquilasen viviendas a extranjeros debía considerarse conducta discriminatoria.</w:t>
      </w:r>
    </w:p>
    <w:p w:rsidR="00954432" w:rsidRPr="00954432" w:rsidRDefault="00954432" w:rsidP="00954432">
      <w:pPr>
        <w:pStyle w:val="SingleTxt"/>
        <w:spacing w:after="0" w:line="120" w:lineRule="exact"/>
        <w:rPr>
          <w:b/>
          <w:sz w:val="10"/>
        </w:rPr>
      </w:pPr>
    </w:p>
    <w:p w:rsidR="00895D0A" w:rsidRPr="00895D0A" w:rsidRDefault="00895D0A" w:rsidP="00954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Acceso a la vivienda</w:t>
      </w:r>
    </w:p>
    <w:p w:rsidR="00954432" w:rsidRPr="00954432" w:rsidRDefault="00954432" w:rsidP="00954432">
      <w:pPr>
        <w:pStyle w:val="SingleTxt"/>
        <w:spacing w:after="0" w:line="120" w:lineRule="exact"/>
        <w:rPr>
          <w:sz w:val="10"/>
        </w:rPr>
      </w:pPr>
    </w:p>
    <w:p w:rsidR="00895D0A" w:rsidRPr="00895D0A" w:rsidRDefault="00895D0A" w:rsidP="00954432">
      <w:pPr>
        <w:pStyle w:val="Bullet1"/>
      </w:pPr>
      <w:r w:rsidRPr="00895D0A">
        <w:t>En su auto núm. 665, de 16 de noviembre de 2010, el Tribunal de Bolzano consideró que era discriminatoria la decisión del Consejo de la Provincia de Bolzano de</w:t>
      </w:r>
      <w:r w:rsidR="000F5E60">
        <w:t xml:space="preserve"> </w:t>
      </w:r>
      <w:r w:rsidRPr="00895D0A">
        <w:t xml:space="preserve">crear una lista de solicitantes de ayuda para </w:t>
      </w:r>
      <w:r w:rsidR="008D4040">
        <w:t xml:space="preserve">el </w:t>
      </w:r>
      <w:r w:rsidRPr="00895D0A">
        <w:t>alquiler de</w:t>
      </w:r>
      <w:r w:rsidR="008D4040">
        <w:t xml:space="preserve"> la</w:t>
      </w:r>
      <w:r w:rsidRPr="00895D0A">
        <w:t xml:space="preserve"> vivienda para los ciudadanos de la Unión Europea</w:t>
      </w:r>
      <w:r w:rsidR="00496497">
        <w:t xml:space="preserve">, y otra para los demás </w:t>
      </w:r>
      <w:r w:rsidR="00942A63">
        <w:t>solicitantes;</w:t>
      </w:r>
    </w:p>
    <w:p w:rsidR="00895D0A" w:rsidRPr="00895D0A" w:rsidRDefault="00895D0A" w:rsidP="00DA272C">
      <w:pPr>
        <w:pStyle w:val="Bullet1"/>
        <w:keepNext/>
        <w:keepLines/>
        <w:ind w:left="1743" w:right="1267"/>
      </w:pPr>
      <w:r w:rsidRPr="00895D0A">
        <w:t>En su auto núm. 342/2011, de 20 de julio de 2011, el Tribunal de Bolzano consideró que era discriminatoria la legislación local relativa a la concesión</w:t>
      </w:r>
      <w:r w:rsidR="000F5E60">
        <w:t xml:space="preserve"> </w:t>
      </w:r>
      <w:r w:rsidRPr="00895D0A">
        <w:t>a un ciudadano de otro Estado miembro de la Unión Europea de una ayuda para alquiler de vivienda en función de su pertenencia a un determinado grupo lingüístico.</w:t>
      </w:r>
    </w:p>
    <w:p w:rsidR="00954432" w:rsidRPr="00954432" w:rsidRDefault="00954432" w:rsidP="00954432">
      <w:pPr>
        <w:pStyle w:val="SingleTxt"/>
        <w:spacing w:after="0" w:line="120" w:lineRule="exact"/>
        <w:rPr>
          <w:b/>
          <w:sz w:val="10"/>
        </w:rPr>
      </w:pPr>
    </w:p>
    <w:p w:rsidR="00895D0A" w:rsidRPr="00895D0A" w:rsidRDefault="00895D0A" w:rsidP="00954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Acceso al trabajo</w:t>
      </w:r>
    </w:p>
    <w:p w:rsidR="00954432" w:rsidRPr="00954432" w:rsidRDefault="00954432" w:rsidP="00954432">
      <w:pPr>
        <w:pStyle w:val="SingleTxt"/>
        <w:spacing w:after="0" w:line="120" w:lineRule="exact"/>
        <w:rPr>
          <w:sz w:val="10"/>
        </w:rPr>
      </w:pPr>
    </w:p>
    <w:p w:rsidR="00895D0A" w:rsidRPr="00895D0A" w:rsidRDefault="00895D0A" w:rsidP="00954432">
      <w:pPr>
        <w:pStyle w:val="Bullet1"/>
      </w:pPr>
      <w:r w:rsidRPr="00895D0A">
        <w:t xml:space="preserve">El Tribunal de Casación, en sus </w:t>
      </w:r>
      <w:r w:rsidR="00496497">
        <w:t>fallos</w:t>
      </w:r>
      <w:r w:rsidRPr="00895D0A">
        <w:t xml:space="preserve"> núm</w:t>
      </w:r>
      <w:r w:rsidR="00496497">
        <w:t>s</w:t>
      </w:r>
      <w:r w:rsidRPr="00895D0A">
        <w:t>. 17087/2011 y</w:t>
      </w:r>
      <w:r w:rsidR="00942A63">
        <w:t xml:space="preserve"> </w:t>
      </w:r>
      <w:r w:rsidRPr="00895D0A">
        <w:t>18927/2012</w:t>
      </w:r>
      <w:r w:rsidR="00496497">
        <w:t>,</w:t>
      </w:r>
      <w:r w:rsidRPr="00895D0A">
        <w:t xml:space="preserve"> consideró que era discriminatorio el despido como represalia o como</w:t>
      </w:r>
      <w:r w:rsidR="00496497">
        <w:t xml:space="preserve"> forma de</w:t>
      </w:r>
      <w:r w:rsidR="00942A63">
        <w:t xml:space="preserve"> opresión del empleado;</w:t>
      </w:r>
    </w:p>
    <w:p w:rsidR="00895D0A" w:rsidRPr="00895D0A" w:rsidRDefault="00496497" w:rsidP="00954432">
      <w:pPr>
        <w:pStyle w:val="Bullet1"/>
      </w:pPr>
      <w:r w:rsidRPr="00895D0A">
        <w:t xml:space="preserve">En </w:t>
      </w:r>
      <w:r w:rsidR="00895D0A" w:rsidRPr="00895D0A">
        <w:t xml:space="preserve">su auto núm. 5738/2010, de 30 de julio de 2010, </w:t>
      </w:r>
      <w:r w:rsidRPr="00895D0A">
        <w:t xml:space="preserve">el </w:t>
      </w:r>
      <w:r>
        <w:t>Tribunal de Milán</w:t>
      </w:r>
      <w:r w:rsidRPr="00895D0A">
        <w:t xml:space="preserve"> </w:t>
      </w:r>
      <w:r w:rsidR="00895D0A" w:rsidRPr="00895D0A">
        <w:t>estimó que era necesario conceder a los no ciudadanos de la Unión Europea el acceso a las oportunidades de trabajo público en los organismos territoriales con comp</w:t>
      </w:r>
      <w:r w:rsidR="00942A63">
        <w:t>etencias en materia de vivienda;</w:t>
      </w:r>
    </w:p>
    <w:p w:rsidR="00895D0A" w:rsidRPr="00895D0A" w:rsidRDefault="00895D0A" w:rsidP="00954432">
      <w:pPr>
        <w:pStyle w:val="Bullet1"/>
      </w:pPr>
      <w:r w:rsidRPr="00895D0A">
        <w:t xml:space="preserve">El Tribunal de Venecia, en su auto de 8 de octubre de 2010, reconoció el acceso a un concurso público </w:t>
      </w:r>
      <w:r w:rsidR="00496497">
        <w:t>de un</w:t>
      </w:r>
      <w:r w:rsidRPr="00895D0A">
        <w:t xml:space="preserve"> extranjero que </w:t>
      </w:r>
      <w:r w:rsidR="00496497">
        <w:t>era</w:t>
      </w:r>
      <w:r w:rsidRPr="00895D0A">
        <w:t xml:space="preserve"> familiar de un c</w:t>
      </w:r>
      <w:r w:rsidR="00942A63">
        <w:t>iudadano italiano;</w:t>
      </w:r>
    </w:p>
    <w:p w:rsidR="00895D0A" w:rsidRPr="00895D0A" w:rsidRDefault="00895D0A" w:rsidP="00954432">
      <w:pPr>
        <w:pStyle w:val="Bullet1"/>
      </w:pPr>
      <w:r w:rsidRPr="00895D0A">
        <w:t xml:space="preserve">El Tribunal de Florencia, en su auto de 15 de noviembre de 2010, reconoció el acceso a un concurso público </w:t>
      </w:r>
      <w:r w:rsidR="00496497">
        <w:t>de una persona que no era</w:t>
      </w:r>
      <w:r w:rsidRPr="00895D0A">
        <w:t xml:space="preserve"> ciudadan</w:t>
      </w:r>
      <w:r w:rsidR="00496497">
        <w:t>a</w:t>
      </w:r>
      <w:r w:rsidR="00942A63">
        <w:t xml:space="preserve"> de la Unión Europea;</w:t>
      </w:r>
    </w:p>
    <w:p w:rsidR="00895D0A" w:rsidRPr="00895D0A" w:rsidRDefault="00895D0A" w:rsidP="00954432">
      <w:pPr>
        <w:pStyle w:val="Bullet1"/>
      </w:pPr>
      <w:r w:rsidRPr="00895D0A">
        <w:t>El Tribunal de Lodi, en su auto núm. 317, de 18 de febrero de 2011, reconoció el carácter permanente de los contratos de trabajo de un gr</w:t>
      </w:r>
      <w:r w:rsidR="00942A63">
        <w:t>upo de trabajadores extranjeros;</w:t>
      </w:r>
    </w:p>
    <w:p w:rsidR="00895D0A" w:rsidRPr="00895D0A" w:rsidRDefault="00895D0A" w:rsidP="00954432">
      <w:pPr>
        <w:pStyle w:val="Bullet1"/>
      </w:pPr>
      <w:r w:rsidRPr="00895D0A">
        <w:t>El Tribunal de Bolonia, en su auto núm. 528/2010</w:t>
      </w:r>
      <w:r w:rsidR="00496497">
        <w:t>,</w:t>
      </w:r>
      <w:r w:rsidRPr="00895D0A">
        <w:t xml:space="preserve"> de fecha 8 de marzo de 2011, reconoció que un concurso público del Ministerio del Interior para plazas de funcionario administrativo en las ventani</w:t>
      </w:r>
      <w:r w:rsidR="006C1AD9">
        <w:t>llas únicas para la inmigración</w:t>
      </w:r>
      <w:r w:rsidRPr="00895D0A">
        <w:t xml:space="preserve"> </w:t>
      </w:r>
      <w:r w:rsidR="00496497">
        <w:t>estaba abierto</w:t>
      </w:r>
      <w:r w:rsidRPr="00895D0A">
        <w:t xml:space="preserve"> no solo a solicitantes italianos sino también a los no</w:t>
      </w:r>
      <w:r w:rsidR="00942A63">
        <w:t xml:space="preserve"> ciudadanos de la Unión Europea;</w:t>
      </w:r>
    </w:p>
    <w:p w:rsidR="00895D0A" w:rsidRPr="00895D0A" w:rsidRDefault="00895D0A" w:rsidP="00954432">
      <w:pPr>
        <w:pStyle w:val="Bullet1"/>
      </w:pPr>
      <w:r w:rsidRPr="00895D0A">
        <w:t>El Tribunal de Trieste, en su auto núm. 408/11, de 1 de julio de 2011 y de 22 de julio de 2011, anuló una convocatoria pública para plazas en servicios de atención de la salud debido a la exclusión de los ciudadanos de la Unión Europea</w:t>
      </w:r>
      <w:r w:rsidR="00496497">
        <w:t>,</w:t>
      </w:r>
      <w:r w:rsidRPr="00895D0A">
        <w:t xml:space="preserve"> y desestimó el recurso interpuesto por la ad</w:t>
      </w:r>
      <w:r w:rsidR="00942A63">
        <w:t>ministración pública convocante;</w:t>
      </w:r>
    </w:p>
    <w:p w:rsidR="00895D0A" w:rsidRPr="00895D0A" w:rsidRDefault="00895D0A" w:rsidP="00954432">
      <w:pPr>
        <w:pStyle w:val="Bullet1"/>
      </w:pPr>
      <w:r w:rsidRPr="00895D0A">
        <w:t>El T</w:t>
      </w:r>
      <w:r w:rsidR="00942A63">
        <w:t>ribunal de</w:t>
      </w:r>
      <w:r w:rsidRPr="00895D0A">
        <w:t xml:space="preserve"> Milán, en su auto núm. 6287, de 20 de diciembre de 2011, consideró que no se atenía a derecho la exclusión de los no ciudadanos de la Unión Europea en los concursos públicos para ocupar plazas en los se</w:t>
      </w:r>
      <w:r w:rsidR="00942A63">
        <w:t>rvicios de atención de la salud;</w:t>
      </w:r>
    </w:p>
    <w:p w:rsidR="00895D0A" w:rsidRPr="00895D0A" w:rsidRDefault="00895D0A" w:rsidP="00954432">
      <w:pPr>
        <w:pStyle w:val="Bullet1"/>
      </w:pPr>
      <w:r w:rsidRPr="00895D0A">
        <w:t>El Tribunal de Brescia, en su auto núm. 3027, de 29 de diciembre de 2011,</w:t>
      </w:r>
      <w:r w:rsidR="00496497">
        <w:t xml:space="preserve"> dictaminó que</w:t>
      </w:r>
      <w:r w:rsidRPr="00895D0A">
        <w:t xml:space="preserve"> tenía que</w:t>
      </w:r>
      <w:r w:rsidR="000F5E60">
        <w:t xml:space="preserve"> </w:t>
      </w:r>
      <w:r w:rsidRPr="00895D0A">
        <w:t>considerarse discriminatoria la exclusión</w:t>
      </w:r>
      <w:r w:rsidR="00496497">
        <w:t xml:space="preserve"> de extranjeros</w:t>
      </w:r>
      <w:r w:rsidRPr="00895D0A">
        <w:t xml:space="preserve"> de los concursos públicos para </w:t>
      </w:r>
      <w:r w:rsidR="00496497">
        <w:t>realizar</w:t>
      </w:r>
      <w:r w:rsidRPr="00895D0A">
        <w:t xml:space="preserve"> actividades de sup</w:t>
      </w:r>
      <w:r w:rsidR="00942A63">
        <w:t>ervisión durante las elecciones;</w:t>
      </w:r>
    </w:p>
    <w:p w:rsidR="00895D0A" w:rsidRPr="00895D0A" w:rsidRDefault="00895D0A" w:rsidP="00954432">
      <w:pPr>
        <w:pStyle w:val="Bullet1"/>
      </w:pPr>
      <w:r w:rsidRPr="00895D0A">
        <w:t>El Tribunal de Florencia, en su sentencia núm. 5365, de 27 de enero de 2012, c</w:t>
      </w:r>
      <w:r w:rsidR="00496497">
        <w:t xml:space="preserve">onsideró que era discriminatoria </w:t>
      </w:r>
      <w:r w:rsidRPr="00895D0A">
        <w:t>la exclusión de los ciudadanos que no eran de la Unión Europea de la convocatoria pública del Ministerio de Cultura para acceder a ciertas categorías protegidas de trabajadores.</w:t>
      </w:r>
    </w:p>
    <w:p w:rsidR="00954432" w:rsidRPr="00954432" w:rsidRDefault="00954432" w:rsidP="00954432">
      <w:pPr>
        <w:pStyle w:val="SingleTxt"/>
        <w:spacing w:after="0" w:line="120" w:lineRule="exact"/>
        <w:rPr>
          <w:b/>
          <w:sz w:val="10"/>
        </w:rPr>
      </w:pPr>
    </w:p>
    <w:p w:rsidR="00895D0A" w:rsidRPr="00895D0A" w:rsidRDefault="00895D0A" w:rsidP="00954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Acoso laboral</w:t>
      </w:r>
    </w:p>
    <w:p w:rsidR="00954432" w:rsidRPr="00954432" w:rsidRDefault="00954432" w:rsidP="00954432">
      <w:pPr>
        <w:pStyle w:val="SingleTxt"/>
        <w:spacing w:after="0" w:line="120" w:lineRule="exact"/>
        <w:rPr>
          <w:sz w:val="10"/>
        </w:rPr>
      </w:pPr>
    </w:p>
    <w:p w:rsidR="00895D0A" w:rsidRPr="00895D0A" w:rsidRDefault="00895D0A" w:rsidP="00954432">
      <w:pPr>
        <w:pStyle w:val="Bullet1"/>
      </w:pPr>
      <w:r w:rsidRPr="00895D0A">
        <w:t>El Tribunal de Milán, en su auto núm. 16945, de 22 de marzo de 2012, consideró que el comportamiento discriminatorio de un ejecutivo de</w:t>
      </w:r>
      <w:r w:rsidR="00496497">
        <w:t xml:space="preserve"> la</w:t>
      </w:r>
      <w:r w:rsidRPr="00895D0A">
        <w:t xml:space="preserve"> banca hacia </w:t>
      </w:r>
      <w:r w:rsidR="00496497">
        <w:t>un</w:t>
      </w:r>
      <w:r w:rsidRPr="00895D0A">
        <w:t xml:space="preserve"> </w:t>
      </w:r>
      <w:r w:rsidR="00496497">
        <w:t xml:space="preserve">subordinado suyo </w:t>
      </w:r>
      <w:r w:rsidR="00AE7AF2">
        <w:t>e</w:t>
      </w:r>
      <w:r w:rsidRPr="00895D0A">
        <w:t>ra una circunstancia agravante del delito.</w:t>
      </w:r>
    </w:p>
    <w:p w:rsidR="00895D0A" w:rsidRPr="00895D0A" w:rsidRDefault="00895D0A" w:rsidP="009544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r>
      <w:r w:rsidRPr="00895D0A">
        <w:tab/>
        <w:t>Deporte</w:t>
      </w:r>
    </w:p>
    <w:p w:rsidR="00954432" w:rsidRPr="00954432" w:rsidRDefault="00954432" w:rsidP="00954432">
      <w:pPr>
        <w:pStyle w:val="SingleTxt"/>
        <w:spacing w:after="0" w:line="120" w:lineRule="exact"/>
        <w:rPr>
          <w:sz w:val="10"/>
        </w:rPr>
      </w:pPr>
    </w:p>
    <w:p w:rsidR="00895D0A" w:rsidRPr="00895D0A" w:rsidRDefault="00895D0A" w:rsidP="00954432">
      <w:pPr>
        <w:pStyle w:val="Bullet1"/>
      </w:pPr>
      <w:r w:rsidRPr="00895D0A">
        <w:t>El Tribunal de Lodi, en su auto núm. 898/2010, de 13 de mayo de 2010, consideró que era discriminatoria la legislación aprobada por la Liga Nacional de Fútbol relativa a la expedición de un permiso de residencia a los jugadores de fútbol como condición previa para que los clubes de fútbol no profesionales pudiesen</w:t>
      </w:r>
      <w:r w:rsidR="00942A63">
        <w:t xml:space="preserve"> inscribirlos en sus plantillas;</w:t>
      </w:r>
    </w:p>
    <w:p w:rsidR="00895D0A" w:rsidRPr="00895D0A" w:rsidRDefault="00895D0A" w:rsidP="00954432">
      <w:pPr>
        <w:pStyle w:val="Bullet1"/>
      </w:pPr>
      <w:r w:rsidRPr="00895D0A">
        <w:t>El Tribunal de Varese, en su auto de 2 de diciembre de 2010, consideró que, de conformidad con el principio de la igualdad de trato y no discriminación, los jugadores de fútbol que eran n</w:t>
      </w:r>
      <w:r w:rsidR="00496497">
        <w:t>acionales de un país no miembro</w:t>
      </w:r>
      <w:r w:rsidRPr="00895D0A">
        <w:t xml:space="preserve"> de la Unión Europea y que ya tenían su residencia en Italia podían ser inscritos en las plantillas de los clubes de fútbol </w:t>
      </w:r>
      <w:r w:rsidR="00496497">
        <w:t>para jugar en</w:t>
      </w:r>
      <w:r w:rsidRPr="00895D0A">
        <w:t xml:space="preserve"> la división B </w:t>
      </w:r>
      <w:r w:rsidR="00942A63">
        <w:t>del campeonato nacional de Liga;</w:t>
      </w:r>
    </w:p>
    <w:p w:rsidR="00895D0A" w:rsidRPr="00895D0A" w:rsidRDefault="00895D0A" w:rsidP="00954432">
      <w:pPr>
        <w:pStyle w:val="Bullet1"/>
      </w:pPr>
      <w:r w:rsidRPr="00895D0A">
        <w:t>El Tribunal de Pescara, en su auto núm. 656/2011, de 14 de junio de 2011, consideró que era discriminatorio que un club de fútbol se negase a incluir en su plantilla a un menor</w:t>
      </w:r>
      <w:r w:rsidR="00496497">
        <w:t xml:space="preserve"> extranjero</w:t>
      </w:r>
      <w:r w:rsidRPr="00895D0A">
        <w:t xml:space="preserve"> no acompañado acogido en Italia.</w:t>
      </w:r>
    </w:p>
    <w:p w:rsidR="00954432" w:rsidRPr="00954432" w:rsidRDefault="00954432" w:rsidP="00954432">
      <w:pPr>
        <w:pStyle w:val="SingleTxt"/>
        <w:spacing w:after="0" w:line="120" w:lineRule="exact"/>
        <w:rPr>
          <w:b/>
          <w:sz w:val="10"/>
        </w:rPr>
      </w:pPr>
    </w:p>
    <w:p w:rsidR="00954432" w:rsidRPr="00954432" w:rsidRDefault="00954432" w:rsidP="00954432">
      <w:pPr>
        <w:pStyle w:val="SingleTxt"/>
        <w:spacing w:after="0" w:line="120" w:lineRule="exact"/>
        <w:rPr>
          <w:b/>
          <w:sz w:val="10"/>
        </w:rPr>
      </w:pPr>
    </w:p>
    <w:p w:rsidR="00895D0A" w:rsidRPr="00895D0A" w:rsidRDefault="00954432" w:rsidP="009544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r>
      <w:r w:rsidR="00895D0A" w:rsidRPr="00895D0A">
        <w:t>Cuestiones relativas a la discriminación</w:t>
      </w:r>
    </w:p>
    <w:p w:rsidR="00954432" w:rsidRPr="00954432" w:rsidRDefault="00954432" w:rsidP="00954432">
      <w:pPr>
        <w:pStyle w:val="SingleTxt"/>
        <w:spacing w:after="0" w:line="120" w:lineRule="exact"/>
        <w:rPr>
          <w:b/>
          <w:sz w:val="10"/>
        </w:rPr>
      </w:pPr>
    </w:p>
    <w:p w:rsidR="00954432" w:rsidRPr="00954432" w:rsidRDefault="00954432" w:rsidP="00954432">
      <w:pPr>
        <w:pStyle w:val="SingleTxt"/>
        <w:spacing w:after="0" w:line="120" w:lineRule="exact"/>
        <w:rPr>
          <w:b/>
          <w:sz w:val="10"/>
        </w:rPr>
      </w:pPr>
    </w:p>
    <w:p w:rsidR="00895D0A" w:rsidRPr="00895D0A" w:rsidRDefault="00942A63" w:rsidP="009544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Educación y enseñanza</w:t>
      </w:r>
    </w:p>
    <w:p w:rsidR="00954432" w:rsidRPr="00954432" w:rsidRDefault="00954432" w:rsidP="00954432">
      <w:pPr>
        <w:pStyle w:val="SingleTxt"/>
        <w:spacing w:after="0" w:line="120" w:lineRule="exact"/>
        <w:rPr>
          <w:iCs/>
          <w:sz w:val="10"/>
        </w:rPr>
      </w:pPr>
    </w:p>
    <w:p w:rsidR="00954432" w:rsidRPr="00954432" w:rsidRDefault="00954432" w:rsidP="00954432">
      <w:pPr>
        <w:pStyle w:val="SingleTxt"/>
        <w:spacing w:after="0" w:line="120" w:lineRule="exact"/>
        <w:rPr>
          <w:iCs/>
          <w:sz w:val="10"/>
        </w:rPr>
      </w:pPr>
    </w:p>
    <w:p w:rsidR="00895D0A" w:rsidRPr="00895D0A" w:rsidRDefault="00895D0A" w:rsidP="00954432">
      <w:pPr>
        <w:pStyle w:val="SingleTxt"/>
        <w:numPr>
          <w:ilvl w:val="0"/>
          <w:numId w:val="15"/>
        </w:numPr>
        <w:tabs>
          <w:tab w:val="clear" w:pos="475"/>
          <w:tab w:val="num" w:pos="1742"/>
        </w:tabs>
        <w:suppressAutoHyphens w:val="0"/>
        <w:ind w:left="1267"/>
      </w:pPr>
      <w:r w:rsidRPr="00895D0A">
        <w:t xml:space="preserve">En </w:t>
      </w:r>
      <w:r w:rsidR="00496497">
        <w:t>lo referente</w:t>
      </w:r>
      <w:r w:rsidRPr="00895D0A">
        <w:t xml:space="preserve"> a la eliminación del racismo y las actitudes</w:t>
      </w:r>
      <w:r w:rsidR="000F5E60">
        <w:t xml:space="preserve"> </w:t>
      </w:r>
      <w:r w:rsidRPr="00895D0A">
        <w:t xml:space="preserve">xenófobas entre los jóvenes, el restablecimiento del </w:t>
      </w:r>
      <w:r w:rsidRPr="00942A63">
        <w:rPr>
          <w:b/>
        </w:rPr>
        <w:t>Observatorio Nacional para la Integración de los Estudiantes Extranjeros y el Intercambio Cultural del Ministerio de Educación</w:t>
      </w:r>
      <w:r w:rsidRPr="00895D0A">
        <w:t xml:space="preserve"> transmite un mensaje firme </w:t>
      </w:r>
      <w:r w:rsidR="00496497">
        <w:t>en pro</w:t>
      </w:r>
      <w:r w:rsidRPr="00895D0A">
        <w:t xml:space="preserve"> de un proceso educativo en las escuelas encaminado a lograr ese objetivo. El Observatorio Nacional está integrado por expertos </w:t>
      </w:r>
      <w:r w:rsidR="00496497">
        <w:t xml:space="preserve">del mundo </w:t>
      </w:r>
      <w:r w:rsidRPr="00895D0A">
        <w:t>académico, social y cultural, así como por representantes de asociaciones, institutos</w:t>
      </w:r>
      <w:r w:rsidR="000B74F5">
        <w:t xml:space="preserve"> de investigación y ministerios.</w:t>
      </w:r>
      <w:r w:rsidRPr="00895D0A">
        <w:t xml:space="preserve"> </w:t>
      </w:r>
      <w:r w:rsidR="000B74F5">
        <w:t xml:space="preserve">El Observatorio </w:t>
      </w:r>
      <w:r w:rsidRPr="00895D0A">
        <w:t xml:space="preserve">analiza políticas educativas y elabora programas </w:t>
      </w:r>
      <w:r w:rsidR="000B74F5">
        <w:t>de enseñanza</w:t>
      </w:r>
      <w:r w:rsidRPr="00895D0A">
        <w:t xml:space="preserve"> caracterizados por un enfoque intercultural </w:t>
      </w:r>
      <w:r w:rsidR="000B74F5">
        <w:t>en la lucha</w:t>
      </w:r>
      <w:r w:rsidRPr="00895D0A">
        <w:t xml:space="preserve"> contra el racismo, la discriminación racial, los prejuicios y </w:t>
      </w:r>
      <w:r w:rsidR="000B74F5">
        <w:t>determinadas</w:t>
      </w:r>
      <w:r w:rsidRPr="00895D0A">
        <w:t xml:space="preserve"> actitudes en las enseñanzas primaria y secundaria.</w:t>
      </w:r>
    </w:p>
    <w:p w:rsidR="00895D0A" w:rsidRPr="00895D0A" w:rsidRDefault="000B74F5" w:rsidP="00954432">
      <w:pPr>
        <w:pStyle w:val="SingleTxt"/>
        <w:numPr>
          <w:ilvl w:val="0"/>
          <w:numId w:val="15"/>
        </w:numPr>
        <w:tabs>
          <w:tab w:val="clear" w:pos="475"/>
          <w:tab w:val="num" w:pos="1742"/>
        </w:tabs>
        <w:suppressAutoHyphens w:val="0"/>
        <w:ind w:left="1267"/>
      </w:pPr>
      <w:r>
        <w:t>En</w:t>
      </w:r>
      <w:r w:rsidR="00895D0A" w:rsidRPr="00895D0A">
        <w:t xml:space="preserve"> consecuencia</w:t>
      </w:r>
      <w:r>
        <w:t>,</w:t>
      </w:r>
      <w:r w:rsidR="00895D0A" w:rsidRPr="00895D0A">
        <w:t xml:space="preserve"> </w:t>
      </w:r>
      <w:r>
        <w:t>se han asignado</w:t>
      </w:r>
      <w:r w:rsidR="00895D0A" w:rsidRPr="00895D0A">
        <w:t xml:space="preserve"> </w:t>
      </w:r>
      <w:r w:rsidRPr="00895D0A">
        <w:t xml:space="preserve">recursos financieros </w:t>
      </w:r>
      <w:r w:rsidR="00895D0A" w:rsidRPr="00895D0A">
        <w:t xml:space="preserve">al sistema escolar italiano para </w:t>
      </w:r>
      <w:r>
        <w:t>ejecutar</w:t>
      </w:r>
      <w:r w:rsidR="00895D0A" w:rsidRPr="00895D0A">
        <w:t xml:space="preserve"> un programa de </w:t>
      </w:r>
      <w:r>
        <w:t>formación</w:t>
      </w:r>
      <w:r w:rsidR="00895D0A" w:rsidRPr="00895D0A">
        <w:t xml:space="preserve"> en integración cultural </w:t>
      </w:r>
      <w:r>
        <w:t>destinado a</w:t>
      </w:r>
      <w:r w:rsidR="00895D0A" w:rsidRPr="00895D0A">
        <w:t xml:space="preserve"> docentes y directores de centros escolares y </w:t>
      </w:r>
      <w:r>
        <w:t>para promover</w:t>
      </w:r>
      <w:r w:rsidR="00895D0A" w:rsidRPr="00895D0A">
        <w:t xml:space="preserve"> una integración</w:t>
      </w:r>
      <w:r>
        <w:t>, hasta ahora</w:t>
      </w:r>
      <w:r w:rsidR="00895D0A" w:rsidRPr="00895D0A">
        <w:t xml:space="preserve"> positiva</w:t>
      </w:r>
      <w:r>
        <w:t>,</w:t>
      </w:r>
      <w:r w:rsidR="00895D0A" w:rsidRPr="00895D0A">
        <w:t xml:space="preserve"> de los estudiantes no italianos.</w:t>
      </w:r>
    </w:p>
    <w:p w:rsidR="00895D0A" w:rsidRPr="00895D0A" w:rsidRDefault="00895D0A" w:rsidP="00954432">
      <w:pPr>
        <w:pStyle w:val="SingleTxt"/>
        <w:numPr>
          <w:ilvl w:val="0"/>
          <w:numId w:val="15"/>
        </w:numPr>
        <w:tabs>
          <w:tab w:val="clear" w:pos="475"/>
          <w:tab w:val="num" w:pos="1742"/>
        </w:tabs>
        <w:suppressAutoHyphens w:val="0"/>
        <w:ind w:left="1267"/>
      </w:pPr>
      <w:r w:rsidRPr="00895D0A">
        <w:t>En este contexto, el 6 de mayo de 2013,</w:t>
      </w:r>
      <w:r w:rsidR="000B74F5">
        <w:t xml:space="preserve"> </w:t>
      </w:r>
      <w:r w:rsidRPr="00895D0A">
        <w:t xml:space="preserve">el OSCAD y el Ministerio de Educación, Universidades e Investigación firmaron un memorando de entendimiento para promover actividades conjuntas de </w:t>
      </w:r>
      <w:r w:rsidR="000B74F5">
        <w:t>formación</w:t>
      </w:r>
      <w:r w:rsidRPr="00895D0A">
        <w:t xml:space="preserve"> en las escuelas con el fin de difundir una cultura de lucha contra la discriminación, incluso a edades tan tempranas como las de los alumnos de enseñanza preescolar, y sentar las bases de una verdadera </w:t>
      </w:r>
      <w:r w:rsidR="00DD1A63">
        <w:t>“</w:t>
      </w:r>
      <w:r w:rsidRPr="00895D0A">
        <w:t>revolución cultural generacional</w:t>
      </w:r>
      <w:r w:rsidR="00DD1A63">
        <w:t>”</w:t>
      </w:r>
      <w:r w:rsidRPr="00895D0A">
        <w:t>.</w:t>
      </w:r>
    </w:p>
    <w:p w:rsidR="00895D0A" w:rsidRPr="00895D0A" w:rsidRDefault="00895D0A" w:rsidP="00954432">
      <w:pPr>
        <w:pStyle w:val="SingleTxt"/>
        <w:numPr>
          <w:ilvl w:val="0"/>
          <w:numId w:val="15"/>
        </w:numPr>
        <w:tabs>
          <w:tab w:val="clear" w:pos="475"/>
          <w:tab w:val="num" w:pos="1742"/>
        </w:tabs>
        <w:suppressAutoHyphens w:val="0"/>
        <w:ind w:left="1267"/>
      </w:pPr>
      <w:r w:rsidRPr="00895D0A">
        <w:t xml:space="preserve">La Ley núm. 482/99 contiene disposiciones específicas en relación con </w:t>
      </w:r>
      <w:r w:rsidRPr="00942A63">
        <w:rPr>
          <w:b/>
        </w:rPr>
        <w:t>la enseñanza de los idiomas de las minorías</w:t>
      </w:r>
      <w:r w:rsidRPr="00895D0A">
        <w:t xml:space="preserve"> en los centro</w:t>
      </w:r>
      <w:r w:rsidR="00DA272C">
        <w:t>s escolares de las 12 </w:t>
      </w:r>
      <w:r w:rsidRPr="00895D0A">
        <w:t>comunidades lingüísticas reconocidas</w:t>
      </w:r>
      <w:r w:rsidR="000E17D9">
        <w:t>,</w:t>
      </w:r>
      <w:r w:rsidRPr="00895D0A">
        <w:t xml:space="preserve"> y constituye el marco normativo que sirve de base a las medidas adoptadas por el Ministerio de Educación. Los esfuerzos del Ministerio se han </w:t>
      </w:r>
      <w:r w:rsidR="000E17D9">
        <w:t>orientado</w:t>
      </w:r>
      <w:r w:rsidRPr="00895D0A">
        <w:t xml:space="preserve"> a la aplicación de </w:t>
      </w:r>
      <w:r w:rsidR="000E17D9">
        <w:t>esta</w:t>
      </w:r>
      <w:r w:rsidRPr="00895D0A">
        <w:t xml:space="preserve"> Ley mediante las iniciativas siguientes: financiación de proyectos de los centros que </w:t>
      </w:r>
      <w:r w:rsidR="000E17D9">
        <w:t>introduzcan la</w:t>
      </w:r>
      <w:r w:rsidRPr="00895D0A">
        <w:t xml:space="preserve"> enseñanza de los idiomas minoritarios, y promoción de actividades relacionadas con la aplicación de la Ley </w:t>
      </w:r>
      <w:r w:rsidR="00942A63">
        <w:t>de manera que incluya</w:t>
      </w:r>
      <w:r w:rsidR="000E17D9">
        <w:t>n</w:t>
      </w:r>
      <w:r w:rsidRPr="00895D0A">
        <w:t xml:space="preserve"> la formación de profesores y la supervisión de las iniciativas </w:t>
      </w:r>
      <w:r w:rsidR="00942A63">
        <w:t>e</w:t>
      </w:r>
      <w:r w:rsidR="000E17D9">
        <w:t>mprendidas</w:t>
      </w:r>
      <w:r w:rsidRPr="00895D0A">
        <w:t xml:space="preserve">. </w:t>
      </w:r>
      <w:r w:rsidR="000E17D9">
        <w:t>S</w:t>
      </w:r>
      <w:r w:rsidRPr="00895D0A">
        <w:t>e contempla el uso del idioma de la minorí</w:t>
      </w:r>
      <w:r w:rsidR="000E17D9">
        <w:t>a en las actividades educativas de los</w:t>
      </w:r>
      <w:r w:rsidRPr="00895D0A">
        <w:t xml:space="preserve"> </w:t>
      </w:r>
      <w:r w:rsidR="000E17D9" w:rsidRPr="00895D0A">
        <w:t>jardines de infancia</w:t>
      </w:r>
      <w:r w:rsidR="000E17D9">
        <w:t>,</w:t>
      </w:r>
      <w:r w:rsidR="000E17D9" w:rsidRPr="00895D0A">
        <w:t xml:space="preserve"> </w:t>
      </w:r>
      <w:r w:rsidRPr="00895D0A">
        <w:t>en la enseñanza primaria y el primer ciclo de la secundaria</w:t>
      </w:r>
      <w:r w:rsidR="000E17D9">
        <w:t>,</w:t>
      </w:r>
      <w:r w:rsidRPr="00895D0A">
        <w:t xml:space="preserve"> el uso de los idiomas de las minorías se considera un instrumento </w:t>
      </w:r>
      <w:r w:rsidR="000E17D9">
        <w:t>docente</w:t>
      </w:r>
      <w:r w:rsidRPr="00895D0A">
        <w:t xml:space="preserve">. Se está estudiando la posibilidad de planificar una oferta educativa dirigida a los adultos. </w:t>
      </w:r>
      <w:r w:rsidR="000E17D9">
        <w:t>A</w:t>
      </w:r>
      <w:r w:rsidRPr="00895D0A">
        <w:t>utoridades educativas regionales</w:t>
      </w:r>
      <w:r w:rsidR="000E17D9">
        <w:t xml:space="preserve"> de</w:t>
      </w:r>
      <w:r w:rsidRPr="00895D0A">
        <w:t xml:space="preserve"> </w:t>
      </w:r>
      <w:r w:rsidR="000E17D9" w:rsidRPr="00895D0A">
        <w:t xml:space="preserve">todo el territorio nacional </w:t>
      </w:r>
      <w:r w:rsidRPr="00895D0A">
        <w:t xml:space="preserve">han colaborado para mejorar, apoyar y supervisar las iniciativas educativas y de </w:t>
      </w:r>
      <w:r w:rsidR="000E17D9">
        <w:t>formación</w:t>
      </w:r>
      <w:r w:rsidRPr="00895D0A">
        <w:t xml:space="preserve"> en idiomas de las minorías. </w:t>
      </w:r>
      <w:r w:rsidR="000E17D9">
        <w:t>Estas autoridades h</w:t>
      </w:r>
      <w:r w:rsidRPr="00895D0A">
        <w:t>an promovido y compartido ejemplos de mejores prácticas que incluyen actividades de investigación y publicaciones especializada</w:t>
      </w:r>
      <w:r w:rsidR="000E17D9">
        <w:t>s</w:t>
      </w:r>
      <w:r w:rsidRPr="00895D0A">
        <w:t>.</w:t>
      </w:r>
    </w:p>
    <w:p w:rsidR="00895D0A" w:rsidRPr="00895D0A" w:rsidRDefault="00895D0A" w:rsidP="00954432">
      <w:pPr>
        <w:pStyle w:val="SingleTxt"/>
        <w:numPr>
          <w:ilvl w:val="0"/>
          <w:numId w:val="15"/>
        </w:numPr>
        <w:tabs>
          <w:tab w:val="clear" w:pos="475"/>
          <w:tab w:val="num" w:pos="1742"/>
        </w:tabs>
        <w:suppressAutoHyphens w:val="0"/>
        <w:ind w:left="1267"/>
      </w:pPr>
      <w:r w:rsidRPr="00895D0A">
        <w:t>Con motivo del décimo aniversario de la promulgación de la Ley núm. 482/99, el Ministerio de Educación encargó al Instituto Nacional para la Evaluación del Sistema Educativo y la Formación Profesional (INVALSI), un estudio que describ</w:t>
      </w:r>
      <w:r w:rsidR="00FE10D6">
        <w:t>iera</w:t>
      </w:r>
      <w:r w:rsidRPr="00895D0A">
        <w:t xml:space="preserve"> la situación de la enseñanza de los idiomas de las minorías en los centros participantes. El proyecto </w:t>
      </w:r>
      <w:r w:rsidR="00FE10D6">
        <w:t>se originó en</w:t>
      </w:r>
      <w:r w:rsidRPr="00895D0A">
        <w:t xml:space="preserve"> la necesidad de hacer un balance de la situación de la enseñanza de los idiomas de las minorías en los primeros diez años desde la entrada en vigor del texto legislativo que había permitido </w:t>
      </w:r>
      <w:r w:rsidR="00FE10D6">
        <w:t>la enseñanza de</w:t>
      </w:r>
      <w:r w:rsidRPr="00895D0A">
        <w:t xml:space="preserve"> esos idiomas en las escuelas. El objetivo del estudio es dejar constancia de la repercusión de la</w:t>
      </w:r>
      <w:r w:rsidR="00246B35">
        <w:t>s medidas</w:t>
      </w:r>
      <w:r w:rsidR="000F5E60">
        <w:t xml:space="preserve"> </w:t>
      </w:r>
      <w:r w:rsidR="00246B35">
        <w:t>de apoyo y protección</w:t>
      </w:r>
      <w:r w:rsidRPr="00895D0A">
        <w:t xml:space="preserve"> </w:t>
      </w:r>
      <w:r w:rsidR="00246B35">
        <w:t>—</w:t>
      </w:r>
      <w:r w:rsidRPr="00895D0A">
        <w:t xml:space="preserve">en particular el uso de </w:t>
      </w:r>
      <w:r w:rsidRPr="00D34E8B">
        <w:rPr>
          <w:b/>
        </w:rPr>
        <w:t>libros de texto</w:t>
      </w:r>
      <w:r w:rsidR="00246B35" w:rsidRPr="00D34E8B">
        <w:rPr>
          <w:b/>
        </w:rPr>
        <w:t xml:space="preserve"> y otros materiales didácticos</w:t>
      </w:r>
      <w:r w:rsidR="00FE10D6">
        <w:t>—</w:t>
      </w:r>
      <w:r w:rsidR="00246B35">
        <w:t xml:space="preserve"> </w:t>
      </w:r>
      <w:r w:rsidRPr="00895D0A">
        <w:t>previstas por la Ley en las escuelas de las comunidades minoritarias.</w:t>
      </w:r>
    </w:p>
    <w:p w:rsidR="00895D0A" w:rsidRPr="00895D0A" w:rsidRDefault="00895D0A" w:rsidP="00954432">
      <w:pPr>
        <w:pStyle w:val="SingleTxt"/>
        <w:numPr>
          <w:ilvl w:val="0"/>
          <w:numId w:val="15"/>
        </w:numPr>
        <w:tabs>
          <w:tab w:val="clear" w:pos="475"/>
          <w:tab w:val="num" w:pos="1742"/>
        </w:tabs>
        <w:suppressAutoHyphens w:val="0"/>
        <w:ind w:left="1267"/>
      </w:pPr>
      <w:r w:rsidRPr="00895D0A">
        <w:t xml:space="preserve">En cuanto a las </w:t>
      </w:r>
      <w:r w:rsidRPr="00D34E8B">
        <w:rPr>
          <w:b/>
        </w:rPr>
        <w:t>medidas adoptadas para impartir una formación intensiva a los agentes del orden</w:t>
      </w:r>
      <w:r w:rsidRPr="00895D0A">
        <w:t xml:space="preserve"> </w:t>
      </w:r>
      <w:r w:rsidR="00FE10D6">
        <w:t>a fin de que respeten</w:t>
      </w:r>
      <w:r w:rsidRPr="00895D0A">
        <w:t xml:space="preserve"> los derechos humanos de todas las personas sin distinción de raza, color u origen nacional o étnico, </w:t>
      </w:r>
      <w:r w:rsidR="00FE10D6">
        <w:t>véase</w:t>
      </w:r>
      <w:r w:rsidRPr="00895D0A">
        <w:t xml:space="preserve"> la se</w:t>
      </w:r>
      <w:r w:rsidR="00246B35">
        <w:t>cción III del presente informe –</w:t>
      </w:r>
      <w:r w:rsidRPr="00895D0A">
        <w:t xml:space="preserve"> </w:t>
      </w:r>
      <w:r w:rsidR="00FE10D6">
        <w:t>Datos recopilados en función de</w:t>
      </w:r>
      <w:r w:rsidRPr="00895D0A">
        <w:t xml:space="preserve"> derechos </w:t>
      </w:r>
      <w:r w:rsidR="00FE10D6">
        <w:t>concretos</w:t>
      </w:r>
      <w:r w:rsidRPr="00895D0A">
        <w:t>.</w:t>
      </w:r>
    </w:p>
    <w:p w:rsidR="00954432" w:rsidRPr="00954432" w:rsidRDefault="00954432" w:rsidP="00954432">
      <w:pPr>
        <w:pStyle w:val="SingleTxt"/>
        <w:spacing w:after="0" w:line="120" w:lineRule="exact"/>
        <w:rPr>
          <w:b/>
          <w:sz w:val="10"/>
        </w:rPr>
      </w:pPr>
    </w:p>
    <w:p w:rsidR="00954432" w:rsidRPr="00954432" w:rsidRDefault="00954432" w:rsidP="00954432">
      <w:pPr>
        <w:pStyle w:val="SingleTxt"/>
        <w:spacing w:after="0" w:line="120" w:lineRule="exact"/>
        <w:rPr>
          <w:b/>
          <w:sz w:val="10"/>
        </w:rPr>
      </w:pPr>
    </w:p>
    <w:p w:rsidR="00895D0A" w:rsidRPr="00895D0A" w:rsidRDefault="00895D0A" w:rsidP="009544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B.</w:t>
      </w:r>
      <w:r w:rsidRPr="00895D0A">
        <w:tab/>
        <w:t>Cultura</w:t>
      </w:r>
    </w:p>
    <w:p w:rsidR="00954432" w:rsidRPr="00954432" w:rsidRDefault="00954432" w:rsidP="00954432">
      <w:pPr>
        <w:pStyle w:val="SingleTxt"/>
        <w:spacing w:after="0" w:line="120" w:lineRule="exact"/>
        <w:rPr>
          <w:iCs/>
          <w:sz w:val="10"/>
        </w:rPr>
      </w:pPr>
    </w:p>
    <w:p w:rsidR="00954432" w:rsidRPr="00954432" w:rsidRDefault="00954432" w:rsidP="00954432">
      <w:pPr>
        <w:pStyle w:val="SingleTxt"/>
        <w:spacing w:after="0" w:line="120" w:lineRule="exact"/>
        <w:rPr>
          <w:iCs/>
          <w:sz w:val="10"/>
        </w:rPr>
      </w:pPr>
    </w:p>
    <w:p w:rsidR="00895D0A" w:rsidRPr="00895D0A" w:rsidRDefault="00895D0A" w:rsidP="00954432">
      <w:pPr>
        <w:pStyle w:val="SingleTxt"/>
        <w:numPr>
          <w:ilvl w:val="0"/>
          <w:numId w:val="15"/>
        </w:numPr>
        <w:tabs>
          <w:tab w:val="clear" w:pos="475"/>
          <w:tab w:val="num" w:pos="1742"/>
        </w:tabs>
        <w:suppressAutoHyphens w:val="0"/>
        <w:ind w:left="1267"/>
      </w:pPr>
      <w:r w:rsidRPr="00895D0A">
        <w:t>Como ya se ha señalado</w:t>
      </w:r>
      <w:r w:rsidR="00FE10D6">
        <w:t xml:space="preserve"> anteriormente</w:t>
      </w:r>
      <w:r w:rsidRPr="00895D0A">
        <w:t xml:space="preserve">, la Ley </w:t>
      </w:r>
      <w:r w:rsidR="00DA272C">
        <w:t>núm. 482, de 15 de diciembre de </w:t>
      </w:r>
      <w:r w:rsidRPr="00895D0A">
        <w:t xml:space="preserve">1999, reconoce la multiplicidad de formas de expresión lingüística y cultural </w:t>
      </w:r>
      <w:r w:rsidR="00FE10D6">
        <w:t>en</w:t>
      </w:r>
      <w:r w:rsidRPr="00895D0A">
        <w:t xml:space="preserve"> nuestro país.</w:t>
      </w:r>
    </w:p>
    <w:p w:rsidR="00895D0A" w:rsidRPr="00895D0A" w:rsidRDefault="00895D0A" w:rsidP="00954432">
      <w:pPr>
        <w:pStyle w:val="SingleTxt"/>
        <w:numPr>
          <w:ilvl w:val="0"/>
          <w:numId w:val="15"/>
        </w:numPr>
        <w:tabs>
          <w:tab w:val="clear" w:pos="475"/>
          <w:tab w:val="num" w:pos="1742"/>
        </w:tabs>
        <w:suppressAutoHyphens w:val="0"/>
        <w:ind w:left="1267"/>
      </w:pPr>
      <w:r w:rsidRPr="00895D0A">
        <w:t xml:space="preserve">A modo de ejemplo, se pueden señalar los programas en esloveno </w:t>
      </w:r>
      <w:r w:rsidR="00FE10D6">
        <w:t>trasmitidos</w:t>
      </w:r>
      <w:r w:rsidRPr="00895D0A">
        <w:t xml:space="preserve"> por la delegación </w:t>
      </w:r>
      <w:r w:rsidR="00FE10D6">
        <w:t xml:space="preserve">regional </w:t>
      </w:r>
      <w:r w:rsidRPr="00895D0A">
        <w:t>de la RAI (ente público de radio y televisión) en Friuli-Venecia Julia, que no solo son reflejo</w:t>
      </w:r>
      <w:r w:rsidR="00FE10D6">
        <w:t xml:space="preserve"> de</w:t>
      </w:r>
      <w:r w:rsidRPr="00895D0A">
        <w:t xml:space="preserve"> la gran diversidad de aspectos culturales, históricos y sociales de la minoría eslovena, sino que además cumplen una importante función </w:t>
      </w:r>
      <w:r w:rsidR="00FE10D6">
        <w:t>de</w:t>
      </w:r>
      <w:r w:rsidRPr="00895D0A">
        <w:t xml:space="preserve"> intercambio entre culturas, regiones y Estados vecinos. Al mismo tiempo, de conformidad con lo dispuesto en el artículo 18 de la Ley regional núm. 26/2007, la región de Friuli-Venecia Julia apoya</w:t>
      </w:r>
      <w:r w:rsidR="00FE10D6">
        <w:t xml:space="preserve"> las actividades</w:t>
      </w:r>
      <w:r w:rsidRPr="00895D0A">
        <w:t xml:space="preserve"> cultura</w:t>
      </w:r>
      <w:r w:rsidR="00FE10D6">
        <w:t>les</w:t>
      </w:r>
      <w:r w:rsidRPr="00895D0A">
        <w:t>, artísticas, científicas, educ</w:t>
      </w:r>
      <w:r w:rsidR="00FE10D6">
        <w:t>ativas, deportivas, recreativas y</w:t>
      </w:r>
      <w:r w:rsidRPr="00895D0A">
        <w:t xml:space="preserve"> de información</w:t>
      </w:r>
      <w:r w:rsidR="00D34E8B">
        <w:t>,</w:t>
      </w:r>
      <w:r w:rsidRPr="00895D0A">
        <w:t xml:space="preserve"> y las actividades e iniciativas </w:t>
      </w:r>
      <w:r w:rsidR="00FE10D6">
        <w:t>promovidas y realizadas por</w:t>
      </w:r>
      <w:r w:rsidRPr="00895D0A">
        <w:t xml:space="preserve"> las instituciones y asociaciones de la minoría eslovena. </w:t>
      </w:r>
      <w:r w:rsidR="00FE10D6">
        <w:t>A</w:t>
      </w:r>
      <w:r w:rsidRPr="00895D0A">
        <w:t xml:space="preserve"> este </w:t>
      </w:r>
      <w:r w:rsidR="00FE10D6">
        <w:t>respecto</w:t>
      </w:r>
      <w:r w:rsidRPr="00895D0A">
        <w:t>, se ha creado un registro regional de las organizaciones de la minoría</w:t>
      </w:r>
      <w:r w:rsidR="000F5E60">
        <w:t xml:space="preserve"> </w:t>
      </w:r>
      <w:r w:rsidRPr="00895D0A">
        <w:t>lingüística eslovena y un fondo regional de la minoría lingüística eslovena.</w:t>
      </w:r>
    </w:p>
    <w:p w:rsidR="00895D0A" w:rsidRPr="00895D0A" w:rsidRDefault="00895D0A" w:rsidP="00954432">
      <w:pPr>
        <w:pStyle w:val="SingleTxt"/>
        <w:numPr>
          <w:ilvl w:val="0"/>
          <w:numId w:val="15"/>
        </w:numPr>
        <w:tabs>
          <w:tab w:val="clear" w:pos="475"/>
          <w:tab w:val="num" w:pos="1742"/>
        </w:tabs>
        <w:suppressAutoHyphens w:val="0"/>
        <w:ind w:left="1267"/>
      </w:pPr>
      <w:r w:rsidRPr="00895D0A">
        <w:t xml:space="preserve">La región del Trentino creó un servicio de comunicación de las minorías </w:t>
      </w:r>
      <w:r w:rsidR="00FE10D6">
        <w:t>para</w:t>
      </w:r>
      <w:r w:rsidRPr="00895D0A">
        <w:t xml:space="preserve"> alentar el fomento, la mejora y la protección de las singularidades culturales y lingüísticas de </w:t>
      </w:r>
      <w:r w:rsidR="00A5034E">
        <w:t>las poblaciones ladinas</w:t>
      </w:r>
      <w:r w:rsidRPr="00895D0A">
        <w:t xml:space="preserve">, </w:t>
      </w:r>
      <w:r w:rsidR="00A5034E">
        <w:t>móchenas</w:t>
      </w:r>
      <w:r w:rsidRPr="00895D0A">
        <w:t xml:space="preserve"> y </w:t>
      </w:r>
      <w:r w:rsidR="00A5034E">
        <w:t>cimbrianas</w:t>
      </w:r>
      <w:r w:rsidRPr="00895D0A">
        <w:t xml:space="preserve">, habida cuenta de </w:t>
      </w:r>
      <w:r w:rsidR="00A5034E">
        <w:t>su</w:t>
      </w:r>
      <w:r w:rsidRPr="00895D0A">
        <w:t xml:space="preserve"> función estratégica en la protección de las minorías en esa región</w:t>
      </w:r>
      <w:r w:rsidR="00A5034E">
        <w:t>; este servicio se pone a la disposición de</w:t>
      </w:r>
      <w:r w:rsidRPr="00895D0A">
        <w:t xml:space="preserve"> los medios de comunicación </w:t>
      </w:r>
      <w:r w:rsidR="00A5034E">
        <w:t>para fomentar el</w:t>
      </w:r>
      <w:r w:rsidRPr="00895D0A">
        <w:t xml:space="preserve"> conocimiento,</w:t>
      </w:r>
      <w:r w:rsidR="00A5034E">
        <w:t xml:space="preserve"> la</w:t>
      </w:r>
      <w:r w:rsidRPr="00895D0A">
        <w:t xml:space="preserve"> difusión,</w:t>
      </w:r>
      <w:r w:rsidR="00A5034E">
        <w:t xml:space="preserve"> la</w:t>
      </w:r>
      <w:r w:rsidRPr="00895D0A">
        <w:t xml:space="preserve"> normaliz</w:t>
      </w:r>
      <w:r w:rsidR="00A5034E">
        <w:t>ación y la</w:t>
      </w:r>
      <w:r w:rsidRPr="00895D0A">
        <w:t xml:space="preserve"> importancia de los idiomas minoritarios que se hablan en las comunidades respectivas. En 2012, se planificó y se </w:t>
      </w:r>
      <w:r w:rsidR="00A5034E">
        <w:t>planeó y activó</w:t>
      </w:r>
      <w:r w:rsidRPr="00895D0A">
        <w:t xml:space="preserve"> la emisión de una serie de programas de televisión dedicados a las comunidades móchena y cimbriana, </w:t>
      </w:r>
      <w:r w:rsidR="00A5034E">
        <w:t>para centrarse</w:t>
      </w:r>
      <w:r w:rsidRPr="00895D0A">
        <w:t xml:space="preserve"> en algunas cuestiones concretas que caracterizaban a estas dos </w:t>
      </w:r>
      <w:r w:rsidR="00DD1A63">
        <w:t>“</w:t>
      </w:r>
      <w:r w:rsidRPr="00895D0A">
        <w:t>islas lingüísticas</w:t>
      </w:r>
      <w:r w:rsidR="00DD1A63">
        <w:t>”</w:t>
      </w:r>
      <w:r w:rsidRPr="00895D0A">
        <w:t xml:space="preserve">. La emisión de programas de televisión en el canal TML TV, </w:t>
      </w:r>
      <w:r w:rsidR="00A5034E">
        <w:t xml:space="preserve">que es </w:t>
      </w:r>
      <w:r w:rsidRPr="00895D0A">
        <w:t xml:space="preserve">el canal de las minorías, comenzó el 30 de enero de 2013 y se prosigue en la actualidad. </w:t>
      </w:r>
      <w:r w:rsidR="00A5034E">
        <w:t>L</w:t>
      </w:r>
      <w:r w:rsidRPr="00895D0A">
        <w:t xml:space="preserve">as emisiones televisivas </w:t>
      </w:r>
      <w:r w:rsidR="00A5034E">
        <w:t>se hacen principalmente en</w:t>
      </w:r>
      <w:r w:rsidRPr="00895D0A">
        <w:t xml:space="preserve"> italiano, </w:t>
      </w:r>
      <w:r w:rsidR="00D14D21">
        <w:t>con la adición de algunos</w:t>
      </w:r>
      <w:r w:rsidRPr="00895D0A">
        <w:t xml:space="preserve"> contenidos en los idiomas de las minorías, </w:t>
      </w:r>
      <w:r w:rsidR="00D14D21">
        <w:t>sobre todo para</w:t>
      </w:r>
      <w:r w:rsidRPr="00895D0A">
        <w:t xml:space="preserve"> proporcionar al público en general</w:t>
      </w:r>
      <w:r w:rsidR="00D14D21">
        <w:t>,</w:t>
      </w:r>
      <w:r w:rsidRPr="00895D0A">
        <w:t xml:space="preserve"> y no solo a los miembros de las comunidades minoritarias</w:t>
      </w:r>
      <w:r w:rsidR="00D14D21">
        <w:t>,</w:t>
      </w:r>
      <w:r w:rsidRPr="00895D0A">
        <w:t xml:space="preserve"> información oportuna y precisa sobre los distintos aspectos que singularizan a las comunidades locales, de </w:t>
      </w:r>
      <w:r w:rsidR="00D14D21">
        <w:t>modo</w:t>
      </w:r>
      <w:r w:rsidRPr="00895D0A">
        <w:t xml:space="preserve"> que toda la comunidad pueda conocer mejor </w:t>
      </w:r>
      <w:r w:rsidR="00D14D21">
        <w:t>las cuestio</w:t>
      </w:r>
      <w:r w:rsidRPr="00895D0A">
        <w:t>n</w:t>
      </w:r>
      <w:r w:rsidR="00D14D21">
        <w:t>es</w:t>
      </w:r>
      <w:r w:rsidRPr="00895D0A">
        <w:t xml:space="preserve"> que </w:t>
      </w:r>
      <w:r w:rsidR="00D34E8B">
        <w:t>son</w:t>
      </w:r>
      <w:r w:rsidR="00D14D21">
        <w:t xml:space="preserve"> fundamentales</w:t>
      </w:r>
      <w:r w:rsidRPr="00895D0A">
        <w:t xml:space="preserve"> para la autonomía provincial.</w:t>
      </w:r>
    </w:p>
    <w:p w:rsidR="00895D0A" w:rsidRPr="00895D0A" w:rsidRDefault="00895D0A" w:rsidP="00954432">
      <w:pPr>
        <w:pStyle w:val="SingleTxt"/>
        <w:numPr>
          <w:ilvl w:val="0"/>
          <w:numId w:val="15"/>
        </w:numPr>
        <w:tabs>
          <w:tab w:val="clear" w:pos="475"/>
          <w:tab w:val="num" w:pos="1742"/>
        </w:tabs>
        <w:suppressAutoHyphens w:val="0"/>
        <w:ind w:left="1267"/>
      </w:pPr>
      <w:r w:rsidRPr="00895D0A">
        <w:t>De manera más general, los municipios han concedido amplio</w:t>
      </w:r>
      <w:r w:rsidR="003B0AA4">
        <w:t>s</w:t>
      </w:r>
      <w:r w:rsidRPr="00895D0A">
        <w:t xml:space="preserve"> espacio</w:t>
      </w:r>
      <w:r w:rsidR="003B0AA4">
        <w:t>s para</w:t>
      </w:r>
      <w:r w:rsidRPr="00895D0A">
        <w:t xml:space="preserve"> la celebración de reuniones, fiestas y festivales populares con el fin de profundizar en el estudio de sus propios idiomas y el conocimiento de las minorías étnicas </w:t>
      </w:r>
      <w:r w:rsidR="003B0AA4">
        <w:t>de</w:t>
      </w:r>
      <w:r w:rsidRPr="00895D0A">
        <w:t xml:space="preserve"> Europa. Además, se han organizado exposiciones fotográficas y se han habilitado espacios para la promoción de </w:t>
      </w:r>
      <w:r w:rsidR="003B0AA4">
        <w:t>las</w:t>
      </w:r>
      <w:r w:rsidRPr="00895D0A">
        <w:t xml:space="preserve"> raíces culturales e históricas, representaciones teatrales </w:t>
      </w:r>
      <w:r w:rsidR="003B0AA4">
        <w:t>y</w:t>
      </w:r>
      <w:r w:rsidRPr="00895D0A">
        <w:t xml:space="preserve"> premios literarios para obras escritas en su idioma propio, estudios monográficos y discos compactos interactivos, así como DVD bilingües.</w:t>
      </w:r>
    </w:p>
    <w:p w:rsidR="00895D0A" w:rsidRPr="00895D0A" w:rsidRDefault="00895D0A" w:rsidP="00954432">
      <w:pPr>
        <w:pStyle w:val="SingleTxt"/>
        <w:numPr>
          <w:ilvl w:val="0"/>
          <w:numId w:val="15"/>
        </w:numPr>
        <w:tabs>
          <w:tab w:val="clear" w:pos="475"/>
          <w:tab w:val="num" w:pos="1742"/>
        </w:tabs>
        <w:suppressAutoHyphens w:val="0"/>
        <w:ind w:left="1267"/>
      </w:pPr>
      <w:r w:rsidRPr="00895D0A">
        <w:t>En junio de 2012, el OSCAD, con el apoyo de la UNAR, emprendió una campaña de comunicación contra la discriminación racial (</w:t>
      </w:r>
      <w:r w:rsidR="00DD1A63">
        <w:t>“</w:t>
      </w:r>
      <w:r w:rsidRPr="00895D0A">
        <w:t>Made in Italy</w:t>
      </w:r>
      <w:r w:rsidR="00DD1A63">
        <w:t>”</w:t>
      </w:r>
      <w:r w:rsidRPr="00895D0A">
        <w:t xml:space="preserve">), </w:t>
      </w:r>
      <w:r w:rsidR="003B0AA4">
        <w:t>para dar una imagen del multiculturalismo en</w:t>
      </w:r>
      <w:r w:rsidRPr="00895D0A">
        <w:t xml:space="preserve"> nuestro país </w:t>
      </w:r>
      <w:r w:rsidR="003B0AA4">
        <w:t>y de</w:t>
      </w:r>
      <w:r w:rsidRPr="00895D0A">
        <w:t xml:space="preserve"> la contribución fundamental de los ciudadanos de otros países al sector productivo italiano. Sobre esta cuestión, cabe mencionar también el videojuego </w:t>
      </w:r>
      <w:r w:rsidR="00DD1A63">
        <w:t>“</w:t>
      </w:r>
      <w:r w:rsidRPr="00895D0A">
        <w:t>Nei miei panni</w:t>
      </w:r>
      <w:r w:rsidR="00DD1A63">
        <w:t>”</w:t>
      </w:r>
      <w:r w:rsidRPr="00895D0A">
        <w:t xml:space="preserve"> (</w:t>
      </w:r>
      <w:r w:rsidR="00DD1A63">
        <w:t>“</w:t>
      </w:r>
      <w:r w:rsidRPr="00895D0A">
        <w:t>Ponte en mi lugar</w:t>
      </w:r>
      <w:r w:rsidR="00DD1A63">
        <w:t>”</w:t>
      </w:r>
      <w:r w:rsidRPr="00895D0A">
        <w:t>), preparado y apoyado por la Oficina Nacional contra la Discriminación Racial</w:t>
      </w:r>
      <w:r w:rsidR="003B0AA4">
        <w:t>,</w:t>
      </w:r>
      <w:r w:rsidRPr="00895D0A">
        <w:t xml:space="preserve"> que permite ponerse en el lugar de los migrantes que viven en Italia. Se </w:t>
      </w:r>
      <w:r w:rsidR="003B0AA4">
        <w:t>trata de</w:t>
      </w:r>
      <w:r w:rsidRPr="00895D0A">
        <w:t xml:space="preserve"> cuatro relatos protagonizados por cuatro personajes de ficción, aunque se utilizan datos estadísticos reales: Benjamín, un </w:t>
      </w:r>
      <w:r w:rsidR="003B0AA4" w:rsidRPr="00895D0A">
        <w:t xml:space="preserve">niño </w:t>
      </w:r>
      <w:r w:rsidRPr="00895D0A">
        <w:t>nigeriano cuyo permiso de residencia ha expirado; Fátima,</w:t>
      </w:r>
      <w:r w:rsidR="00246B35">
        <w:t xml:space="preserve"> una musulmana madre de dos hijos</w:t>
      </w:r>
      <w:r w:rsidRPr="00895D0A">
        <w:t xml:space="preserve"> en edad escolar; Irina, una niña rumana que espera ver </w:t>
      </w:r>
      <w:r w:rsidR="00246B35" w:rsidRPr="00895D0A">
        <w:t xml:space="preserve">su sueño </w:t>
      </w:r>
      <w:r w:rsidRPr="00895D0A">
        <w:t>realizado en Italia y Zhang, un joven de la segunda generación de migrantes chinos. El videojuego invita al jugador a ponerse en el lugar de los personajes e intentar superar diez situaciones cotidianas</w:t>
      </w:r>
      <w:r w:rsidR="00246B35">
        <w:t>,</w:t>
      </w:r>
      <w:r w:rsidRPr="00895D0A">
        <w:t xml:space="preserve"> desde </w:t>
      </w:r>
      <w:r w:rsidR="00246B35">
        <w:t>buscar una</w:t>
      </w:r>
      <w:r w:rsidRPr="00895D0A">
        <w:t xml:space="preserve"> vivienda </w:t>
      </w:r>
      <w:r w:rsidR="00246B35">
        <w:t>hasta encontrar un</w:t>
      </w:r>
      <w:r w:rsidRPr="00895D0A">
        <w:t xml:space="preserve"> empleo. Para ganar en el juego hay que tener presente</w:t>
      </w:r>
      <w:r w:rsidR="00246B35">
        <w:t>s</w:t>
      </w:r>
      <w:r w:rsidRPr="00895D0A">
        <w:t xml:space="preserve"> dos parámetros: el presupuesto y la felicidad, que</w:t>
      </w:r>
      <w:r w:rsidR="00246B35">
        <w:t xml:space="preserve"> representan el bienestar físico y psicológico</w:t>
      </w:r>
      <w:r w:rsidRPr="00895D0A">
        <w:t>.</w:t>
      </w:r>
    </w:p>
    <w:p w:rsidR="00954432" w:rsidRPr="00954432" w:rsidRDefault="00954432" w:rsidP="00954432">
      <w:pPr>
        <w:pStyle w:val="SingleTxt"/>
        <w:spacing w:after="0" w:line="120" w:lineRule="exact"/>
        <w:rPr>
          <w:b/>
          <w:sz w:val="10"/>
        </w:rPr>
      </w:pPr>
    </w:p>
    <w:p w:rsidR="00954432" w:rsidRPr="00954432" w:rsidRDefault="00954432" w:rsidP="00954432">
      <w:pPr>
        <w:pStyle w:val="SingleTxt"/>
        <w:spacing w:after="0" w:line="120" w:lineRule="exact"/>
        <w:rPr>
          <w:b/>
          <w:sz w:val="10"/>
        </w:rPr>
      </w:pPr>
    </w:p>
    <w:p w:rsidR="00895D0A" w:rsidRPr="00895D0A" w:rsidRDefault="00895D0A" w:rsidP="009544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95D0A">
        <w:tab/>
        <w:t>C.</w:t>
      </w:r>
      <w:r w:rsidRPr="00895D0A">
        <w:tab/>
        <w:t>Información</w:t>
      </w:r>
    </w:p>
    <w:p w:rsidR="00954432" w:rsidRPr="00954432" w:rsidRDefault="00954432" w:rsidP="00954432">
      <w:pPr>
        <w:pStyle w:val="SingleTxt"/>
        <w:spacing w:after="0" w:line="120" w:lineRule="exact"/>
        <w:rPr>
          <w:iCs/>
          <w:sz w:val="10"/>
        </w:rPr>
      </w:pPr>
    </w:p>
    <w:p w:rsidR="00954432" w:rsidRPr="00954432" w:rsidRDefault="00954432" w:rsidP="00954432">
      <w:pPr>
        <w:pStyle w:val="SingleTxt"/>
        <w:spacing w:after="0" w:line="120" w:lineRule="exact"/>
        <w:rPr>
          <w:iCs/>
          <w:sz w:val="10"/>
        </w:rPr>
      </w:pPr>
    </w:p>
    <w:p w:rsidR="00895D0A" w:rsidRPr="00895D0A" w:rsidRDefault="00246B35" w:rsidP="00954432">
      <w:pPr>
        <w:pStyle w:val="SingleTxt"/>
        <w:numPr>
          <w:ilvl w:val="0"/>
          <w:numId w:val="15"/>
        </w:numPr>
        <w:tabs>
          <w:tab w:val="clear" w:pos="475"/>
          <w:tab w:val="num" w:pos="1742"/>
        </w:tabs>
        <w:suppressAutoHyphens w:val="0"/>
        <w:ind w:left="1267"/>
      </w:pPr>
      <w:r>
        <w:t>Véase</w:t>
      </w:r>
      <w:r w:rsidR="00895D0A" w:rsidRPr="00895D0A">
        <w:t xml:space="preserve"> la sección sobre el artículo 2, párrafo 47 y </w:t>
      </w:r>
      <w:r w:rsidR="00D34E8B">
        <w:t>ss.</w:t>
      </w:r>
      <w:r w:rsidR="00895D0A" w:rsidRPr="00895D0A">
        <w:t xml:space="preserve"> del presente informe.</w:t>
      </w:r>
    </w:p>
    <w:p w:rsidR="00E8766F" w:rsidRPr="00895D0A" w:rsidRDefault="00FD1B26" w:rsidP="00895D0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8766F" w:rsidRPr="00895D0A" w:rsidSect="00044E6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16:06:00Z" w:initials="Start">
    <w:p w:rsidR="00AF51E0" w:rsidRPr="00895D0A" w:rsidRDefault="00AF51E0">
      <w:pPr>
        <w:pStyle w:val="CommentText"/>
        <w:rPr>
          <w:lang w:val="en-US"/>
        </w:rPr>
      </w:pPr>
      <w:r>
        <w:fldChar w:fldCharType="begin"/>
      </w:r>
      <w:r w:rsidRPr="00895D0A">
        <w:rPr>
          <w:rStyle w:val="CommentReference"/>
          <w:lang w:val="en-US"/>
        </w:rPr>
        <w:instrText xml:space="preserve"> </w:instrText>
      </w:r>
      <w:r w:rsidRPr="00895D0A">
        <w:rPr>
          <w:lang w:val="en-US"/>
        </w:rPr>
        <w:instrText>PAGE \# "'Page: '#'</w:instrText>
      </w:r>
      <w:r w:rsidRPr="00895D0A">
        <w:rPr>
          <w:lang w:val="en-US"/>
        </w:rPr>
        <w:br/>
        <w:instrText>'"</w:instrText>
      </w:r>
      <w:r w:rsidRPr="00895D0A">
        <w:rPr>
          <w:rStyle w:val="CommentReference"/>
          <w:lang w:val="en-US"/>
        </w:rPr>
        <w:instrText xml:space="preserve"> </w:instrText>
      </w:r>
      <w:r>
        <w:fldChar w:fldCharType="end"/>
      </w:r>
      <w:r>
        <w:rPr>
          <w:rStyle w:val="CommentReference"/>
        </w:rPr>
        <w:annotationRef/>
      </w:r>
      <w:r w:rsidRPr="00895D0A">
        <w:rPr>
          <w:lang w:val="en-US"/>
        </w:rPr>
        <w:t>&lt;&lt;ODS JOB NO&gt;&gt;N1509977S&lt;&lt;ODS JOB NO&gt;&gt;</w:t>
      </w:r>
    </w:p>
    <w:p w:rsidR="00AF51E0" w:rsidRPr="00895D0A" w:rsidRDefault="00AF51E0">
      <w:pPr>
        <w:pStyle w:val="CommentText"/>
        <w:rPr>
          <w:lang w:val="fr-CH"/>
        </w:rPr>
      </w:pPr>
      <w:r w:rsidRPr="00895D0A">
        <w:rPr>
          <w:lang w:val="fr-CH"/>
        </w:rPr>
        <w:t>&lt;&lt;ODS DOC SYMBOL1&gt;&gt;CERD/C/ITA/19-20&lt;&lt;ODS DOC SYMBOL1&gt;&gt;</w:t>
      </w:r>
    </w:p>
    <w:p w:rsidR="00AF51E0" w:rsidRDefault="00AF51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1E0" w:rsidRDefault="00AF51E0" w:rsidP="008F1E8F">
      <w:pPr>
        <w:spacing w:line="240" w:lineRule="auto"/>
      </w:pPr>
      <w:r>
        <w:separator/>
      </w:r>
    </w:p>
  </w:endnote>
  <w:endnote w:type="continuationSeparator" w:id="0">
    <w:p w:rsidR="00AF51E0" w:rsidRDefault="00AF51E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F51E0" w:rsidTr="00E8766F">
      <w:trPr>
        <w:jc w:val="center"/>
      </w:trPr>
      <w:tc>
        <w:tcPr>
          <w:tcW w:w="5088" w:type="dxa"/>
          <w:shd w:val="clear" w:color="auto" w:fill="auto"/>
        </w:tcPr>
        <w:p w:rsidR="00AF51E0" w:rsidRPr="00E8766F" w:rsidRDefault="00AF51E0" w:rsidP="00E8766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C7D80">
            <w:rPr>
              <w:b w:val="0"/>
              <w:color w:val="000000"/>
              <w:w w:val="103"/>
              <w:sz w:val="14"/>
            </w:rPr>
            <w:t>GE.15-07792</w:t>
          </w:r>
          <w:r>
            <w:rPr>
              <w:b w:val="0"/>
              <w:color w:val="000000"/>
              <w:w w:val="103"/>
              <w:sz w:val="14"/>
            </w:rPr>
            <w:fldChar w:fldCharType="end"/>
          </w:r>
        </w:p>
      </w:tc>
      <w:tc>
        <w:tcPr>
          <w:tcW w:w="5089" w:type="dxa"/>
          <w:shd w:val="clear" w:color="auto" w:fill="auto"/>
        </w:tcPr>
        <w:p w:rsidR="00AF51E0" w:rsidRPr="00E8766F" w:rsidRDefault="00AF51E0" w:rsidP="00E8766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C7D80">
            <w:rPr>
              <w:color w:val="000000"/>
              <w:w w:val="103"/>
            </w:rPr>
            <w:t>44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C7D80">
            <w:rPr>
              <w:color w:val="000000"/>
              <w:w w:val="103"/>
            </w:rPr>
            <w:t>45</w:t>
          </w:r>
          <w:r>
            <w:rPr>
              <w:color w:val="000000"/>
              <w:w w:val="103"/>
            </w:rPr>
            <w:fldChar w:fldCharType="end"/>
          </w:r>
        </w:p>
      </w:tc>
    </w:tr>
  </w:tbl>
  <w:p w:rsidR="00AF51E0" w:rsidRPr="00E8766F" w:rsidRDefault="00AF51E0" w:rsidP="00E876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AF51E0" w:rsidTr="00E8766F">
      <w:trPr>
        <w:jc w:val="center"/>
      </w:trPr>
      <w:tc>
        <w:tcPr>
          <w:tcW w:w="5088" w:type="dxa"/>
          <w:shd w:val="clear" w:color="auto" w:fill="auto"/>
        </w:tcPr>
        <w:p w:rsidR="00AF51E0" w:rsidRPr="00E8766F" w:rsidRDefault="00AF51E0" w:rsidP="00E8766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C7D80">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C7D80">
            <w:rPr>
              <w:color w:val="000000"/>
              <w:w w:val="103"/>
            </w:rPr>
            <w:t>45</w:t>
          </w:r>
          <w:r>
            <w:rPr>
              <w:color w:val="000000"/>
              <w:w w:val="103"/>
            </w:rPr>
            <w:fldChar w:fldCharType="end"/>
          </w:r>
        </w:p>
      </w:tc>
      <w:tc>
        <w:tcPr>
          <w:tcW w:w="5089" w:type="dxa"/>
          <w:shd w:val="clear" w:color="auto" w:fill="auto"/>
        </w:tcPr>
        <w:p w:rsidR="00AF51E0" w:rsidRPr="00E8766F" w:rsidRDefault="00AF51E0" w:rsidP="00E8766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C7D80">
            <w:rPr>
              <w:b w:val="0"/>
              <w:color w:val="000000"/>
              <w:w w:val="103"/>
              <w:sz w:val="14"/>
            </w:rPr>
            <w:t>GE.15-07792</w:t>
          </w:r>
          <w:r>
            <w:rPr>
              <w:b w:val="0"/>
              <w:color w:val="000000"/>
              <w:w w:val="103"/>
              <w:sz w:val="14"/>
            </w:rPr>
            <w:fldChar w:fldCharType="end"/>
          </w:r>
        </w:p>
      </w:tc>
    </w:tr>
  </w:tbl>
  <w:p w:rsidR="00AF51E0" w:rsidRPr="00E8766F" w:rsidRDefault="00AF51E0" w:rsidP="00E876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1E0" w:rsidRPr="00E8766F" w:rsidRDefault="00AF51E0" w:rsidP="00E8766F">
    <w:pPr>
      <w:pStyle w:val="Footer"/>
      <w:spacing w:line="120" w:lineRule="exact"/>
      <w:rPr>
        <w:b w:val="0"/>
        <w:sz w:val="10"/>
      </w:rPr>
    </w:pPr>
    <w:r>
      <w:rPr>
        <w:b w:val="0"/>
        <w:sz w:val="10"/>
      </w:rPr>
      <w:drawing>
        <wp:anchor distT="0" distB="0" distL="114300" distR="114300" simplePos="0" relativeHeight="251658240" behindDoc="0" locked="0" layoutInCell="1" allowOverlap="1" wp14:anchorId="6F81FE37" wp14:editId="69027B3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ITA/19-2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ITA/19-2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AF51E0" w:rsidTr="00E8766F">
      <w:tc>
        <w:tcPr>
          <w:tcW w:w="3859" w:type="dxa"/>
        </w:tcPr>
        <w:p w:rsidR="00AF51E0" w:rsidRDefault="00AF51E0" w:rsidP="00E8766F">
          <w:pPr>
            <w:pStyle w:val="ReleaseDate"/>
          </w:pPr>
          <w:r>
            <w:t>GE.15-07792 (S)    051015    191015</w:t>
          </w:r>
        </w:p>
        <w:p w:rsidR="00AF51E0" w:rsidRPr="00E8766F" w:rsidRDefault="00AF51E0" w:rsidP="00E8766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*1507792*</w:t>
          </w:r>
        </w:p>
      </w:tc>
      <w:tc>
        <w:tcPr>
          <w:tcW w:w="5089" w:type="dxa"/>
        </w:tcPr>
        <w:p w:rsidR="00AF51E0" w:rsidRDefault="00AF51E0" w:rsidP="00E8766F">
          <w:pPr>
            <w:pStyle w:val="Footer"/>
            <w:jc w:val="right"/>
            <w:rPr>
              <w:b w:val="0"/>
              <w:sz w:val="20"/>
            </w:rPr>
          </w:pPr>
          <w:r>
            <w:rPr>
              <w:b w:val="0"/>
              <w:sz w:val="20"/>
            </w:rPr>
            <w:drawing>
              <wp:inline distT="0" distB="0" distL="0" distR="0" wp14:anchorId="1F3CE058" wp14:editId="7D7745C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F51E0" w:rsidRPr="00E8766F" w:rsidRDefault="00AF51E0" w:rsidP="00E8766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1E0" w:rsidRPr="00FD1B26" w:rsidRDefault="00AF51E0" w:rsidP="00FD1B26">
      <w:pPr>
        <w:pStyle w:val="Footer"/>
        <w:spacing w:after="80"/>
        <w:ind w:left="792"/>
        <w:rPr>
          <w:sz w:val="16"/>
        </w:rPr>
      </w:pPr>
      <w:r w:rsidRPr="00FD1B26">
        <w:rPr>
          <w:sz w:val="16"/>
        </w:rPr>
        <w:t>__________________</w:t>
      </w:r>
    </w:p>
  </w:footnote>
  <w:footnote w:type="continuationSeparator" w:id="0">
    <w:p w:rsidR="00AF51E0" w:rsidRPr="00FD1B26" w:rsidRDefault="00AF51E0" w:rsidP="00FD1B26">
      <w:pPr>
        <w:pStyle w:val="Footer"/>
        <w:spacing w:after="80"/>
        <w:ind w:left="792"/>
        <w:rPr>
          <w:sz w:val="16"/>
        </w:rPr>
      </w:pPr>
      <w:r w:rsidRPr="00FD1B26">
        <w:rPr>
          <w:sz w:val="16"/>
        </w:rPr>
        <w:t>__________________</w:t>
      </w:r>
    </w:p>
  </w:footnote>
  <w:footnote w:id="1">
    <w:p w:rsidR="00AF51E0" w:rsidRDefault="00AF51E0" w:rsidP="00FD1B26">
      <w:pPr>
        <w:pStyle w:val="FootnoteText"/>
        <w:tabs>
          <w:tab w:val="clear" w:pos="418"/>
          <w:tab w:val="right" w:pos="1195"/>
          <w:tab w:val="left" w:pos="1267"/>
          <w:tab w:val="left" w:pos="1742"/>
          <w:tab w:val="left" w:pos="2218"/>
          <w:tab w:val="left" w:pos="2693"/>
        </w:tabs>
        <w:ind w:left="1267" w:right="1267" w:hanging="432"/>
      </w:pPr>
      <w:r w:rsidRPr="00FD1B26">
        <w:rPr>
          <w:rStyle w:val="FootnoteReference"/>
          <w:spacing w:val="4"/>
          <w:vertAlign w:val="baseline"/>
        </w:rPr>
        <w:tab/>
        <w:t>*</w:t>
      </w:r>
      <w:r>
        <w:tab/>
      </w:r>
      <w:r w:rsidRPr="00FD1B26">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F51E0" w:rsidTr="00E8766F">
      <w:trPr>
        <w:trHeight w:hRule="exact" w:val="864"/>
        <w:jc w:val="center"/>
      </w:trPr>
      <w:tc>
        <w:tcPr>
          <w:tcW w:w="4882" w:type="dxa"/>
          <w:shd w:val="clear" w:color="auto" w:fill="auto"/>
          <w:vAlign w:val="bottom"/>
        </w:tcPr>
        <w:p w:rsidR="00AF51E0" w:rsidRPr="00E8766F" w:rsidRDefault="00AF51E0" w:rsidP="00E8766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7D80">
            <w:rPr>
              <w:b/>
              <w:color w:val="000000"/>
            </w:rPr>
            <w:t>CERD/C/ITA/19-20</w:t>
          </w:r>
          <w:r>
            <w:rPr>
              <w:b/>
              <w:color w:val="000000"/>
            </w:rPr>
            <w:fldChar w:fldCharType="end"/>
          </w:r>
        </w:p>
      </w:tc>
      <w:tc>
        <w:tcPr>
          <w:tcW w:w="5089" w:type="dxa"/>
          <w:shd w:val="clear" w:color="auto" w:fill="auto"/>
          <w:vAlign w:val="bottom"/>
        </w:tcPr>
        <w:p w:rsidR="00AF51E0" w:rsidRDefault="00AF51E0" w:rsidP="00E8766F">
          <w:pPr>
            <w:pStyle w:val="Header"/>
          </w:pPr>
        </w:p>
      </w:tc>
    </w:tr>
  </w:tbl>
  <w:p w:rsidR="00AF51E0" w:rsidRPr="00E8766F" w:rsidRDefault="00AF51E0" w:rsidP="00E8766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AF51E0" w:rsidTr="00E8766F">
      <w:trPr>
        <w:trHeight w:hRule="exact" w:val="864"/>
        <w:jc w:val="center"/>
      </w:trPr>
      <w:tc>
        <w:tcPr>
          <w:tcW w:w="4882" w:type="dxa"/>
          <w:shd w:val="clear" w:color="auto" w:fill="auto"/>
          <w:vAlign w:val="bottom"/>
        </w:tcPr>
        <w:p w:rsidR="00AF51E0" w:rsidRDefault="00AF51E0" w:rsidP="00E8766F">
          <w:pPr>
            <w:pStyle w:val="Header"/>
          </w:pPr>
        </w:p>
      </w:tc>
      <w:tc>
        <w:tcPr>
          <w:tcW w:w="5089" w:type="dxa"/>
          <w:shd w:val="clear" w:color="auto" w:fill="auto"/>
          <w:vAlign w:val="bottom"/>
        </w:tcPr>
        <w:p w:rsidR="00AF51E0" w:rsidRPr="00E8766F" w:rsidRDefault="00AF51E0" w:rsidP="00E8766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7D80">
            <w:rPr>
              <w:b/>
              <w:color w:val="000000"/>
            </w:rPr>
            <w:t>CERD/C/ITA/19-20</w:t>
          </w:r>
          <w:r>
            <w:rPr>
              <w:b/>
              <w:color w:val="000000"/>
            </w:rPr>
            <w:fldChar w:fldCharType="end"/>
          </w:r>
        </w:p>
      </w:tc>
    </w:tr>
  </w:tbl>
  <w:p w:rsidR="00AF51E0" w:rsidRPr="00E8766F" w:rsidRDefault="00AF51E0" w:rsidP="00E8766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F51E0" w:rsidTr="00E8766F">
      <w:trPr>
        <w:trHeight w:hRule="exact" w:val="864"/>
      </w:trPr>
      <w:tc>
        <w:tcPr>
          <w:tcW w:w="1267" w:type="dxa"/>
          <w:tcBorders>
            <w:bottom w:val="single" w:sz="4" w:space="0" w:color="auto"/>
          </w:tcBorders>
          <w:shd w:val="clear" w:color="auto" w:fill="auto"/>
          <w:vAlign w:val="bottom"/>
        </w:tcPr>
        <w:p w:rsidR="00AF51E0" w:rsidRDefault="00AF51E0" w:rsidP="00E8766F">
          <w:pPr>
            <w:pStyle w:val="Header"/>
            <w:spacing w:after="120"/>
          </w:pPr>
        </w:p>
      </w:tc>
      <w:tc>
        <w:tcPr>
          <w:tcW w:w="2059" w:type="dxa"/>
          <w:tcBorders>
            <w:bottom w:val="single" w:sz="4" w:space="0" w:color="auto"/>
          </w:tcBorders>
          <w:shd w:val="clear" w:color="auto" w:fill="auto"/>
          <w:vAlign w:val="bottom"/>
        </w:tcPr>
        <w:p w:rsidR="00AF51E0" w:rsidRPr="00E8766F" w:rsidRDefault="00AF51E0" w:rsidP="00E8766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F51E0" w:rsidRDefault="00AF51E0" w:rsidP="00E8766F">
          <w:pPr>
            <w:pStyle w:val="Header"/>
            <w:spacing w:after="120"/>
          </w:pPr>
        </w:p>
      </w:tc>
      <w:tc>
        <w:tcPr>
          <w:tcW w:w="6653" w:type="dxa"/>
          <w:gridSpan w:val="4"/>
          <w:tcBorders>
            <w:bottom w:val="single" w:sz="4" w:space="0" w:color="auto"/>
          </w:tcBorders>
          <w:shd w:val="clear" w:color="auto" w:fill="auto"/>
          <w:vAlign w:val="bottom"/>
        </w:tcPr>
        <w:p w:rsidR="00AF51E0" w:rsidRPr="00E8766F" w:rsidRDefault="00AF51E0" w:rsidP="00E8766F">
          <w:pPr>
            <w:spacing w:after="80" w:line="240" w:lineRule="auto"/>
            <w:jc w:val="right"/>
            <w:rPr>
              <w:position w:val="-4"/>
            </w:rPr>
          </w:pPr>
          <w:r>
            <w:rPr>
              <w:position w:val="-4"/>
              <w:sz w:val="40"/>
            </w:rPr>
            <w:t>CERD</w:t>
          </w:r>
          <w:r>
            <w:rPr>
              <w:position w:val="-4"/>
            </w:rPr>
            <w:t>/C/ITA/19-20</w:t>
          </w:r>
        </w:p>
      </w:tc>
    </w:tr>
    <w:tr w:rsidR="00AF51E0" w:rsidRPr="00E8766F" w:rsidTr="00E8766F">
      <w:trPr>
        <w:gridAfter w:val="1"/>
        <w:wAfter w:w="18" w:type="dxa"/>
        <w:trHeight w:hRule="exact" w:val="2880"/>
      </w:trPr>
      <w:tc>
        <w:tcPr>
          <w:tcW w:w="1267" w:type="dxa"/>
          <w:tcBorders>
            <w:top w:val="single" w:sz="4" w:space="0" w:color="auto"/>
            <w:bottom w:val="single" w:sz="12" w:space="0" w:color="auto"/>
          </w:tcBorders>
          <w:shd w:val="clear" w:color="auto" w:fill="auto"/>
        </w:tcPr>
        <w:p w:rsidR="00AF51E0" w:rsidRPr="00E8766F" w:rsidRDefault="00AF51E0" w:rsidP="00E8766F">
          <w:pPr>
            <w:pStyle w:val="Header"/>
            <w:spacing w:before="120"/>
            <w:jc w:val="center"/>
          </w:pPr>
          <w:r>
            <w:t xml:space="preserve"> </w:t>
          </w:r>
          <w:r>
            <w:drawing>
              <wp:inline distT="0" distB="0" distL="0" distR="0" wp14:anchorId="480409C2" wp14:editId="5DF7339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F51E0" w:rsidRPr="00E8766F" w:rsidRDefault="00AF51E0" w:rsidP="00E8766F">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AF51E0" w:rsidRPr="00895D0A" w:rsidRDefault="00AF51E0" w:rsidP="00E8766F">
          <w:pPr>
            <w:pStyle w:val="Header"/>
            <w:spacing w:before="109"/>
            <w:rPr>
              <w:lang w:val="es-ES"/>
            </w:rPr>
          </w:pPr>
        </w:p>
      </w:tc>
      <w:tc>
        <w:tcPr>
          <w:tcW w:w="3280" w:type="dxa"/>
          <w:tcBorders>
            <w:top w:val="single" w:sz="4" w:space="0" w:color="auto"/>
            <w:bottom w:val="single" w:sz="12" w:space="0" w:color="auto"/>
          </w:tcBorders>
          <w:shd w:val="clear" w:color="auto" w:fill="auto"/>
        </w:tcPr>
        <w:p w:rsidR="00AF51E0" w:rsidRDefault="00AF51E0" w:rsidP="00E8766F">
          <w:pPr>
            <w:pStyle w:val="Distribution"/>
            <w:spacing w:before="240"/>
          </w:pPr>
          <w:r>
            <w:t>Distr. general</w:t>
          </w:r>
        </w:p>
        <w:p w:rsidR="00AF51E0" w:rsidRDefault="00AF51E0" w:rsidP="00E8766F">
          <w:pPr>
            <w:pStyle w:val="Publication"/>
          </w:pPr>
          <w:r>
            <w:t>18 de mayo de 2015</w:t>
          </w:r>
        </w:p>
        <w:p w:rsidR="00AF51E0" w:rsidRDefault="00AF51E0" w:rsidP="00E8766F">
          <w:r>
            <w:t>Español</w:t>
          </w:r>
        </w:p>
        <w:p w:rsidR="00AF51E0" w:rsidRDefault="00AF51E0" w:rsidP="00E8766F">
          <w:pPr>
            <w:pStyle w:val="Original"/>
          </w:pPr>
          <w:r>
            <w:t>Original: inglés</w:t>
          </w:r>
        </w:p>
        <w:p w:rsidR="00AF51E0" w:rsidRPr="00E8766F" w:rsidRDefault="00AF51E0" w:rsidP="00E8766F">
          <w:r>
            <w:t>Español, francés e inglés únicamente</w:t>
          </w:r>
        </w:p>
      </w:tc>
    </w:tr>
  </w:tbl>
  <w:p w:rsidR="00AF51E0" w:rsidRPr="00895D0A" w:rsidRDefault="00AF51E0" w:rsidP="00E8766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1">
    <w:nsid w:val="0A4D4A4C"/>
    <w:multiLevelType w:val="hybridMultilevel"/>
    <w:tmpl w:val="02DC0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65DF7"/>
    <w:multiLevelType w:val="multilevel"/>
    <w:tmpl w:val="9326955A"/>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10AD6E30"/>
    <w:multiLevelType w:val="multilevel"/>
    <w:tmpl w:val="1DE6551A"/>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31DD2290"/>
    <w:multiLevelType w:val="hybridMultilevel"/>
    <w:tmpl w:val="20F224A8"/>
    <w:lvl w:ilvl="0" w:tplc="15082BC8">
      <w:start w:val="83"/>
      <w:numFmt w:val="decimal"/>
      <w:lvlText w:val="%1."/>
      <w:lvlJc w:val="left"/>
      <w:pPr>
        <w:ind w:left="1778" w:hanging="360"/>
      </w:pPr>
      <w:rPr>
        <w:rFonts w:hint="default"/>
        <w:b w:val="0"/>
        <w:bCs w:val="0"/>
        <w:i w:val="0"/>
        <w:iCs/>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8">
    <w:nsid w:val="35077BF3"/>
    <w:multiLevelType w:val="multilevel"/>
    <w:tmpl w:val="EECE11BA"/>
    <w:name w:val="TOC8"/>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F710B17"/>
    <w:multiLevelType w:val="multilevel"/>
    <w:tmpl w:val="5A2CD0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409E21AB"/>
    <w:multiLevelType w:val="multilevel"/>
    <w:tmpl w:val="A016D60E"/>
    <w:name w:val="TOC6"/>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2">
    <w:nsid w:val="46E163D3"/>
    <w:multiLevelType w:val="multilevel"/>
    <w:tmpl w:val="B2169C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nsid w:val="52C64045"/>
    <w:multiLevelType w:val="hybridMultilevel"/>
    <w:tmpl w:val="FADEE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nsid w:val="67EF186A"/>
    <w:multiLevelType w:val="multilevel"/>
    <w:tmpl w:val="8F68128C"/>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8">
    <w:nsid w:val="697A2B60"/>
    <w:multiLevelType w:val="multilevel"/>
    <w:tmpl w:val="2AAC79D8"/>
    <w:name w:val="TOC5"/>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9">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6EA21906"/>
    <w:multiLevelType w:val="multilevel"/>
    <w:tmpl w:val="C55617EA"/>
    <w:name w:val="TOC7"/>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1">
    <w:nsid w:val="6F1F41EF"/>
    <w:multiLevelType w:val="multilevel"/>
    <w:tmpl w:val="65B068C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2">
    <w:nsid w:val="727D7558"/>
    <w:multiLevelType w:val="singleLevel"/>
    <w:tmpl w:val="8306EDF2"/>
    <w:lvl w:ilvl="0">
      <w:start w:val="1"/>
      <w:numFmt w:val="decimal"/>
      <w:lvlRestart w:val="0"/>
      <w:lvlText w:val="%1."/>
      <w:lvlJc w:val="left"/>
      <w:pPr>
        <w:tabs>
          <w:tab w:val="num" w:pos="475"/>
        </w:tabs>
        <w:ind w:left="0" w:firstLine="0"/>
      </w:pPr>
      <w:rPr>
        <w:b w:val="0"/>
        <w:i w:val="0"/>
        <w:spacing w:val="0"/>
        <w:w w:val="100"/>
      </w:rPr>
    </w:lvl>
  </w:abstractNum>
  <w:num w:numId="1">
    <w:abstractNumId w:val="4"/>
  </w:num>
  <w:num w:numId="2">
    <w:abstractNumId w:val="5"/>
  </w:num>
  <w:num w:numId="3">
    <w:abstractNumId w:val="13"/>
  </w:num>
  <w:num w:numId="4">
    <w:abstractNumId w:val="16"/>
  </w:num>
  <w:num w:numId="5">
    <w:abstractNumId w:val="6"/>
  </w:num>
  <w:num w:numId="6">
    <w:abstractNumId w:val="14"/>
  </w:num>
  <w:num w:numId="7">
    <w:abstractNumId w:val="19"/>
  </w:num>
  <w:num w:numId="8">
    <w:abstractNumId w:val="9"/>
  </w:num>
  <w:num w:numId="9">
    <w:abstractNumId w:val="1"/>
  </w:num>
  <w:num w:numId="10">
    <w:abstractNumId w:val="15"/>
  </w:num>
  <w:num w:numId="11">
    <w:abstractNumId w:val="12"/>
  </w:num>
  <w:num w:numId="12">
    <w:abstractNumId w:val="10"/>
  </w:num>
  <w:num w:numId="13">
    <w:abstractNumId w:val="0"/>
  </w:num>
  <w:num w:numId="14">
    <w:abstractNumId w:val="7"/>
  </w:num>
  <w:num w:numId="15">
    <w:abstractNumId w:val="22"/>
  </w:num>
  <w:num w:numId="16">
    <w:abstractNumId w:val="21"/>
  </w:num>
  <w:num w:numId="17">
    <w:abstractNumId w:val="17"/>
  </w:num>
  <w:num w:numId="18">
    <w:abstractNumId w:val="3"/>
  </w:num>
  <w:num w:numId="19">
    <w:abstractNumId w:val="2"/>
  </w:num>
  <w:num w:numId="20">
    <w:abstractNumId w:val="18"/>
  </w:num>
  <w:num w:numId="21">
    <w:abstractNumId w:val="11"/>
  </w:num>
  <w:num w:numId="22">
    <w:abstractNumId w:val="20"/>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915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792*"/>
    <w:docVar w:name="CreationDt" w:val="10/9/2015 4:06: PM"/>
    <w:docVar w:name="DocCategory" w:val="Doc"/>
    <w:docVar w:name="DocType" w:val="Final"/>
    <w:docVar w:name="DutyStation" w:val="Geneva"/>
    <w:docVar w:name="FooterJN" w:val="GE.15-07792"/>
    <w:docVar w:name="jobn" w:val="GE.15-07792 (S)"/>
    <w:docVar w:name="jobnDT" w:val="GE.15-07792 (S)   091015"/>
    <w:docVar w:name="jobnDTDT" w:val="GE.15-07792 (S)   091015   091015"/>
    <w:docVar w:name="JobNo" w:val="GE.1507792S"/>
    <w:docVar w:name="JobNo2" w:val="15099774:06: PM"/>
    <w:docVar w:name="LocalDrive" w:val="0"/>
    <w:docVar w:name="OandT" w:val="AM"/>
    <w:docVar w:name="PaperSize" w:val="A4"/>
    <w:docVar w:name="sss1" w:val="CERD/C/ITA/19-20"/>
    <w:docVar w:name="sss2" w:val="-"/>
    <w:docVar w:name="Symbol1" w:val="CERD/C/ITA/19-20"/>
    <w:docVar w:name="Symbol2" w:val="-"/>
  </w:docVars>
  <w:rsids>
    <w:rsidRoot w:val="00F26E26"/>
    <w:rsid w:val="0000104C"/>
    <w:rsid w:val="00001CC4"/>
    <w:rsid w:val="000025A2"/>
    <w:rsid w:val="00002B98"/>
    <w:rsid w:val="000034E4"/>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66B8"/>
    <w:rsid w:val="00040B8F"/>
    <w:rsid w:val="00043D79"/>
    <w:rsid w:val="00044517"/>
    <w:rsid w:val="00044E65"/>
    <w:rsid w:val="00047B31"/>
    <w:rsid w:val="0005203D"/>
    <w:rsid w:val="000534EB"/>
    <w:rsid w:val="00054DB8"/>
    <w:rsid w:val="00057492"/>
    <w:rsid w:val="0005757E"/>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2CD"/>
    <w:rsid w:val="000A53F1"/>
    <w:rsid w:val="000A6B28"/>
    <w:rsid w:val="000B0965"/>
    <w:rsid w:val="000B2A4E"/>
    <w:rsid w:val="000B3656"/>
    <w:rsid w:val="000B71D9"/>
    <w:rsid w:val="000B74F5"/>
    <w:rsid w:val="000C1009"/>
    <w:rsid w:val="000C4DCC"/>
    <w:rsid w:val="000C6904"/>
    <w:rsid w:val="000D11F7"/>
    <w:rsid w:val="000D1E48"/>
    <w:rsid w:val="000D21E6"/>
    <w:rsid w:val="000D4A11"/>
    <w:rsid w:val="000D64ED"/>
    <w:rsid w:val="000D686E"/>
    <w:rsid w:val="000E17D9"/>
    <w:rsid w:val="000E5000"/>
    <w:rsid w:val="000E66F5"/>
    <w:rsid w:val="000E67FD"/>
    <w:rsid w:val="000E6FEB"/>
    <w:rsid w:val="000F5982"/>
    <w:rsid w:val="000F5E60"/>
    <w:rsid w:val="000F6960"/>
    <w:rsid w:val="000F7375"/>
    <w:rsid w:val="00101405"/>
    <w:rsid w:val="00102135"/>
    <w:rsid w:val="001023C5"/>
    <w:rsid w:val="00103817"/>
    <w:rsid w:val="00107739"/>
    <w:rsid w:val="001109AD"/>
    <w:rsid w:val="00111CCB"/>
    <w:rsid w:val="001179C3"/>
    <w:rsid w:val="0012119F"/>
    <w:rsid w:val="001259AF"/>
    <w:rsid w:val="00127EBE"/>
    <w:rsid w:val="00135E50"/>
    <w:rsid w:val="00140F45"/>
    <w:rsid w:val="00143B7C"/>
    <w:rsid w:val="00144177"/>
    <w:rsid w:val="0014610D"/>
    <w:rsid w:val="001469F8"/>
    <w:rsid w:val="001471F6"/>
    <w:rsid w:val="00147CC5"/>
    <w:rsid w:val="00150D44"/>
    <w:rsid w:val="00152E53"/>
    <w:rsid w:val="00153EA2"/>
    <w:rsid w:val="00153FD7"/>
    <w:rsid w:val="00154204"/>
    <w:rsid w:val="001561B2"/>
    <w:rsid w:val="0015662C"/>
    <w:rsid w:val="001571BC"/>
    <w:rsid w:val="00161928"/>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0CE4"/>
    <w:rsid w:val="001D4A0C"/>
    <w:rsid w:val="001D681C"/>
    <w:rsid w:val="001E04C4"/>
    <w:rsid w:val="001E2641"/>
    <w:rsid w:val="001E290A"/>
    <w:rsid w:val="001E4835"/>
    <w:rsid w:val="001F0EC3"/>
    <w:rsid w:val="001F1D4C"/>
    <w:rsid w:val="001F2BB4"/>
    <w:rsid w:val="001F2FC0"/>
    <w:rsid w:val="001F74B0"/>
    <w:rsid w:val="00200A61"/>
    <w:rsid w:val="00200E9D"/>
    <w:rsid w:val="00204B97"/>
    <w:rsid w:val="0020684C"/>
    <w:rsid w:val="002070C6"/>
    <w:rsid w:val="00214AF3"/>
    <w:rsid w:val="00215E7B"/>
    <w:rsid w:val="00217E05"/>
    <w:rsid w:val="0022060C"/>
    <w:rsid w:val="002277C7"/>
    <w:rsid w:val="002345EA"/>
    <w:rsid w:val="00240653"/>
    <w:rsid w:val="00242088"/>
    <w:rsid w:val="0024283D"/>
    <w:rsid w:val="00244CF4"/>
    <w:rsid w:val="00246B35"/>
    <w:rsid w:val="00247894"/>
    <w:rsid w:val="00250F6C"/>
    <w:rsid w:val="00251995"/>
    <w:rsid w:val="00252FB9"/>
    <w:rsid w:val="002557DE"/>
    <w:rsid w:val="0025615B"/>
    <w:rsid w:val="00260DF5"/>
    <w:rsid w:val="00261416"/>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0B4"/>
    <w:rsid w:val="002B1378"/>
    <w:rsid w:val="002B1548"/>
    <w:rsid w:val="002B2680"/>
    <w:rsid w:val="002B6B53"/>
    <w:rsid w:val="002B7407"/>
    <w:rsid w:val="002C2CAF"/>
    <w:rsid w:val="002C345B"/>
    <w:rsid w:val="002C379E"/>
    <w:rsid w:val="002C3E79"/>
    <w:rsid w:val="002C7D80"/>
    <w:rsid w:val="002D3F35"/>
    <w:rsid w:val="002D422C"/>
    <w:rsid w:val="002D56D8"/>
    <w:rsid w:val="002E1262"/>
    <w:rsid w:val="002E2A29"/>
    <w:rsid w:val="002E6792"/>
    <w:rsid w:val="002F0A5D"/>
    <w:rsid w:val="002F4C08"/>
    <w:rsid w:val="003034FD"/>
    <w:rsid w:val="00303A2A"/>
    <w:rsid w:val="00305E79"/>
    <w:rsid w:val="00323F27"/>
    <w:rsid w:val="00327A13"/>
    <w:rsid w:val="00330167"/>
    <w:rsid w:val="0033201D"/>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5940"/>
    <w:rsid w:val="00396585"/>
    <w:rsid w:val="003965EE"/>
    <w:rsid w:val="00397636"/>
    <w:rsid w:val="003A1259"/>
    <w:rsid w:val="003A5CE7"/>
    <w:rsid w:val="003B0AA4"/>
    <w:rsid w:val="003B145C"/>
    <w:rsid w:val="003B2508"/>
    <w:rsid w:val="003B613E"/>
    <w:rsid w:val="003C12C7"/>
    <w:rsid w:val="003C2AA1"/>
    <w:rsid w:val="003C2D96"/>
    <w:rsid w:val="003C473B"/>
    <w:rsid w:val="003C4940"/>
    <w:rsid w:val="003C5008"/>
    <w:rsid w:val="003C67B3"/>
    <w:rsid w:val="003C785A"/>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42BC"/>
    <w:rsid w:val="004211F7"/>
    <w:rsid w:val="00423CFD"/>
    <w:rsid w:val="0042642D"/>
    <w:rsid w:val="00431501"/>
    <w:rsid w:val="004318E8"/>
    <w:rsid w:val="00433FB5"/>
    <w:rsid w:val="00434234"/>
    <w:rsid w:val="0043473B"/>
    <w:rsid w:val="004374B8"/>
    <w:rsid w:val="00437612"/>
    <w:rsid w:val="004411D4"/>
    <w:rsid w:val="00443569"/>
    <w:rsid w:val="00443CA4"/>
    <w:rsid w:val="004450AF"/>
    <w:rsid w:val="004452B0"/>
    <w:rsid w:val="004465F9"/>
    <w:rsid w:val="00451290"/>
    <w:rsid w:val="00451D67"/>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2626"/>
    <w:rsid w:val="00496497"/>
    <w:rsid w:val="00496527"/>
    <w:rsid w:val="004A00CD"/>
    <w:rsid w:val="004A146B"/>
    <w:rsid w:val="004A1CAB"/>
    <w:rsid w:val="004A3174"/>
    <w:rsid w:val="004A5D08"/>
    <w:rsid w:val="004A7C6C"/>
    <w:rsid w:val="004B2460"/>
    <w:rsid w:val="004B47A3"/>
    <w:rsid w:val="004B7559"/>
    <w:rsid w:val="004C1BCD"/>
    <w:rsid w:val="004C3D94"/>
    <w:rsid w:val="004C75AE"/>
    <w:rsid w:val="004C7731"/>
    <w:rsid w:val="004C7EA8"/>
    <w:rsid w:val="004D4AC0"/>
    <w:rsid w:val="004D5ACB"/>
    <w:rsid w:val="004D6407"/>
    <w:rsid w:val="004D779E"/>
    <w:rsid w:val="004E4F87"/>
    <w:rsid w:val="004E6C35"/>
    <w:rsid w:val="004E757B"/>
    <w:rsid w:val="004F14EE"/>
    <w:rsid w:val="004F36D6"/>
    <w:rsid w:val="004F4843"/>
    <w:rsid w:val="004F4A39"/>
    <w:rsid w:val="004F589B"/>
    <w:rsid w:val="0050020B"/>
    <w:rsid w:val="00500463"/>
    <w:rsid w:val="005053EA"/>
    <w:rsid w:val="005056C9"/>
    <w:rsid w:val="0050627B"/>
    <w:rsid w:val="00506C71"/>
    <w:rsid w:val="00506F95"/>
    <w:rsid w:val="00507265"/>
    <w:rsid w:val="00507434"/>
    <w:rsid w:val="00511D5E"/>
    <w:rsid w:val="005130D6"/>
    <w:rsid w:val="005134C0"/>
    <w:rsid w:val="00522CE1"/>
    <w:rsid w:val="00523F4C"/>
    <w:rsid w:val="00524C14"/>
    <w:rsid w:val="00531400"/>
    <w:rsid w:val="00531F88"/>
    <w:rsid w:val="00533E81"/>
    <w:rsid w:val="00534962"/>
    <w:rsid w:val="00534D37"/>
    <w:rsid w:val="00535721"/>
    <w:rsid w:val="00540077"/>
    <w:rsid w:val="0054067F"/>
    <w:rsid w:val="00542A52"/>
    <w:rsid w:val="00543025"/>
    <w:rsid w:val="005434BC"/>
    <w:rsid w:val="0054650A"/>
    <w:rsid w:val="005466CD"/>
    <w:rsid w:val="0054783D"/>
    <w:rsid w:val="00550243"/>
    <w:rsid w:val="00552359"/>
    <w:rsid w:val="00552711"/>
    <w:rsid w:val="0055342D"/>
    <w:rsid w:val="00556B04"/>
    <w:rsid w:val="00556CEB"/>
    <w:rsid w:val="00562263"/>
    <w:rsid w:val="005625F8"/>
    <w:rsid w:val="00562CA9"/>
    <w:rsid w:val="00565717"/>
    <w:rsid w:val="00567942"/>
    <w:rsid w:val="00571A1C"/>
    <w:rsid w:val="00571DC3"/>
    <w:rsid w:val="00571F2A"/>
    <w:rsid w:val="0057285C"/>
    <w:rsid w:val="005737E7"/>
    <w:rsid w:val="00573ECA"/>
    <w:rsid w:val="00576731"/>
    <w:rsid w:val="0058043D"/>
    <w:rsid w:val="00582B10"/>
    <w:rsid w:val="00585931"/>
    <w:rsid w:val="00587E23"/>
    <w:rsid w:val="005906B3"/>
    <w:rsid w:val="00592A0C"/>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5F7205"/>
    <w:rsid w:val="00601523"/>
    <w:rsid w:val="006111BB"/>
    <w:rsid w:val="0061177D"/>
    <w:rsid w:val="00612DA1"/>
    <w:rsid w:val="00613E44"/>
    <w:rsid w:val="00614C74"/>
    <w:rsid w:val="00616088"/>
    <w:rsid w:val="006169F5"/>
    <w:rsid w:val="00620953"/>
    <w:rsid w:val="00623DF8"/>
    <w:rsid w:val="00625F93"/>
    <w:rsid w:val="00626449"/>
    <w:rsid w:val="00630C54"/>
    <w:rsid w:val="00630CE1"/>
    <w:rsid w:val="00631114"/>
    <w:rsid w:val="006331F0"/>
    <w:rsid w:val="0063405C"/>
    <w:rsid w:val="00636DA1"/>
    <w:rsid w:val="00637AB0"/>
    <w:rsid w:val="00641130"/>
    <w:rsid w:val="006429E9"/>
    <w:rsid w:val="00643833"/>
    <w:rsid w:val="00645DF2"/>
    <w:rsid w:val="006463C7"/>
    <w:rsid w:val="006471BF"/>
    <w:rsid w:val="006510D7"/>
    <w:rsid w:val="00651574"/>
    <w:rsid w:val="006519D4"/>
    <w:rsid w:val="006533BB"/>
    <w:rsid w:val="00653EF9"/>
    <w:rsid w:val="00664183"/>
    <w:rsid w:val="00664510"/>
    <w:rsid w:val="00666B35"/>
    <w:rsid w:val="006671BC"/>
    <w:rsid w:val="00671096"/>
    <w:rsid w:val="00672CCA"/>
    <w:rsid w:val="00677761"/>
    <w:rsid w:val="006807E7"/>
    <w:rsid w:val="00680FD1"/>
    <w:rsid w:val="00682F18"/>
    <w:rsid w:val="006878DB"/>
    <w:rsid w:val="00687B10"/>
    <w:rsid w:val="0069047A"/>
    <w:rsid w:val="006956F4"/>
    <w:rsid w:val="00696921"/>
    <w:rsid w:val="006A3096"/>
    <w:rsid w:val="006A3806"/>
    <w:rsid w:val="006B08F8"/>
    <w:rsid w:val="006B7D41"/>
    <w:rsid w:val="006C1AD9"/>
    <w:rsid w:val="006C1EFC"/>
    <w:rsid w:val="006C3274"/>
    <w:rsid w:val="006C3A65"/>
    <w:rsid w:val="006C4163"/>
    <w:rsid w:val="006C6173"/>
    <w:rsid w:val="006D3321"/>
    <w:rsid w:val="006E05C7"/>
    <w:rsid w:val="006E0E95"/>
    <w:rsid w:val="006E0EF0"/>
    <w:rsid w:val="006E296C"/>
    <w:rsid w:val="006E3436"/>
    <w:rsid w:val="006E39F5"/>
    <w:rsid w:val="006E66D5"/>
    <w:rsid w:val="006E689B"/>
    <w:rsid w:val="006F171A"/>
    <w:rsid w:val="006F2312"/>
    <w:rsid w:val="006F36E2"/>
    <w:rsid w:val="006F4381"/>
    <w:rsid w:val="006F5827"/>
    <w:rsid w:val="0070417F"/>
    <w:rsid w:val="0070602F"/>
    <w:rsid w:val="007070B8"/>
    <w:rsid w:val="007137B2"/>
    <w:rsid w:val="007142B6"/>
    <w:rsid w:val="00716C1C"/>
    <w:rsid w:val="0072046A"/>
    <w:rsid w:val="00721815"/>
    <w:rsid w:val="00723B89"/>
    <w:rsid w:val="00725004"/>
    <w:rsid w:val="007253D7"/>
    <w:rsid w:val="00726EAB"/>
    <w:rsid w:val="00732348"/>
    <w:rsid w:val="0073329F"/>
    <w:rsid w:val="0073710F"/>
    <w:rsid w:val="0074000F"/>
    <w:rsid w:val="007401AE"/>
    <w:rsid w:val="007502C6"/>
    <w:rsid w:val="00750DA9"/>
    <w:rsid w:val="00753DF8"/>
    <w:rsid w:val="00754308"/>
    <w:rsid w:val="007549E2"/>
    <w:rsid w:val="00754F43"/>
    <w:rsid w:val="00755D95"/>
    <w:rsid w:val="007577D7"/>
    <w:rsid w:val="007639E9"/>
    <w:rsid w:val="00765C24"/>
    <w:rsid w:val="00765F44"/>
    <w:rsid w:val="00776DCA"/>
    <w:rsid w:val="00777C17"/>
    <w:rsid w:val="00777C5C"/>
    <w:rsid w:val="00781040"/>
    <w:rsid w:val="00781078"/>
    <w:rsid w:val="00781DFE"/>
    <w:rsid w:val="00790265"/>
    <w:rsid w:val="00793FFF"/>
    <w:rsid w:val="007A384D"/>
    <w:rsid w:val="007A4217"/>
    <w:rsid w:val="007A7681"/>
    <w:rsid w:val="007B04E8"/>
    <w:rsid w:val="007B2E44"/>
    <w:rsid w:val="007B3555"/>
    <w:rsid w:val="007B408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5F26"/>
    <w:rsid w:val="00813690"/>
    <w:rsid w:val="00813C40"/>
    <w:rsid w:val="00815287"/>
    <w:rsid w:val="00815EA8"/>
    <w:rsid w:val="00817D11"/>
    <w:rsid w:val="00821E34"/>
    <w:rsid w:val="00823340"/>
    <w:rsid w:val="00823BE3"/>
    <w:rsid w:val="00824B02"/>
    <w:rsid w:val="00824EA5"/>
    <w:rsid w:val="00830193"/>
    <w:rsid w:val="008305DF"/>
    <w:rsid w:val="00832268"/>
    <w:rsid w:val="00833B57"/>
    <w:rsid w:val="00834163"/>
    <w:rsid w:val="00834408"/>
    <w:rsid w:val="0083457C"/>
    <w:rsid w:val="008463C4"/>
    <w:rsid w:val="008466A7"/>
    <w:rsid w:val="00850504"/>
    <w:rsid w:val="0085192D"/>
    <w:rsid w:val="008521F6"/>
    <w:rsid w:val="008539AC"/>
    <w:rsid w:val="00853A1C"/>
    <w:rsid w:val="00860B12"/>
    <w:rsid w:val="0086143E"/>
    <w:rsid w:val="008620C3"/>
    <w:rsid w:val="0086249C"/>
    <w:rsid w:val="00863869"/>
    <w:rsid w:val="00871928"/>
    <w:rsid w:val="00871D8B"/>
    <w:rsid w:val="00872139"/>
    <w:rsid w:val="00875415"/>
    <w:rsid w:val="00875F65"/>
    <w:rsid w:val="00880535"/>
    <w:rsid w:val="008871B2"/>
    <w:rsid w:val="0089324E"/>
    <w:rsid w:val="008932CA"/>
    <w:rsid w:val="00894D50"/>
    <w:rsid w:val="00894E6A"/>
    <w:rsid w:val="00895D0A"/>
    <w:rsid w:val="008977DD"/>
    <w:rsid w:val="00897EE4"/>
    <w:rsid w:val="008A01D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040"/>
    <w:rsid w:val="008D436B"/>
    <w:rsid w:val="008D53A0"/>
    <w:rsid w:val="008E2B2E"/>
    <w:rsid w:val="008E37CD"/>
    <w:rsid w:val="008E41D0"/>
    <w:rsid w:val="008F0E7D"/>
    <w:rsid w:val="008F1890"/>
    <w:rsid w:val="008F1E8F"/>
    <w:rsid w:val="008F2959"/>
    <w:rsid w:val="008F7AE0"/>
    <w:rsid w:val="008F7DC0"/>
    <w:rsid w:val="00900BCE"/>
    <w:rsid w:val="00901B94"/>
    <w:rsid w:val="00902519"/>
    <w:rsid w:val="00902FFA"/>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394"/>
    <w:rsid w:val="00942639"/>
    <w:rsid w:val="009428BD"/>
    <w:rsid w:val="00942A63"/>
    <w:rsid w:val="0094747E"/>
    <w:rsid w:val="00950936"/>
    <w:rsid w:val="00952BAE"/>
    <w:rsid w:val="009540A8"/>
    <w:rsid w:val="00954432"/>
    <w:rsid w:val="00961828"/>
    <w:rsid w:val="00967281"/>
    <w:rsid w:val="009725A4"/>
    <w:rsid w:val="009758CC"/>
    <w:rsid w:val="0098045D"/>
    <w:rsid w:val="0098055D"/>
    <w:rsid w:val="00984E6C"/>
    <w:rsid w:val="00984FF2"/>
    <w:rsid w:val="00991572"/>
    <w:rsid w:val="009940E3"/>
    <w:rsid w:val="00995BD2"/>
    <w:rsid w:val="009A24A9"/>
    <w:rsid w:val="009A54AA"/>
    <w:rsid w:val="009A73EA"/>
    <w:rsid w:val="009A7735"/>
    <w:rsid w:val="009B1C06"/>
    <w:rsid w:val="009B26B8"/>
    <w:rsid w:val="009B26E0"/>
    <w:rsid w:val="009B6140"/>
    <w:rsid w:val="009C0D3E"/>
    <w:rsid w:val="009C31A4"/>
    <w:rsid w:val="009C3306"/>
    <w:rsid w:val="009C3952"/>
    <w:rsid w:val="009C4267"/>
    <w:rsid w:val="009C558E"/>
    <w:rsid w:val="009C6C0D"/>
    <w:rsid w:val="009D32AC"/>
    <w:rsid w:val="009D41F4"/>
    <w:rsid w:val="009D5257"/>
    <w:rsid w:val="009D6DC5"/>
    <w:rsid w:val="009D7DE0"/>
    <w:rsid w:val="009E11DA"/>
    <w:rsid w:val="009E2AF1"/>
    <w:rsid w:val="009E300B"/>
    <w:rsid w:val="009E4482"/>
    <w:rsid w:val="009E5765"/>
    <w:rsid w:val="009E6D58"/>
    <w:rsid w:val="009E6E2F"/>
    <w:rsid w:val="009F0782"/>
    <w:rsid w:val="009F275F"/>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034E"/>
    <w:rsid w:val="00A5353F"/>
    <w:rsid w:val="00A5537A"/>
    <w:rsid w:val="00A607E7"/>
    <w:rsid w:val="00A627D6"/>
    <w:rsid w:val="00A64A88"/>
    <w:rsid w:val="00A64E36"/>
    <w:rsid w:val="00A65B90"/>
    <w:rsid w:val="00A65C9E"/>
    <w:rsid w:val="00A665B9"/>
    <w:rsid w:val="00A66A0C"/>
    <w:rsid w:val="00A6761C"/>
    <w:rsid w:val="00A71D7C"/>
    <w:rsid w:val="00A74BF3"/>
    <w:rsid w:val="00A81007"/>
    <w:rsid w:val="00A84D3A"/>
    <w:rsid w:val="00A8503D"/>
    <w:rsid w:val="00A86FEA"/>
    <w:rsid w:val="00A875E5"/>
    <w:rsid w:val="00A91A3F"/>
    <w:rsid w:val="00A9599A"/>
    <w:rsid w:val="00AA0543"/>
    <w:rsid w:val="00AA3114"/>
    <w:rsid w:val="00AA5CC8"/>
    <w:rsid w:val="00AA7DC9"/>
    <w:rsid w:val="00AB0ED1"/>
    <w:rsid w:val="00AB7836"/>
    <w:rsid w:val="00AC3F53"/>
    <w:rsid w:val="00AC46C4"/>
    <w:rsid w:val="00AC5CBF"/>
    <w:rsid w:val="00AC6AD9"/>
    <w:rsid w:val="00AC7ED0"/>
    <w:rsid w:val="00AD0BE5"/>
    <w:rsid w:val="00AD37F0"/>
    <w:rsid w:val="00AD5D6A"/>
    <w:rsid w:val="00AD64D4"/>
    <w:rsid w:val="00AD778A"/>
    <w:rsid w:val="00AE17F1"/>
    <w:rsid w:val="00AE52EC"/>
    <w:rsid w:val="00AE6D02"/>
    <w:rsid w:val="00AE7AF2"/>
    <w:rsid w:val="00AF0741"/>
    <w:rsid w:val="00AF1C63"/>
    <w:rsid w:val="00AF51E0"/>
    <w:rsid w:val="00AF7054"/>
    <w:rsid w:val="00B11C44"/>
    <w:rsid w:val="00B151F5"/>
    <w:rsid w:val="00B1717E"/>
    <w:rsid w:val="00B232EC"/>
    <w:rsid w:val="00B2358F"/>
    <w:rsid w:val="00B24B8B"/>
    <w:rsid w:val="00B30002"/>
    <w:rsid w:val="00B308D0"/>
    <w:rsid w:val="00B34BCE"/>
    <w:rsid w:val="00B35DD0"/>
    <w:rsid w:val="00B367B0"/>
    <w:rsid w:val="00B42469"/>
    <w:rsid w:val="00B426AB"/>
    <w:rsid w:val="00B44E52"/>
    <w:rsid w:val="00B47A82"/>
    <w:rsid w:val="00B56E74"/>
    <w:rsid w:val="00B57DFF"/>
    <w:rsid w:val="00B6163A"/>
    <w:rsid w:val="00B63CDA"/>
    <w:rsid w:val="00B645EF"/>
    <w:rsid w:val="00B71C6B"/>
    <w:rsid w:val="00B7700F"/>
    <w:rsid w:val="00B77D31"/>
    <w:rsid w:val="00B8368A"/>
    <w:rsid w:val="00B84373"/>
    <w:rsid w:val="00B91514"/>
    <w:rsid w:val="00B94807"/>
    <w:rsid w:val="00B9503A"/>
    <w:rsid w:val="00BA68A6"/>
    <w:rsid w:val="00BB0959"/>
    <w:rsid w:val="00BB211B"/>
    <w:rsid w:val="00BB23DE"/>
    <w:rsid w:val="00BB6458"/>
    <w:rsid w:val="00BC0F7D"/>
    <w:rsid w:val="00BC2142"/>
    <w:rsid w:val="00BC31B5"/>
    <w:rsid w:val="00BC40A4"/>
    <w:rsid w:val="00BC5963"/>
    <w:rsid w:val="00BC60F3"/>
    <w:rsid w:val="00BC6A42"/>
    <w:rsid w:val="00BC7B5B"/>
    <w:rsid w:val="00BD17E9"/>
    <w:rsid w:val="00BD4396"/>
    <w:rsid w:val="00BD47B9"/>
    <w:rsid w:val="00BD4AF2"/>
    <w:rsid w:val="00BE0EA5"/>
    <w:rsid w:val="00BE2BF9"/>
    <w:rsid w:val="00BE32B5"/>
    <w:rsid w:val="00BE41BC"/>
    <w:rsid w:val="00BF1D37"/>
    <w:rsid w:val="00BF21D7"/>
    <w:rsid w:val="00BF32B0"/>
    <w:rsid w:val="00BF438B"/>
    <w:rsid w:val="00BF5A1E"/>
    <w:rsid w:val="00C0050E"/>
    <w:rsid w:val="00C00E64"/>
    <w:rsid w:val="00C00E6C"/>
    <w:rsid w:val="00C02367"/>
    <w:rsid w:val="00C053A0"/>
    <w:rsid w:val="00C10265"/>
    <w:rsid w:val="00C11C9E"/>
    <w:rsid w:val="00C127DC"/>
    <w:rsid w:val="00C12865"/>
    <w:rsid w:val="00C13749"/>
    <w:rsid w:val="00C13D38"/>
    <w:rsid w:val="00C13D48"/>
    <w:rsid w:val="00C154A9"/>
    <w:rsid w:val="00C161D9"/>
    <w:rsid w:val="00C22EDA"/>
    <w:rsid w:val="00C230CE"/>
    <w:rsid w:val="00C24049"/>
    <w:rsid w:val="00C242E4"/>
    <w:rsid w:val="00C2551F"/>
    <w:rsid w:val="00C2704A"/>
    <w:rsid w:val="00C32D88"/>
    <w:rsid w:val="00C35339"/>
    <w:rsid w:val="00C36A7F"/>
    <w:rsid w:val="00C41651"/>
    <w:rsid w:val="00C455FB"/>
    <w:rsid w:val="00C468A1"/>
    <w:rsid w:val="00C51D2E"/>
    <w:rsid w:val="00C5303D"/>
    <w:rsid w:val="00C55BFC"/>
    <w:rsid w:val="00C56024"/>
    <w:rsid w:val="00C56C3C"/>
    <w:rsid w:val="00C6016B"/>
    <w:rsid w:val="00C71D8C"/>
    <w:rsid w:val="00C725A7"/>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1639"/>
    <w:rsid w:val="00CA2127"/>
    <w:rsid w:val="00CA5568"/>
    <w:rsid w:val="00CA5A12"/>
    <w:rsid w:val="00CA6BFC"/>
    <w:rsid w:val="00CB5C47"/>
    <w:rsid w:val="00CC1FF9"/>
    <w:rsid w:val="00CC5750"/>
    <w:rsid w:val="00CC59EA"/>
    <w:rsid w:val="00CC67D4"/>
    <w:rsid w:val="00CC6DBC"/>
    <w:rsid w:val="00CD1545"/>
    <w:rsid w:val="00CD2C4C"/>
    <w:rsid w:val="00CD4760"/>
    <w:rsid w:val="00CD57FF"/>
    <w:rsid w:val="00CD5ACA"/>
    <w:rsid w:val="00CD7F4C"/>
    <w:rsid w:val="00CE0045"/>
    <w:rsid w:val="00CE1381"/>
    <w:rsid w:val="00CE2A43"/>
    <w:rsid w:val="00CE4E1A"/>
    <w:rsid w:val="00CE6E8A"/>
    <w:rsid w:val="00CF0313"/>
    <w:rsid w:val="00D00E66"/>
    <w:rsid w:val="00D02C41"/>
    <w:rsid w:val="00D037B1"/>
    <w:rsid w:val="00D051A5"/>
    <w:rsid w:val="00D07522"/>
    <w:rsid w:val="00D10D1C"/>
    <w:rsid w:val="00D124C4"/>
    <w:rsid w:val="00D139B1"/>
    <w:rsid w:val="00D14D21"/>
    <w:rsid w:val="00D15615"/>
    <w:rsid w:val="00D1714E"/>
    <w:rsid w:val="00D2412C"/>
    <w:rsid w:val="00D25A95"/>
    <w:rsid w:val="00D27113"/>
    <w:rsid w:val="00D27C55"/>
    <w:rsid w:val="00D30E8B"/>
    <w:rsid w:val="00D316E6"/>
    <w:rsid w:val="00D32925"/>
    <w:rsid w:val="00D34E8B"/>
    <w:rsid w:val="00D36FEB"/>
    <w:rsid w:val="00D40561"/>
    <w:rsid w:val="00D42CA0"/>
    <w:rsid w:val="00D42E58"/>
    <w:rsid w:val="00D443B3"/>
    <w:rsid w:val="00D450BF"/>
    <w:rsid w:val="00D5080B"/>
    <w:rsid w:val="00D535F0"/>
    <w:rsid w:val="00D60200"/>
    <w:rsid w:val="00D621E4"/>
    <w:rsid w:val="00D649AD"/>
    <w:rsid w:val="00D66326"/>
    <w:rsid w:val="00D727F5"/>
    <w:rsid w:val="00D75748"/>
    <w:rsid w:val="00D75DCF"/>
    <w:rsid w:val="00D81FDD"/>
    <w:rsid w:val="00D82D56"/>
    <w:rsid w:val="00D83A97"/>
    <w:rsid w:val="00D84103"/>
    <w:rsid w:val="00D93984"/>
    <w:rsid w:val="00D95982"/>
    <w:rsid w:val="00DA068D"/>
    <w:rsid w:val="00DA0BDF"/>
    <w:rsid w:val="00DA0F47"/>
    <w:rsid w:val="00DA1417"/>
    <w:rsid w:val="00DA212D"/>
    <w:rsid w:val="00DA272C"/>
    <w:rsid w:val="00DA4419"/>
    <w:rsid w:val="00DA5058"/>
    <w:rsid w:val="00DA7865"/>
    <w:rsid w:val="00DA7DFA"/>
    <w:rsid w:val="00DB00A4"/>
    <w:rsid w:val="00DB2B5E"/>
    <w:rsid w:val="00DB2EA7"/>
    <w:rsid w:val="00DB4189"/>
    <w:rsid w:val="00DC0389"/>
    <w:rsid w:val="00DC070F"/>
    <w:rsid w:val="00DC425C"/>
    <w:rsid w:val="00DC4B85"/>
    <w:rsid w:val="00DC52AB"/>
    <w:rsid w:val="00DC5349"/>
    <w:rsid w:val="00DC6A91"/>
    <w:rsid w:val="00DD1A63"/>
    <w:rsid w:val="00DD1BE2"/>
    <w:rsid w:val="00DD4B2E"/>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535"/>
    <w:rsid w:val="00E82666"/>
    <w:rsid w:val="00E8338A"/>
    <w:rsid w:val="00E84B10"/>
    <w:rsid w:val="00E875CB"/>
    <w:rsid w:val="00E8766F"/>
    <w:rsid w:val="00E926C5"/>
    <w:rsid w:val="00E932A5"/>
    <w:rsid w:val="00E96210"/>
    <w:rsid w:val="00E97E8D"/>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297F"/>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6E26"/>
    <w:rsid w:val="00F274AF"/>
    <w:rsid w:val="00F3021B"/>
    <w:rsid w:val="00F3034B"/>
    <w:rsid w:val="00F32482"/>
    <w:rsid w:val="00F35068"/>
    <w:rsid w:val="00F35B3D"/>
    <w:rsid w:val="00F378BF"/>
    <w:rsid w:val="00F40902"/>
    <w:rsid w:val="00F44608"/>
    <w:rsid w:val="00F446FD"/>
    <w:rsid w:val="00F448BB"/>
    <w:rsid w:val="00F44E91"/>
    <w:rsid w:val="00F45262"/>
    <w:rsid w:val="00F4671E"/>
    <w:rsid w:val="00F47FCF"/>
    <w:rsid w:val="00F532D8"/>
    <w:rsid w:val="00F53E08"/>
    <w:rsid w:val="00F55A8D"/>
    <w:rsid w:val="00F564E9"/>
    <w:rsid w:val="00F60962"/>
    <w:rsid w:val="00F61A78"/>
    <w:rsid w:val="00F624F3"/>
    <w:rsid w:val="00F659BF"/>
    <w:rsid w:val="00F6677C"/>
    <w:rsid w:val="00F66F3D"/>
    <w:rsid w:val="00F73315"/>
    <w:rsid w:val="00F82AFC"/>
    <w:rsid w:val="00F82B13"/>
    <w:rsid w:val="00F8623C"/>
    <w:rsid w:val="00F9064B"/>
    <w:rsid w:val="00F918A1"/>
    <w:rsid w:val="00F91BA8"/>
    <w:rsid w:val="00F91C07"/>
    <w:rsid w:val="00F920FD"/>
    <w:rsid w:val="00F92E1F"/>
    <w:rsid w:val="00F936E2"/>
    <w:rsid w:val="00F93DB3"/>
    <w:rsid w:val="00F94525"/>
    <w:rsid w:val="00FA1384"/>
    <w:rsid w:val="00FA4010"/>
    <w:rsid w:val="00FA4383"/>
    <w:rsid w:val="00FA5E33"/>
    <w:rsid w:val="00FB22DA"/>
    <w:rsid w:val="00FB255D"/>
    <w:rsid w:val="00FB2CE9"/>
    <w:rsid w:val="00FC3136"/>
    <w:rsid w:val="00FC4C00"/>
    <w:rsid w:val="00FD05A7"/>
    <w:rsid w:val="00FD0A87"/>
    <w:rsid w:val="00FD17C3"/>
    <w:rsid w:val="00FD1A5F"/>
    <w:rsid w:val="00FD1B26"/>
    <w:rsid w:val="00FD54C2"/>
    <w:rsid w:val="00FD6A19"/>
    <w:rsid w:val="00FD76C7"/>
    <w:rsid w:val="00FE0627"/>
    <w:rsid w:val="00FE10D6"/>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uiPriority="10"/>
    <w:lsdException w:name="Hyperlink" w:qFormat="1"/>
    <w:lsdException w:name="Followed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8766F"/>
    <w:pPr>
      <w:spacing w:line="240" w:lineRule="auto"/>
    </w:pPr>
    <w:rPr>
      <w:szCs w:val="20"/>
    </w:rPr>
  </w:style>
  <w:style w:type="character" w:customStyle="1" w:styleId="CommentTextChar">
    <w:name w:val="Comment Text Char"/>
    <w:basedOn w:val="DefaultParagraphFont"/>
    <w:link w:val="CommentText"/>
    <w:rsid w:val="00E8766F"/>
    <w:rPr>
      <w:rFonts w:ascii="Times New Roman" w:hAnsi="Times New Roman"/>
      <w:spacing w:val="4"/>
      <w:w w:val="103"/>
      <w:lang w:val="es-ES"/>
    </w:rPr>
  </w:style>
  <w:style w:type="paragraph" w:styleId="CommentSubject">
    <w:name w:val="annotation subject"/>
    <w:basedOn w:val="CommentText"/>
    <w:next w:val="CommentText"/>
    <w:link w:val="CommentSubjectChar"/>
    <w:rsid w:val="00E8766F"/>
    <w:rPr>
      <w:b/>
      <w:bCs/>
    </w:rPr>
  </w:style>
  <w:style w:type="character" w:customStyle="1" w:styleId="CommentSubjectChar">
    <w:name w:val="Comment Subject Char"/>
    <w:basedOn w:val="CommentTextChar"/>
    <w:link w:val="CommentSubject"/>
    <w:rsid w:val="00E8766F"/>
    <w:rPr>
      <w:rFonts w:ascii="Times New Roman" w:hAnsi="Times New Roman"/>
      <w:b/>
      <w:bCs/>
      <w:spacing w:val="4"/>
      <w:w w:val="103"/>
      <w:lang w:val="es-ES"/>
    </w:rPr>
  </w:style>
  <w:style w:type="character" w:styleId="PageNumber">
    <w:name w:val="page number"/>
    <w:aliases w:val="7_G"/>
    <w:qFormat/>
    <w:rsid w:val="00895D0A"/>
    <w:rPr>
      <w:b/>
      <w:sz w:val="18"/>
    </w:rPr>
  </w:style>
  <w:style w:type="paragraph" w:styleId="Subtitle">
    <w:name w:val="Subtitle"/>
    <w:basedOn w:val="Normal"/>
    <w:next w:val="Normal"/>
    <w:link w:val="SubtitleChar"/>
    <w:rsid w:val="00895D0A"/>
    <w:pPr>
      <w:numPr>
        <w:ilvl w:val="1"/>
      </w:numPr>
      <w:suppressAutoHyphens w:val="0"/>
      <w:spacing w:line="240" w:lineRule="atLeast"/>
    </w:pPr>
    <w:rPr>
      <w:rFonts w:ascii="Cambria" w:eastAsia="Times New Roman" w:hAnsi="Cambria"/>
      <w:i/>
      <w:iCs/>
      <w:color w:val="4F81BD"/>
      <w:spacing w:val="15"/>
      <w:w w:val="100"/>
      <w:sz w:val="24"/>
      <w:szCs w:val="24"/>
      <w:lang w:val="es-BO" w:eastAsia="es-ES"/>
    </w:rPr>
  </w:style>
  <w:style w:type="character" w:customStyle="1" w:styleId="SubtitleChar">
    <w:name w:val="Subtitle Char"/>
    <w:basedOn w:val="DefaultParagraphFont"/>
    <w:link w:val="Subtitle"/>
    <w:rsid w:val="00895D0A"/>
    <w:rPr>
      <w:rFonts w:ascii="Cambria" w:eastAsia="Times New Roman" w:hAnsi="Cambria"/>
      <w:i/>
      <w:iCs/>
      <w:color w:val="4F81BD"/>
      <w:spacing w:val="15"/>
      <w:sz w:val="24"/>
      <w:szCs w:val="24"/>
      <w:lang w:val="es-BO" w:eastAsia="es-ES"/>
    </w:rPr>
  </w:style>
  <w:style w:type="character" w:styleId="Hyperlink">
    <w:name w:val="Hyperlink"/>
    <w:qFormat/>
    <w:rsid w:val="00895D0A"/>
    <w:rPr>
      <w:color w:val="0000FF"/>
      <w:u w:val="none"/>
    </w:rPr>
  </w:style>
  <w:style w:type="character" w:styleId="FollowedHyperlink">
    <w:name w:val="FollowedHyperlink"/>
    <w:qFormat/>
    <w:rsid w:val="00895D0A"/>
    <w:rPr>
      <w:color w:val="0000FF"/>
      <w:u w:val="none"/>
    </w:rPr>
  </w:style>
  <w:style w:type="character" w:customStyle="1" w:styleId="BalloonTextChar">
    <w:name w:val="Balloon Text Char"/>
    <w:link w:val="BalloonText"/>
    <w:rsid w:val="00895D0A"/>
    <w:rPr>
      <w:rFonts w:ascii="Tahoma" w:hAnsi="Tahoma" w:cs="Tahoma"/>
      <w:spacing w:val="4"/>
      <w:w w:val="103"/>
      <w:sz w:val="16"/>
      <w:szCs w:val="16"/>
      <w:lang w:val="es-ES"/>
    </w:rPr>
  </w:style>
  <w:style w:type="paragraph" w:styleId="ListParagraph">
    <w:name w:val="List Paragraph"/>
    <w:basedOn w:val="Normal"/>
    <w:rsid w:val="00895D0A"/>
    <w:pPr>
      <w:suppressAutoHyphens w:val="0"/>
      <w:spacing w:line="240" w:lineRule="atLeast"/>
      <w:ind w:left="720"/>
      <w:contextualSpacing/>
    </w:pPr>
    <w:rPr>
      <w:rFonts w:eastAsia="Times New Roman"/>
      <w:spacing w:val="0"/>
      <w:w w:val="100"/>
      <w:szCs w:val="20"/>
      <w:lang w:val="es-BO" w:eastAsia="es-ES"/>
    </w:rPr>
  </w:style>
  <w:style w:type="paragraph" w:styleId="ListNumber3">
    <w:name w:val="List Number 3"/>
    <w:basedOn w:val="Normal"/>
    <w:rsid w:val="00895D0A"/>
    <w:pPr>
      <w:numPr>
        <w:numId w:val="13"/>
      </w:numPr>
      <w:spacing w:line="240" w:lineRule="atLeast"/>
    </w:pPr>
    <w:rPr>
      <w:rFonts w:eastAsia="Times New Roman"/>
      <w:spacing w:val="0"/>
      <w:w w:val="100"/>
      <w:szCs w:val="20"/>
      <w:lang w:val="en-GB"/>
    </w:rPr>
  </w:style>
  <w:style w:type="paragraph" w:styleId="Revision">
    <w:name w:val="Revision"/>
    <w:hidden/>
    <w:uiPriority w:val="99"/>
    <w:semiHidden/>
    <w:rsid w:val="00AF51E0"/>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uiPriority="10"/>
    <w:lsdException w:name="Hyperlink" w:qFormat="1"/>
    <w:lsdException w:name="Followed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8766F"/>
    <w:pPr>
      <w:spacing w:line="240" w:lineRule="auto"/>
    </w:pPr>
    <w:rPr>
      <w:szCs w:val="20"/>
    </w:rPr>
  </w:style>
  <w:style w:type="character" w:customStyle="1" w:styleId="CommentTextChar">
    <w:name w:val="Comment Text Char"/>
    <w:basedOn w:val="DefaultParagraphFont"/>
    <w:link w:val="CommentText"/>
    <w:rsid w:val="00E8766F"/>
    <w:rPr>
      <w:rFonts w:ascii="Times New Roman" w:hAnsi="Times New Roman"/>
      <w:spacing w:val="4"/>
      <w:w w:val="103"/>
      <w:lang w:val="es-ES"/>
    </w:rPr>
  </w:style>
  <w:style w:type="paragraph" w:styleId="CommentSubject">
    <w:name w:val="annotation subject"/>
    <w:basedOn w:val="CommentText"/>
    <w:next w:val="CommentText"/>
    <w:link w:val="CommentSubjectChar"/>
    <w:rsid w:val="00E8766F"/>
    <w:rPr>
      <w:b/>
      <w:bCs/>
    </w:rPr>
  </w:style>
  <w:style w:type="character" w:customStyle="1" w:styleId="CommentSubjectChar">
    <w:name w:val="Comment Subject Char"/>
    <w:basedOn w:val="CommentTextChar"/>
    <w:link w:val="CommentSubject"/>
    <w:rsid w:val="00E8766F"/>
    <w:rPr>
      <w:rFonts w:ascii="Times New Roman" w:hAnsi="Times New Roman"/>
      <w:b/>
      <w:bCs/>
      <w:spacing w:val="4"/>
      <w:w w:val="103"/>
      <w:lang w:val="es-ES"/>
    </w:rPr>
  </w:style>
  <w:style w:type="character" w:styleId="PageNumber">
    <w:name w:val="page number"/>
    <w:aliases w:val="7_G"/>
    <w:qFormat/>
    <w:rsid w:val="00895D0A"/>
    <w:rPr>
      <w:b/>
      <w:sz w:val="18"/>
    </w:rPr>
  </w:style>
  <w:style w:type="paragraph" w:styleId="Subtitle">
    <w:name w:val="Subtitle"/>
    <w:basedOn w:val="Normal"/>
    <w:next w:val="Normal"/>
    <w:link w:val="SubtitleChar"/>
    <w:rsid w:val="00895D0A"/>
    <w:pPr>
      <w:numPr>
        <w:ilvl w:val="1"/>
      </w:numPr>
      <w:suppressAutoHyphens w:val="0"/>
      <w:spacing w:line="240" w:lineRule="atLeast"/>
    </w:pPr>
    <w:rPr>
      <w:rFonts w:ascii="Cambria" w:eastAsia="Times New Roman" w:hAnsi="Cambria"/>
      <w:i/>
      <w:iCs/>
      <w:color w:val="4F81BD"/>
      <w:spacing w:val="15"/>
      <w:w w:val="100"/>
      <w:sz w:val="24"/>
      <w:szCs w:val="24"/>
      <w:lang w:val="es-BO" w:eastAsia="es-ES"/>
    </w:rPr>
  </w:style>
  <w:style w:type="character" w:customStyle="1" w:styleId="SubtitleChar">
    <w:name w:val="Subtitle Char"/>
    <w:basedOn w:val="DefaultParagraphFont"/>
    <w:link w:val="Subtitle"/>
    <w:rsid w:val="00895D0A"/>
    <w:rPr>
      <w:rFonts w:ascii="Cambria" w:eastAsia="Times New Roman" w:hAnsi="Cambria"/>
      <w:i/>
      <w:iCs/>
      <w:color w:val="4F81BD"/>
      <w:spacing w:val="15"/>
      <w:sz w:val="24"/>
      <w:szCs w:val="24"/>
      <w:lang w:val="es-BO" w:eastAsia="es-ES"/>
    </w:rPr>
  </w:style>
  <w:style w:type="character" w:styleId="Hyperlink">
    <w:name w:val="Hyperlink"/>
    <w:qFormat/>
    <w:rsid w:val="00895D0A"/>
    <w:rPr>
      <w:color w:val="0000FF"/>
      <w:u w:val="none"/>
    </w:rPr>
  </w:style>
  <w:style w:type="character" w:styleId="FollowedHyperlink">
    <w:name w:val="FollowedHyperlink"/>
    <w:qFormat/>
    <w:rsid w:val="00895D0A"/>
    <w:rPr>
      <w:color w:val="0000FF"/>
      <w:u w:val="none"/>
    </w:rPr>
  </w:style>
  <w:style w:type="character" w:customStyle="1" w:styleId="BalloonTextChar">
    <w:name w:val="Balloon Text Char"/>
    <w:link w:val="BalloonText"/>
    <w:rsid w:val="00895D0A"/>
    <w:rPr>
      <w:rFonts w:ascii="Tahoma" w:hAnsi="Tahoma" w:cs="Tahoma"/>
      <w:spacing w:val="4"/>
      <w:w w:val="103"/>
      <w:sz w:val="16"/>
      <w:szCs w:val="16"/>
      <w:lang w:val="es-ES"/>
    </w:rPr>
  </w:style>
  <w:style w:type="paragraph" w:styleId="ListParagraph">
    <w:name w:val="List Paragraph"/>
    <w:basedOn w:val="Normal"/>
    <w:rsid w:val="00895D0A"/>
    <w:pPr>
      <w:suppressAutoHyphens w:val="0"/>
      <w:spacing w:line="240" w:lineRule="atLeast"/>
      <w:ind w:left="720"/>
      <w:contextualSpacing/>
    </w:pPr>
    <w:rPr>
      <w:rFonts w:eastAsia="Times New Roman"/>
      <w:spacing w:val="0"/>
      <w:w w:val="100"/>
      <w:szCs w:val="20"/>
      <w:lang w:val="es-BO" w:eastAsia="es-ES"/>
    </w:rPr>
  </w:style>
  <w:style w:type="paragraph" w:styleId="ListNumber3">
    <w:name w:val="List Number 3"/>
    <w:basedOn w:val="Normal"/>
    <w:rsid w:val="00895D0A"/>
    <w:pPr>
      <w:numPr>
        <w:numId w:val="13"/>
      </w:numPr>
      <w:spacing w:line="240" w:lineRule="atLeast"/>
    </w:pPr>
    <w:rPr>
      <w:rFonts w:eastAsia="Times New Roman"/>
      <w:spacing w:val="0"/>
      <w:w w:val="100"/>
      <w:szCs w:val="20"/>
      <w:lang w:val="en-GB"/>
    </w:rPr>
  </w:style>
  <w:style w:type="paragraph" w:styleId="Revision">
    <w:name w:val="Revision"/>
    <w:hidden/>
    <w:uiPriority w:val="99"/>
    <w:semiHidden/>
    <w:rsid w:val="00AF51E0"/>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3BE95-271D-4C75-B5F8-931B36F7A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23616</Words>
  <Characters>134616</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Plaza</cp:lastModifiedBy>
  <cp:revision>3</cp:revision>
  <cp:lastPrinted>2015-10-19T08:08:00Z</cp:lastPrinted>
  <dcterms:created xsi:type="dcterms:W3CDTF">2015-10-19T08:08:00Z</dcterms:created>
  <dcterms:modified xsi:type="dcterms:W3CDTF">2015-10-19T08:08:00Z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1507792</vt:lpwstr>
  </property>
  <property fmtid="{D5CDD505-2E9C-101B-9397-08002B2CF9AE}" pid="3" name="ODSRefJobNo">
    <vt:lpwstr>1509977</vt:lpwstr>
  </property>
  <property fmtid="{D5CDD505-2E9C-101B-9397-08002B2CF9AE}" pid="4" name="Symbol1">
    <vt:lpwstr>CERD/C/ITA/19-20</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18 de mayo de 2015</vt:lpwstr>
  </property>
  <property fmtid="{D5CDD505-2E9C-101B-9397-08002B2CF9AE}" pid="8" name="Original">
    <vt:lpwstr>inglés</vt:lpwstr>
  </property>
  <property fmtid="{D5CDD505-2E9C-101B-9397-08002B2CF9AE}" pid="9" name="Release Date">
    <vt:lpwstr>091015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