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67363212" w14:textId="77777777" w:rsidTr="00B456A0">
        <w:trPr>
          <w:trHeight w:hRule="exact" w:val="810"/>
        </w:trPr>
        <w:tc>
          <w:tcPr>
            <w:tcW w:w="1266" w:type="dxa"/>
            <w:tcBorders>
              <w:top w:val="nil"/>
              <w:bottom w:val="single" w:sz="4" w:space="0" w:color="auto"/>
            </w:tcBorders>
            <w:shd w:val="clear" w:color="auto" w:fill="auto"/>
          </w:tcPr>
          <w:p w14:paraId="14C2A59F" w14:textId="77777777" w:rsidR="00712059" w:rsidRPr="00CA35DF" w:rsidRDefault="00712059" w:rsidP="00C77AB5">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0A5889D9"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01AD0F72" w14:textId="506F9E4C" w:rsidR="006B3E27" w:rsidRPr="00C0743E" w:rsidRDefault="00C0743E" w:rsidP="00C0743E">
            <w:pPr>
              <w:bidi w:val="0"/>
              <w:rPr>
                <w:szCs w:val="20"/>
              </w:rPr>
            </w:pPr>
            <w:r w:rsidRPr="005F70DF">
              <w:rPr>
                <w:sz w:val="40"/>
                <w:szCs w:val="20"/>
              </w:rPr>
              <w:t>CAT</w:t>
            </w:r>
            <w:r w:rsidRPr="005F70DF">
              <w:rPr>
                <w:szCs w:val="20"/>
              </w:rPr>
              <w:t>/C/KEN/CO/</w:t>
            </w:r>
            <w:r w:rsidRPr="0035575A">
              <w:rPr>
                <w:szCs w:val="20"/>
              </w:rPr>
              <w:t>3</w:t>
            </w:r>
          </w:p>
        </w:tc>
      </w:tr>
      <w:tr w:rsidR="006B3E27" w:rsidRPr="00CA35DF" w14:paraId="5E56B6EF" w14:textId="77777777" w:rsidTr="00B456A0">
        <w:trPr>
          <w:trHeight w:hRule="exact" w:val="2835"/>
        </w:trPr>
        <w:tc>
          <w:tcPr>
            <w:tcW w:w="1266" w:type="dxa"/>
            <w:tcBorders>
              <w:top w:val="nil"/>
              <w:bottom w:val="single" w:sz="12" w:space="0" w:color="auto"/>
            </w:tcBorders>
            <w:shd w:val="clear" w:color="auto" w:fill="auto"/>
          </w:tcPr>
          <w:p w14:paraId="252BDC72" w14:textId="77777777" w:rsidR="006B3E27" w:rsidRPr="00CA35DF" w:rsidRDefault="00261289" w:rsidP="00CA35DF">
            <w:pPr>
              <w:jc w:val="center"/>
              <w:rPr>
                <w:rtl/>
              </w:rPr>
            </w:pPr>
            <w:r w:rsidRPr="00CA35DF">
              <w:rPr>
                <w:noProof/>
                <w:rtl/>
              </w:rPr>
              <w:drawing>
                <wp:inline distT="0" distB="0" distL="0" distR="0" wp14:anchorId="15801390" wp14:editId="6D7B3275">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1EB4CE38" w14:textId="77777777" w:rsidR="00A67AF5" w:rsidRPr="0035575A" w:rsidRDefault="00817373" w:rsidP="00D3653E">
            <w:pPr>
              <w:spacing w:before="120" w:after="40" w:line="580" w:lineRule="exact"/>
              <w:ind w:left="57"/>
              <w:rPr>
                <w:b/>
                <w:bCs/>
                <w:sz w:val="42"/>
                <w:szCs w:val="42"/>
              </w:rPr>
            </w:pPr>
            <w:r w:rsidRPr="0035575A">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597E73EE" w14:textId="1609FF86" w:rsidR="006B3E27" w:rsidRDefault="00C0743E" w:rsidP="00EE56C3">
            <w:pPr>
              <w:bidi w:val="0"/>
              <w:spacing w:before="240"/>
              <w:rPr>
                <w:szCs w:val="20"/>
              </w:rPr>
            </w:pPr>
            <w:r>
              <w:rPr>
                <w:szCs w:val="20"/>
              </w:rPr>
              <w:t>Dist</w:t>
            </w:r>
            <w:r w:rsidR="005F70DF" w:rsidRPr="005F70DF">
              <w:rPr>
                <w:szCs w:val="20"/>
              </w:rPr>
              <w:t>r.:</w:t>
            </w:r>
            <w:r>
              <w:rPr>
                <w:szCs w:val="20"/>
              </w:rPr>
              <w:t xml:space="preserve"> General</w:t>
            </w:r>
          </w:p>
          <w:p w14:paraId="7D196132" w14:textId="1896A8DB" w:rsidR="00C0743E" w:rsidRDefault="00E8660E" w:rsidP="00C0743E">
            <w:pPr>
              <w:bidi w:val="0"/>
              <w:spacing w:line="240" w:lineRule="exact"/>
              <w:jc w:val="left"/>
              <w:rPr>
                <w:szCs w:val="20"/>
              </w:rPr>
            </w:pPr>
            <w:r w:rsidRPr="0035575A">
              <w:rPr>
                <w:szCs w:val="20"/>
              </w:rPr>
              <w:t>30</w:t>
            </w:r>
            <w:r>
              <w:rPr>
                <w:szCs w:val="20"/>
              </w:rPr>
              <w:t xml:space="preserve"> May </w:t>
            </w:r>
            <w:r w:rsidR="00C0743E" w:rsidRPr="0035575A">
              <w:rPr>
                <w:szCs w:val="20"/>
              </w:rPr>
              <w:t>2022</w:t>
            </w:r>
          </w:p>
          <w:p w14:paraId="75098DCC" w14:textId="77777777" w:rsidR="00C0743E" w:rsidRDefault="00C0743E" w:rsidP="00C0743E">
            <w:pPr>
              <w:bidi w:val="0"/>
              <w:spacing w:line="240" w:lineRule="exact"/>
              <w:jc w:val="left"/>
              <w:rPr>
                <w:szCs w:val="20"/>
              </w:rPr>
            </w:pPr>
            <w:r>
              <w:rPr>
                <w:szCs w:val="20"/>
              </w:rPr>
              <w:t>Arabic</w:t>
            </w:r>
          </w:p>
          <w:p w14:paraId="1957F4CA" w14:textId="207499DF" w:rsidR="00C0743E" w:rsidRPr="00C0743E" w:rsidRDefault="00C0743E" w:rsidP="00C0743E">
            <w:pPr>
              <w:bidi w:val="0"/>
              <w:spacing w:line="240" w:lineRule="exact"/>
              <w:jc w:val="left"/>
              <w:rPr>
                <w:szCs w:val="20"/>
              </w:rPr>
            </w:pPr>
            <w:r>
              <w:rPr>
                <w:szCs w:val="20"/>
              </w:rPr>
              <w:t>Origina</w:t>
            </w:r>
            <w:r w:rsidR="005F70DF" w:rsidRPr="005F70DF">
              <w:rPr>
                <w:szCs w:val="20"/>
              </w:rPr>
              <w:t xml:space="preserve">l: </w:t>
            </w:r>
            <w:r>
              <w:rPr>
                <w:szCs w:val="20"/>
              </w:rPr>
              <w:t>English</w:t>
            </w:r>
          </w:p>
        </w:tc>
      </w:tr>
    </w:tbl>
    <w:p w14:paraId="049A8058" w14:textId="5D24ECF5" w:rsidR="00E8660E" w:rsidRPr="0035575A" w:rsidRDefault="00E8660E" w:rsidP="001C35E3">
      <w:pPr>
        <w:pStyle w:val="SingleTxtGA"/>
        <w:spacing w:before="120" w:after="0"/>
        <w:ind w:left="0" w:right="283"/>
        <w:jc w:val="left"/>
        <w:rPr>
          <w:b/>
          <w:bCs/>
          <w:sz w:val="26"/>
          <w:szCs w:val="26"/>
          <w:lang w:val="en-US" w:eastAsia="zh-TW" w:bidi="en-GB"/>
        </w:rPr>
      </w:pPr>
      <w:r w:rsidRPr="0035575A">
        <w:rPr>
          <w:b/>
          <w:bCs/>
          <w:sz w:val="26"/>
          <w:szCs w:val="26"/>
          <w:rtl/>
        </w:rPr>
        <w:t>لجنة مناهضة التعذيب</w:t>
      </w:r>
    </w:p>
    <w:p w14:paraId="03C17FE8" w14:textId="71F7F35A" w:rsidR="001C35E3" w:rsidRPr="0035575A" w:rsidRDefault="001C35E3" w:rsidP="001C35E3">
      <w:pPr>
        <w:pStyle w:val="HChGA"/>
        <w:rPr>
          <w:rtl/>
        </w:rPr>
      </w:pPr>
      <w:r w:rsidRPr="0035575A">
        <w:rPr>
          <w:rtl/>
        </w:rPr>
        <w:tab/>
      </w:r>
      <w:r w:rsidRPr="0035575A">
        <w:rPr>
          <w:rtl/>
        </w:rPr>
        <w:tab/>
      </w:r>
      <w:r w:rsidRPr="0035575A">
        <w:rPr>
          <w:rFonts w:hint="cs"/>
          <w:rtl/>
        </w:rPr>
        <w:t>الملاحظات الختامية بشأن التقرير الدوري الثالث لكينيا</w:t>
      </w:r>
      <w:r w:rsidRPr="0035575A">
        <w:rPr>
          <w:rStyle w:val="FootnoteReference"/>
          <w:sz w:val="22"/>
          <w:szCs w:val="22"/>
          <w:vertAlign w:val="baseline"/>
          <w:rtl/>
        </w:rPr>
        <w:footnoteReference w:customMarkFollows="1" w:id="1"/>
        <w:t>*</w:t>
      </w:r>
    </w:p>
    <w:p w14:paraId="7A53EF2F" w14:textId="5E48B61A" w:rsidR="001C35E3" w:rsidRPr="00975757" w:rsidRDefault="001C35E3" w:rsidP="001C35E3">
      <w:pPr>
        <w:pStyle w:val="SingleTxtGA"/>
        <w:rPr>
          <w:rtl/>
        </w:rPr>
      </w:pPr>
      <w:r w:rsidRPr="0035575A">
        <w:rPr>
          <w:rFonts w:hint="cs"/>
          <w:rtl/>
        </w:rPr>
        <w:t>1</w:t>
      </w:r>
      <w:r w:rsidRPr="00975757">
        <w:rPr>
          <w:rFonts w:hint="cs"/>
          <w:rtl/>
        </w:rPr>
        <w:t>-</w:t>
      </w:r>
      <w:r w:rsidRPr="00975757">
        <w:rPr>
          <w:rtl/>
        </w:rPr>
        <w:tab/>
      </w:r>
      <w:r w:rsidRPr="00C07444">
        <w:rPr>
          <w:rFonts w:ascii="Simplified Arabic" w:hAnsi="Simplified Arabic"/>
          <w:rtl/>
        </w:rPr>
        <w:t>نظرت لجنة مناهضة التعذيب في التقرير الدوري الثالث لكينيا</w:t>
      </w:r>
      <w:r w:rsidR="005F70DF" w:rsidRPr="00975757">
        <w:rPr>
          <w:rStyle w:val="FootnoteReference"/>
          <w:rFonts w:ascii="Simplified Arabic" w:hAnsi="Simplified Arabic"/>
          <w:szCs w:val="22"/>
          <w:rtl/>
        </w:rPr>
        <w:t>(</w:t>
      </w:r>
      <w:r w:rsidR="005F70DF" w:rsidRPr="0035575A">
        <w:rPr>
          <w:rStyle w:val="FootnoteReference"/>
          <w:rFonts w:ascii="Simplified Arabic" w:hAnsi="Simplified Arabic"/>
          <w:szCs w:val="22"/>
          <w:lang w:val="en-US"/>
        </w:rPr>
        <w:footnoteReference w:id="2"/>
      </w:r>
      <w:r w:rsidRPr="00C07444">
        <w:rPr>
          <w:rFonts w:ascii="Simplified Arabic" w:hAnsi="Simplified Arabic" w:hint="cs"/>
          <w:vertAlign w:val="superscript"/>
          <w:rtl/>
        </w:rPr>
        <w:t>)</w:t>
      </w:r>
      <w:r w:rsidRPr="00975757">
        <w:rPr>
          <w:rFonts w:hint="cs"/>
          <w:rtl/>
        </w:rPr>
        <w:t xml:space="preserve"> </w:t>
      </w:r>
      <w:r w:rsidRPr="00C07444">
        <w:rPr>
          <w:rFonts w:ascii="Simplified Arabic" w:hAnsi="Simplified Arabic"/>
          <w:rtl/>
        </w:rPr>
        <w:t xml:space="preserve">في جلستيها </w:t>
      </w:r>
      <w:r w:rsidRPr="0035575A">
        <w:rPr>
          <w:rFonts w:ascii="Simplified Arabic" w:hAnsi="Simplified Arabic"/>
          <w:rtl/>
        </w:rPr>
        <w:t>1897</w:t>
      </w:r>
      <w:r w:rsidRPr="00C07444">
        <w:rPr>
          <w:rFonts w:ascii="Simplified Arabic" w:hAnsi="Simplified Arabic"/>
          <w:rtl/>
        </w:rPr>
        <w:t xml:space="preserve"> و</w:t>
      </w:r>
      <w:r w:rsidRPr="0035575A">
        <w:rPr>
          <w:rFonts w:ascii="Simplified Arabic" w:hAnsi="Simplified Arabic"/>
          <w:rtl/>
        </w:rPr>
        <w:t>1900</w:t>
      </w:r>
      <w:r w:rsidR="005F70DF" w:rsidRPr="00975757">
        <w:rPr>
          <w:rStyle w:val="FootnoteReference"/>
          <w:rFonts w:ascii="Simplified Arabic" w:hAnsi="Simplified Arabic"/>
          <w:szCs w:val="22"/>
          <w:rtl/>
        </w:rPr>
        <w:t>(</w:t>
      </w:r>
      <w:r w:rsidR="005F70DF" w:rsidRPr="0035575A">
        <w:rPr>
          <w:rStyle w:val="FootnoteReference"/>
          <w:rFonts w:ascii="Simplified Arabic" w:hAnsi="Simplified Arabic"/>
          <w:szCs w:val="22"/>
          <w:lang w:val="en-US"/>
        </w:rPr>
        <w:footnoteReference w:id="3"/>
      </w:r>
      <w:r w:rsidR="005F70DF" w:rsidRPr="005F70DF">
        <w:rPr>
          <w:rFonts w:ascii="Simplified Arabic" w:hAnsi="Simplified Arabic" w:hint="cs"/>
          <w:vertAlign w:val="superscript"/>
          <w:rtl/>
        </w:rPr>
        <w:t>)</w:t>
      </w:r>
      <w:r w:rsidR="005F70DF" w:rsidRPr="005F70DF">
        <w:rPr>
          <w:rFonts w:ascii="Simplified Arabic" w:hAnsi="Simplified Arabic"/>
          <w:rtl/>
        </w:rPr>
        <w:t xml:space="preserve">، </w:t>
      </w:r>
      <w:r w:rsidRPr="00C07444">
        <w:rPr>
          <w:rFonts w:ascii="Simplified Arabic" w:hAnsi="Simplified Arabic"/>
          <w:rtl/>
        </w:rPr>
        <w:t xml:space="preserve">المعقودتين في </w:t>
      </w:r>
      <w:r w:rsidRPr="0035575A">
        <w:rPr>
          <w:rFonts w:ascii="Simplified Arabic" w:hAnsi="Simplified Arabic"/>
          <w:rtl/>
        </w:rPr>
        <w:t>4</w:t>
      </w:r>
      <w:r w:rsidRPr="00C07444">
        <w:rPr>
          <w:rFonts w:ascii="Simplified Arabic" w:hAnsi="Simplified Arabic"/>
          <w:rtl/>
        </w:rPr>
        <w:t xml:space="preserve"> و</w:t>
      </w:r>
      <w:r w:rsidRPr="0035575A">
        <w:rPr>
          <w:rFonts w:ascii="Simplified Arabic" w:hAnsi="Simplified Arabic"/>
          <w:rtl/>
        </w:rPr>
        <w:t>5</w:t>
      </w:r>
      <w:r w:rsidRPr="00C07444">
        <w:rPr>
          <w:rFonts w:ascii="Simplified Arabic" w:hAnsi="Simplified Arabic"/>
          <w:rtl/>
        </w:rPr>
        <w:t xml:space="preserve"> أيار/مايو </w:t>
      </w:r>
      <w:r w:rsidRPr="0035575A">
        <w:rPr>
          <w:rFonts w:ascii="Simplified Arabic" w:hAnsi="Simplified Arabic"/>
          <w:rtl/>
        </w:rPr>
        <w:t>2022</w:t>
      </w:r>
      <w:r w:rsidRPr="00C07444">
        <w:rPr>
          <w:rFonts w:ascii="Simplified Arabic" w:hAnsi="Simplified Arabic"/>
          <w:rtl/>
        </w:rPr>
        <w:t xml:space="preserve">، واعتمدت في جلستها </w:t>
      </w:r>
      <w:r w:rsidRPr="0035575A">
        <w:rPr>
          <w:rFonts w:ascii="Simplified Arabic" w:hAnsi="Simplified Arabic"/>
          <w:rtl/>
        </w:rPr>
        <w:t>1908</w:t>
      </w:r>
      <w:r w:rsidRPr="00C07444">
        <w:rPr>
          <w:rFonts w:ascii="Simplified Arabic" w:hAnsi="Simplified Arabic"/>
          <w:rtl/>
        </w:rPr>
        <w:t xml:space="preserve">، المعقودة في </w:t>
      </w:r>
      <w:r w:rsidRPr="0035575A">
        <w:rPr>
          <w:rFonts w:ascii="Simplified Arabic" w:hAnsi="Simplified Arabic"/>
          <w:rtl/>
        </w:rPr>
        <w:t>11</w:t>
      </w:r>
      <w:r w:rsidRPr="00C07444">
        <w:rPr>
          <w:rFonts w:ascii="Simplified Arabic" w:hAnsi="Simplified Arabic"/>
          <w:rtl/>
        </w:rPr>
        <w:t xml:space="preserve"> أيار/مايو </w:t>
      </w:r>
      <w:r w:rsidRPr="0035575A">
        <w:rPr>
          <w:rFonts w:ascii="Simplified Arabic" w:hAnsi="Simplified Arabic"/>
          <w:rtl/>
        </w:rPr>
        <w:t>2022</w:t>
      </w:r>
      <w:r w:rsidRPr="00C07444">
        <w:rPr>
          <w:rFonts w:ascii="Simplified Arabic" w:hAnsi="Simplified Arabic"/>
          <w:rtl/>
        </w:rPr>
        <w:t>،</w:t>
      </w:r>
      <w:r w:rsidRPr="00C07444">
        <w:rPr>
          <w:rFonts w:ascii="Simplified Arabic" w:hAnsi="Simplified Arabic" w:hint="cs"/>
          <w:rtl/>
        </w:rPr>
        <w:t xml:space="preserve"> </w:t>
      </w:r>
      <w:r w:rsidRPr="00C07444">
        <w:rPr>
          <w:rFonts w:ascii="Simplified Arabic" w:hAnsi="Simplified Arabic"/>
          <w:rtl/>
        </w:rPr>
        <w:t>هذه الملاحظات الختامية.</w:t>
      </w:r>
    </w:p>
    <w:p w14:paraId="7A870CC1" w14:textId="08F6ACE8" w:rsidR="00E8660E" w:rsidRPr="0035575A" w:rsidRDefault="00E8660E" w:rsidP="00E8660E">
      <w:pPr>
        <w:pStyle w:val="H1GA"/>
        <w:rPr>
          <w:lang w:val="en-US" w:eastAsia="zh-TW" w:bidi="en-GB"/>
        </w:rPr>
      </w:pPr>
      <w:r w:rsidRPr="0035575A">
        <w:rPr>
          <w:rtl/>
        </w:rPr>
        <w:tab/>
        <w:t>ألف-</w:t>
      </w:r>
      <w:r w:rsidRPr="0035575A">
        <w:rPr>
          <w:rtl/>
        </w:rPr>
        <w:tab/>
        <w:t>مقدمة</w:t>
      </w:r>
    </w:p>
    <w:p w14:paraId="2A0138BB" w14:textId="3AC3A198" w:rsidR="00E8660E" w:rsidRPr="004E22A0" w:rsidRDefault="00E8660E" w:rsidP="00E8660E">
      <w:pPr>
        <w:pStyle w:val="SingleTxtGA"/>
        <w:rPr>
          <w:lang w:eastAsia="zh-TW" w:bidi="en-GB"/>
        </w:rPr>
      </w:pPr>
      <w:r w:rsidRPr="0035575A">
        <w:rPr>
          <w:rtl/>
        </w:rPr>
        <w:t>2</w:t>
      </w:r>
      <w:r w:rsidRPr="00F60D22">
        <w:rPr>
          <w:rtl/>
        </w:rPr>
        <w:t>-</w:t>
      </w:r>
      <w:r w:rsidRPr="00F60D22">
        <w:rPr>
          <w:rtl/>
        </w:rPr>
        <w:tab/>
        <w:t>ترحّب اللجنة بتقديم التقرير الدوري الثالث للدولة الطرف،</w:t>
      </w:r>
      <w:r w:rsidR="001C35E3">
        <w:rPr>
          <w:rtl/>
        </w:rPr>
        <w:t xml:space="preserve"> </w:t>
      </w:r>
      <w:r w:rsidRPr="00F60D22">
        <w:rPr>
          <w:rtl/>
        </w:rPr>
        <w:t>لكنها تأسف لتأخّر تقديم التقرير أكثر من سنة.</w:t>
      </w:r>
    </w:p>
    <w:p w14:paraId="0BEA3813" w14:textId="77777777" w:rsidR="00E8660E" w:rsidRPr="00AE5DAB" w:rsidRDefault="00E8660E" w:rsidP="00E8660E">
      <w:pPr>
        <w:pStyle w:val="SingleTxtGA"/>
        <w:rPr>
          <w:lang w:eastAsia="zh-TW" w:bidi="en-GB"/>
        </w:rPr>
      </w:pPr>
      <w:r w:rsidRPr="0035575A">
        <w:rPr>
          <w:rtl/>
        </w:rPr>
        <w:t>3</w:t>
      </w:r>
      <w:r w:rsidRPr="00F60D22">
        <w:rPr>
          <w:rtl/>
        </w:rPr>
        <w:t>-</w:t>
      </w:r>
      <w:r w:rsidRPr="00F60D22">
        <w:rPr>
          <w:rtl/>
        </w:rPr>
        <w:tab/>
        <w:t xml:space="preserve">وتعرب اللجنة عن تقديرها </w:t>
      </w:r>
      <w:r>
        <w:rPr>
          <w:rtl/>
          <w:lang w:val="fr-CH"/>
        </w:rPr>
        <w:t>ل</w:t>
      </w:r>
      <w:r w:rsidRPr="00F60D22">
        <w:rPr>
          <w:rtl/>
        </w:rPr>
        <w:t xml:space="preserve">إتاحةَ الفرصة لها لإجراء حوار بنّاء مع وفد الدولة الطرف وللردود المقدمة على الأسئلة والشواغل التي أثيرت أثناء النظر في التقرير. </w:t>
      </w:r>
    </w:p>
    <w:p w14:paraId="3375F816" w14:textId="77777777" w:rsidR="00E8660E" w:rsidRPr="0035575A" w:rsidRDefault="00E8660E" w:rsidP="00E8660E">
      <w:pPr>
        <w:pStyle w:val="H1GA"/>
        <w:rPr>
          <w:lang w:eastAsia="zh-TW" w:bidi="en-GB"/>
        </w:rPr>
      </w:pPr>
      <w:r w:rsidRPr="0035575A">
        <w:rPr>
          <w:rtl/>
        </w:rPr>
        <w:tab/>
        <w:t>باء-</w:t>
      </w:r>
      <w:r w:rsidRPr="0035575A">
        <w:rPr>
          <w:rtl/>
        </w:rPr>
        <w:tab/>
        <w:t>الجوانب الإيجابية</w:t>
      </w:r>
    </w:p>
    <w:p w14:paraId="4FBB2CE6" w14:textId="77777777" w:rsidR="00E8660E" w:rsidRPr="00F60D22" w:rsidRDefault="00E8660E" w:rsidP="00E8660E">
      <w:pPr>
        <w:pStyle w:val="SingleTxtGA"/>
        <w:rPr>
          <w:lang w:val="ar-SA" w:eastAsia="zh-TW" w:bidi="en-GB"/>
        </w:rPr>
      </w:pPr>
      <w:r w:rsidRPr="0035575A">
        <w:rPr>
          <w:rtl/>
        </w:rPr>
        <w:t>4</w:t>
      </w:r>
      <w:r w:rsidRPr="00F60D22">
        <w:rPr>
          <w:rtl/>
        </w:rPr>
        <w:t>-</w:t>
      </w:r>
      <w:r w:rsidRPr="00F60D22">
        <w:rPr>
          <w:rtl/>
        </w:rPr>
        <w:tab/>
        <w:t>ترحب اللجنة بالمبادرات التي اتخذتها الدولة الطرف من أجل تنقيح تشريعاتها في المجالات التي لها صلة بالاتفاقية ومن أجل سن تشريعات جديدة في هذه المجالات</w:t>
      </w:r>
      <w:r>
        <w:rPr>
          <w:rtl/>
        </w:rPr>
        <w:t>.</w:t>
      </w:r>
      <w:r w:rsidRPr="00F60D22">
        <w:rPr>
          <w:rtl/>
        </w:rPr>
        <w:t xml:space="preserve"> ومن هذه المبادرات ما يلي:</w:t>
      </w:r>
    </w:p>
    <w:p w14:paraId="213A72C6" w14:textId="744C0EB7" w:rsidR="005F70DF" w:rsidRPr="005F70DF" w:rsidRDefault="00E8660E" w:rsidP="00E8660E">
      <w:pPr>
        <w:pStyle w:val="SingleTxtGA"/>
        <w:rPr>
          <w:lang w:val="en-US" w:eastAsia="zh-TW" w:bidi="en-GB"/>
        </w:rPr>
      </w:pPr>
      <w:r>
        <w:rPr>
          <w:rtl/>
        </w:rPr>
        <w:tab/>
      </w:r>
      <w:r w:rsidRPr="00F60D22">
        <w:rPr>
          <w:rtl/>
        </w:rPr>
        <w:t>(أ)</w:t>
      </w:r>
      <w:r w:rsidRPr="00F60D22">
        <w:rPr>
          <w:rtl/>
        </w:rPr>
        <w:tab/>
        <w:t xml:space="preserve">قانون اللاجئين (رقم </w:t>
      </w:r>
      <w:r w:rsidRPr="0035575A">
        <w:rPr>
          <w:rtl/>
        </w:rPr>
        <w:t>10</w:t>
      </w:r>
      <w:r w:rsidRPr="00F60D22">
        <w:rPr>
          <w:rtl/>
        </w:rPr>
        <w:t xml:space="preserve"> لعام </w:t>
      </w:r>
      <w:r w:rsidRPr="0035575A">
        <w:rPr>
          <w:rtl/>
        </w:rPr>
        <w:t>2021</w:t>
      </w:r>
      <w:r w:rsidR="005F70DF" w:rsidRPr="005F70DF">
        <w:rPr>
          <w:rtl/>
        </w:rPr>
        <w:t>)؛</w:t>
      </w:r>
    </w:p>
    <w:p w14:paraId="1D3FDED3" w14:textId="1F2D2241" w:rsidR="00E8660E" w:rsidRPr="001C35E3" w:rsidRDefault="00E8660E" w:rsidP="00E8660E">
      <w:pPr>
        <w:pStyle w:val="SingleTxtGA"/>
        <w:rPr>
          <w:lang w:val="en-US" w:eastAsia="zh-TW" w:bidi="en-GB"/>
        </w:rPr>
      </w:pPr>
      <w:r>
        <w:rPr>
          <w:rtl/>
        </w:rPr>
        <w:tab/>
      </w:r>
      <w:r w:rsidRPr="00F60D22">
        <w:rPr>
          <w:rtl/>
        </w:rPr>
        <w:t>(ب)</w:t>
      </w:r>
      <w:r w:rsidRPr="00F60D22">
        <w:rPr>
          <w:rtl/>
        </w:rPr>
        <w:tab/>
        <w:t xml:space="preserve">قانون منع التعذيب (رقم </w:t>
      </w:r>
      <w:r w:rsidRPr="0035575A">
        <w:rPr>
          <w:rtl/>
        </w:rPr>
        <w:t>12</w:t>
      </w:r>
      <w:r w:rsidRPr="00F60D22">
        <w:rPr>
          <w:rtl/>
        </w:rPr>
        <w:t xml:space="preserve"> لعام </w:t>
      </w:r>
      <w:r w:rsidRPr="0035575A">
        <w:rPr>
          <w:rtl/>
        </w:rPr>
        <w:t>201</w:t>
      </w:r>
      <w:r w:rsidR="005F70DF" w:rsidRPr="0035575A">
        <w:rPr>
          <w:rtl/>
        </w:rPr>
        <w:t>7</w:t>
      </w:r>
      <w:r w:rsidR="005F70DF" w:rsidRPr="005F70DF">
        <w:rPr>
          <w:rtl/>
        </w:rPr>
        <w:t xml:space="preserve">) </w:t>
      </w:r>
      <w:r w:rsidRPr="00F60D22">
        <w:rPr>
          <w:rtl/>
        </w:rPr>
        <w:t xml:space="preserve">الذي يعتبر التعذيب جريمة منفصلة وينص على عقوبات صارمة، إضافة إلى </w:t>
      </w:r>
      <w:r>
        <w:rPr>
          <w:rtl/>
        </w:rPr>
        <w:t>إمكانية ممارسة</w:t>
      </w:r>
      <w:r w:rsidRPr="00F60D22">
        <w:rPr>
          <w:rtl/>
        </w:rPr>
        <w:t xml:space="preserve"> الدولة الطرف الولاية القضائية العالمية على مرتكبي أعمال التعذيب الموجودين على أراضيها؛</w:t>
      </w:r>
    </w:p>
    <w:p w14:paraId="2AEA7DC1" w14:textId="06245161" w:rsidR="005F70DF" w:rsidRPr="005F70DF" w:rsidRDefault="00E8660E" w:rsidP="00E8660E">
      <w:pPr>
        <w:pStyle w:val="SingleTxtGA"/>
        <w:rPr>
          <w:lang w:val="ar-SA" w:eastAsia="zh-TW" w:bidi="en-GB"/>
        </w:rPr>
      </w:pPr>
      <w:r>
        <w:rPr>
          <w:rtl/>
        </w:rPr>
        <w:tab/>
      </w:r>
      <w:r w:rsidRPr="00F60D22">
        <w:rPr>
          <w:rtl/>
        </w:rPr>
        <w:t>(ج)</w:t>
      </w:r>
      <w:r w:rsidRPr="00F60D22">
        <w:rPr>
          <w:rtl/>
        </w:rPr>
        <w:tab/>
        <w:t xml:space="preserve">قانون دائرة الطب الشرعي الوطنية (رقم </w:t>
      </w:r>
      <w:r w:rsidRPr="0035575A">
        <w:rPr>
          <w:rtl/>
        </w:rPr>
        <w:t>18</w:t>
      </w:r>
      <w:r w:rsidRPr="00F60D22">
        <w:rPr>
          <w:rtl/>
        </w:rPr>
        <w:t xml:space="preserve"> لعام </w:t>
      </w:r>
      <w:r w:rsidRPr="0035575A">
        <w:rPr>
          <w:rtl/>
        </w:rPr>
        <w:t>2017</w:t>
      </w:r>
      <w:r w:rsidR="005F70DF" w:rsidRPr="005F70DF">
        <w:rPr>
          <w:rtl/>
        </w:rPr>
        <w:t>)؛</w:t>
      </w:r>
    </w:p>
    <w:p w14:paraId="28F686AB" w14:textId="69D4028D" w:rsidR="005F70DF" w:rsidRPr="005F70DF" w:rsidRDefault="00E8660E" w:rsidP="00E8660E">
      <w:pPr>
        <w:pStyle w:val="SingleTxtGA"/>
        <w:rPr>
          <w:lang w:val="en-US" w:eastAsia="zh-TW" w:bidi="en-GB"/>
        </w:rPr>
      </w:pPr>
      <w:r>
        <w:rPr>
          <w:rtl/>
        </w:rPr>
        <w:tab/>
      </w:r>
      <w:r w:rsidRPr="00F60D22">
        <w:rPr>
          <w:rtl/>
        </w:rPr>
        <w:t>(د)</w:t>
      </w:r>
      <w:r w:rsidRPr="00F60D22">
        <w:rPr>
          <w:rtl/>
        </w:rPr>
        <w:tab/>
        <w:t xml:space="preserve">قانون المعونة القضائية (رقم </w:t>
      </w:r>
      <w:r w:rsidRPr="0035575A">
        <w:rPr>
          <w:rtl/>
        </w:rPr>
        <w:t>6</w:t>
      </w:r>
      <w:r w:rsidRPr="00F60D22">
        <w:rPr>
          <w:rtl/>
        </w:rPr>
        <w:t xml:space="preserve"> لعام </w:t>
      </w:r>
      <w:r w:rsidRPr="0035575A">
        <w:rPr>
          <w:rtl/>
        </w:rPr>
        <w:t>2016</w:t>
      </w:r>
      <w:r w:rsidR="005F70DF" w:rsidRPr="005F70DF">
        <w:rPr>
          <w:rtl/>
        </w:rPr>
        <w:t>)؛</w:t>
      </w:r>
    </w:p>
    <w:p w14:paraId="23412027" w14:textId="771A2B08" w:rsidR="005F70DF" w:rsidRPr="005F70DF" w:rsidRDefault="00E8660E" w:rsidP="00E8660E">
      <w:pPr>
        <w:pStyle w:val="SingleTxtGA"/>
        <w:rPr>
          <w:lang w:val="ar-SA" w:eastAsia="zh-TW" w:bidi="en-GB"/>
        </w:rPr>
      </w:pPr>
      <w:r>
        <w:rPr>
          <w:rtl/>
        </w:rPr>
        <w:tab/>
      </w:r>
      <w:r w:rsidRPr="00F60D22">
        <w:rPr>
          <w:rtl/>
        </w:rPr>
        <w:t>(هـ)</w:t>
      </w:r>
      <w:r w:rsidRPr="00F60D22">
        <w:rPr>
          <w:rtl/>
        </w:rPr>
        <w:tab/>
        <w:t xml:space="preserve">قانون حماية الشهود (المعدل) (رقم </w:t>
      </w:r>
      <w:r w:rsidRPr="0035575A">
        <w:rPr>
          <w:rtl/>
        </w:rPr>
        <w:t>45</w:t>
      </w:r>
      <w:r w:rsidRPr="00F60D22">
        <w:rPr>
          <w:rtl/>
        </w:rPr>
        <w:t xml:space="preserve"> لعام </w:t>
      </w:r>
      <w:r w:rsidRPr="0035575A">
        <w:rPr>
          <w:rtl/>
        </w:rPr>
        <w:t>2016</w:t>
      </w:r>
      <w:r w:rsidR="005F70DF" w:rsidRPr="005F70DF">
        <w:rPr>
          <w:rtl/>
        </w:rPr>
        <w:t>)؛</w:t>
      </w:r>
    </w:p>
    <w:p w14:paraId="3ABFAF73" w14:textId="58025F4D" w:rsidR="005F70DF" w:rsidRPr="005F70DF" w:rsidRDefault="00E8660E" w:rsidP="00E8660E">
      <w:pPr>
        <w:pStyle w:val="SingleTxtGA"/>
        <w:rPr>
          <w:lang w:val="ar-SA" w:eastAsia="zh-TW" w:bidi="en-GB"/>
        </w:rPr>
      </w:pPr>
      <w:r>
        <w:rPr>
          <w:rtl/>
        </w:rPr>
        <w:lastRenderedPageBreak/>
        <w:tab/>
      </w:r>
      <w:r w:rsidRPr="00F60D22">
        <w:rPr>
          <w:rtl/>
        </w:rPr>
        <w:t>(و)</w:t>
      </w:r>
      <w:r w:rsidRPr="00F60D22">
        <w:rPr>
          <w:rtl/>
        </w:rPr>
        <w:tab/>
        <w:t xml:space="preserve">قانون الحماية من العنف العائلي (رقم </w:t>
      </w:r>
      <w:r w:rsidRPr="0035575A">
        <w:rPr>
          <w:rtl/>
        </w:rPr>
        <w:t>2</w:t>
      </w:r>
      <w:r w:rsidRPr="00F60D22">
        <w:rPr>
          <w:rtl/>
        </w:rPr>
        <w:t xml:space="preserve"> لعام </w:t>
      </w:r>
      <w:r w:rsidRPr="0035575A">
        <w:rPr>
          <w:rtl/>
        </w:rPr>
        <w:t>2015</w:t>
      </w:r>
      <w:r w:rsidR="005F70DF" w:rsidRPr="005F70DF">
        <w:rPr>
          <w:rtl/>
        </w:rPr>
        <w:t>)؛</w:t>
      </w:r>
    </w:p>
    <w:p w14:paraId="3E5168F4" w14:textId="215E3513" w:rsidR="005F70DF" w:rsidRPr="005F70DF" w:rsidRDefault="00E8660E" w:rsidP="00E8660E">
      <w:pPr>
        <w:pStyle w:val="SingleTxtGA"/>
        <w:rPr>
          <w:lang w:eastAsia="zh-TW" w:bidi="en-GB"/>
        </w:rPr>
      </w:pPr>
      <w:r>
        <w:rPr>
          <w:rtl/>
        </w:rPr>
        <w:tab/>
      </w:r>
      <w:r w:rsidRPr="00F60D22">
        <w:rPr>
          <w:rtl/>
        </w:rPr>
        <w:t>(ز)</w:t>
      </w:r>
      <w:r w:rsidRPr="00F60D22">
        <w:rPr>
          <w:rtl/>
        </w:rPr>
        <w:tab/>
        <w:t xml:space="preserve">قانون مسلوبي الحرية (رقم </w:t>
      </w:r>
      <w:r w:rsidRPr="0035575A">
        <w:rPr>
          <w:rtl/>
        </w:rPr>
        <w:t>23</w:t>
      </w:r>
      <w:r w:rsidRPr="00F60D22">
        <w:rPr>
          <w:rtl/>
        </w:rPr>
        <w:t xml:space="preserve"> لعام </w:t>
      </w:r>
      <w:r w:rsidRPr="0035575A">
        <w:rPr>
          <w:rtl/>
        </w:rPr>
        <w:t>2014</w:t>
      </w:r>
      <w:r w:rsidR="005F70DF" w:rsidRPr="005F70DF">
        <w:rPr>
          <w:rtl/>
        </w:rPr>
        <w:t>)؛</w:t>
      </w:r>
    </w:p>
    <w:p w14:paraId="1AEB31D8" w14:textId="27BA4762" w:rsidR="005F70DF" w:rsidRPr="005F70DF" w:rsidRDefault="00E8660E" w:rsidP="00E8660E">
      <w:pPr>
        <w:pStyle w:val="SingleTxtGA"/>
        <w:rPr>
          <w:lang w:val="ar-SA" w:eastAsia="zh-TW" w:bidi="en-GB"/>
        </w:rPr>
      </w:pPr>
      <w:r>
        <w:rPr>
          <w:rtl/>
        </w:rPr>
        <w:tab/>
      </w:r>
      <w:r w:rsidRPr="00F60D22">
        <w:rPr>
          <w:rtl/>
        </w:rPr>
        <w:t>(ح)</w:t>
      </w:r>
      <w:r w:rsidRPr="00F60D22">
        <w:rPr>
          <w:rtl/>
        </w:rPr>
        <w:tab/>
        <w:t xml:space="preserve">قانون حماية الضحايا (رقم </w:t>
      </w:r>
      <w:r w:rsidRPr="0035575A">
        <w:rPr>
          <w:rtl/>
        </w:rPr>
        <w:t>17</w:t>
      </w:r>
      <w:r w:rsidRPr="00F60D22">
        <w:rPr>
          <w:rtl/>
        </w:rPr>
        <w:t xml:space="preserve"> لعام </w:t>
      </w:r>
      <w:r w:rsidRPr="0035575A">
        <w:rPr>
          <w:rtl/>
        </w:rPr>
        <w:t>2014</w:t>
      </w:r>
      <w:r w:rsidR="005F70DF" w:rsidRPr="005F70DF">
        <w:rPr>
          <w:rtl/>
        </w:rPr>
        <w:t>)؛</w:t>
      </w:r>
    </w:p>
    <w:p w14:paraId="161E7A51" w14:textId="4BE3EFBA" w:rsidR="00E8660E" w:rsidRPr="00F60D22" w:rsidRDefault="00E8660E" w:rsidP="00E8660E">
      <w:pPr>
        <w:pStyle w:val="SingleTxtGA"/>
        <w:rPr>
          <w:lang w:val="ar-SA" w:eastAsia="zh-TW" w:bidi="en-GB"/>
        </w:rPr>
      </w:pPr>
      <w:r w:rsidRPr="0035575A">
        <w:rPr>
          <w:rtl/>
        </w:rPr>
        <w:t>5</w:t>
      </w:r>
      <w:r w:rsidRPr="00F60D22">
        <w:rPr>
          <w:rtl/>
        </w:rPr>
        <w:t>-</w:t>
      </w:r>
      <w:r w:rsidRPr="00F60D22">
        <w:rPr>
          <w:rtl/>
        </w:rPr>
        <w:tab/>
        <w:t xml:space="preserve">وتثني اللجنة على المبادرات التي اتخذتها الدولة الطرف </w:t>
      </w:r>
      <w:r>
        <w:rPr>
          <w:rtl/>
        </w:rPr>
        <w:t xml:space="preserve">من </w:t>
      </w:r>
      <w:r w:rsidRPr="00F60D22">
        <w:rPr>
          <w:rtl/>
        </w:rPr>
        <w:t>أجل تعديل سياساتها وإجراءاتها قصد توفير حماية أكبر لحقوق الإنسان وتطبيق الاتفاقية، ومنها ما يلي على وجه الخصوص:</w:t>
      </w:r>
    </w:p>
    <w:p w14:paraId="2A4722AF" w14:textId="77777777" w:rsidR="00E8660E" w:rsidRPr="00E24CAC" w:rsidRDefault="00E8660E" w:rsidP="00E8660E">
      <w:pPr>
        <w:pStyle w:val="SingleTxtGA"/>
        <w:rPr>
          <w:lang w:eastAsia="zh-TW" w:bidi="en-GB"/>
        </w:rPr>
      </w:pPr>
      <w:r>
        <w:rPr>
          <w:rtl/>
        </w:rPr>
        <w:tab/>
      </w:r>
      <w:r w:rsidRPr="00F60D22">
        <w:rPr>
          <w:rtl/>
        </w:rPr>
        <w:t>(أ)</w:t>
      </w:r>
      <w:r w:rsidRPr="00F60D22">
        <w:rPr>
          <w:rtl/>
        </w:rPr>
        <w:tab/>
      </w:r>
      <w:r>
        <w:rPr>
          <w:rtl/>
        </w:rPr>
        <w:t>استهلال</w:t>
      </w:r>
      <w:r w:rsidRPr="00F60D22">
        <w:rPr>
          <w:rtl/>
        </w:rPr>
        <w:t xml:space="preserve"> طرائق التشغيل الموحدة بشأن التحقيق في جرائم حقوق الإنسان الخطيرة التي يرتكبها أفراد الشرطة ومقاضاة الجناة</w:t>
      </w:r>
      <w:r>
        <w:rPr>
          <w:rtl/>
        </w:rPr>
        <w:t>،</w:t>
      </w:r>
      <w:r w:rsidRPr="00F60D22">
        <w:rPr>
          <w:rtl/>
        </w:rPr>
        <w:t xml:space="preserve"> في عام </w:t>
      </w:r>
      <w:r w:rsidRPr="0035575A">
        <w:rPr>
          <w:rtl/>
        </w:rPr>
        <w:t>2021</w:t>
      </w:r>
      <w:r w:rsidRPr="00F60D22">
        <w:rPr>
          <w:rtl/>
        </w:rPr>
        <w:t xml:space="preserve">؛ </w:t>
      </w:r>
    </w:p>
    <w:p w14:paraId="060A6254" w14:textId="022C7D97" w:rsidR="00E8660E" w:rsidRPr="00891F06" w:rsidRDefault="00E8660E" w:rsidP="00E8660E">
      <w:pPr>
        <w:pStyle w:val="SingleTxtGA"/>
        <w:rPr>
          <w:lang w:eastAsia="zh-TW" w:bidi="en-GB"/>
        </w:rPr>
      </w:pPr>
      <w:r>
        <w:rPr>
          <w:rtl/>
        </w:rPr>
        <w:tab/>
      </w:r>
      <w:r w:rsidRPr="00F60D22">
        <w:rPr>
          <w:rtl/>
        </w:rPr>
        <w:t>(ب)</w:t>
      </w:r>
      <w:r w:rsidRPr="00F60D22">
        <w:rPr>
          <w:rtl/>
        </w:rPr>
        <w:tab/>
        <w:t>إنشاء المنتدى الاستشاري الوطني المتعدد الوكالات المعني بالتأهب للانتخابات</w:t>
      </w:r>
      <w:r>
        <w:rPr>
          <w:rtl/>
        </w:rPr>
        <w:t>،</w:t>
      </w:r>
      <w:r w:rsidRPr="00F60D22">
        <w:rPr>
          <w:rtl/>
        </w:rPr>
        <w:t xml:space="preserve"> في</w:t>
      </w:r>
      <w:r w:rsidR="00840574">
        <w:rPr>
          <w:rFonts w:hint="cs"/>
          <w:rtl/>
        </w:rPr>
        <w:t> </w:t>
      </w:r>
      <w:r w:rsidRPr="00F60D22">
        <w:rPr>
          <w:rtl/>
        </w:rPr>
        <w:t xml:space="preserve">عام </w:t>
      </w:r>
      <w:r w:rsidRPr="0035575A">
        <w:rPr>
          <w:rtl/>
        </w:rPr>
        <w:t>2021</w:t>
      </w:r>
      <w:r w:rsidRPr="00F60D22">
        <w:rPr>
          <w:rtl/>
        </w:rPr>
        <w:t>؛</w:t>
      </w:r>
    </w:p>
    <w:p w14:paraId="576AE052" w14:textId="51981CC1" w:rsidR="00E8660E" w:rsidRPr="00F60D22" w:rsidRDefault="00E8660E" w:rsidP="00E8660E">
      <w:pPr>
        <w:pStyle w:val="SingleTxtGA"/>
        <w:rPr>
          <w:lang w:val="ar-SA" w:eastAsia="zh-TW" w:bidi="en-GB"/>
        </w:rPr>
      </w:pPr>
      <w:r>
        <w:rPr>
          <w:rtl/>
        </w:rPr>
        <w:tab/>
      </w:r>
      <w:r w:rsidRPr="00F60D22">
        <w:rPr>
          <w:rtl/>
        </w:rPr>
        <w:t>(ج)</w:t>
      </w:r>
      <w:r w:rsidRPr="00F60D22">
        <w:rPr>
          <w:rtl/>
        </w:rPr>
        <w:tab/>
        <w:t xml:space="preserve">اعتماد سياسة التحويل ومبادئه التوجيهية في عام </w:t>
      </w:r>
      <w:r w:rsidRPr="0035575A">
        <w:rPr>
          <w:rtl/>
        </w:rPr>
        <w:t>201</w:t>
      </w:r>
      <w:r w:rsidR="005F70DF" w:rsidRPr="0035575A">
        <w:rPr>
          <w:rtl/>
        </w:rPr>
        <w:t>9</w:t>
      </w:r>
      <w:r w:rsidR="005F70DF" w:rsidRPr="005F70DF">
        <w:rPr>
          <w:rtl/>
        </w:rPr>
        <w:t xml:space="preserve">. </w:t>
      </w:r>
      <w:r w:rsidRPr="00F60D22">
        <w:rPr>
          <w:rtl/>
        </w:rPr>
        <w:t>وتهدف هذه السياسة والمبادئ التوجيهية إلى توجيه المدعين العامين بشأن تحويل القضايا من الإجراءات القضائية إلى التسويات الودية؛</w:t>
      </w:r>
    </w:p>
    <w:p w14:paraId="3A2C7F48" w14:textId="7FDAAA72" w:rsidR="00E8660E" w:rsidRPr="002139DA" w:rsidRDefault="00E8660E" w:rsidP="00E8660E">
      <w:pPr>
        <w:pStyle w:val="SingleTxtGA"/>
        <w:rPr>
          <w:lang w:eastAsia="zh-TW" w:bidi="en-GB"/>
        </w:rPr>
      </w:pPr>
      <w:r>
        <w:rPr>
          <w:rtl/>
        </w:rPr>
        <w:tab/>
      </w:r>
      <w:r w:rsidRPr="00F60D22">
        <w:rPr>
          <w:rtl/>
        </w:rPr>
        <w:t>(د)</w:t>
      </w:r>
      <w:r w:rsidRPr="00F60D22">
        <w:rPr>
          <w:rtl/>
        </w:rPr>
        <w:tab/>
        <w:t>اعتماد السياسة الوطنية المنقحة للقضاء على تشويه الأعضاء التناسلية الأنثوية</w:t>
      </w:r>
      <w:r>
        <w:rPr>
          <w:rtl/>
        </w:rPr>
        <w:t>،</w:t>
      </w:r>
      <w:r w:rsidRPr="00F60D22">
        <w:rPr>
          <w:rtl/>
        </w:rPr>
        <w:t xml:space="preserve"> في عام </w:t>
      </w:r>
      <w:r w:rsidRPr="0035575A">
        <w:rPr>
          <w:rtl/>
        </w:rPr>
        <w:t>2019</w:t>
      </w:r>
      <w:r w:rsidRPr="00F60D22">
        <w:rPr>
          <w:rtl/>
        </w:rPr>
        <w:t>، وإنشاء وحدة داخل مكتب مدير النيابة العامة لمقاضاة مرتكبي تشويه الأعضاء التناسلية الأنثوية وزواج الأطفال</w:t>
      </w:r>
      <w:r>
        <w:rPr>
          <w:rtl/>
        </w:rPr>
        <w:t>،</w:t>
      </w:r>
      <w:r w:rsidRPr="00F60D22">
        <w:rPr>
          <w:rtl/>
        </w:rPr>
        <w:t xml:space="preserve"> في عام </w:t>
      </w:r>
      <w:r w:rsidRPr="0035575A">
        <w:rPr>
          <w:rtl/>
        </w:rPr>
        <w:t>2014</w:t>
      </w:r>
      <w:r w:rsidRPr="00F60D22">
        <w:rPr>
          <w:rtl/>
        </w:rPr>
        <w:t>، وإنشاء لجان توجيهية في جميع المقاطعات الـ</w:t>
      </w:r>
      <w:r w:rsidR="00840574">
        <w:rPr>
          <w:rFonts w:hint="cs"/>
          <w:rtl/>
        </w:rPr>
        <w:t xml:space="preserve"> </w:t>
      </w:r>
      <w:r w:rsidRPr="0035575A">
        <w:rPr>
          <w:rtl/>
        </w:rPr>
        <w:t>22</w:t>
      </w:r>
      <w:r w:rsidRPr="00F60D22">
        <w:rPr>
          <w:rtl/>
        </w:rPr>
        <w:t xml:space="preserve"> ذات الأولوية لمكافحة تشويه الأعضاء التناسلية الأنثوية؛</w:t>
      </w:r>
    </w:p>
    <w:p w14:paraId="581BD0A9" w14:textId="77777777" w:rsidR="00E8660E" w:rsidRPr="00F60D22" w:rsidRDefault="00E8660E" w:rsidP="00E8660E">
      <w:pPr>
        <w:pStyle w:val="SingleTxtGA"/>
        <w:rPr>
          <w:lang w:val="ar-SA" w:eastAsia="zh-TW" w:bidi="en-GB"/>
        </w:rPr>
      </w:pPr>
      <w:r>
        <w:rPr>
          <w:rtl/>
        </w:rPr>
        <w:tab/>
      </w:r>
      <w:r w:rsidRPr="00F60D22">
        <w:rPr>
          <w:rtl/>
        </w:rPr>
        <w:t>(هـ)</w:t>
      </w:r>
      <w:r w:rsidRPr="00F60D22">
        <w:rPr>
          <w:rtl/>
        </w:rPr>
        <w:tab/>
        <w:t xml:space="preserve">إنشاء مجلس لحماية الضحايا في عام </w:t>
      </w:r>
      <w:r w:rsidRPr="0035575A">
        <w:rPr>
          <w:rtl/>
        </w:rPr>
        <w:t>2017</w:t>
      </w:r>
      <w:r w:rsidRPr="00F60D22">
        <w:rPr>
          <w:rtl/>
        </w:rPr>
        <w:t xml:space="preserve">؛ </w:t>
      </w:r>
    </w:p>
    <w:p w14:paraId="3E20C5A0" w14:textId="77777777" w:rsidR="00E8660E" w:rsidRPr="00F60D22" w:rsidRDefault="00E8660E" w:rsidP="00E8660E">
      <w:pPr>
        <w:pStyle w:val="SingleTxtGA"/>
        <w:rPr>
          <w:lang w:val="ar-SA" w:eastAsia="zh-TW" w:bidi="en-GB"/>
        </w:rPr>
      </w:pPr>
      <w:r>
        <w:rPr>
          <w:rtl/>
        </w:rPr>
        <w:tab/>
      </w:r>
      <w:r w:rsidRPr="00F60D22">
        <w:rPr>
          <w:rtl/>
        </w:rPr>
        <w:t>(و)</w:t>
      </w:r>
      <w:r w:rsidRPr="00F60D22">
        <w:rPr>
          <w:rtl/>
        </w:rPr>
        <w:tab/>
        <w:t xml:space="preserve">إنشاء وحدة لحماية الطفولة داخل دائرة الشرطة الوطنية في عام </w:t>
      </w:r>
      <w:r w:rsidRPr="0035575A">
        <w:rPr>
          <w:rtl/>
        </w:rPr>
        <w:t>2016</w:t>
      </w:r>
      <w:r w:rsidRPr="00F60D22">
        <w:rPr>
          <w:rtl/>
        </w:rPr>
        <w:t>؛</w:t>
      </w:r>
    </w:p>
    <w:p w14:paraId="0A4A69FD" w14:textId="77777777" w:rsidR="00E8660E" w:rsidRPr="00F60D22" w:rsidRDefault="00E8660E" w:rsidP="00E8660E">
      <w:pPr>
        <w:pStyle w:val="SingleTxtGA"/>
        <w:rPr>
          <w:lang w:val="ar-SA" w:eastAsia="zh-TW" w:bidi="en-GB"/>
        </w:rPr>
      </w:pPr>
      <w:r>
        <w:rPr>
          <w:rtl/>
        </w:rPr>
        <w:tab/>
      </w:r>
      <w:r w:rsidRPr="00F60D22">
        <w:rPr>
          <w:rtl/>
        </w:rPr>
        <w:t>(ز)</w:t>
      </w:r>
      <w:r w:rsidRPr="00F60D22">
        <w:rPr>
          <w:rtl/>
        </w:rPr>
        <w:tab/>
        <w:t xml:space="preserve">إنشاء لجنة حقوق الإنسان المحلية داخل دائرة السجون الكينية في عام </w:t>
      </w:r>
      <w:r w:rsidRPr="0035575A">
        <w:rPr>
          <w:rtl/>
        </w:rPr>
        <w:t>2015</w:t>
      </w:r>
      <w:r w:rsidRPr="00F60D22">
        <w:rPr>
          <w:rtl/>
        </w:rPr>
        <w:t>؛</w:t>
      </w:r>
    </w:p>
    <w:p w14:paraId="63D0C0BC" w14:textId="77777777" w:rsidR="00E8660E" w:rsidRPr="0055720D" w:rsidRDefault="00E8660E" w:rsidP="00E8660E">
      <w:pPr>
        <w:pStyle w:val="SingleTxtGA"/>
        <w:rPr>
          <w:lang w:eastAsia="zh-TW" w:bidi="en-GB"/>
        </w:rPr>
      </w:pPr>
      <w:r>
        <w:rPr>
          <w:rtl/>
        </w:rPr>
        <w:tab/>
      </w:r>
      <w:r w:rsidRPr="00F60D22">
        <w:rPr>
          <w:rtl/>
        </w:rPr>
        <w:t>(ح)</w:t>
      </w:r>
      <w:r w:rsidRPr="00F60D22">
        <w:rPr>
          <w:rtl/>
        </w:rPr>
        <w:tab/>
      </w:r>
      <w:r>
        <w:rPr>
          <w:rtl/>
        </w:rPr>
        <w:t xml:space="preserve">وضع </w:t>
      </w:r>
      <w:r w:rsidRPr="00F60D22">
        <w:rPr>
          <w:rtl/>
        </w:rPr>
        <w:t xml:space="preserve">السياسة الوطنية لمنع العنف الجنساني والتصدي له في عام </w:t>
      </w:r>
      <w:r w:rsidRPr="0035575A">
        <w:rPr>
          <w:rtl/>
        </w:rPr>
        <w:t>2014</w:t>
      </w:r>
      <w:r>
        <w:rPr>
          <w:rtl/>
        </w:rPr>
        <w:t>،</w:t>
      </w:r>
      <w:r w:rsidRPr="00F60D22">
        <w:rPr>
          <w:rtl/>
        </w:rPr>
        <w:t xml:space="preserve"> وإنشاء محكمة متخصصة في شانزو للتعجيل بعقد المحاكمات بشأن قضايا العنف الجنسي والجنساني؛</w:t>
      </w:r>
    </w:p>
    <w:p w14:paraId="4E4F20E4" w14:textId="4FE64AF8" w:rsidR="005F70DF" w:rsidRPr="005F70DF" w:rsidRDefault="00E8660E" w:rsidP="00E8660E">
      <w:pPr>
        <w:pStyle w:val="SingleTxtGA"/>
        <w:rPr>
          <w:lang w:eastAsia="zh-TW" w:bidi="en-GB"/>
        </w:rPr>
      </w:pPr>
      <w:r>
        <w:rPr>
          <w:rtl/>
        </w:rPr>
        <w:tab/>
      </w:r>
      <w:r w:rsidRPr="00F60D22">
        <w:rPr>
          <w:rtl/>
        </w:rPr>
        <w:t>(ط)</w:t>
      </w:r>
      <w:r w:rsidRPr="00F60D22">
        <w:rPr>
          <w:rtl/>
        </w:rPr>
        <w:tab/>
        <w:t xml:space="preserve">اعتماد سياسة خدمات الأمومة المجانية والتوجيه الرئاسي بشأن خدمات الأمومة المجانية، في عام </w:t>
      </w:r>
      <w:r w:rsidRPr="0035575A">
        <w:rPr>
          <w:rtl/>
        </w:rPr>
        <w:t>201</w:t>
      </w:r>
      <w:r w:rsidR="005F70DF" w:rsidRPr="0035575A">
        <w:rPr>
          <w:rtl/>
        </w:rPr>
        <w:t>3</w:t>
      </w:r>
      <w:r w:rsidR="005F70DF" w:rsidRPr="005F70DF">
        <w:rPr>
          <w:rtl/>
        </w:rPr>
        <w:t>.</w:t>
      </w:r>
    </w:p>
    <w:p w14:paraId="51102A02" w14:textId="4CADA87D" w:rsidR="00E8660E" w:rsidRPr="0035575A" w:rsidRDefault="00E8660E" w:rsidP="001C35E3">
      <w:pPr>
        <w:pStyle w:val="H1GA"/>
        <w:rPr>
          <w:lang w:val="ar-SA" w:eastAsia="zh-TW" w:bidi="en-GB"/>
        </w:rPr>
      </w:pPr>
      <w:r w:rsidRPr="0035575A">
        <w:rPr>
          <w:rtl/>
        </w:rPr>
        <w:tab/>
        <w:t>جيم-</w:t>
      </w:r>
      <w:r w:rsidRPr="0035575A">
        <w:rPr>
          <w:rtl/>
        </w:rPr>
        <w:tab/>
        <w:t>دواعي القلق الرئيسية والتوصيات</w:t>
      </w:r>
    </w:p>
    <w:p w14:paraId="74287B12" w14:textId="75AE0601" w:rsidR="00E8660E" w:rsidRPr="0035575A" w:rsidRDefault="00E8660E" w:rsidP="001C35E3">
      <w:pPr>
        <w:pStyle w:val="H23GA"/>
        <w:rPr>
          <w:lang w:val="ar-SA" w:eastAsia="zh-TW" w:bidi="en-GB"/>
        </w:rPr>
      </w:pPr>
      <w:r w:rsidRPr="0035575A">
        <w:rPr>
          <w:rtl/>
        </w:rPr>
        <w:tab/>
      </w:r>
      <w:r w:rsidRPr="0035575A">
        <w:rPr>
          <w:rtl/>
        </w:rPr>
        <w:tab/>
        <w:t>مسائل المتابعة المعلَّقة منذ الجولة السابقة لتقديم التقارير</w:t>
      </w:r>
    </w:p>
    <w:p w14:paraId="50065467" w14:textId="568025EA" w:rsidR="00E8660E" w:rsidRPr="00C07444" w:rsidRDefault="00E8660E" w:rsidP="00E8660E">
      <w:pPr>
        <w:pStyle w:val="SingleTxtGA"/>
        <w:rPr>
          <w:lang w:eastAsia="zh-TW" w:bidi="en-GB"/>
        </w:rPr>
      </w:pPr>
      <w:r w:rsidRPr="0035575A">
        <w:rPr>
          <w:rtl/>
        </w:rPr>
        <w:t>6</w:t>
      </w:r>
      <w:r w:rsidRPr="00C07444">
        <w:rPr>
          <w:rtl/>
        </w:rPr>
        <w:t>-</w:t>
      </w:r>
      <w:r w:rsidRPr="00C07444">
        <w:rPr>
          <w:rtl/>
        </w:rPr>
        <w:tab/>
        <w:t xml:space="preserve">طلبت اللجنة في ملاحظاتها الختامية السابقة إلى الدولة الطرف أن تقدم معلومات عن تنفيذها توصيات اللجنة </w:t>
      </w:r>
      <w:r w:rsidRPr="00C07444">
        <w:rPr>
          <w:rtl/>
          <w:lang w:val="fr-CH"/>
        </w:rPr>
        <w:t>بشأن ما</w:t>
      </w:r>
      <w:r w:rsidRPr="00C07444">
        <w:rPr>
          <w:rtl/>
        </w:rPr>
        <w:t xml:space="preserve"> يلي: القتل خارج نطاق القضاء واستخدام القوة غير المتناسب، والضمانات القانونية الأساسية، والإعدامات الغوغائية، والتحقيق في أعمال العنف عقب الانتخابات</w:t>
      </w:r>
      <w:r w:rsidR="005F70DF" w:rsidRPr="00975757">
        <w:rPr>
          <w:rStyle w:val="FootnoteReference"/>
          <w:rFonts w:ascii="Simplified Arabic" w:hAnsi="Simplified Arabic"/>
          <w:szCs w:val="22"/>
          <w:rtl/>
        </w:rPr>
        <w:t>(</w:t>
      </w:r>
      <w:r w:rsidR="005F70DF" w:rsidRPr="0035575A">
        <w:rPr>
          <w:rStyle w:val="FootnoteReference"/>
          <w:rFonts w:ascii="Simplified Arabic" w:hAnsi="Simplified Arabic"/>
          <w:szCs w:val="22"/>
          <w:lang w:val="en-US"/>
        </w:rPr>
        <w:footnoteReference w:id="4"/>
      </w:r>
      <w:r w:rsidR="005F70DF" w:rsidRPr="005F70DF">
        <w:rPr>
          <w:rStyle w:val="FootnoteReference"/>
          <w:rFonts w:ascii="Simplified Arabic" w:hAnsi="Simplified Arabic"/>
          <w:szCs w:val="22"/>
          <w:rtl/>
        </w:rPr>
        <w:t>)</w:t>
      </w:r>
      <w:r w:rsidR="005F70DF" w:rsidRPr="005F70DF">
        <w:rPr>
          <w:rtl/>
        </w:rPr>
        <w:t xml:space="preserve">. </w:t>
      </w:r>
      <w:r w:rsidRPr="00C07444">
        <w:rPr>
          <w:rtl/>
        </w:rPr>
        <w:t xml:space="preserve">وإذ تلاحظ اللجنة مع التقدير الردود التي قدمتها الدولة الطرف في </w:t>
      </w:r>
      <w:r w:rsidRPr="0035575A">
        <w:rPr>
          <w:rtl/>
        </w:rPr>
        <w:t>22</w:t>
      </w:r>
      <w:r w:rsidRPr="00C07444">
        <w:rPr>
          <w:rtl/>
        </w:rPr>
        <w:t xml:space="preserve"> آب/أغسطس </w:t>
      </w:r>
      <w:r w:rsidRPr="0035575A">
        <w:rPr>
          <w:rtl/>
        </w:rPr>
        <w:t>2014</w:t>
      </w:r>
      <w:r w:rsidR="005F70DF" w:rsidRPr="00975757">
        <w:rPr>
          <w:rStyle w:val="FootnoteReference"/>
          <w:rFonts w:ascii="Simplified Arabic" w:hAnsi="Simplified Arabic"/>
          <w:szCs w:val="22"/>
          <w:rtl/>
        </w:rPr>
        <w:t>(</w:t>
      </w:r>
      <w:r w:rsidR="005F70DF" w:rsidRPr="0035575A">
        <w:rPr>
          <w:rStyle w:val="FootnoteReference"/>
          <w:rFonts w:ascii="Simplified Arabic" w:hAnsi="Simplified Arabic"/>
          <w:szCs w:val="22"/>
          <w:lang w:val="en-US"/>
        </w:rPr>
        <w:footnoteReference w:id="5"/>
      </w:r>
      <w:r w:rsidR="005F70DF" w:rsidRPr="005F70DF">
        <w:rPr>
          <w:rStyle w:val="FootnoteReference"/>
          <w:rFonts w:ascii="Simplified Arabic" w:hAnsi="Simplified Arabic"/>
          <w:szCs w:val="22"/>
          <w:rtl/>
        </w:rPr>
        <w:t>)</w:t>
      </w:r>
      <w:r w:rsidR="005F70DF" w:rsidRPr="005F70DF">
        <w:rPr>
          <w:rtl/>
        </w:rPr>
        <w:t xml:space="preserve">، </w:t>
      </w:r>
      <w:r w:rsidRPr="00C07444">
        <w:rPr>
          <w:rtl/>
        </w:rPr>
        <w:t xml:space="preserve">وإذ تشير إلى الرسالة المؤرخة </w:t>
      </w:r>
      <w:r w:rsidRPr="0035575A">
        <w:rPr>
          <w:rtl/>
        </w:rPr>
        <w:t>29</w:t>
      </w:r>
      <w:r w:rsidRPr="00C07444">
        <w:rPr>
          <w:rtl/>
        </w:rPr>
        <w:t xml:space="preserve"> آب/أغسطس </w:t>
      </w:r>
      <w:r w:rsidRPr="0035575A">
        <w:rPr>
          <w:rtl/>
        </w:rPr>
        <w:t>2016</w:t>
      </w:r>
      <w:r w:rsidRPr="00C07444">
        <w:rPr>
          <w:rtl/>
        </w:rPr>
        <w:t xml:space="preserve"> الموجهة من رئاسة اللجنة والمقرِّر المعني بمتابعة الملاحظات الختامية </w:t>
      </w:r>
      <w:r w:rsidRPr="00C07444">
        <w:rPr>
          <w:rtl/>
        </w:rPr>
        <w:lastRenderedPageBreak/>
        <w:t>إلى ممثل كينيا الدائم لدى مكتب الأمم المتحدة والمنظمات الدولية الأخرى في جنيف</w:t>
      </w:r>
      <w:r w:rsidR="005F70DF" w:rsidRPr="00975757">
        <w:rPr>
          <w:rStyle w:val="FootnoteReference"/>
          <w:rFonts w:ascii="Simplified Arabic" w:hAnsi="Simplified Arabic"/>
          <w:szCs w:val="22"/>
          <w:rtl/>
        </w:rPr>
        <w:t>(</w:t>
      </w:r>
      <w:r w:rsidR="005F70DF" w:rsidRPr="0035575A">
        <w:rPr>
          <w:rStyle w:val="FootnoteReference"/>
          <w:rFonts w:ascii="Simplified Arabic" w:hAnsi="Simplified Arabic"/>
          <w:szCs w:val="22"/>
          <w:lang w:val="en-US"/>
        </w:rPr>
        <w:footnoteReference w:id="6"/>
      </w:r>
      <w:r w:rsidR="005F70DF" w:rsidRPr="005F70DF">
        <w:rPr>
          <w:rStyle w:val="FootnoteReference"/>
          <w:rFonts w:ascii="Simplified Arabic" w:hAnsi="Simplified Arabic"/>
          <w:szCs w:val="22"/>
          <w:rtl/>
        </w:rPr>
        <w:t>)</w:t>
      </w:r>
      <w:r w:rsidR="005F70DF" w:rsidRPr="005F70DF">
        <w:rPr>
          <w:rtl/>
        </w:rPr>
        <w:t xml:space="preserve">، </w:t>
      </w:r>
      <w:r w:rsidRPr="00C07444">
        <w:rPr>
          <w:rtl/>
        </w:rPr>
        <w:t xml:space="preserve">ترى أن التوصيات الواردة في الفقرات </w:t>
      </w:r>
      <w:r w:rsidRPr="0035575A">
        <w:rPr>
          <w:rtl/>
        </w:rPr>
        <w:t>9</w:t>
      </w:r>
      <w:r w:rsidRPr="00C07444">
        <w:rPr>
          <w:rtl/>
        </w:rPr>
        <w:t xml:space="preserve"> و</w:t>
      </w:r>
      <w:r w:rsidRPr="0035575A">
        <w:rPr>
          <w:rtl/>
        </w:rPr>
        <w:t>10</w:t>
      </w:r>
      <w:r w:rsidRPr="00C07444">
        <w:rPr>
          <w:rtl/>
        </w:rPr>
        <w:t xml:space="preserve"> و</w:t>
      </w:r>
      <w:r w:rsidRPr="0035575A">
        <w:rPr>
          <w:rtl/>
        </w:rPr>
        <w:t>17</w:t>
      </w:r>
      <w:r w:rsidRPr="00C07444">
        <w:rPr>
          <w:rtl/>
        </w:rPr>
        <w:t xml:space="preserve"> و</w:t>
      </w:r>
      <w:r w:rsidRPr="0035575A">
        <w:rPr>
          <w:rtl/>
        </w:rPr>
        <w:t>18</w:t>
      </w:r>
      <w:r w:rsidRPr="00C07444">
        <w:rPr>
          <w:rtl/>
        </w:rPr>
        <w:t xml:space="preserve"> من ملاحظاتها الختامية السابقة لم تنفذ بعد تنفيذاً كاملاً. وتُبحث هذه المسائل في الفقرات </w:t>
      </w:r>
      <w:r w:rsidRPr="0035575A">
        <w:rPr>
          <w:rtl/>
        </w:rPr>
        <w:t>10</w:t>
      </w:r>
      <w:r w:rsidRPr="00C07444">
        <w:rPr>
          <w:rtl/>
        </w:rPr>
        <w:t xml:space="preserve"> و</w:t>
      </w:r>
      <w:r w:rsidRPr="0035575A">
        <w:rPr>
          <w:rtl/>
        </w:rPr>
        <w:t>12</w:t>
      </w:r>
      <w:r w:rsidRPr="00C07444">
        <w:rPr>
          <w:rtl/>
        </w:rPr>
        <w:t xml:space="preserve"> و</w:t>
      </w:r>
      <w:r w:rsidRPr="0035575A">
        <w:rPr>
          <w:rtl/>
        </w:rPr>
        <w:t>24</w:t>
      </w:r>
      <w:r w:rsidRPr="00C07444">
        <w:rPr>
          <w:rtl/>
        </w:rPr>
        <w:t xml:space="preserve"> و</w:t>
      </w:r>
      <w:r w:rsidRPr="0035575A">
        <w:rPr>
          <w:rtl/>
        </w:rPr>
        <w:t>36</w:t>
      </w:r>
      <w:r w:rsidRPr="00C07444">
        <w:rPr>
          <w:rtl/>
        </w:rPr>
        <w:t xml:space="preserve"> من هذه الملاحظات الختامية.</w:t>
      </w:r>
    </w:p>
    <w:p w14:paraId="1DE0DECB" w14:textId="77777777" w:rsidR="00E8660E" w:rsidRPr="0035575A" w:rsidRDefault="00E8660E" w:rsidP="001C35E3">
      <w:pPr>
        <w:pStyle w:val="H23GA"/>
        <w:rPr>
          <w:lang w:eastAsia="zh-TW" w:bidi="en-GB"/>
        </w:rPr>
      </w:pPr>
      <w:r w:rsidRPr="0035575A">
        <w:rPr>
          <w:rtl/>
        </w:rPr>
        <w:tab/>
      </w:r>
      <w:r w:rsidRPr="0035575A">
        <w:rPr>
          <w:rtl/>
        </w:rPr>
        <w:tab/>
        <w:t>تعريف التعذيب وتجريمه</w:t>
      </w:r>
    </w:p>
    <w:p w14:paraId="4CAB2B52" w14:textId="267EE8E6" w:rsidR="005F70DF" w:rsidRPr="005F70DF" w:rsidRDefault="00E8660E" w:rsidP="00E8660E">
      <w:pPr>
        <w:pStyle w:val="SingleTxtGA"/>
        <w:rPr>
          <w:lang w:val="ar-SA" w:eastAsia="zh-TW" w:bidi="en-GB"/>
        </w:rPr>
      </w:pPr>
      <w:r w:rsidRPr="0035575A">
        <w:rPr>
          <w:rtl/>
        </w:rPr>
        <w:t>7</w:t>
      </w:r>
      <w:r w:rsidRPr="00F60D22">
        <w:rPr>
          <w:rtl/>
        </w:rPr>
        <w:t>-</w:t>
      </w:r>
      <w:r w:rsidRPr="00F60D22">
        <w:rPr>
          <w:rtl/>
        </w:rPr>
        <w:tab/>
        <w:t xml:space="preserve">ترى اللجنة أن التعريف الجديد لجريمة التعذيب المكرس في المادة </w:t>
      </w:r>
      <w:r w:rsidRPr="0035575A">
        <w:rPr>
          <w:rtl/>
        </w:rPr>
        <w:t>4</w:t>
      </w:r>
      <w:r w:rsidRPr="00F60D22">
        <w:rPr>
          <w:rtl/>
        </w:rPr>
        <w:t xml:space="preserve"> من قانون منع التعذيب يتماشى عموم</w:t>
      </w:r>
      <w:r w:rsidR="00696EA1">
        <w:rPr>
          <w:rtl/>
        </w:rPr>
        <w:t xml:space="preserve">اً </w:t>
      </w:r>
      <w:r w:rsidRPr="00F60D22">
        <w:rPr>
          <w:rtl/>
        </w:rPr>
        <w:t xml:space="preserve">مع أحكام المادة </w:t>
      </w:r>
      <w:r w:rsidRPr="0035575A">
        <w:rPr>
          <w:rtl/>
        </w:rPr>
        <w:t>1</w:t>
      </w:r>
      <w:r w:rsidRPr="00F60D22">
        <w:rPr>
          <w:rtl/>
        </w:rPr>
        <w:t xml:space="preserve"> من الاتفاقية، بيد أنها تشعر بالقلق لكونه يفتقر إلى نظير مباشر للصيغة الواردة في المادة </w:t>
      </w:r>
      <w:r w:rsidRPr="0035575A">
        <w:rPr>
          <w:rtl/>
        </w:rPr>
        <w:t>1</w:t>
      </w:r>
      <w:r w:rsidRPr="00F60D22">
        <w:rPr>
          <w:rtl/>
        </w:rPr>
        <w:t xml:space="preserve"> من الاتفاقية بحيث تشمل "أي شخص يتصرف بصفته الرسمية" ولأن قائمة أغراض التعذيب الواردة في ذلك القانون يبدو أنها ذات طبيعة مقيِّدة لا توضيحية. ويساورها القلق أيض</w:t>
      </w:r>
      <w:r w:rsidR="00696EA1">
        <w:rPr>
          <w:rtl/>
        </w:rPr>
        <w:t xml:space="preserve">اً </w:t>
      </w:r>
      <w:r w:rsidRPr="00F60D22">
        <w:rPr>
          <w:rtl/>
        </w:rPr>
        <w:t>لأن الشخص المدان بإساءة المعاملة قد تُفرض عليه غرامة، وهي عقوبة لا تتناسب مع طابع الجريمة</w:t>
      </w:r>
      <w:r w:rsidR="00840574">
        <w:rPr>
          <w:rFonts w:hint="cs"/>
          <w:rtl/>
        </w:rPr>
        <w:t> </w:t>
      </w:r>
      <w:r w:rsidRPr="00F60D22">
        <w:rPr>
          <w:rtl/>
        </w:rPr>
        <w:t xml:space="preserve">الخطير. وإضافة إلى ذلك، تنص المادة </w:t>
      </w:r>
      <w:r w:rsidRPr="0035575A">
        <w:rPr>
          <w:rtl/>
        </w:rPr>
        <w:t>2</w:t>
      </w:r>
      <w:r w:rsidRPr="00F60D22">
        <w:rPr>
          <w:rtl/>
        </w:rPr>
        <w:t xml:space="preserve"> من القانون على أن التعذيب "له المعنى المبيِّن في المادة </w:t>
      </w:r>
      <w:r w:rsidRPr="0035575A">
        <w:rPr>
          <w:rtl/>
        </w:rPr>
        <w:t>4</w:t>
      </w:r>
      <w:r w:rsidR="00D26894">
        <w:rPr>
          <w:rFonts w:hint="cs"/>
          <w:rtl/>
        </w:rPr>
        <w:t xml:space="preserve"> </w:t>
      </w:r>
      <w:r w:rsidR="005F70DF" w:rsidRPr="005F70DF">
        <w:rPr>
          <w:rtl/>
        </w:rPr>
        <w:t>.</w:t>
      </w:r>
      <w:r w:rsidRPr="00F60D22">
        <w:rPr>
          <w:rtl/>
        </w:rPr>
        <w:t xml:space="preserve">.. ما لم يقتض السياق خلاف ذلك" ويمكن تفسير ذلك على أنه استثناء من الحظر المطلق للتعذيب المشار إليه في المادة </w:t>
      </w:r>
      <w:r w:rsidRPr="0035575A">
        <w:rPr>
          <w:rtl/>
        </w:rPr>
        <w:t>2</w:t>
      </w:r>
      <w:r w:rsidRPr="00F60D22">
        <w:rPr>
          <w:rtl/>
        </w:rPr>
        <w:t xml:space="preserve"> من الاتفاقية. وأخير</w:t>
      </w:r>
      <w:r w:rsidR="00696EA1">
        <w:rPr>
          <w:rtl/>
        </w:rPr>
        <w:t xml:space="preserve">اً، </w:t>
      </w:r>
      <w:r w:rsidRPr="00F60D22">
        <w:rPr>
          <w:rtl/>
        </w:rPr>
        <w:t xml:space="preserve">لا يزال قانون الطفل (رقم </w:t>
      </w:r>
      <w:r w:rsidRPr="0035575A">
        <w:rPr>
          <w:rtl/>
        </w:rPr>
        <w:t>8</w:t>
      </w:r>
      <w:r w:rsidRPr="00F60D22">
        <w:rPr>
          <w:rtl/>
        </w:rPr>
        <w:t xml:space="preserve"> لعام </w:t>
      </w:r>
      <w:r w:rsidRPr="0035575A">
        <w:rPr>
          <w:rtl/>
        </w:rPr>
        <w:t>200</w:t>
      </w:r>
      <w:r w:rsidR="005F70DF" w:rsidRPr="0035575A">
        <w:rPr>
          <w:rtl/>
        </w:rPr>
        <w:t>1</w:t>
      </w:r>
      <w:r w:rsidR="005F70DF" w:rsidRPr="005F70DF">
        <w:rPr>
          <w:rtl/>
        </w:rPr>
        <w:t xml:space="preserve">) </w:t>
      </w:r>
      <w:r w:rsidRPr="00F60D22">
        <w:rPr>
          <w:rtl/>
        </w:rPr>
        <w:t xml:space="preserve">وقانون دائرة الشرطة الوطنية (رقم </w:t>
      </w:r>
      <w:r w:rsidRPr="0035575A">
        <w:rPr>
          <w:rtl/>
        </w:rPr>
        <w:t>11</w:t>
      </w:r>
      <w:r w:rsidRPr="00F60D22">
        <w:rPr>
          <w:rtl/>
        </w:rPr>
        <w:t xml:space="preserve">أ لعام </w:t>
      </w:r>
      <w:r w:rsidRPr="0035575A">
        <w:rPr>
          <w:rtl/>
        </w:rPr>
        <w:t>2011</w:t>
      </w:r>
      <w:r w:rsidR="005F70DF" w:rsidRPr="005F70DF">
        <w:rPr>
          <w:rtl/>
        </w:rPr>
        <w:t xml:space="preserve">)، </w:t>
      </w:r>
      <w:r w:rsidRPr="00F60D22">
        <w:rPr>
          <w:rtl/>
        </w:rPr>
        <w:t xml:space="preserve">اللذان ينصان على عقوبات أكثر تساهلا على أعمال التعذيب وغيره من ضروب سوء المعاملة، ساريين (المواد </w:t>
      </w:r>
      <w:r w:rsidRPr="0035575A">
        <w:rPr>
          <w:rtl/>
        </w:rPr>
        <w:t>1</w:t>
      </w:r>
      <w:r w:rsidRPr="00F60D22">
        <w:rPr>
          <w:rtl/>
        </w:rPr>
        <w:t xml:space="preserve"> و</w:t>
      </w:r>
      <w:r w:rsidRPr="0035575A">
        <w:rPr>
          <w:rtl/>
        </w:rPr>
        <w:t>2</w:t>
      </w:r>
      <w:r w:rsidRPr="00F60D22">
        <w:rPr>
          <w:rtl/>
        </w:rPr>
        <w:t xml:space="preserve"> و</w:t>
      </w:r>
      <w:r w:rsidR="005F70DF" w:rsidRPr="0035575A">
        <w:rPr>
          <w:rtl/>
        </w:rPr>
        <w:t>4</w:t>
      </w:r>
      <w:r w:rsidR="005F70DF" w:rsidRPr="005F70DF">
        <w:rPr>
          <w:rtl/>
        </w:rPr>
        <w:t>).</w:t>
      </w:r>
    </w:p>
    <w:p w14:paraId="7D7A3A1B" w14:textId="5DA9D236" w:rsidR="00E8660E" w:rsidRPr="0035575A" w:rsidRDefault="00E8660E" w:rsidP="00E8660E">
      <w:pPr>
        <w:pStyle w:val="SingleTxtGA"/>
        <w:rPr>
          <w:bCs/>
          <w:lang w:eastAsia="zh-TW" w:bidi="en-GB"/>
        </w:rPr>
      </w:pPr>
      <w:r w:rsidRPr="0035575A">
        <w:rPr>
          <w:rtl/>
        </w:rPr>
        <w:t>8</w:t>
      </w:r>
      <w:r w:rsidRPr="00F60D22">
        <w:rPr>
          <w:rtl/>
        </w:rPr>
        <w:t>-</w:t>
      </w:r>
      <w:r w:rsidRPr="00F60D22">
        <w:rPr>
          <w:rtl/>
        </w:rPr>
        <w:tab/>
      </w:r>
      <w:r w:rsidRPr="0035575A">
        <w:rPr>
          <w:bCs/>
          <w:rtl/>
        </w:rPr>
        <w:t>ينبغي أن تفعل الدولة الطرف ما يلي:</w:t>
      </w:r>
    </w:p>
    <w:p w14:paraId="55141D56" w14:textId="4F7A929D" w:rsidR="00E8660E" w:rsidRPr="0035575A" w:rsidRDefault="00E8660E" w:rsidP="00E8660E">
      <w:pPr>
        <w:pStyle w:val="SingleTxtGA"/>
        <w:rPr>
          <w:bCs/>
          <w:lang w:eastAsia="zh-TW" w:bidi="en-GB"/>
        </w:rPr>
      </w:pPr>
      <w:r>
        <w:rPr>
          <w:rtl/>
        </w:rPr>
        <w:tab/>
      </w:r>
      <w:r w:rsidRPr="00F60D22">
        <w:rPr>
          <w:rtl/>
        </w:rPr>
        <w:t>(أ)</w:t>
      </w:r>
      <w:r w:rsidRPr="00F60D22">
        <w:rPr>
          <w:rtl/>
        </w:rPr>
        <w:tab/>
      </w:r>
      <w:r w:rsidRPr="0035575A">
        <w:rPr>
          <w:bCs/>
          <w:rtl/>
        </w:rPr>
        <w:t>تعديل قانون منع التعذيب</w:t>
      </w:r>
      <w:r w:rsidR="001C35E3" w:rsidRPr="0035575A">
        <w:rPr>
          <w:bCs/>
          <w:rtl/>
        </w:rPr>
        <w:t xml:space="preserve"> </w:t>
      </w:r>
      <w:r w:rsidRPr="0035575A">
        <w:rPr>
          <w:bCs/>
          <w:rtl/>
        </w:rPr>
        <w:t>لضمان أن يكون تعريف التعذيب متماشي</w:t>
      </w:r>
      <w:r w:rsidR="00696EA1" w:rsidRPr="0035575A">
        <w:rPr>
          <w:bCs/>
          <w:rtl/>
        </w:rPr>
        <w:t xml:space="preserve">اً </w:t>
      </w:r>
      <w:r w:rsidRPr="0035575A">
        <w:rPr>
          <w:bCs/>
          <w:rtl/>
        </w:rPr>
        <w:t>تمام</w:t>
      </w:r>
      <w:r w:rsidR="00696EA1" w:rsidRPr="0035575A">
        <w:rPr>
          <w:bCs/>
          <w:rtl/>
        </w:rPr>
        <w:t xml:space="preserve">اً </w:t>
      </w:r>
      <w:r w:rsidRPr="0035575A">
        <w:rPr>
          <w:bCs/>
          <w:rtl/>
        </w:rPr>
        <w:t>مع المادة</w:t>
      </w:r>
      <w:r w:rsidR="00696EA1" w:rsidRPr="0035575A">
        <w:rPr>
          <w:rFonts w:hint="cs"/>
          <w:bCs/>
          <w:rtl/>
        </w:rPr>
        <w:t> </w:t>
      </w:r>
      <w:r w:rsidRPr="0035575A">
        <w:rPr>
          <w:bCs/>
          <w:rtl/>
        </w:rPr>
        <w:t>1 من الاتفاقية وأن تعكس العقوبات المفروضة على سوء المعاملة طابع هذه الجرائم الخطير وفق</w:t>
      </w:r>
      <w:r w:rsidR="00696EA1" w:rsidRPr="0035575A">
        <w:rPr>
          <w:bCs/>
          <w:rtl/>
        </w:rPr>
        <w:t xml:space="preserve">اً </w:t>
      </w:r>
      <w:r w:rsidRPr="0035575A">
        <w:rPr>
          <w:bCs/>
          <w:rtl/>
        </w:rPr>
        <w:t>للمادة 4(</w:t>
      </w:r>
      <w:r w:rsidR="005F70DF" w:rsidRPr="0035575A">
        <w:rPr>
          <w:bCs/>
          <w:rtl/>
        </w:rPr>
        <w:t xml:space="preserve">2) </w:t>
      </w:r>
      <w:r w:rsidRPr="0035575A">
        <w:rPr>
          <w:bCs/>
          <w:rtl/>
        </w:rPr>
        <w:t>من الاتفاقية؛</w:t>
      </w:r>
    </w:p>
    <w:p w14:paraId="7FB64C12" w14:textId="00F700F2" w:rsidR="00E8660E" w:rsidRPr="0035575A" w:rsidRDefault="00E8660E" w:rsidP="00E8660E">
      <w:pPr>
        <w:pStyle w:val="SingleTxtGA"/>
        <w:rPr>
          <w:bCs/>
          <w:lang w:eastAsia="zh-TW" w:bidi="en-GB"/>
        </w:rPr>
      </w:pPr>
      <w:r>
        <w:rPr>
          <w:rtl/>
        </w:rPr>
        <w:tab/>
      </w:r>
      <w:r w:rsidRPr="00F60D22">
        <w:rPr>
          <w:rtl/>
        </w:rPr>
        <w:t>(ب)</w:t>
      </w:r>
      <w:r w:rsidRPr="00F60D22">
        <w:rPr>
          <w:rtl/>
        </w:rPr>
        <w:tab/>
      </w:r>
      <w:r w:rsidRPr="0035575A">
        <w:rPr>
          <w:bCs/>
          <w:rtl/>
        </w:rPr>
        <w:t>العمل على تضمين تشريعاتها مبدأ الحظر المطلق للتعذيب وتطبيق هذا المبدأ تطبيقاً صارماً، وفقاً للمادة 2(</w:t>
      </w:r>
      <w:r w:rsidR="005F70DF" w:rsidRPr="0035575A">
        <w:rPr>
          <w:bCs/>
          <w:rtl/>
        </w:rPr>
        <w:t xml:space="preserve">2) </w:t>
      </w:r>
      <w:r w:rsidRPr="0035575A">
        <w:rPr>
          <w:bCs/>
          <w:rtl/>
        </w:rPr>
        <w:t>من الاتفاقية، التي تقضي بعدم جواز التذرع بأية ظروف استثنائية أي</w:t>
      </w:r>
      <w:r w:rsidR="00696EA1" w:rsidRPr="0035575A">
        <w:rPr>
          <w:bCs/>
          <w:rtl/>
        </w:rPr>
        <w:t xml:space="preserve">اً </w:t>
      </w:r>
      <w:r w:rsidRPr="0035575A">
        <w:rPr>
          <w:bCs/>
          <w:rtl/>
        </w:rPr>
        <w:t>كانت، سواء أكانت حالة حرب أم تهديد</w:t>
      </w:r>
      <w:r w:rsidR="00696EA1" w:rsidRPr="0035575A">
        <w:rPr>
          <w:bCs/>
          <w:rtl/>
        </w:rPr>
        <w:t xml:space="preserve">اً </w:t>
      </w:r>
      <w:r w:rsidRPr="0035575A">
        <w:rPr>
          <w:bCs/>
          <w:rtl/>
        </w:rPr>
        <w:t>بالحرب أم عدم استقرار سياسي داخلي أو أية حالة من حالات الطوارئ العامة الأخرى مبرِّراً للتعذيب؛</w:t>
      </w:r>
    </w:p>
    <w:p w14:paraId="0F915AF5" w14:textId="27AB906E" w:rsidR="00E8660E" w:rsidRPr="0035575A" w:rsidRDefault="00E8660E" w:rsidP="00E8660E">
      <w:pPr>
        <w:pStyle w:val="SingleTxtGA"/>
        <w:rPr>
          <w:bCs/>
          <w:lang w:val="ar-SA" w:eastAsia="zh-TW" w:bidi="en-GB"/>
        </w:rPr>
      </w:pPr>
      <w:r>
        <w:rPr>
          <w:rtl/>
        </w:rPr>
        <w:tab/>
      </w:r>
      <w:r w:rsidRPr="00F60D22">
        <w:rPr>
          <w:rtl/>
        </w:rPr>
        <w:t>(ج)</w:t>
      </w:r>
      <w:r w:rsidRPr="00F60D22">
        <w:rPr>
          <w:rtl/>
        </w:rPr>
        <w:tab/>
      </w:r>
      <w:r w:rsidRPr="0035575A">
        <w:rPr>
          <w:bCs/>
          <w:rtl/>
        </w:rPr>
        <w:t>مواءمة جميع الأحكام الوطنية، بسبل منها الإسراع في سن مشروع قانون الأطفال (المعدل) لعام 2018 ليصبح قانون</w:t>
      </w:r>
      <w:r w:rsidR="00696EA1" w:rsidRPr="0035575A">
        <w:rPr>
          <w:bCs/>
          <w:rtl/>
        </w:rPr>
        <w:t xml:space="preserve">اً </w:t>
      </w:r>
      <w:r w:rsidRPr="0035575A">
        <w:rPr>
          <w:bCs/>
          <w:rtl/>
        </w:rPr>
        <w:t>وتعديل قانون دائرة الشرطة الوطنية (رقم 11أ لعام 2011</w:t>
      </w:r>
      <w:r w:rsidR="005F70DF" w:rsidRPr="0035575A">
        <w:rPr>
          <w:bCs/>
          <w:rtl/>
        </w:rPr>
        <w:t xml:space="preserve">)، </w:t>
      </w:r>
      <w:r w:rsidRPr="0035575A">
        <w:rPr>
          <w:bCs/>
          <w:rtl/>
        </w:rPr>
        <w:t>لضمان تطبيق العقوبات المناسبة على أعمال التعذيب وغيره من ضروب سوء المعاملة تطبيقاً متّسقاً.</w:t>
      </w:r>
    </w:p>
    <w:p w14:paraId="565B2BC4" w14:textId="77777777" w:rsidR="00E8660E" w:rsidRPr="0035575A" w:rsidRDefault="00E8660E" w:rsidP="001C35E3">
      <w:pPr>
        <w:pStyle w:val="H23GA"/>
        <w:rPr>
          <w:lang w:eastAsia="zh-TW" w:bidi="en-GB"/>
        </w:rPr>
      </w:pPr>
      <w:r w:rsidRPr="0035575A">
        <w:rPr>
          <w:rtl/>
        </w:rPr>
        <w:tab/>
      </w:r>
      <w:r w:rsidRPr="0035575A">
        <w:rPr>
          <w:rtl/>
        </w:rPr>
        <w:tab/>
        <w:t>الضمانات القانونية الأساسية</w:t>
      </w:r>
    </w:p>
    <w:p w14:paraId="02AAD1FA" w14:textId="3E86058C" w:rsidR="00E8660E" w:rsidRPr="00D211A8" w:rsidRDefault="00E8660E" w:rsidP="00E8660E">
      <w:pPr>
        <w:pStyle w:val="SingleTxtGA"/>
        <w:rPr>
          <w:lang w:eastAsia="zh-TW" w:bidi="en-GB"/>
        </w:rPr>
      </w:pPr>
      <w:r w:rsidRPr="0035575A">
        <w:rPr>
          <w:rtl/>
        </w:rPr>
        <w:t>9</w:t>
      </w:r>
      <w:r w:rsidRPr="00F60D22">
        <w:rPr>
          <w:rtl/>
        </w:rPr>
        <w:t>-</w:t>
      </w:r>
      <w:r w:rsidRPr="00F60D22">
        <w:rPr>
          <w:rtl/>
        </w:rPr>
        <w:tab/>
        <w:t>تحيط اللجنة علم</w:t>
      </w:r>
      <w:r w:rsidR="00696EA1">
        <w:rPr>
          <w:rtl/>
        </w:rPr>
        <w:t xml:space="preserve">اً </w:t>
      </w:r>
      <w:r w:rsidRPr="00F60D22">
        <w:rPr>
          <w:rtl/>
        </w:rPr>
        <w:t>بالأحكام الدستورية والتشريعية القائمة التي تنظم الاحتجاز لدى الشرطة، غير أنها تشعر بالقلق لأن تنفيذ الضمانات الأساسية ي</w:t>
      </w:r>
      <w:r>
        <w:rPr>
          <w:rtl/>
        </w:rPr>
        <w:t>عتريه</w:t>
      </w:r>
      <w:r w:rsidRPr="00F60D22">
        <w:rPr>
          <w:rtl/>
        </w:rPr>
        <w:t xml:space="preserve">، من الناحية العملية، </w:t>
      </w:r>
      <w:r>
        <w:rPr>
          <w:rtl/>
        </w:rPr>
        <w:t>ا</w:t>
      </w:r>
      <w:r w:rsidRPr="00F60D22">
        <w:rPr>
          <w:rtl/>
        </w:rPr>
        <w:t>لعديد من أوجه القصور، من بينها ما يلي:</w:t>
      </w:r>
    </w:p>
    <w:p w14:paraId="6E461A24" w14:textId="77777777" w:rsidR="00E8660E" w:rsidRPr="00C02798" w:rsidRDefault="00E8660E" w:rsidP="00E8660E">
      <w:pPr>
        <w:pStyle w:val="SingleTxtGA"/>
        <w:rPr>
          <w:lang w:eastAsia="zh-TW" w:bidi="en-GB"/>
        </w:rPr>
      </w:pPr>
      <w:r>
        <w:rPr>
          <w:rtl/>
        </w:rPr>
        <w:tab/>
      </w:r>
      <w:r w:rsidRPr="00F60D22">
        <w:rPr>
          <w:rtl/>
        </w:rPr>
        <w:t>(أ)</w:t>
      </w:r>
      <w:r w:rsidRPr="00F60D22">
        <w:rPr>
          <w:rtl/>
        </w:rPr>
        <w:tab/>
        <w:t xml:space="preserve">الحالات المبلغ عنها التي تتعلق بوضع أشخاص رهن الاحتجاز لدى الشرطة بعد المهلة القانونية المنصوص عليها في القانون الكيني وهي </w:t>
      </w:r>
      <w:r w:rsidRPr="0035575A">
        <w:rPr>
          <w:rtl/>
        </w:rPr>
        <w:t>24</w:t>
      </w:r>
      <w:r w:rsidRPr="00F60D22">
        <w:rPr>
          <w:rtl/>
        </w:rPr>
        <w:t xml:space="preserve"> ساعة دون مثولهم أمام سلطة قضائية، الأمر الذي قد يزيد من خطر تعرّض المشتبه فيهم للتعذيب أو سوء المعاملة؛</w:t>
      </w:r>
    </w:p>
    <w:p w14:paraId="1265CB5F" w14:textId="40B1EBBE" w:rsidR="00E8660E" w:rsidRPr="00C02798" w:rsidRDefault="00E8660E" w:rsidP="00E8660E">
      <w:pPr>
        <w:pStyle w:val="SingleTxtGA"/>
        <w:rPr>
          <w:lang w:eastAsia="zh-TW" w:bidi="en-GB"/>
        </w:rPr>
      </w:pPr>
      <w:r>
        <w:rPr>
          <w:rtl/>
        </w:rPr>
        <w:lastRenderedPageBreak/>
        <w:tab/>
      </w:r>
      <w:r w:rsidRPr="00F60D22">
        <w:rPr>
          <w:rtl/>
        </w:rPr>
        <w:t>(ب)</w:t>
      </w:r>
      <w:r w:rsidRPr="00F60D22">
        <w:rPr>
          <w:rtl/>
        </w:rPr>
        <w:tab/>
        <w:t>ادعاءات اعتقال أشخاص تعسّفاً، وهو أمر كثير</w:t>
      </w:r>
      <w:r w:rsidR="00696EA1">
        <w:rPr>
          <w:rtl/>
        </w:rPr>
        <w:t xml:space="preserve">اً </w:t>
      </w:r>
      <w:r w:rsidRPr="00F60D22">
        <w:rPr>
          <w:rtl/>
        </w:rPr>
        <w:t>ما يرتبط بابتزاز المحتجزين، دون السماح لهم بالاتصال بأحد أقاربهم أو بشخص من اختيارهم، وعدم الاستخدام الممنهج والمتسق لسجلات من سُلبت حريتهم في جميع مراحل الاحتجاز، بما في ذلك تفاصيلها؛</w:t>
      </w:r>
    </w:p>
    <w:p w14:paraId="3781AF0E" w14:textId="18E204AC" w:rsidR="005F70DF" w:rsidRPr="005F70DF" w:rsidRDefault="00E8660E" w:rsidP="00E8660E">
      <w:pPr>
        <w:pStyle w:val="SingleTxtGA"/>
        <w:rPr>
          <w:lang w:eastAsia="zh-TW" w:bidi="en-GB"/>
        </w:rPr>
      </w:pPr>
      <w:r>
        <w:rPr>
          <w:rtl/>
        </w:rPr>
        <w:tab/>
      </w:r>
      <w:r w:rsidRPr="00F60D22">
        <w:rPr>
          <w:rtl/>
        </w:rPr>
        <w:t>(ج)</w:t>
      </w:r>
      <w:r w:rsidRPr="00F60D22">
        <w:rPr>
          <w:rtl/>
        </w:rPr>
        <w:tab/>
        <w:t>التقارير التي تفيد بأنه كثيراً ما يُح</w:t>
      </w:r>
      <w:r>
        <w:rPr>
          <w:rtl/>
        </w:rPr>
        <w:t>ْ</w:t>
      </w:r>
      <w:r w:rsidRPr="00F60D22">
        <w:rPr>
          <w:rtl/>
        </w:rPr>
        <w:t>رم هؤلاء الأشخاص</w:t>
      </w:r>
      <w:r>
        <w:rPr>
          <w:rtl/>
        </w:rPr>
        <w:t xml:space="preserve"> من</w:t>
      </w:r>
      <w:r w:rsidRPr="00F60D22">
        <w:rPr>
          <w:rtl/>
        </w:rPr>
        <w:t xml:space="preserve"> حق</w:t>
      </w:r>
      <w:r>
        <w:rPr>
          <w:rtl/>
        </w:rPr>
        <w:t>َّهم</w:t>
      </w:r>
      <w:r w:rsidRPr="00F60D22">
        <w:rPr>
          <w:rtl/>
        </w:rPr>
        <w:t xml:space="preserve"> في توكيل محام في الوقت المناسب وإجراء فحص طبي مستقل منذ بداية الاحتجاز (المواد </w:t>
      </w:r>
      <w:r w:rsidRPr="0035575A">
        <w:rPr>
          <w:rtl/>
        </w:rPr>
        <w:t>2</w:t>
      </w:r>
      <w:r w:rsidRPr="00F60D22">
        <w:rPr>
          <w:rtl/>
        </w:rPr>
        <w:t xml:space="preserve"> و</w:t>
      </w:r>
      <w:r w:rsidRPr="0035575A">
        <w:rPr>
          <w:rtl/>
        </w:rPr>
        <w:t>11</w:t>
      </w:r>
      <w:r w:rsidRPr="00F60D22">
        <w:rPr>
          <w:rtl/>
        </w:rPr>
        <w:t xml:space="preserve"> و</w:t>
      </w:r>
      <w:r w:rsidRPr="0035575A">
        <w:rPr>
          <w:rtl/>
        </w:rPr>
        <w:t>1</w:t>
      </w:r>
      <w:r w:rsidR="005F70DF" w:rsidRPr="0035575A">
        <w:rPr>
          <w:rtl/>
        </w:rPr>
        <w:t>6</w:t>
      </w:r>
      <w:r w:rsidR="005F70DF" w:rsidRPr="005F70DF">
        <w:rPr>
          <w:rtl/>
        </w:rPr>
        <w:t>).</w:t>
      </w:r>
    </w:p>
    <w:p w14:paraId="042C4FF6" w14:textId="05258029" w:rsidR="00E8660E" w:rsidRPr="0035575A" w:rsidRDefault="00E8660E" w:rsidP="00E8660E">
      <w:pPr>
        <w:pStyle w:val="SingleTxtGA"/>
        <w:rPr>
          <w:bCs/>
          <w:lang w:val="ar-SA" w:eastAsia="zh-TW" w:bidi="en-GB"/>
        </w:rPr>
      </w:pPr>
      <w:r w:rsidRPr="0035575A">
        <w:rPr>
          <w:rtl/>
        </w:rPr>
        <w:t>10</w:t>
      </w:r>
      <w:r w:rsidRPr="00F60D22">
        <w:rPr>
          <w:rtl/>
        </w:rPr>
        <w:t>-</w:t>
      </w:r>
      <w:r w:rsidRPr="00F60D22">
        <w:rPr>
          <w:rtl/>
        </w:rPr>
        <w:tab/>
      </w:r>
      <w:r w:rsidRPr="0035575A">
        <w:rPr>
          <w:bCs/>
          <w:rtl/>
        </w:rPr>
        <w:t>تحث اللجنة الدولة الطرف على أن توفر جميع الضمانات القانونية الأساسية التي تحمي كل المحتجزين من التعذيب في الممارسة العملية منذ بداية سلبهم حريتهم، بما في ذلك ما يلي:</w:t>
      </w:r>
    </w:p>
    <w:p w14:paraId="33044618" w14:textId="79142956" w:rsidR="00E8660E" w:rsidRPr="0035575A" w:rsidRDefault="00E8660E" w:rsidP="00E8660E">
      <w:pPr>
        <w:pStyle w:val="SingleTxtGA"/>
        <w:rPr>
          <w:bCs/>
        </w:rPr>
      </w:pPr>
      <w:r>
        <w:rPr>
          <w:rtl/>
        </w:rPr>
        <w:tab/>
      </w:r>
      <w:r w:rsidRPr="00F60D22">
        <w:rPr>
          <w:rtl/>
        </w:rPr>
        <w:t>(أ)</w:t>
      </w:r>
      <w:r w:rsidRPr="0035575A">
        <w:rPr>
          <w:bCs/>
          <w:rtl/>
        </w:rPr>
        <w:tab/>
        <w:t>الحق في أن يُخبَروا، بلغة يفهمونها، بأسباب اعتقالهم وطبيعة أي تهم موجهة إليهم</w:t>
      </w:r>
      <w:r w:rsidR="001C35E3" w:rsidRPr="0035575A">
        <w:rPr>
          <w:rFonts w:hint="cs"/>
          <w:bCs/>
          <w:rtl/>
        </w:rPr>
        <w:t> </w:t>
      </w:r>
      <w:r w:rsidRPr="0035575A">
        <w:rPr>
          <w:bCs/>
          <w:rtl/>
        </w:rPr>
        <w:t xml:space="preserve">وبحقوقهم؛ </w:t>
      </w:r>
    </w:p>
    <w:p w14:paraId="4601C343" w14:textId="77777777" w:rsidR="00E8660E" w:rsidRPr="0035575A" w:rsidRDefault="00E8660E" w:rsidP="00E8660E">
      <w:pPr>
        <w:pStyle w:val="SingleTxtGA"/>
        <w:rPr>
          <w:bCs/>
        </w:rPr>
      </w:pPr>
      <w:r>
        <w:rPr>
          <w:rtl/>
        </w:rPr>
        <w:tab/>
      </w:r>
      <w:r w:rsidRPr="00F60D22">
        <w:rPr>
          <w:rtl/>
        </w:rPr>
        <w:t>(ب)</w:t>
      </w:r>
      <w:r w:rsidRPr="00F60D22">
        <w:rPr>
          <w:rtl/>
        </w:rPr>
        <w:tab/>
      </w:r>
      <w:r w:rsidRPr="0035575A">
        <w:rPr>
          <w:bCs/>
          <w:rtl/>
        </w:rPr>
        <w:t xml:space="preserve">أن يساعدهم محام، بما في ذلك أثناء مراحل الاستجواب؛ </w:t>
      </w:r>
    </w:p>
    <w:p w14:paraId="4CACB230" w14:textId="77777777" w:rsidR="00E8660E" w:rsidRPr="0035575A" w:rsidRDefault="00E8660E" w:rsidP="00E8660E">
      <w:pPr>
        <w:pStyle w:val="SingleTxtGA"/>
        <w:rPr>
          <w:bCs/>
        </w:rPr>
      </w:pPr>
      <w:r>
        <w:rPr>
          <w:rtl/>
        </w:rPr>
        <w:tab/>
      </w:r>
      <w:r w:rsidRPr="00F60D22">
        <w:rPr>
          <w:rtl/>
        </w:rPr>
        <w:t>(ج)</w:t>
      </w:r>
      <w:r w:rsidRPr="00F60D22">
        <w:rPr>
          <w:rtl/>
        </w:rPr>
        <w:tab/>
      </w:r>
      <w:r w:rsidRPr="0035575A">
        <w:rPr>
          <w:bCs/>
          <w:rtl/>
        </w:rPr>
        <w:t xml:space="preserve">طلب فحص طبي وتلقّيه على يد طبيب مستقل بعيداً عن مسمع أفراد الشرطة وموظفي السجون ومرآهم، ما لم يطلب الطبيب المعني خلاف ذلك صراحة؛ </w:t>
      </w:r>
    </w:p>
    <w:p w14:paraId="183CB4E8" w14:textId="77777777" w:rsidR="00E8660E" w:rsidRPr="0035575A" w:rsidRDefault="00E8660E" w:rsidP="00E8660E">
      <w:pPr>
        <w:pStyle w:val="SingleTxtGA"/>
        <w:rPr>
          <w:b/>
          <w:lang w:val="ar-SA" w:eastAsia="zh-TW" w:bidi="en-GB"/>
        </w:rPr>
      </w:pPr>
      <w:r>
        <w:rPr>
          <w:rtl/>
        </w:rPr>
        <w:tab/>
      </w:r>
      <w:r w:rsidRPr="00F60D22">
        <w:rPr>
          <w:rtl/>
        </w:rPr>
        <w:t>(د)</w:t>
      </w:r>
      <w:r w:rsidRPr="0035575A">
        <w:rPr>
          <w:bCs/>
          <w:rtl/>
        </w:rPr>
        <w:tab/>
        <w:t>مراجعة طبيب مستقل من اختيارهم، عند الطلب؛</w:t>
      </w:r>
      <w:r w:rsidRPr="00F60D22">
        <w:rPr>
          <w:rtl/>
        </w:rPr>
        <w:t xml:space="preserve"> </w:t>
      </w:r>
    </w:p>
    <w:p w14:paraId="6BF4D71C" w14:textId="77777777" w:rsidR="00E8660E" w:rsidRPr="0035575A" w:rsidRDefault="00E8660E" w:rsidP="00E8660E">
      <w:pPr>
        <w:pStyle w:val="SingleTxtGA"/>
        <w:rPr>
          <w:bCs/>
        </w:rPr>
      </w:pPr>
      <w:r>
        <w:rPr>
          <w:rtl/>
        </w:rPr>
        <w:tab/>
      </w:r>
      <w:r w:rsidRPr="00F60D22">
        <w:rPr>
          <w:rtl/>
        </w:rPr>
        <w:t>(هـ)</w:t>
      </w:r>
      <w:r w:rsidRPr="00F60D22">
        <w:rPr>
          <w:rtl/>
        </w:rPr>
        <w:tab/>
      </w:r>
      <w:r w:rsidRPr="0035575A">
        <w:rPr>
          <w:bCs/>
          <w:rtl/>
        </w:rPr>
        <w:t xml:space="preserve">عرض سجلهم الطبي فوراً على مدع عام متى أشارت النتائج أو الادعاءات إلى حدوث تعذيب أو سوء معاملة؛ </w:t>
      </w:r>
    </w:p>
    <w:p w14:paraId="2AED3B2B" w14:textId="77777777" w:rsidR="00E8660E" w:rsidRPr="0035575A" w:rsidRDefault="00E8660E" w:rsidP="00E8660E">
      <w:pPr>
        <w:pStyle w:val="SingleTxtGA"/>
        <w:rPr>
          <w:bCs/>
        </w:rPr>
      </w:pPr>
      <w:r>
        <w:rPr>
          <w:rtl/>
        </w:rPr>
        <w:tab/>
      </w:r>
      <w:r w:rsidRPr="00F60D22">
        <w:rPr>
          <w:rtl/>
        </w:rPr>
        <w:t>(و)</w:t>
      </w:r>
      <w:r w:rsidRPr="00F60D22">
        <w:rPr>
          <w:rtl/>
        </w:rPr>
        <w:tab/>
      </w:r>
      <w:r w:rsidRPr="0035575A">
        <w:rPr>
          <w:bCs/>
          <w:rtl/>
        </w:rPr>
        <w:t xml:space="preserve">إبلاغ أحد أفراد أسرهم، أو أي شخص آخر يختارونه، باحتجازهم؛ </w:t>
      </w:r>
    </w:p>
    <w:p w14:paraId="6A03ACF9" w14:textId="77777777" w:rsidR="00E8660E" w:rsidRPr="0035575A" w:rsidRDefault="00E8660E" w:rsidP="00E8660E">
      <w:pPr>
        <w:pStyle w:val="SingleTxtGA"/>
        <w:rPr>
          <w:bCs/>
        </w:rPr>
      </w:pPr>
      <w:r>
        <w:rPr>
          <w:rtl/>
        </w:rPr>
        <w:tab/>
      </w:r>
      <w:r w:rsidRPr="00F60D22">
        <w:rPr>
          <w:rtl/>
        </w:rPr>
        <w:t>(ز)</w:t>
      </w:r>
      <w:r w:rsidRPr="00F60D22">
        <w:rPr>
          <w:rtl/>
        </w:rPr>
        <w:tab/>
      </w:r>
      <w:r w:rsidRPr="0035575A">
        <w:rPr>
          <w:bCs/>
          <w:rtl/>
        </w:rPr>
        <w:t xml:space="preserve">أن يسجَّلوا في مكان الاحتجاز؛ </w:t>
      </w:r>
    </w:p>
    <w:p w14:paraId="2A0FA9D2" w14:textId="77777777" w:rsidR="00E8660E" w:rsidRPr="0035575A" w:rsidRDefault="00E8660E" w:rsidP="00E8660E">
      <w:pPr>
        <w:pStyle w:val="SingleTxtGA"/>
        <w:rPr>
          <w:bCs/>
        </w:rPr>
      </w:pPr>
      <w:r>
        <w:rPr>
          <w:rtl/>
        </w:rPr>
        <w:tab/>
      </w:r>
      <w:r w:rsidRPr="00F60D22">
        <w:rPr>
          <w:rtl/>
        </w:rPr>
        <w:t>(ح)</w:t>
      </w:r>
      <w:r w:rsidRPr="00F60D22">
        <w:rPr>
          <w:rtl/>
        </w:rPr>
        <w:tab/>
      </w:r>
      <w:r w:rsidRPr="0035575A">
        <w:rPr>
          <w:bCs/>
          <w:rtl/>
        </w:rPr>
        <w:t xml:space="preserve">المثول أمام قاض دون تأخير؛ </w:t>
      </w:r>
    </w:p>
    <w:p w14:paraId="35F29D34" w14:textId="77777777" w:rsidR="00E8660E" w:rsidRPr="0035575A" w:rsidRDefault="00E8660E" w:rsidP="00E8660E">
      <w:pPr>
        <w:pStyle w:val="SingleTxtGA"/>
        <w:rPr>
          <w:bCs/>
        </w:rPr>
      </w:pPr>
      <w:r>
        <w:rPr>
          <w:rtl/>
        </w:rPr>
        <w:tab/>
      </w:r>
      <w:r w:rsidRPr="00F60D22">
        <w:rPr>
          <w:rtl/>
        </w:rPr>
        <w:t>(ط)</w:t>
      </w:r>
      <w:r w:rsidRPr="00F60D22">
        <w:rPr>
          <w:rtl/>
        </w:rPr>
        <w:tab/>
      </w:r>
      <w:r w:rsidRPr="0035575A">
        <w:rPr>
          <w:bCs/>
          <w:rtl/>
        </w:rPr>
        <w:t>الطعن في مشروعية احتجازهم في أي مرحلة من الإجراءات.</w:t>
      </w:r>
    </w:p>
    <w:p w14:paraId="3785AB68" w14:textId="55561AC4" w:rsidR="00E8660E" w:rsidRPr="0035575A" w:rsidRDefault="00840574" w:rsidP="00E8660E">
      <w:pPr>
        <w:pStyle w:val="SingleTxtGA"/>
        <w:rPr>
          <w:bCs/>
        </w:rPr>
      </w:pPr>
      <w:r w:rsidRPr="0035575A">
        <w:rPr>
          <w:bCs/>
          <w:rtl/>
        </w:rPr>
        <w:tab/>
      </w:r>
      <w:r w:rsidR="00E8660E" w:rsidRPr="0035575A">
        <w:rPr>
          <w:bCs/>
          <w:rtl/>
        </w:rPr>
        <w:t>وينبغي أن توفر الدولة الطرف أيض</w:t>
      </w:r>
      <w:r w:rsidR="00696EA1" w:rsidRPr="0035575A">
        <w:rPr>
          <w:bCs/>
          <w:rtl/>
        </w:rPr>
        <w:t xml:space="preserve">اً </w:t>
      </w:r>
      <w:r w:rsidR="00E8660E" w:rsidRPr="0035575A">
        <w:rPr>
          <w:bCs/>
          <w:rtl/>
        </w:rPr>
        <w:t>التدريب الكافي والمنتظم للمشاركين في أنشطة الاحتجاز بشأن الضمانات القانونية وأن ترصد الامتثال وتعاقب المسؤولين على أي تقاعس عن الامتثال.</w:t>
      </w:r>
    </w:p>
    <w:p w14:paraId="1E0D949E" w14:textId="77777777" w:rsidR="00E8660E" w:rsidRPr="0035575A" w:rsidRDefault="00E8660E" w:rsidP="001C35E3">
      <w:pPr>
        <w:pStyle w:val="H23GA"/>
        <w:rPr>
          <w:lang w:val="ar-SA" w:eastAsia="zh-TW" w:bidi="en-GB"/>
        </w:rPr>
      </w:pPr>
      <w:r w:rsidRPr="0035575A">
        <w:rPr>
          <w:rtl/>
        </w:rPr>
        <w:tab/>
      </w:r>
      <w:r w:rsidRPr="0035575A">
        <w:rPr>
          <w:rtl/>
        </w:rPr>
        <w:tab/>
        <w:t>القتل خارج نطاق القضاء والاختفاء القسري والإفراط في استخدام القوة</w:t>
      </w:r>
    </w:p>
    <w:p w14:paraId="0A0B3117" w14:textId="77777777" w:rsidR="00E8660E" w:rsidRPr="00F60D22" w:rsidRDefault="00E8660E" w:rsidP="00E8660E">
      <w:pPr>
        <w:pStyle w:val="SingleTxtGA"/>
        <w:rPr>
          <w:lang w:val="ar-SA" w:eastAsia="zh-TW" w:bidi="en-GB"/>
        </w:rPr>
      </w:pPr>
      <w:r w:rsidRPr="0035575A">
        <w:rPr>
          <w:rtl/>
        </w:rPr>
        <w:t>11</w:t>
      </w:r>
      <w:r w:rsidRPr="00F60D22">
        <w:rPr>
          <w:rtl/>
        </w:rPr>
        <w:t>-</w:t>
      </w:r>
      <w:r w:rsidRPr="00F60D22">
        <w:rPr>
          <w:rtl/>
        </w:rPr>
        <w:tab/>
        <w:t>يساور اللجنة بالغ القلق من الادعاءات الواردة بشأن القتل خارج نطاق القضاء والاختفاء القسري والإفراط في استخدام القوة على</w:t>
      </w:r>
      <w:r>
        <w:rPr>
          <w:rtl/>
        </w:rPr>
        <w:t xml:space="preserve"> يد</w:t>
      </w:r>
      <w:r w:rsidRPr="00F60D22">
        <w:rPr>
          <w:rtl/>
        </w:rPr>
        <w:t xml:space="preserve"> موظفي إنفاذ القانون. ويساورها القلق على وجه الخصوص إزاء ما يلي</w:t>
      </w:r>
      <w:r w:rsidRPr="00F60D22">
        <w:t>:</w:t>
      </w:r>
      <w:r w:rsidRPr="00F60D22">
        <w:rPr>
          <w:rtl/>
        </w:rPr>
        <w:t xml:space="preserve"> </w:t>
      </w:r>
    </w:p>
    <w:p w14:paraId="6A6701F7" w14:textId="77777777" w:rsidR="00E8660E" w:rsidRPr="009B6E28" w:rsidRDefault="00E8660E" w:rsidP="00E8660E">
      <w:pPr>
        <w:pStyle w:val="SingleTxtGA"/>
        <w:rPr>
          <w:lang w:eastAsia="zh-TW" w:bidi="en-GB"/>
        </w:rPr>
      </w:pPr>
      <w:r>
        <w:rPr>
          <w:rtl/>
        </w:rPr>
        <w:tab/>
      </w:r>
      <w:r w:rsidRPr="00F60D22">
        <w:rPr>
          <w:rtl/>
        </w:rPr>
        <w:t>(أ)</w:t>
      </w:r>
      <w:r w:rsidRPr="00F60D22">
        <w:rPr>
          <w:rtl/>
        </w:rPr>
        <w:tab/>
        <w:t xml:space="preserve">حالات الاختفاء القسري والإفراط في استخدام القوة المبلغ عنها، بما فيها القوة الفتاكة بإطلاق النار، أثناء الاعتقالات أو </w:t>
      </w:r>
      <w:r>
        <w:rPr>
          <w:rtl/>
        </w:rPr>
        <w:t xml:space="preserve">عمليات </w:t>
      </w:r>
      <w:r w:rsidRPr="00F60D22">
        <w:rPr>
          <w:rtl/>
        </w:rPr>
        <w:t xml:space="preserve">حفظ الأمن </w:t>
      </w:r>
      <w:r>
        <w:rPr>
          <w:rtl/>
        </w:rPr>
        <w:t>خلال</w:t>
      </w:r>
      <w:r w:rsidRPr="00F60D22">
        <w:rPr>
          <w:rtl/>
        </w:rPr>
        <w:t xml:space="preserve"> المظاهرات في الفترة المحيطة بانتخابات عام </w:t>
      </w:r>
      <w:r w:rsidRPr="0035575A">
        <w:rPr>
          <w:rtl/>
        </w:rPr>
        <w:t>2017</w:t>
      </w:r>
      <w:r w:rsidRPr="00F60D22">
        <w:rPr>
          <w:rtl/>
        </w:rPr>
        <w:t>، وقلة التحقيقات مع الجناة ومقاضاتهم وإدانتهم؛</w:t>
      </w:r>
    </w:p>
    <w:p w14:paraId="02774A64" w14:textId="417CC6C7" w:rsidR="005F70DF" w:rsidRPr="00D26894" w:rsidRDefault="00E8660E" w:rsidP="00E8660E">
      <w:pPr>
        <w:pStyle w:val="SingleTxtGA"/>
        <w:rPr>
          <w:lang w:val="en-US" w:eastAsia="zh-TW" w:bidi="en-GB"/>
        </w:rPr>
      </w:pPr>
      <w:r>
        <w:rPr>
          <w:rtl/>
        </w:rPr>
        <w:tab/>
      </w:r>
      <w:r w:rsidRPr="00F60D22">
        <w:rPr>
          <w:rtl/>
        </w:rPr>
        <w:t>(ب)</w:t>
      </w:r>
      <w:r w:rsidRPr="00F60D22">
        <w:rPr>
          <w:rtl/>
        </w:rPr>
        <w:tab/>
        <w:t>إفراط موظفي إنفاذ القانون في استخدام القوة، بما فيها القوة الفتاكة، في المستوطنات الحضرية العشوائية وفي سياق إنفاذ التدابير الرامية إلى السيطرة على جائحة مرض فيروس كورونا (كوفيد-</w:t>
      </w:r>
      <w:r w:rsidRPr="0035575A">
        <w:rPr>
          <w:rtl/>
        </w:rPr>
        <w:t>19</w:t>
      </w:r>
      <w:r w:rsidR="005F70DF" w:rsidRPr="005F70DF">
        <w:rPr>
          <w:rtl/>
        </w:rPr>
        <w:t>)؛</w:t>
      </w:r>
    </w:p>
    <w:p w14:paraId="3B6B0507" w14:textId="7ACA84C9" w:rsidR="00E8660E" w:rsidRPr="00636EA5" w:rsidRDefault="00E8660E" w:rsidP="00E8660E">
      <w:pPr>
        <w:pStyle w:val="SingleTxtGA"/>
        <w:rPr>
          <w:lang w:val="en-US" w:eastAsia="zh-TW" w:bidi="en-GB"/>
        </w:rPr>
      </w:pPr>
      <w:r>
        <w:rPr>
          <w:rtl/>
        </w:rPr>
        <w:tab/>
      </w:r>
      <w:r w:rsidRPr="00F60D22">
        <w:rPr>
          <w:rtl/>
        </w:rPr>
        <w:t>(ج)</w:t>
      </w:r>
      <w:r w:rsidRPr="00F60D22">
        <w:rPr>
          <w:rtl/>
        </w:rPr>
        <w:tab/>
        <w:t xml:space="preserve">الجدول السادس من قانون دائرة الشرطة الوطنية (القانون رقم </w:t>
      </w:r>
      <w:r w:rsidRPr="0035575A">
        <w:rPr>
          <w:rtl/>
        </w:rPr>
        <w:t>11</w:t>
      </w:r>
      <w:r w:rsidRPr="00F60D22">
        <w:rPr>
          <w:rtl/>
        </w:rPr>
        <w:t xml:space="preserve"> لعام </w:t>
      </w:r>
      <w:r w:rsidRPr="0035575A">
        <w:rPr>
          <w:rtl/>
        </w:rPr>
        <w:t>2011</w:t>
      </w:r>
      <w:r w:rsidR="005F70DF" w:rsidRPr="005F70DF">
        <w:rPr>
          <w:rtl/>
        </w:rPr>
        <w:t xml:space="preserve">)، </w:t>
      </w:r>
      <w:r w:rsidRPr="00F60D22">
        <w:rPr>
          <w:rtl/>
        </w:rPr>
        <w:t>الذي يسمح باستخدام موظفي إنفاذ القانون الأسلحة النارية لحماية الممتلكات، والقانون الجنائي، الذي لا يعرّف جميع أشكال الاختفاء القسري على أنها جرائم؛</w:t>
      </w:r>
    </w:p>
    <w:p w14:paraId="6067E4B2" w14:textId="0170DCD2" w:rsidR="005F70DF" w:rsidRPr="00D26894" w:rsidRDefault="00E8660E" w:rsidP="00E8660E">
      <w:pPr>
        <w:pStyle w:val="SingleTxtGA"/>
        <w:rPr>
          <w:lang w:val="en-US" w:eastAsia="zh-TW" w:bidi="en-GB"/>
        </w:rPr>
      </w:pPr>
      <w:r>
        <w:rPr>
          <w:rtl/>
        </w:rPr>
        <w:lastRenderedPageBreak/>
        <w:tab/>
      </w:r>
      <w:r w:rsidRPr="00F60D22">
        <w:rPr>
          <w:rtl/>
        </w:rPr>
        <w:t>(د)</w:t>
      </w:r>
      <w:r w:rsidRPr="00F60D22">
        <w:rPr>
          <w:rtl/>
        </w:rPr>
        <w:tab/>
        <w:t>التأخّر في إنشاء دائرة الطب الشرعي الوطنية، التي ستكلف بدعم التحقيقات في الوفيات الناجمة عن أعمال إجرامية عنيفة أو القتل خارج نطاق القضاء أو الوفيات أثناء الاحتجاز (المواد</w:t>
      </w:r>
      <w:r w:rsidR="001C35E3">
        <w:rPr>
          <w:rFonts w:hint="cs"/>
          <w:rtl/>
        </w:rPr>
        <w:t> </w:t>
      </w:r>
      <w:r w:rsidRPr="0035575A">
        <w:rPr>
          <w:rtl/>
        </w:rPr>
        <w:t>2</w:t>
      </w:r>
      <w:r w:rsidRPr="00F60D22">
        <w:rPr>
          <w:rtl/>
        </w:rPr>
        <w:t xml:space="preserve"> و</w:t>
      </w:r>
      <w:r w:rsidRPr="0035575A">
        <w:rPr>
          <w:rtl/>
        </w:rPr>
        <w:t>11</w:t>
      </w:r>
      <w:r w:rsidRPr="00F60D22">
        <w:rPr>
          <w:rtl/>
        </w:rPr>
        <w:t xml:space="preserve"> و</w:t>
      </w:r>
      <w:r w:rsidRPr="0035575A">
        <w:rPr>
          <w:rtl/>
        </w:rPr>
        <w:t>12</w:t>
      </w:r>
      <w:r w:rsidRPr="00F60D22">
        <w:rPr>
          <w:rtl/>
        </w:rPr>
        <w:t xml:space="preserve"> و</w:t>
      </w:r>
      <w:r w:rsidRPr="0035575A">
        <w:rPr>
          <w:rtl/>
        </w:rPr>
        <w:t>1</w:t>
      </w:r>
      <w:r w:rsidR="005F70DF" w:rsidRPr="0035575A">
        <w:rPr>
          <w:rtl/>
        </w:rPr>
        <w:t>6</w:t>
      </w:r>
      <w:r w:rsidR="005F70DF" w:rsidRPr="005F70DF">
        <w:rPr>
          <w:rtl/>
        </w:rPr>
        <w:t>).</w:t>
      </w:r>
    </w:p>
    <w:p w14:paraId="621E3221" w14:textId="0CBD72B5" w:rsidR="00E8660E" w:rsidRPr="0035575A" w:rsidRDefault="00E8660E" w:rsidP="00E8660E">
      <w:pPr>
        <w:pStyle w:val="SingleTxtGA"/>
        <w:rPr>
          <w:bCs/>
          <w:lang w:val="ar-SA" w:eastAsia="zh-TW" w:bidi="en-GB"/>
        </w:rPr>
      </w:pPr>
      <w:r w:rsidRPr="0035575A">
        <w:rPr>
          <w:rtl/>
        </w:rPr>
        <w:t>12</w:t>
      </w:r>
      <w:r w:rsidRPr="00F60D22">
        <w:rPr>
          <w:rtl/>
        </w:rPr>
        <w:t>-</w:t>
      </w:r>
      <w:r w:rsidRPr="00F60D22">
        <w:rPr>
          <w:rtl/>
        </w:rPr>
        <w:tab/>
      </w:r>
      <w:r w:rsidRPr="0035575A">
        <w:rPr>
          <w:bCs/>
          <w:rtl/>
        </w:rPr>
        <w:t>ينبغي أن تفعل الدولة الطرف ما يلي:</w:t>
      </w:r>
    </w:p>
    <w:p w14:paraId="3B75FB4C" w14:textId="77777777" w:rsidR="00E8660E" w:rsidRPr="0035575A" w:rsidRDefault="00E8660E" w:rsidP="00E8660E">
      <w:pPr>
        <w:pStyle w:val="SingleTxtGA"/>
        <w:rPr>
          <w:bCs/>
        </w:rPr>
      </w:pPr>
      <w:r>
        <w:rPr>
          <w:rtl/>
        </w:rPr>
        <w:tab/>
      </w:r>
      <w:r w:rsidRPr="00F60D22">
        <w:rPr>
          <w:rtl/>
        </w:rPr>
        <w:t>(أ)</w:t>
      </w:r>
      <w:r w:rsidRPr="00F60D22">
        <w:rPr>
          <w:rtl/>
        </w:rPr>
        <w:tab/>
      </w:r>
      <w:r w:rsidRPr="0035575A">
        <w:rPr>
          <w:bCs/>
          <w:rtl/>
        </w:rPr>
        <w:t xml:space="preserve"> ضمان إجراء تحقيقات فورية ونزيهة وفعالة في جميع مزاعم القتل خارج نطاق القضاء والاختفاء القسري وإفراط موظفي القانون والأفراد العسكريين في استخدام القوة والعمل على محاكمة الجناة وحصول الضحايا على تعويض مناسب؛</w:t>
      </w:r>
    </w:p>
    <w:p w14:paraId="38366E3F" w14:textId="77777777" w:rsidR="00E8660E" w:rsidRPr="0035575A" w:rsidRDefault="00E8660E" w:rsidP="00E8660E">
      <w:pPr>
        <w:pStyle w:val="SingleTxtGA"/>
        <w:rPr>
          <w:bCs/>
        </w:rPr>
      </w:pPr>
      <w:r>
        <w:rPr>
          <w:rtl/>
        </w:rPr>
        <w:tab/>
      </w:r>
      <w:r w:rsidRPr="00F60D22">
        <w:rPr>
          <w:rtl/>
        </w:rPr>
        <w:t>(ب)</w:t>
      </w:r>
      <w:r w:rsidRPr="00F60D22">
        <w:rPr>
          <w:rtl/>
        </w:rPr>
        <w:tab/>
      </w:r>
      <w:r w:rsidRPr="0035575A">
        <w:rPr>
          <w:bCs/>
          <w:rtl/>
        </w:rPr>
        <w:t xml:space="preserve">مراجعة الإطار القانوني للتحقق من أن جميع أشكال الاختفاء القسري محددة بوضوح في القانون الجنائي والتأكد من أن العقوبات المرتبطة بها محددة أيضاً بوضوح وتتناسب مع خطورة الجريمة؛ </w:t>
      </w:r>
    </w:p>
    <w:p w14:paraId="1B304659" w14:textId="186E183D" w:rsidR="00E8660E" w:rsidRPr="0035575A" w:rsidRDefault="00E8660E" w:rsidP="00E8660E">
      <w:pPr>
        <w:pStyle w:val="SingleTxtGA"/>
        <w:rPr>
          <w:bCs/>
        </w:rPr>
      </w:pPr>
      <w:r>
        <w:rPr>
          <w:rtl/>
        </w:rPr>
        <w:tab/>
      </w:r>
      <w:r w:rsidRPr="00F60D22">
        <w:rPr>
          <w:rtl/>
        </w:rPr>
        <w:t>(ج)</w:t>
      </w:r>
      <w:r w:rsidRPr="00F60D22">
        <w:rPr>
          <w:rtl/>
        </w:rPr>
        <w:tab/>
      </w:r>
      <w:r w:rsidRPr="0035575A">
        <w:rPr>
          <w:bCs/>
          <w:rtl/>
        </w:rPr>
        <w:t>إعادة النظر في الجدول السادس من قانون دائرة الشرطة الوطنية (القانون رقم 11 لعام 201</w:t>
      </w:r>
      <w:r w:rsidR="005F70DF" w:rsidRPr="0035575A">
        <w:rPr>
          <w:bCs/>
          <w:rtl/>
        </w:rPr>
        <w:t xml:space="preserve">1) </w:t>
      </w:r>
      <w:r w:rsidRPr="0035575A">
        <w:rPr>
          <w:bCs/>
          <w:rtl/>
        </w:rPr>
        <w:t>لضمان امتثاله امتثال</w:t>
      </w:r>
      <w:r w:rsidR="00696EA1" w:rsidRPr="0035575A">
        <w:rPr>
          <w:bCs/>
          <w:rtl/>
        </w:rPr>
        <w:t xml:space="preserve">اً </w:t>
      </w:r>
      <w:r w:rsidRPr="0035575A">
        <w:rPr>
          <w:bCs/>
          <w:rtl/>
        </w:rPr>
        <w:t>تام</w:t>
      </w:r>
      <w:r w:rsidR="00696EA1" w:rsidRPr="0035575A">
        <w:rPr>
          <w:bCs/>
          <w:rtl/>
        </w:rPr>
        <w:t xml:space="preserve">اً </w:t>
      </w:r>
      <w:r w:rsidRPr="0035575A">
        <w:rPr>
          <w:bCs/>
          <w:rtl/>
        </w:rPr>
        <w:t>للمبادئ الأساسية بشأن استخدام القوة والأسلحة النارية من جانب الموظفين المكلفين بإنفاذ القوانين</w:t>
      </w:r>
      <w:r w:rsidR="001C35E3" w:rsidRPr="0035575A">
        <w:rPr>
          <w:bCs/>
          <w:rtl/>
        </w:rPr>
        <w:t>،</w:t>
      </w:r>
      <w:r w:rsidRPr="0035575A">
        <w:rPr>
          <w:bCs/>
          <w:rtl/>
        </w:rPr>
        <w:t xml:space="preserve"> وتدريب جميع موظفي الدولة المعنيين، ولا سيما أفراد الشرطة، تدريب</w:t>
      </w:r>
      <w:r w:rsidR="00696EA1" w:rsidRPr="0035575A">
        <w:rPr>
          <w:bCs/>
          <w:rtl/>
        </w:rPr>
        <w:t xml:space="preserve">اً </w:t>
      </w:r>
      <w:r w:rsidRPr="0035575A">
        <w:rPr>
          <w:bCs/>
          <w:rtl/>
        </w:rPr>
        <w:t>مناسب</w:t>
      </w:r>
      <w:r w:rsidR="00696EA1" w:rsidRPr="0035575A">
        <w:rPr>
          <w:bCs/>
          <w:rtl/>
        </w:rPr>
        <w:t xml:space="preserve">اً </w:t>
      </w:r>
      <w:r w:rsidRPr="0035575A">
        <w:rPr>
          <w:bCs/>
          <w:rtl/>
        </w:rPr>
        <w:t>على استخدام القوة؛</w:t>
      </w:r>
    </w:p>
    <w:p w14:paraId="600D20BB" w14:textId="0034A37A" w:rsidR="005F70DF" w:rsidRPr="0035575A" w:rsidRDefault="00E8660E" w:rsidP="00E8660E">
      <w:pPr>
        <w:pStyle w:val="SingleTxtGA"/>
        <w:rPr>
          <w:bCs/>
        </w:rPr>
      </w:pPr>
      <w:r>
        <w:rPr>
          <w:rtl/>
        </w:rPr>
        <w:tab/>
      </w:r>
      <w:r w:rsidRPr="00F60D22">
        <w:rPr>
          <w:rtl/>
        </w:rPr>
        <w:t>(د)</w:t>
      </w:r>
      <w:r w:rsidRPr="00F60D22">
        <w:rPr>
          <w:rtl/>
        </w:rPr>
        <w:tab/>
      </w:r>
      <w:r w:rsidRPr="0035575A">
        <w:rPr>
          <w:bCs/>
          <w:rtl/>
        </w:rPr>
        <w:t>الإسراع في إنشاء دائرة الطب الشرعي الوطنية لكفالة أن يشمل</w:t>
      </w:r>
      <w:r w:rsidR="001C35E3" w:rsidRPr="0035575A">
        <w:rPr>
          <w:bCs/>
          <w:rtl/>
        </w:rPr>
        <w:t xml:space="preserve"> </w:t>
      </w:r>
      <w:r w:rsidRPr="0035575A">
        <w:rPr>
          <w:bCs/>
          <w:rtl/>
        </w:rPr>
        <w:t>كل تحقيق في مزاعم الإعدام خارج نطاق القضاء فحص</w:t>
      </w:r>
      <w:r w:rsidR="00696EA1" w:rsidRPr="0035575A">
        <w:rPr>
          <w:bCs/>
          <w:rtl/>
        </w:rPr>
        <w:t xml:space="preserve">اً </w:t>
      </w:r>
      <w:r w:rsidRPr="0035575A">
        <w:rPr>
          <w:bCs/>
          <w:rtl/>
        </w:rPr>
        <w:t>مستقل</w:t>
      </w:r>
      <w:r w:rsidR="00696EA1" w:rsidRPr="0035575A">
        <w:rPr>
          <w:bCs/>
          <w:rtl/>
        </w:rPr>
        <w:t xml:space="preserve">اً </w:t>
      </w:r>
      <w:r w:rsidRPr="0035575A">
        <w:rPr>
          <w:bCs/>
          <w:rtl/>
        </w:rPr>
        <w:t>للأدلة الجنائية، بما في ذلك، إن لزم الأمر، تشريح الجثة، تماشي</w:t>
      </w:r>
      <w:r w:rsidR="00696EA1" w:rsidRPr="0035575A">
        <w:rPr>
          <w:bCs/>
          <w:rtl/>
        </w:rPr>
        <w:t xml:space="preserve">اً </w:t>
      </w:r>
      <w:r w:rsidRPr="0035575A">
        <w:rPr>
          <w:bCs/>
          <w:rtl/>
        </w:rPr>
        <w:t>مع بروتوكول مينيسوتا المتعلق بالتحقيق في حالات الوفاة التي يُحتمل أن تكون غير</w:t>
      </w:r>
      <w:r w:rsidR="00840574" w:rsidRPr="0035575A">
        <w:rPr>
          <w:rFonts w:hint="cs"/>
          <w:bCs/>
          <w:rtl/>
        </w:rPr>
        <w:t> </w:t>
      </w:r>
      <w:r w:rsidRPr="0035575A">
        <w:rPr>
          <w:bCs/>
          <w:rtl/>
        </w:rPr>
        <w:t>مشروعة (201</w:t>
      </w:r>
      <w:r w:rsidR="005F70DF" w:rsidRPr="0035575A">
        <w:rPr>
          <w:bCs/>
          <w:rtl/>
        </w:rPr>
        <w:t>6).</w:t>
      </w:r>
    </w:p>
    <w:p w14:paraId="09E7B6B7" w14:textId="72AD9726" w:rsidR="00E8660E" w:rsidRPr="0035575A" w:rsidRDefault="00E8660E" w:rsidP="009563BC">
      <w:pPr>
        <w:pStyle w:val="H23GA"/>
        <w:rPr>
          <w:lang w:val="ar-SA" w:eastAsia="zh-TW" w:bidi="en-GB"/>
        </w:rPr>
      </w:pPr>
      <w:r w:rsidRPr="0035575A">
        <w:rPr>
          <w:rtl/>
        </w:rPr>
        <w:tab/>
      </w:r>
      <w:r w:rsidRPr="0035575A">
        <w:rPr>
          <w:rtl/>
        </w:rPr>
        <w:tab/>
        <w:t>اللجنة الوطنية لحقوق الإنسان</w:t>
      </w:r>
    </w:p>
    <w:p w14:paraId="0EFF4183" w14:textId="5B91D1E5" w:rsidR="005F70DF" w:rsidRPr="00D26894" w:rsidRDefault="00E8660E" w:rsidP="00E8660E">
      <w:pPr>
        <w:pStyle w:val="SingleTxtGA"/>
        <w:rPr>
          <w:lang w:val="en-US" w:eastAsia="zh-TW" w:bidi="en-GB"/>
        </w:rPr>
      </w:pPr>
      <w:r w:rsidRPr="0035575A">
        <w:rPr>
          <w:rtl/>
        </w:rPr>
        <w:t>13</w:t>
      </w:r>
      <w:r w:rsidRPr="00F60D22">
        <w:rPr>
          <w:rtl/>
        </w:rPr>
        <w:t>-</w:t>
      </w:r>
      <w:r w:rsidRPr="00F60D22">
        <w:rPr>
          <w:rtl/>
        </w:rPr>
        <w:tab/>
        <w:t>تلاحظ اللجنة أن اللجنة الوطنية الكينية لحقوق الإنسان أُدرجت ضمن الفئة ألف وفق</w:t>
      </w:r>
      <w:r w:rsidR="00696EA1">
        <w:rPr>
          <w:rtl/>
        </w:rPr>
        <w:t xml:space="preserve">اً </w:t>
      </w:r>
      <w:r w:rsidRPr="00F60D22">
        <w:rPr>
          <w:rtl/>
        </w:rPr>
        <w:t xml:space="preserve">للمبادئ المتعلقة بمركز المؤسسات الوطنية لتعزيز وحماية حقوق الإنسان (مبادئ باريس) منذ عام </w:t>
      </w:r>
      <w:r w:rsidRPr="0035575A">
        <w:rPr>
          <w:rtl/>
        </w:rPr>
        <w:t>2005</w:t>
      </w:r>
      <w:r w:rsidRPr="00F60D22">
        <w:rPr>
          <w:rtl/>
        </w:rPr>
        <w:t>، لكنها تشعر بالقلق لكون الموارد المخصصة لهذه اللجنة لا تكفي لتمكينها من أداء جميع مهامها بفاعلية، خاصة دورها في زيارة أماكن الاحتجاز وفي تلقي الشكاوى المتعلقة بانتهاكات حقوق الإنسان المزعومة والتحقيق فيها. وتشعر بالقلق أيض</w:t>
      </w:r>
      <w:r w:rsidR="00696EA1">
        <w:rPr>
          <w:rtl/>
        </w:rPr>
        <w:t xml:space="preserve">اً </w:t>
      </w:r>
      <w:r w:rsidRPr="00F60D22">
        <w:rPr>
          <w:rtl/>
        </w:rPr>
        <w:t xml:space="preserve">لكون الولاية القانونية </w:t>
      </w:r>
      <w:r>
        <w:rPr>
          <w:rtl/>
        </w:rPr>
        <w:t xml:space="preserve">المنصوص عليها في </w:t>
      </w:r>
      <w:r w:rsidRPr="00F60D22">
        <w:rPr>
          <w:rtl/>
        </w:rPr>
        <w:t xml:space="preserve">قانون اللجنة الوطنية الكينية لحقوق الإنسان (رقم </w:t>
      </w:r>
      <w:r w:rsidRPr="0035575A">
        <w:rPr>
          <w:rtl/>
        </w:rPr>
        <w:t>14</w:t>
      </w:r>
      <w:r w:rsidRPr="00F60D22">
        <w:rPr>
          <w:rtl/>
        </w:rPr>
        <w:t xml:space="preserve"> لعام </w:t>
      </w:r>
      <w:r w:rsidRPr="0035575A">
        <w:rPr>
          <w:rtl/>
        </w:rPr>
        <w:t>201</w:t>
      </w:r>
      <w:r w:rsidR="005F70DF" w:rsidRPr="0035575A">
        <w:rPr>
          <w:rtl/>
        </w:rPr>
        <w:t>1</w:t>
      </w:r>
      <w:r w:rsidR="005F70DF" w:rsidRPr="005F70DF">
        <w:rPr>
          <w:rtl/>
        </w:rPr>
        <w:t xml:space="preserve">) </w:t>
      </w:r>
      <w:r w:rsidRPr="00F60D22">
        <w:rPr>
          <w:rtl/>
        </w:rPr>
        <w:t xml:space="preserve">قد لا تكون من الناحية العملية صريحة بما فيه الكفاية بخصوص </w:t>
      </w:r>
      <w:r>
        <w:rPr>
          <w:rtl/>
        </w:rPr>
        <w:t xml:space="preserve">حق اللجنة الوطنية في </w:t>
      </w:r>
      <w:r w:rsidRPr="00F60D22">
        <w:rPr>
          <w:rtl/>
        </w:rPr>
        <w:t>رصد وتفتيش مرافق الاحتجاز التي يديرها الجيش. وتشعر بالقلق</w:t>
      </w:r>
      <w:r w:rsidRPr="00F60D22" w:rsidDel="005958CC">
        <w:rPr>
          <w:rtl/>
        </w:rPr>
        <w:t xml:space="preserve"> </w:t>
      </w:r>
      <w:r>
        <w:rPr>
          <w:rtl/>
        </w:rPr>
        <w:t>أيض</w:t>
      </w:r>
      <w:r w:rsidR="00696EA1">
        <w:rPr>
          <w:rtl/>
        </w:rPr>
        <w:t xml:space="preserve">اً </w:t>
      </w:r>
      <w:r w:rsidRPr="00F60D22">
        <w:rPr>
          <w:rtl/>
        </w:rPr>
        <w:t>إزاء الافتقار إلى المعلومات المت</w:t>
      </w:r>
      <w:r>
        <w:rPr>
          <w:rtl/>
        </w:rPr>
        <w:t>صل</w:t>
      </w:r>
      <w:r w:rsidRPr="00F60D22">
        <w:rPr>
          <w:rtl/>
        </w:rPr>
        <w:t>ة بالتدابير الملموسة التي اتخذتها الدولة الطرف لضمان تنفيذ توصيات اللجنة</w:t>
      </w:r>
      <w:r>
        <w:rPr>
          <w:rtl/>
        </w:rPr>
        <w:t xml:space="preserve"> الوطنية</w:t>
      </w:r>
      <w:r w:rsidRPr="00F60D22">
        <w:rPr>
          <w:rtl/>
        </w:rPr>
        <w:t xml:space="preserve"> بفعالية (المادة </w:t>
      </w:r>
      <w:r w:rsidRPr="0035575A">
        <w:rPr>
          <w:rtl/>
        </w:rPr>
        <w:t>2</w:t>
      </w:r>
      <w:r w:rsidRPr="00F60D22">
        <w:rPr>
          <w:rtl/>
        </w:rPr>
        <w:t>(</w:t>
      </w:r>
      <w:r w:rsidRPr="0035575A">
        <w:rPr>
          <w:rtl/>
        </w:rPr>
        <w:t>1</w:t>
      </w:r>
      <w:r w:rsidRPr="00F60D22">
        <w:rPr>
          <w:rtl/>
        </w:rPr>
        <w:t>)</w:t>
      </w:r>
      <w:r w:rsidR="005F70DF" w:rsidRPr="005F70DF">
        <w:rPr>
          <w:rtl/>
        </w:rPr>
        <w:t>).</w:t>
      </w:r>
    </w:p>
    <w:p w14:paraId="1223153A" w14:textId="5F24A80A" w:rsidR="00E8660E" w:rsidRPr="0035575A" w:rsidRDefault="00E8660E" w:rsidP="00E8660E">
      <w:pPr>
        <w:pStyle w:val="SingleTxtGA"/>
        <w:rPr>
          <w:bCs/>
          <w:lang w:val="en-US" w:eastAsia="zh-TW" w:bidi="en-GB"/>
        </w:rPr>
      </w:pPr>
      <w:r w:rsidRPr="0035575A">
        <w:rPr>
          <w:rtl/>
        </w:rPr>
        <w:t>14</w:t>
      </w:r>
      <w:r w:rsidRPr="00F60D22">
        <w:rPr>
          <w:rtl/>
        </w:rPr>
        <w:t>-</w:t>
      </w:r>
      <w:r w:rsidRPr="00F60D22">
        <w:rPr>
          <w:rtl/>
        </w:rPr>
        <w:tab/>
      </w:r>
      <w:r w:rsidRPr="0035575A">
        <w:rPr>
          <w:bCs/>
          <w:rtl/>
        </w:rPr>
        <w:t>ينبغي أن تتخذ الدولة الطرف دون إبطاء التدابير اللازمة التي تمكّن اللجنة الوطنية لحقوق الإنسان من الاستقلال الوظيفي من خلال توفير ميزانية كافية لها</w:t>
      </w:r>
      <w:r w:rsidR="001C35E3" w:rsidRPr="0035575A">
        <w:rPr>
          <w:bCs/>
          <w:rtl/>
        </w:rPr>
        <w:t xml:space="preserve"> </w:t>
      </w:r>
      <w:r w:rsidRPr="0035575A">
        <w:rPr>
          <w:bCs/>
          <w:rtl/>
        </w:rPr>
        <w:t>تسمح لها باستقدام موظفين وإنشاء مكاتب إقليمية والاضطلاع بالولاية الموكلة إليها. وينبغي أيض</w:t>
      </w:r>
      <w:r w:rsidR="00696EA1" w:rsidRPr="0035575A">
        <w:rPr>
          <w:bCs/>
          <w:rtl/>
        </w:rPr>
        <w:t xml:space="preserve">اً </w:t>
      </w:r>
      <w:r w:rsidRPr="0035575A">
        <w:rPr>
          <w:bCs/>
          <w:rtl/>
        </w:rPr>
        <w:t>أن توضح مغزى تشريعاتها (أو تعدلها عند الاقتضاء)</w:t>
      </w:r>
      <w:r w:rsidR="001C35E3" w:rsidRPr="0035575A">
        <w:rPr>
          <w:bCs/>
          <w:rtl/>
        </w:rPr>
        <w:t xml:space="preserve"> </w:t>
      </w:r>
      <w:r w:rsidRPr="0035575A">
        <w:rPr>
          <w:bCs/>
          <w:rtl/>
        </w:rPr>
        <w:t>لكي يكون من الواضح أن مسؤولية اللجنة تشمل الحق في رصد وتفتيش مرافق الاحتجاز التي يديرها الجيش</w:t>
      </w:r>
      <w:r w:rsidR="001C35E3" w:rsidRPr="0035575A">
        <w:rPr>
          <w:bCs/>
          <w:rtl/>
        </w:rPr>
        <w:t>.</w:t>
      </w:r>
      <w:r w:rsidRPr="0035575A">
        <w:rPr>
          <w:bCs/>
          <w:rtl/>
        </w:rPr>
        <w:t xml:space="preserve"> وأخير</w:t>
      </w:r>
      <w:r w:rsidR="00696EA1" w:rsidRPr="0035575A">
        <w:rPr>
          <w:bCs/>
          <w:rtl/>
        </w:rPr>
        <w:t xml:space="preserve">اً، </w:t>
      </w:r>
      <w:r w:rsidRPr="0035575A">
        <w:rPr>
          <w:bCs/>
          <w:rtl/>
        </w:rPr>
        <w:t>ينبغي أن تتخذ الدولة الطرف جميع التدابير اللازمة التي تكفل تنفيذ توصيات اللجنة الوطنية بفاعلية، بما فيها تدابير لرصد ما إن كانت الوكالات العامة تتابع بالفعل هذه التوصيات متابعة ملائم</w:t>
      </w:r>
      <w:r w:rsidR="00636EA5" w:rsidRPr="0035575A">
        <w:rPr>
          <w:rFonts w:hint="cs"/>
          <w:bCs/>
          <w:rtl/>
        </w:rPr>
        <w:t>ة</w:t>
      </w:r>
      <w:r w:rsidRPr="0035575A">
        <w:rPr>
          <w:bCs/>
          <w:rtl/>
        </w:rPr>
        <w:t>.</w:t>
      </w:r>
    </w:p>
    <w:p w14:paraId="66F2132E" w14:textId="77777777" w:rsidR="00E8660E" w:rsidRPr="0035575A" w:rsidRDefault="00E8660E" w:rsidP="009563BC">
      <w:pPr>
        <w:pStyle w:val="H23GA"/>
        <w:rPr>
          <w:lang w:val="en-US" w:eastAsia="zh-TW" w:bidi="en-GB"/>
        </w:rPr>
      </w:pPr>
      <w:r w:rsidRPr="0035575A">
        <w:rPr>
          <w:rtl/>
        </w:rPr>
        <w:lastRenderedPageBreak/>
        <w:tab/>
      </w:r>
      <w:r w:rsidRPr="0035575A">
        <w:rPr>
          <w:rtl/>
        </w:rPr>
        <w:tab/>
        <w:t>الاحتجاز السابق للمحاكمة</w:t>
      </w:r>
    </w:p>
    <w:p w14:paraId="201711AA" w14:textId="16BFDC84" w:rsidR="005F70DF" w:rsidRPr="005F70DF" w:rsidRDefault="00E8660E" w:rsidP="00E8660E">
      <w:pPr>
        <w:pStyle w:val="SingleTxtGA"/>
        <w:rPr>
          <w:lang w:eastAsia="zh-TW" w:bidi="en-GB"/>
        </w:rPr>
      </w:pPr>
      <w:r w:rsidRPr="0035575A">
        <w:rPr>
          <w:rtl/>
        </w:rPr>
        <w:t>15</w:t>
      </w:r>
      <w:r w:rsidRPr="00F60D22">
        <w:rPr>
          <w:rtl/>
        </w:rPr>
        <w:t>-</w:t>
      </w:r>
      <w:r w:rsidRPr="00F60D22">
        <w:rPr>
          <w:rtl/>
        </w:rPr>
        <w:tab/>
        <w:t>تحيط اللجنة علم</w:t>
      </w:r>
      <w:r w:rsidR="00696EA1">
        <w:rPr>
          <w:rtl/>
        </w:rPr>
        <w:t xml:space="preserve">اً </w:t>
      </w:r>
      <w:r w:rsidRPr="00F60D22">
        <w:rPr>
          <w:rtl/>
        </w:rPr>
        <w:t>بالمعلومات التي قدمتها الدولة الطرف عن التدابير الرامية إلى التصدي للإفراط في استخدام الاحتجاز المطول قبل المحاكمة، الذي يسبب اكتظاظ</w:t>
      </w:r>
      <w:r w:rsidR="00696EA1">
        <w:rPr>
          <w:rtl/>
        </w:rPr>
        <w:t xml:space="preserve">اً </w:t>
      </w:r>
      <w:r w:rsidRPr="00F60D22">
        <w:rPr>
          <w:rtl/>
        </w:rPr>
        <w:t>مزمن</w:t>
      </w:r>
      <w:r w:rsidR="00696EA1">
        <w:rPr>
          <w:rtl/>
        </w:rPr>
        <w:t xml:space="preserve">اً </w:t>
      </w:r>
      <w:r w:rsidRPr="00F60D22">
        <w:rPr>
          <w:rtl/>
        </w:rPr>
        <w:t xml:space="preserve">في مرافق الاحتجاز، بيد أنها لا تزال تشعر بالقلق من ارتفاع عدد المحتجزين الذين ينتظرون المحاكمة والذين يمثلون </w:t>
      </w:r>
      <w:r w:rsidRPr="0035575A">
        <w:rPr>
          <w:rtl/>
        </w:rPr>
        <w:t>48</w:t>
      </w:r>
      <w:r>
        <w:rPr>
          <w:rtl/>
        </w:rPr>
        <w:t xml:space="preserve"> في المائة </w:t>
      </w:r>
      <w:r w:rsidRPr="00F60D22">
        <w:rPr>
          <w:rtl/>
        </w:rPr>
        <w:t>من مجموع السجناء وكثير</w:t>
      </w:r>
      <w:r w:rsidR="00696EA1">
        <w:rPr>
          <w:rtl/>
        </w:rPr>
        <w:t xml:space="preserve">اً </w:t>
      </w:r>
      <w:r w:rsidRPr="00F60D22">
        <w:rPr>
          <w:rtl/>
        </w:rPr>
        <w:t xml:space="preserve">ما يحتجزون فترات طويلة. وتلاحظ في هذا الصدد مع التقدير التحسينات التي أدخلت على نظام الكفالة، بطرق منها اعتماد المبادئ </w:t>
      </w:r>
      <w:r w:rsidRPr="00A50F48">
        <w:rPr>
          <w:rtl/>
        </w:rPr>
        <w:t>لسياسة الكفالة النقدية والكفالة الشخصية</w:t>
      </w:r>
      <w:r w:rsidRPr="00A50F48" w:rsidDel="00A50F48">
        <w:rPr>
          <w:rtl/>
        </w:rPr>
        <w:t xml:space="preserve"> </w:t>
      </w:r>
      <w:r w:rsidRPr="00F60D22">
        <w:rPr>
          <w:rtl/>
        </w:rPr>
        <w:t xml:space="preserve">في عام </w:t>
      </w:r>
      <w:r w:rsidRPr="0035575A">
        <w:rPr>
          <w:rtl/>
        </w:rPr>
        <w:t>2015</w:t>
      </w:r>
      <w:r w:rsidRPr="00F60D22">
        <w:rPr>
          <w:rtl/>
        </w:rPr>
        <w:t>، غير أنها تشعر بالقلق لأن شروط الكفالة لا تزال مفرطة في الصرامة</w:t>
      </w:r>
      <w:r>
        <w:rPr>
          <w:rtl/>
        </w:rPr>
        <w:t xml:space="preserve">، صرامة </w:t>
      </w:r>
      <w:r w:rsidRPr="00F60D22">
        <w:rPr>
          <w:rtl/>
        </w:rPr>
        <w:t>يتعذّر</w:t>
      </w:r>
      <w:r>
        <w:rPr>
          <w:rtl/>
        </w:rPr>
        <w:t xml:space="preserve"> معها</w:t>
      </w:r>
      <w:r w:rsidRPr="00F60D22">
        <w:rPr>
          <w:rtl/>
        </w:rPr>
        <w:t xml:space="preserve"> أن تكون فعالة عملي</w:t>
      </w:r>
      <w:r w:rsidR="00696EA1">
        <w:rPr>
          <w:rtl/>
        </w:rPr>
        <w:t xml:space="preserve">اً </w:t>
      </w:r>
      <w:r w:rsidRPr="00F60D22">
        <w:rPr>
          <w:rtl/>
        </w:rPr>
        <w:t xml:space="preserve">(المواد </w:t>
      </w:r>
      <w:r w:rsidRPr="0035575A">
        <w:rPr>
          <w:rtl/>
        </w:rPr>
        <w:t>2</w:t>
      </w:r>
      <w:r w:rsidRPr="00F60D22">
        <w:rPr>
          <w:rtl/>
        </w:rPr>
        <w:t xml:space="preserve"> و</w:t>
      </w:r>
      <w:r w:rsidRPr="0035575A">
        <w:rPr>
          <w:rtl/>
        </w:rPr>
        <w:t>11</w:t>
      </w:r>
      <w:r w:rsidRPr="00F60D22">
        <w:rPr>
          <w:rtl/>
        </w:rPr>
        <w:t xml:space="preserve"> و</w:t>
      </w:r>
      <w:r w:rsidRPr="0035575A">
        <w:rPr>
          <w:rtl/>
        </w:rPr>
        <w:t>1</w:t>
      </w:r>
      <w:r w:rsidR="005F70DF" w:rsidRPr="0035575A">
        <w:rPr>
          <w:rtl/>
        </w:rPr>
        <w:t>6</w:t>
      </w:r>
      <w:r w:rsidR="005F70DF" w:rsidRPr="005F70DF">
        <w:rPr>
          <w:rtl/>
        </w:rPr>
        <w:t>).</w:t>
      </w:r>
    </w:p>
    <w:p w14:paraId="1D768BE6" w14:textId="300D5A3C" w:rsidR="00E8660E" w:rsidRPr="0035575A" w:rsidRDefault="00E8660E" w:rsidP="00E8660E">
      <w:pPr>
        <w:pStyle w:val="SingleTxtGA"/>
        <w:rPr>
          <w:bCs/>
          <w:lang w:val="ar-SA" w:eastAsia="zh-TW" w:bidi="en-GB"/>
        </w:rPr>
      </w:pPr>
      <w:r w:rsidRPr="0035575A">
        <w:rPr>
          <w:rtl/>
        </w:rPr>
        <w:t>16</w:t>
      </w:r>
      <w:r w:rsidRPr="00F60D22">
        <w:rPr>
          <w:rtl/>
        </w:rPr>
        <w:t>-</w:t>
      </w:r>
      <w:r w:rsidRPr="00F60D22">
        <w:rPr>
          <w:rtl/>
        </w:rPr>
        <w:tab/>
      </w:r>
      <w:r w:rsidRPr="0035575A">
        <w:rPr>
          <w:bCs/>
          <w:rtl/>
        </w:rPr>
        <w:t>ينبغي أن تفعل الدولة الطرف ما يلي:</w:t>
      </w:r>
    </w:p>
    <w:p w14:paraId="67E1BC50" w14:textId="28CAB9A0" w:rsidR="00E8660E" w:rsidRPr="0035575A" w:rsidRDefault="00E8660E" w:rsidP="00E8660E">
      <w:pPr>
        <w:pStyle w:val="SingleTxtGA"/>
        <w:rPr>
          <w:bCs/>
          <w:lang w:val="en-US" w:eastAsia="zh-TW" w:bidi="en-GB"/>
        </w:rPr>
      </w:pPr>
      <w:r w:rsidRPr="0035575A">
        <w:rPr>
          <w:b/>
          <w:rtl/>
        </w:rPr>
        <w:tab/>
        <w:t>(</w:t>
      </w:r>
      <w:r w:rsidRPr="00F60D22">
        <w:rPr>
          <w:rtl/>
        </w:rPr>
        <w:t>أ)</w:t>
      </w:r>
      <w:r w:rsidRPr="0035575A">
        <w:rPr>
          <w:bCs/>
          <w:rtl/>
        </w:rPr>
        <w:tab/>
        <w:t>ضمان التقيّد باللوائح التي تحكم الاحتجاز السابق للمحاكمة تقيّداً دقيقاً وعدم استخدام هذا الاحتجاز إلا في ظروف استثنائية وفترات محدودة ووفق</w:t>
      </w:r>
      <w:r w:rsidR="00696EA1" w:rsidRPr="0035575A">
        <w:rPr>
          <w:bCs/>
          <w:rtl/>
        </w:rPr>
        <w:t xml:space="preserve">اً </w:t>
      </w:r>
      <w:r w:rsidRPr="0035575A">
        <w:rPr>
          <w:bCs/>
          <w:rtl/>
        </w:rPr>
        <w:t xml:space="preserve">للقانون، مع مراعاة مبدأي الضرورة والتناسب؛ </w:t>
      </w:r>
    </w:p>
    <w:p w14:paraId="679D981A" w14:textId="019A1E0E" w:rsidR="005F70DF" w:rsidRPr="0035575A" w:rsidRDefault="00E8660E" w:rsidP="00E8660E">
      <w:pPr>
        <w:pStyle w:val="SingleTxtGA"/>
        <w:rPr>
          <w:bCs/>
        </w:rPr>
      </w:pPr>
      <w:r w:rsidRPr="0035575A">
        <w:rPr>
          <w:b/>
          <w:rtl/>
        </w:rPr>
        <w:tab/>
        <w:t>(</w:t>
      </w:r>
      <w:r w:rsidRPr="00F60D22">
        <w:rPr>
          <w:rtl/>
        </w:rPr>
        <w:t>ب)</w:t>
      </w:r>
      <w:r w:rsidRPr="00F60D22">
        <w:rPr>
          <w:rtl/>
        </w:rPr>
        <w:tab/>
      </w:r>
      <w:r w:rsidRPr="0035575A">
        <w:rPr>
          <w:bCs/>
          <w:rtl/>
        </w:rPr>
        <w:t>تكثيف الجهود للحد كثير</w:t>
      </w:r>
      <w:r w:rsidR="00696EA1" w:rsidRPr="0035575A">
        <w:rPr>
          <w:bCs/>
          <w:rtl/>
        </w:rPr>
        <w:t xml:space="preserve">اً </w:t>
      </w:r>
      <w:r w:rsidRPr="0035575A">
        <w:rPr>
          <w:bCs/>
          <w:rtl/>
        </w:rPr>
        <w:t>من الاكتظاظ في مرافق الاحتجاز بزيادة القدرة على الحد من تراكم القضايا وباللجوء أكثر إلى بدائل الاحتجاز، وفق</w:t>
      </w:r>
      <w:r w:rsidR="00696EA1" w:rsidRPr="0035575A">
        <w:rPr>
          <w:bCs/>
          <w:rtl/>
        </w:rPr>
        <w:t xml:space="preserve">اً </w:t>
      </w:r>
      <w:r w:rsidRPr="0035575A">
        <w:rPr>
          <w:bCs/>
          <w:rtl/>
        </w:rPr>
        <w:t>لقواعد الأمم المتحدة الدنيا النموذجية للتدابير غير الاحتجازية (قواعد طوكيو) وقواعد الأمم المتحدة لمعاملة السجينات والتدابير غير الاحتجازية للمجرمات (قواعد بانكوك</w:t>
      </w:r>
      <w:r w:rsidR="005F70DF" w:rsidRPr="0035575A">
        <w:rPr>
          <w:bCs/>
          <w:rtl/>
        </w:rPr>
        <w:t>)؛</w:t>
      </w:r>
    </w:p>
    <w:p w14:paraId="1F9FE27B" w14:textId="23E11854" w:rsidR="00E8660E" w:rsidRPr="0035575A" w:rsidRDefault="00E8660E" w:rsidP="00E8660E">
      <w:pPr>
        <w:pStyle w:val="SingleTxtGA"/>
        <w:rPr>
          <w:bCs/>
        </w:rPr>
      </w:pPr>
      <w:r w:rsidRPr="0035575A">
        <w:rPr>
          <w:b/>
          <w:rtl/>
        </w:rPr>
        <w:tab/>
        <w:t>(</w:t>
      </w:r>
      <w:r w:rsidRPr="00F60D22">
        <w:rPr>
          <w:rtl/>
        </w:rPr>
        <w:t>ج)</w:t>
      </w:r>
      <w:r w:rsidRPr="00F60D22">
        <w:rPr>
          <w:rtl/>
        </w:rPr>
        <w:tab/>
      </w:r>
      <w:r w:rsidRPr="0035575A">
        <w:rPr>
          <w:bCs/>
          <w:rtl/>
        </w:rPr>
        <w:t>ضمان</w:t>
      </w:r>
      <w:r w:rsidR="001C35E3" w:rsidRPr="0035575A">
        <w:rPr>
          <w:bCs/>
          <w:rtl/>
        </w:rPr>
        <w:t xml:space="preserve"> </w:t>
      </w:r>
      <w:r w:rsidRPr="0035575A">
        <w:rPr>
          <w:bCs/>
          <w:rtl/>
        </w:rPr>
        <w:t>مراقبة النيابة العامة بانتظام</w:t>
      </w:r>
      <w:r w:rsidR="001C35E3" w:rsidRPr="0035575A">
        <w:rPr>
          <w:bCs/>
          <w:rtl/>
        </w:rPr>
        <w:t xml:space="preserve"> </w:t>
      </w:r>
      <w:r w:rsidRPr="0035575A">
        <w:rPr>
          <w:bCs/>
          <w:rtl/>
        </w:rPr>
        <w:t>مدى مشروعية الاحتجاز السابق للمحاكمة.</w:t>
      </w:r>
    </w:p>
    <w:p w14:paraId="53C03F3B" w14:textId="77777777" w:rsidR="00E8660E" w:rsidRPr="0035575A" w:rsidRDefault="00E8660E" w:rsidP="009563BC">
      <w:pPr>
        <w:pStyle w:val="H23GA"/>
        <w:rPr>
          <w:lang w:val="en-US" w:eastAsia="zh-TW" w:bidi="en-GB"/>
        </w:rPr>
      </w:pPr>
      <w:r w:rsidRPr="0035575A">
        <w:rPr>
          <w:rtl/>
        </w:rPr>
        <w:tab/>
      </w:r>
      <w:r w:rsidRPr="0035575A">
        <w:rPr>
          <w:rtl/>
        </w:rPr>
        <w:tab/>
        <w:t>ظروف الاحتجاز</w:t>
      </w:r>
    </w:p>
    <w:p w14:paraId="0FA8EC62" w14:textId="252D23EC" w:rsidR="005F70DF" w:rsidRPr="005F70DF" w:rsidRDefault="00E8660E" w:rsidP="00E8660E">
      <w:pPr>
        <w:pStyle w:val="SingleTxtGA"/>
        <w:rPr>
          <w:lang w:val="ar-SA" w:eastAsia="zh-TW" w:bidi="en-GB"/>
        </w:rPr>
      </w:pPr>
      <w:r w:rsidRPr="0035575A">
        <w:rPr>
          <w:rtl/>
        </w:rPr>
        <w:t>17</w:t>
      </w:r>
      <w:r w:rsidRPr="00F60D22">
        <w:rPr>
          <w:rtl/>
        </w:rPr>
        <w:t>-</w:t>
      </w:r>
      <w:r w:rsidRPr="00F60D22">
        <w:rPr>
          <w:rtl/>
        </w:rPr>
        <w:tab/>
        <w:t xml:space="preserve">تعترف اللجنة بالخطوات التي خَطَتها الدولة الطرف لتحسين الظروف في أماكن الاحتجاز، مثل تجديد العديد من المؤسسات الإصلاحية، غير أنها لا تزال تشعر بالقلق بشأن التقارير التي تشير إلى الاكتظاظ (بنسبة تصل إلى </w:t>
      </w:r>
      <w:r w:rsidRPr="0035575A">
        <w:rPr>
          <w:rtl/>
        </w:rPr>
        <w:t>400</w:t>
      </w:r>
      <w:r>
        <w:rPr>
          <w:rtl/>
        </w:rPr>
        <w:t xml:space="preserve"> في المائة</w:t>
      </w:r>
      <w:r w:rsidRPr="00F60D22">
        <w:rPr>
          <w:rtl/>
        </w:rPr>
        <w:t xml:space="preserve">) في بعض السجون وسوء أحوال الاحتجاز المادية في أماكن سلب الحرية، ولا سيما عدم </w:t>
      </w:r>
      <w:r>
        <w:rPr>
          <w:rtl/>
        </w:rPr>
        <w:t>سلامتها</w:t>
      </w:r>
      <w:r w:rsidRPr="00F60D22">
        <w:rPr>
          <w:rtl/>
        </w:rPr>
        <w:t xml:space="preserve"> وعدم </w:t>
      </w:r>
      <w:r>
        <w:rPr>
          <w:rtl/>
        </w:rPr>
        <w:t xml:space="preserve">كفاية </w:t>
      </w:r>
      <w:r w:rsidRPr="00F60D22">
        <w:rPr>
          <w:rtl/>
        </w:rPr>
        <w:t>النظافة ال</w:t>
      </w:r>
      <w:r>
        <w:rPr>
          <w:rtl/>
        </w:rPr>
        <w:t>صحية</w:t>
      </w:r>
      <w:r w:rsidR="001C35E3">
        <w:rPr>
          <w:rtl/>
        </w:rPr>
        <w:t xml:space="preserve"> </w:t>
      </w:r>
      <w:r w:rsidRPr="00F60D22">
        <w:rPr>
          <w:rtl/>
        </w:rPr>
        <w:t>والافتقار إلى التهوية ورداءة نوعية الطعام والماء وكميتهما غير الكافي</w:t>
      </w:r>
      <w:r>
        <w:rPr>
          <w:rtl/>
        </w:rPr>
        <w:t>ة</w:t>
      </w:r>
      <w:r w:rsidRPr="00F60D22">
        <w:rPr>
          <w:rtl/>
        </w:rPr>
        <w:t xml:space="preserve"> وقلة الأنشطة الترفيهية أو التعليمية لتعزيز إعادة التأهيل. وإضافة إلى ذلك، لا تزال محدودية فرص الحصول على الرعاية الصحية الجيدة، بما فيها الرعاية الصحية النفسية، والافتقار إلى موظفي السجون المدربين والمؤهلين، بمن فيهم الموظفون الطبيون، من المشاكل الحادة في نظام السجون. ويساور اللجنة القلق أيض</w:t>
      </w:r>
      <w:r w:rsidR="00696EA1">
        <w:rPr>
          <w:rtl/>
        </w:rPr>
        <w:t xml:space="preserve">اً </w:t>
      </w:r>
      <w:r w:rsidRPr="00F60D22">
        <w:rPr>
          <w:rtl/>
        </w:rPr>
        <w:t>إزاء التقارير التي تشير إلى انتشار العنف في السجون، بما فيه عنف موظفي السجون بالمحتجزين والعنف والاعتداء الجنسي</w:t>
      </w:r>
      <w:r w:rsidRPr="00007380">
        <w:rPr>
          <w:rtl/>
        </w:rPr>
        <w:t xml:space="preserve"> </w:t>
      </w:r>
      <w:r w:rsidRPr="00F60D22">
        <w:rPr>
          <w:rtl/>
        </w:rPr>
        <w:t xml:space="preserve">بين السجناء، والممارسة المتمثلة في احتجاز الأطفال مع البالغين (المواد </w:t>
      </w:r>
      <w:r w:rsidRPr="0035575A">
        <w:rPr>
          <w:rtl/>
        </w:rPr>
        <w:t>2</w:t>
      </w:r>
      <w:r w:rsidRPr="00F60D22">
        <w:rPr>
          <w:rtl/>
        </w:rPr>
        <w:t xml:space="preserve"> و</w:t>
      </w:r>
      <w:r w:rsidRPr="0035575A">
        <w:rPr>
          <w:rtl/>
        </w:rPr>
        <w:t>11</w:t>
      </w:r>
      <w:r w:rsidRPr="00F60D22">
        <w:rPr>
          <w:rtl/>
        </w:rPr>
        <w:t xml:space="preserve"> و</w:t>
      </w:r>
      <w:r w:rsidRPr="0035575A">
        <w:rPr>
          <w:rtl/>
        </w:rPr>
        <w:t>1</w:t>
      </w:r>
      <w:r w:rsidR="005F70DF" w:rsidRPr="0035575A">
        <w:rPr>
          <w:rtl/>
        </w:rPr>
        <w:t>6</w:t>
      </w:r>
      <w:r w:rsidR="005F70DF" w:rsidRPr="005F70DF">
        <w:rPr>
          <w:rtl/>
        </w:rPr>
        <w:t>).</w:t>
      </w:r>
    </w:p>
    <w:p w14:paraId="5D0C0395" w14:textId="29A5C3ED" w:rsidR="00E8660E" w:rsidRPr="0035575A" w:rsidRDefault="00E8660E" w:rsidP="00E8660E">
      <w:pPr>
        <w:pStyle w:val="SingleTxtGA"/>
        <w:rPr>
          <w:bCs/>
          <w:lang w:val="ar-SA" w:eastAsia="zh-TW" w:bidi="en-GB"/>
        </w:rPr>
      </w:pPr>
      <w:r w:rsidRPr="0035575A">
        <w:rPr>
          <w:rtl/>
        </w:rPr>
        <w:t>18</w:t>
      </w:r>
      <w:r w:rsidRPr="00F60D22">
        <w:rPr>
          <w:rtl/>
        </w:rPr>
        <w:t>-</w:t>
      </w:r>
      <w:r w:rsidRPr="00F60D22">
        <w:rPr>
          <w:rtl/>
        </w:rPr>
        <w:tab/>
      </w:r>
      <w:r w:rsidRPr="0035575A">
        <w:rPr>
          <w:bCs/>
          <w:rtl/>
        </w:rPr>
        <w:t>تدعو اللجنة الدولة الطرف إلى تكثيف جهودها لجعل ظروف الاحتجاز متوافقة مع قواعد الأمم المتحدة النموذجية الدنيا لمعاملة السجناء (قواعد نيلسون مانديلا</w:t>
      </w:r>
      <w:r w:rsidR="005F70DF" w:rsidRPr="0035575A">
        <w:rPr>
          <w:bCs/>
          <w:rtl/>
        </w:rPr>
        <w:t xml:space="preserve">)، </w:t>
      </w:r>
      <w:r w:rsidRPr="0035575A">
        <w:rPr>
          <w:bCs/>
          <w:rtl/>
        </w:rPr>
        <w:t>بسبل منها تعديل الفصل 90 من قانون السجون والفصل 92 من قانون الإصلاحيات تعديل</w:t>
      </w:r>
      <w:r w:rsidR="00696EA1" w:rsidRPr="0035575A">
        <w:rPr>
          <w:bCs/>
          <w:rtl/>
        </w:rPr>
        <w:t xml:space="preserve">اً </w:t>
      </w:r>
      <w:r w:rsidRPr="0035575A">
        <w:rPr>
          <w:bCs/>
          <w:rtl/>
        </w:rPr>
        <w:t>مناسب</w:t>
      </w:r>
      <w:r w:rsidR="00696EA1" w:rsidRPr="0035575A">
        <w:rPr>
          <w:bCs/>
          <w:rtl/>
        </w:rPr>
        <w:t xml:space="preserve">اً. </w:t>
      </w:r>
      <w:r w:rsidRPr="0035575A">
        <w:rPr>
          <w:bCs/>
          <w:rtl/>
        </w:rPr>
        <w:t>وينبغي أيضاً أن تفعل</w:t>
      </w:r>
      <w:r w:rsidR="001C35E3" w:rsidRPr="0035575A">
        <w:rPr>
          <w:bCs/>
          <w:rtl/>
        </w:rPr>
        <w:t xml:space="preserve"> </w:t>
      </w:r>
      <w:r w:rsidRPr="0035575A">
        <w:rPr>
          <w:bCs/>
          <w:rtl/>
        </w:rPr>
        <w:t>ما يلي:</w:t>
      </w:r>
    </w:p>
    <w:p w14:paraId="30F248B7" w14:textId="77777777" w:rsidR="00E8660E" w:rsidRPr="0035575A" w:rsidRDefault="00E8660E" w:rsidP="00E8660E">
      <w:pPr>
        <w:pStyle w:val="SingleTxtGA"/>
        <w:rPr>
          <w:bCs/>
          <w:lang w:val="ar-SA" w:eastAsia="zh-TW" w:bidi="en-GB"/>
        </w:rPr>
      </w:pPr>
      <w:r>
        <w:rPr>
          <w:rtl/>
        </w:rPr>
        <w:tab/>
      </w:r>
      <w:r w:rsidRPr="00F60D22">
        <w:rPr>
          <w:rtl/>
        </w:rPr>
        <w:t>(أ)</w:t>
      </w:r>
      <w:r w:rsidRPr="00F60D22">
        <w:rPr>
          <w:rtl/>
        </w:rPr>
        <w:tab/>
      </w:r>
      <w:r w:rsidRPr="0035575A">
        <w:rPr>
          <w:bCs/>
          <w:rtl/>
        </w:rPr>
        <w:t>الحد من الاكتظاظ في السجون من خلال زيادة استخدام بدائل الاحتجاز والاستمرار في تنفيذ خطط لتطوير البنية التحتية للسجون وتحسين ظروف الاحتجاز؛</w:t>
      </w:r>
    </w:p>
    <w:p w14:paraId="59DC694C" w14:textId="0858E04C" w:rsidR="00E8660E" w:rsidRPr="0035575A" w:rsidRDefault="00E8660E" w:rsidP="00E8660E">
      <w:pPr>
        <w:pStyle w:val="SingleTxtGA"/>
        <w:rPr>
          <w:bCs/>
          <w:lang w:val="ar-SA" w:eastAsia="zh-TW" w:bidi="en-GB"/>
        </w:rPr>
      </w:pPr>
      <w:r w:rsidRPr="0035575A">
        <w:rPr>
          <w:b/>
          <w:rtl/>
        </w:rPr>
        <w:tab/>
        <w:t>(</w:t>
      </w:r>
      <w:r w:rsidRPr="00F60D22">
        <w:rPr>
          <w:rtl/>
        </w:rPr>
        <w:t>ب)</w:t>
      </w:r>
      <w:r w:rsidRPr="00F60D22">
        <w:rPr>
          <w:rtl/>
        </w:rPr>
        <w:tab/>
      </w:r>
      <w:r w:rsidRPr="0035575A">
        <w:rPr>
          <w:bCs/>
          <w:rtl/>
        </w:rPr>
        <w:t>تخصيص ما يلزم من الموارد للرعاية الطبية والصحية الملائمة للسجناء، وفق</w:t>
      </w:r>
      <w:r w:rsidR="00696EA1" w:rsidRPr="0035575A">
        <w:rPr>
          <w:bCs/>
          <w:rtl/>
        </w:rPr>
        <w:t xml:space="preserve">اً </w:t>
      </w:r>
      <w:r w:rsidRPr="0035575A">
        <w:rPr>
          <w:bCs/>
          <w:rtl/>
        </w:rPr>
        <w:t>للقواعد من 24 حتى 35 من قواعد نيلسون مانديلا؛</w:t>
      </w:r>
    </w:p>
    <w:p w14:paraId="77C07A1F" w14:textId="77777777" w:rsidR="00E8660E" w:rsidRPr="0035575A" w:rsidRDefault="00E8660E" w:rsidP="00E8660E">
      <w:pPr>
        <w:pStyle w:val="SingleTxtGA"/>
        <w:rPr>
          <w:bCs/>
          <w:lang w:val="ar-SA" w:eastAsia="zh-TW" w:bidi="en-GB"/>
        </w:rPr>
      </w:pPr>
      <w:r w:rsidRPr="0035575A">
        <w:rPr>
          <w:b/>
          <w:rtl/>
        </w:rPr>
        <w:lastRenderedPageBreak/>
        <w:tab/>
        <w:t>(</w:t>
      </w:r>
      <w:r w:rsidRPr="00F60D22">
        <w:rPr>
          <w:rtl/>
        </w:rPr>
        <w:t>ج)</w:t>
      </w:r>
      <w:r w:rsidRPr="00F60D22">
        <w:rPr>
          <w:rtl/>
        </w:rPr>
        <w:tab/>
      </w:r>
      <w:r w:rsidRPr="0035575A">
        <w:rPr>
          <w:bCs/>
          <w:rtl/>
        </w:rPr>
        <w:t>زيادة عدد موظفي السجون المدربين والمؤهلين، بمن فيهم الموظفون الطبيون، وتدعيم رصد العنف بين السجناء، بما فيه العنف الجنسي، والتحكم فيه؛</w:t>
      </w:r>
    </w:p>
    <w:p w14:paraId="2E19FE95" w14:textId="0CEB9909" w:rsidR="00E8660E" w:rsidRPr="0035575A" w:rsidRDefault="00E8660E" w:rsidP="00E8660E">
      <w:pPr>
        <w:pStyle w:val="SingleTxtGA"/>
        <w:rPr>
          <w:bCs/>
        </w:rPr>
      </w:pPr>
      <w:r>
        <w:rPr>
          <w:rtl/>
        </w:rPr>
        <w:tab/>
      </w:r>
      <w:r w:rsidRPr="00F60D22">
        <w:rPr>
          <w:rtl/>
        </w:rPr>
        <w:t>(د)</w:t>
      </w:r>
      <w:r w:rsidRPr="00F60D22">
        <w:rPr>
          <w:rtl/>
        </w:rPr>
        <w:tab/>
      </w:r>
      <w:r w:rsidRPr="0035575A">
        <w:rPr>
          <w:bCs/>
          <w:rtl/>
        </w:rPr>
        <w:t>ضمان إجراء تحقيقات فورية ونزيهة وفعالة في جميع الادعاءات المرتبطة بأعمال التعذيب وسوء المعاملة على أيدي موظفي السجون ومقاضاة الجناة المزعومين ومعاقبتهم على النحو</w:t>
      </w:r>
      <w:r w:rsidR="009563BC" w:rsidRPr="0035575A">
        <w:rPr>
          <w:rFonts w:hint="cs"/>
          <w:bCs/>
          <w:rtl/>
        </w:rPr>
        <w:t> </w:t>
      </w:r>
      <w:r w:rsidRPr="0035575A">
        <w:rPr>
          <w:bCs/>
          <w:rtl/>
        </w:rPr>
        <w:t xml:space="preserve">المناسب؛ </w:t>
      </w:r>
    </w:p>
    <w:p w14:paraId="1A9F9EB1" w14:textId="0D0F4ED1" w:rsidR="005F70DF" w:rsidRPr="0035575A" w:rsidRDefault="00E8660E" w:rsidP="00E8660E">
      <w:pPr>
        <w:pStyle w:val="SingleTxtGA"/>
        <w:rPr>
          <w:bCs/>
        </w:rPr>
      </w:pPr>
      <w:r>
        <w:rPr>
          <w:rtl/>
        </w:rPr>
        <w:tab/>
      </w:r>
      <w:r w:rsidRPr="00F60D22">
        <w:rPr>
          <w:rtl/>
        </w:rPr>
        <w:t>(هـ)</w:t>
      </w:r>
      <w:r w:rsidRPr="00F60D22">
        <w:rPr>
          <w:rtl/>
        </w:rPr>
        <w:tab/>
      </w:r>
      <w:r w:rsidRPr="0035575A">
        <w:rPr>
          <w:bCs/>
          <w:rtl/>
        </w:rPr>
        <w:t>ضمان فصل الأحداث عن البالغين فصل</w:t>
      </w:r>
      <w:r w:rsidR="00696EA1" w:rsidRPr="0035575A">
        <w:rPr>
          <w:bCs/>
          <w:rtl/>
        </w:rPr>
        <w:t xml:space="preserve">اً </w:t>
      </w:r>
      <w:r w:rsidRPr="0035575A">
        <w:rPr>
          <w:bCs/>
          <w:rtl/>
        </w:rPr>
        <w:t>تام</w:t>
      </w:r>
      <w:r w:rsidR="00696EA1" w:rsidRPr="0035575A">
        <w:rPr>
          <w:bCs/>
          <w:rtl/>
        </w:rPr>
        <w:t xml:space="preserve">اً </w:t>
      </w:r>
      <w:r w:rsidRPr="0035575A">
        <w:rPr>
          <w:bCs/>
          <w:rtl/>
        </w:rPr>
        <w:t>في جميع مرافق الاحتجاز وعدم سلب حريتهم إلا للضرورة القصوى ولأقصر فترة زمنية ممكنة، وفق</w:t>
      </w:r>
      <w:r w:rsidR="00696EA1" w:rsidRPr="0035575A">
        <w:rPr>
          <w:bCs/>
          <w:rtl/>
        </w:rPr>
        <w:t xml:space="preserve">اً </w:t>
      </w:r>
      <w:r w:rsidRPr="0035575A">
        <w:rPr>
          <w:bCs/>
          <w:rtl/>
        </w:rPr>
        <w:t>لقواعد الأمم المتحدة النموذجية الدنيا لإدارة شؤون قضاء الأحداث (قواعد بكين</w:t>
      </w:r>
      <w:r w:rsidR="005F70DF" w:rsidRPr="0035575A">
        <w:rPr>
          <w:bCs/>
          <w:rtl/>
        </w:rPr>
        <w:t>).</w:t>
      </w:r>
    </w:p>
    <w:p w14:paraId="14DABFAA" w14:textId="7897AED5" w:rsidR="00E8660E" w:rsidRPr="0035575A" w:rsidRDefault="00E8660E" w:rsidP="009563BC">
      <w:pPr>
        <w:pStyle w:val="H23GA"/>
        <w:rPr>
          <w:lang w:val="ar-SA" w:eastAsia="zh-TW" w:bidi="en-GB"/>
        </w:rPr>
      </w:pPr>
      <w:r w:rsidRPr="0035575A">
        <w:rPr>
          <w:rtl/>
        </w:rPr>
        <w:tab/>
      </w:r>
      <w:r w:rsidRPr="0035575A">
        <w:rPr>
          <w:rtl/>
        </w:rPr>
        <w:tab/>
        <w:t>الوفيات أثناء الاحتجاز</w:t>
      </w:r>
    </w:p>
    <w:p w14:paraId="680E594B" w14:textId="0509AB6D" w:rsidR="005F70DF" w:rsidRPr="005F70DF" w:rsidRDefault="00E8660E" w:rsidP="00E8660E">
      <w:pPr>
        <w:pStyle w:val="SingleTxtGA"/>
        <w:rPr>
          <w:lang w:eastAsia="zh-TW" w:bidi="en-GB"/>
        </w:rPr>
      </w:pPr>
      <w:r w:rsidRPr="0035575A">
        <w:rPr>
          <w:rtl/>
        </w:rPr>
        <w:t>19</w:t>
      </w:r>
      <w:r w:rsidRPr="00F60D22">
        <w:rPr>
          <w:rtl/>
        </w:rPr>
        <w:t>-</w:t>
      </w:r>
      <w:r w:rsidRPr="00F60D22">
        <w:rPr>
          <w:rtl/>
        </w:rPr>
        <w:tab/>
        <w:t>تأسف اللجنة للافتقار إلى معلومات موثوق بها عن العدد الإجمالي للوفيات في السجون وأسبابها وتحقيقات المتابعة الم</w:t>
      </w:r>
      <w:r>
        <w:rPr>
          <w:rtl/>
        </w:rPr>
        <w:t>تصل</w:t>
      </w:r>
      <w:r w:rsidRPr="00F60D22">
        <w:rPr>
          <w:rtl/>
        </w:rPr>
        <w:t xml:space="preserve">ة بها (المواد </w:t>
      </w:r>
      <w:r w:rsidRPr="0035575A">
        <w:rPr>
          <w:rtl/>
        </w:rPr>
        <w:t>2</w:t>
      </w:r>
      <w:r w:rsidRPr="00F60D22">
        <w:rPr>
          <w:rtl/>
        </w:rPr>
        <w:t xml:space="preserve"> و</w:t>
      </w:r>
      <w:r w:rsidRPr="0035575A">
        <w:rPr>
          <w:rtl/>
        </w:rPr>
        <w:t>11</w:t>
      </w:r>
      <w:r w:rsidRPr="00F60D22">
        <w:rPr>
          <w:rtl/>
        </w:rPr>
        <w:t xml:space="preserve"> و</w:t>
      </w:r>
      <w:r w:rsidRPr="0035575A">
        <w:rPr>
          <w:rtl/>
        </w:rPr>
        <w:t>12</w:t>
      </w:r>
      <w:r w:rsidRPr="00F60D22">
        <w:rPr>
          <w:rtl/>
        </w:rPr>
        <w:t xml:space="preserve"> و</w:t>
      </w:r>
      <w:r w:rsidRPr="0035575A">
        <w:rPr>
          <w:rtl/>
        </w:rPr>
        <w:t>1</w:t>
      </w:r>
      <w:r w:rsidR="005F70DF" w:rsidRPr="0035575A">
        <w:rPr>
          <w:rtl/>
        </w:rPr>
        <w:t>6</w:t>
      </w:r>
      <w:r w:rsidR="005F70DF" w:rsidRPr="005F70DF">
        <w:rPr>
          <w:rtl/>
        </w:rPr>
        <w:t>).</w:t>
      </w:r>
    </w:p>
    <w:p w14:paraId="04C0C450" w14:textId="0984918E" w:rsidR="00E8660E" w:rsidRPr="0035575A" w:rsidRDefault="00E8660E" w:rsidP="00E8660E">
      <w:pPr>
        <w:pStyle w:val="SingleTxtGA"/>
        <w:rPr>
          <w:bCs/>
          <w:lang w:val="ar-SA" w:eastAsia="zh-TW" w:bidi="en-GB"/>
        </w:rPr>
      </w:pPr>
      <w:r w:rsidRPr="0035575A">
        <w:rPr>
          <w:rtl/>
        </w:rPr>
        <w:t>20</w:t>
      </w:r>
      <w:r w:rsidRPr="00F60D22">
        <w:rPr>
          <w:rtl/>
        </w:rPr>
        <w:t>-</w:t>
      </w:r>
      <w:r w:rsidRPr="00F60D22">
        <w:rPr>
          <w:rtl/>
        </w:rPr>
        <w:tab/>
      </w:r>
      <w:r w:rsidRPr="0035575A">
        <w:rPr>
          <w:bCs/>
          <w:rtl/>
        </w:rPr>
        <w:t>ينبغي أن تفعل الدولة الطرف ما يلي:</w:t>
      </w:r>
    </w:p>
    <w:p w14:paraId="7237F505" w14:textId="7AE74773" w:rsidR="00E8660E" w:rsidRPr="0035575A" w:rsidRDefault="00E8660E" w:rsidP="00E8660E">
      <w:pPr>
        <w:pStyle w:val="SingleTxtGA"/>
        <w:rPr>
          <w:bCs/>
          <w:lang w:eastAsia="zh-TW" w:bidi="en-GB"/>
        </w:rPr>
      </w:pPr>
      <w:r>
        <w:rPr>
          <w:rtl/>
        </w:rPr>
        <w:tab/>
      </w:r>
      <w:r w:rsidRPr="00F60D22">
        <w:rPr>
          <w:rtl/>
        </w:rPr>
        <w:t>(أ)</w:t>
      </w:r>
      <w:r w:rsidRPr="00F60D22">
        <w:rPr>
          <w:rtl/>
        </w:rPr>
        <w:tab/>
      </w:r>
      <w:r w:rsidRPr="0035575A">
        <w:rPr>
          <w:bCs/>
          <w:rtl/>
        </w:rPr>
        <w:t>تكفل إجراء كيان مستقل تحقيق</w:t>
      </w:r>
      <w:r w:rsidR="00696EA1" w:rsidRPr="0035575A">
        <w:rPr>
          <w:bCs/>
          <w:rtl/>
        </w:rPr>
        <w:t xml:space="preserve">اً </w:t>
      </w:r>
      <w:r w:rsidRPr="0035575A">
        <w:rPr>
          <w:bCs/>
          <w:rtl/>
        </w:rPr>
        <w:t>فوري</w:t>
      </w:r>
      <w:r w:rsidR="00696EA1" w:rsidRPr="0035575A">
        <w:rPr>
          <w:bCs/>
          <w:rtl/>
        </w:rPr>
        <w:t xml:space="preserve">اً </w:t>
      </w:r>
      <w:r w:rsidRPr="0035575A">
        <w:rPr>
          <w:bCs/>
          <w:rtl/>
        </w:rPr>
        <w:t>ونزيه</w:t>
      </w:r>
      <w:r w:rsidR="00696EA1" w:rsidRPr="0035575A">
        <w:rPr>
          <w:bCs/>
          <w:rtl/>
        </w:rPr>
        <w:t xml:space="preserve">اً </w:t>
      </w:r>
      <w:r w:rsidRPr="0035575A">
        <w:rPr>
          <w:bCs/>
          <w:rtl/>
        </w:rPr>
        <w:t>في جميع الوفيات أثناء الاحتجاز، وتطبيق العقوبات المناسبة، عند الاقتضاء؛</w:t>
      </w:r>
    </w:p>
    <w:p w14:paraId="67BFB75A" w14:textId="77777777" w:rsidR="00E8660E" w:rsidRPr="0035575A" w:rsidRDefault="00E8660E" w:rsidP="00E8660E">
      <w:pPr>
        <w:pStyle w:val="SingleTxtGA"/>
        <w:rPr>
          <w:bCs/>
          <w:spacing w:val="-4"/>
          <w:lang w:val="ar-SA" w:eastAsia="zh-TW" w:bidi="en-GB"/>
        </w:rPr>
      </w:pPr>
      <w:r w:rsidRPr="00840574">
        <w:rPr>
          <w:spacing w:val="-4"/>
          <w:rtl/>
        </w:rPr>
        <w:tab/>
        <w:t>(ب)</w:t>
      </w:r>
      <w:r w:rsidRPr="00840574">
        <w:rPr>
          <w:spacing w:val="-4"/>
          <w:rtl/>
        </w:rPr>
        <w:tab/>
      </w:r>
      <w:r w:rsidRPr="0035575A">
        <w:rPr>
          <w:bCs/>
          <w:spacing w:val="-4"/>
          <w:rtl/>
        </w:rPr>
        <w:t xml:space="preserve">تقييم مدى فعالية برامج الوقاية من الأمراض المعدية في السجون وكشفها وعلاجها؛ </w:t>
      </w:r>
    </w:p>
    <w:p w14:paraId="40E9DF52" w14:textId="77777777" w:rsidR="00E8660E" w:rsidRPr="0035575A" w:rsidRDefault="00E8660E" w:rsidP="00E8660E">
      <w:pPr>
        <w:pStyle w:val="SingleTxtGA"/>
        <w:rPr>
          <w:bCs/>
        </w:rPr>
      </w:pPr>
      <w:r>
        <w:rPr>
          <w:rtl/>
        </w:rPr>
        <w:tab/>
      </w:r>
      <w:r w:rsidRPr="00F60D22">
        <w:rPr>
          <w:rtl/>
        </w:rPr>
        <w:t>(ج)</w:t>
      </w:r>
      <w:r w:rsidRPr="0035575A">
        <w:rPr>
          <w:bCs/>
          <w:rtl/>
        </w:rPr>
        <w:tab/>
        <w:t>تجميع معلومات مفصلة عن الوفيات في أماكن الاحتجاز وأسبابها ونتائج التحقيقات في هذه الوفيات وإمداد اللجنة بها.</w:t>
      </w:r>
    </w:p>
    <w:p w14:paraId="67292EA5" w14:textId="77777777" w:rsidR="00E8660E" w:rsidRPr="0035575A" w:rsidRDefault="00E8660E" w:rsidP="009563BC">
      <w:pPr>
        <w:pStyle w:val="H23GA"/>
        <w:rPr>
          <w:lang w:eastAsia="zh-TW" w:bidi="en-GB"/>
        </w:rPr>
      </w:pPr>
      <w:r w:rsidRPr="0035575A">
        <w:rPr>
          <w:rtl/>
        </w:rPr>
        <w:tab/>
      </w:r>
      <w:r w:rsidRPr="0035575A">
        <w:rPr>
          <w:rtl/>
        </w:rPr>
        <w:tab/>
        <w:t>رصد مرافق الاحتجاز</w:t>
      </w:r>
    </w:p>
    <w:p w14:paraId="4588C39F" w14:textId="217B0227" w:rsidR="005F70DF" w:rsidRPr="005F70DF" w:rsidRDefault="00E8660E" w:rsidP="00E8660E">
      <w:pPr>
        <w:pStyle w:val="SingleTxtGA"/>
        <w:rPr>
          <w:lang w:eastAsia="zh-TW" w:bidi="en-GB"/>
        </w:rPr>
      </w:pPr>
      <w:r w:rsidRPr="0035575A">
        <w:rPr>
          <w:rtl/>
        </w:rPr>
        <w:t>21</w:t>
      </w:r>
      <w:r w:rsidRPr="00F60D22">
        <w:rPr>
          <w:rtl/>
        </w:rPr>
        <w:t>-</w:t>
      </w:r>
      <w:r w:rsidRPr="00F60D22">
        <w:rPr>
          <w:rtl/>
        </w:rPr>
        <w:tab/>
        <w:t>يساور اللجنة القلق أيض</w:t>
      </w:r>
      <w:r w:rsidR="00696EA1">
        <w:rPr>
          <w:rtl/>
        </w:rPr>
        <w:t xml:space="preserve">اً </w:t>
      </w:r>
      <w:r w:rsidRPr="00F60D22">
        <w:rPr>
          <w:rtl/>
        </w:rPr>
        <w:t xml:space="preserve">من الافتقار إلى المعلومات عن إمكانية وصول هيئات الرصد، مثل اللجنة الوطنية الكينية لحقوق الإنسان، إلى بعض أماكن الاحتجاز، لا سيما تلك التي تقع </w:t>
      </w:r>
      <w:r>
        <w:rPr>
          <w:rtl/>
        </w:rPr>
        <w:t xml:space="preserve">تحت </w:t>
      </w:r>
      <w:r w:rsidRPr="00F60D22">
        <w:rPr>
          <w:rtl/>
        </w:rPr>
        <w:t>مسؤولي</w:t>
      </w:r>
      <w:r>
        <w:rPr>
          <w:rtl/>
        </w:rPr>
        <w:t>ة</w:t>
      </w:r>
      <w:r w:rsidR="001C35E3">
        <w:rPr>
          <w:rtl/>
        </w:rPr>
        <w:t xml:space="preserve"> </w:t>
      </w:r>
      <w:r w:rsidRPr="00F60D22">
        <w:rPr>
          <w:rtl/>
        </w:rPr>
        <w:t xml:space="preserve">الجيش ودائرة المخابرات الوطنية (المواد </w:t>
      </w:r>
      <w:r w:rsidRPr="0035575A">
        <w:rPr>
          <w:rtl/>
        </w:rPr>
        <w:t>2</w:t>
      </w:r>
      <w:r w:rsidRPr="00F60D22">
        <w:rPr>
          <w:rtl/>
        </w:rPr>
        <w:t xml:space="preserve"> و</w:t>
      </w:r>
      <w:r w:rsidRPr="0035575A">
        <w:rPr>
          <w:rtl/>
        </w:rPr>
        <w:t>11</w:t>
      </w:r>
      <w:r w:rsidRPr="00F60D22">
        <w:rPr>
          <w:rtl/>
        </w:rPr>
        <w:t xml:space="preserve"> و</w:t>
      </w:r>
      <w:r w:rsidRPr="0035575A">
        <w:rPr>
          <w:rtl/>
        </w:rPr>
        <w:t>1</w:t>
      </w:r>
      <w:r w:rsidR="005F70DF" w:rsidRPr="0035575A">
        <w:rPr>
          <w:rtl/>
        </w:rPr>
        <w:t>6</w:t>
      </w:r>
      <w:r w:rsidR="005F70DF" w:rsidRPr="005F70DF">
        <w:rPr>
          <w:rtl/>
        </w:rPr>
        <w:t>).</w:t>
      </w:r>
    </w:p>
    <w:p w14:paraId="45360096" w14:textId="2AC592C4" w:rsidR="00E8660E" w:rsidRPr="0035575A" w:rsidRDefault="00E8660E" w:rsidP="00E8660E">
      <w:pPr>
        <w:pStyle w:val="SingleTxtGA"/>
        <w:rPr>
          <w:bCs/>
          <w:lang w:val="ar-SA" w:eastAsia="zh-TW" w:bidi="en-GB"/>
        </w:rPr>
      </w:pPr>
      <w:r w:rsidRPr="0035575A">
        <w:rPr>
          <w:rtl/>
        </w:rPr>
        <w:t>22</w:t>
      </w:r>
      <w:r w:rsidRPr="00F60D22">
        <w:rPr>
          <w:rtl/>
        </w:rPr>
        <w:t>-</w:t>
      </w:r>
      <w:r w:rsidRPr="00F60D22">
        <w:rPr>
          <w:rtl/>
        </w:rPr>
        <w:tab/>
      </w:r>
      <w:r w:rsidRPr="0035575A">
        <w:rPr>
          <w:bCs/>
          <w:rtl/>
        </w:rPr>
        <w:t>ينبغي أن تفعل الدولة الطرف ما يلي:</w:t>
      </w:r>
    </w:p>
    <w:p w14:paraId="43C14A71" w14:textId="13B16D0D" w:rsidR="00E8660E" w:rsidRPr="0035575A" w:rsidRDefault="00E8660E" w:rsidP="00E8660E">
      <w:pPr>
        <w:pStyle w:val="SingleTxtGA"/>
        <w:rPr>
          <w:bCs/>
          <w:lang w:val="ar-SA" w:eastAsia="zh-TW" w:bidi="en-GB"/>
        </w:rPr>
      </w:pPr>
      <w:r>
        <w:rPr>
          <w:rtl/>
        </w:rPr>
        <w:tab/>
      </w:r>
      <w:r w:rsidRPr="00F60D22">
        <w:rPr>
          <w:rtl/>
        </w:rPr>
        <w:t>(أ)</w:t>
      </w:r>
      <w:r w:rsidRPr="00F60D22">
        <w:rPr>
          <w:rtl/>
        </w:rPr>
        <w:tab/>
      </w:r>
      <w:r w:rsidRPr="0035575A">
        <w:rPr>
          <w:bCs/>
          <w:rtl/>
        </w:rPr>
        <w:t>ضمان أن تكون هيئات الرصد المكلفة بزيارة أماكن سلب الحرية قادرة على الاضطلاع بأنشطة رصد مستقلة ومفاجئة لجميع أماكن سلب الحرية في البلد وعلى التحدث بسرية إلى جميع المحتجزين؛</w:t>
      </w:r>
    </w:p>
    <w:p w14:paraId="6951A39F" w14:textId="77777777" w:rsidR="00E8660E" w:rsidRPr="0035575A" w:rsidRDefault="00E8660E" w:rsidP="00E8660E">
      <w:pPr>
        <w:pStyle w:val="SingleTxtGA"/>
        <w:rPr>
          <w:bCs/>
          <w:lang w:val="ar-SA" w:eastAsia="zh-TW" w:bidi="en-GB"/>
        </w:rPr>
      </w:pPr>
      <w:r>
        <w:rPr>
          <w:rtl/>
        </w:rPr>
        <w:tab/>
      </w:r>
      <w:r w:rsidRPr="00F60D22">
        <w:rPr>
          <w:rtl/>
        </w:rPr>
        <w:t>(ب)</w:t>
      </w:r>
      <w:r w:rsidRPr="00F60D22">
        <w:rPr>
          <w:rtl/>
        </w:rPr>
        <w:tab/>
      </w:r>
      <w:r w:rsidRPr="0035575A">
        <w:rPr>
          <w:bCs/>
          <w:rtl/>
        </w:rPr>
        <w:t>النظر في التصديق على البروتوكول الاختياري لاتفاقية مناهضة التعذيب وغيره من ضروب المعاملة أو العقوبة القاسية أو اللاإنسانية أو المهينة.</w:t>
      </w:r>
    </w:p>
    <w:p w14:paraId="7BFEEB0B" w14:textId="77777777" w:rsidR="00E8660E" w:rsidRPr="0035575A" w:rsidRDefault="00E8660E" w:rsidP="009563BC">
      <w:pPr>
        <w:pStyle w:val="H23GA"/>
        <w:rPr>
          <w:lang w:val="ar-SA" w:eastAsia="zh-TW" w:bidi="en-GB"/>
        </w:rPr>
      </w:pPr>
      <w:r w:rsidRPr="0035575A">
        <w:rPr>
          <w:rtl/>
        </w:rPr>
        <w:tab/>
      </w:r>
      <w:r w:rsidRPr="0035575A">
        <w:rPr>
          <w:rtl/>
        </w:rPr>
        <w:tab/>
        <w:t>التحقيق في أعمال العنف عقب الانتخابات</w:t>
      </w:r>
    </w:p>
    <w:p w14:paraId="55CC589F" w14:textId="3F902F9F" w:rsidR="005F70DF" w:rsidRPr="005F70DF" w:rsidRDefault="00E8660E" w:rsidP="00E8660E">
      <w:pPr>
        <w:pStyle w:val="SingleTxtGA"/>
        <w:rPr>
          <w:lang w:eastAsia="zh-TW" w:bidi="en-GB"/>
        </w:rPr>
      </w:pPr>
      <w:r w:rsidRPr="0035575A">
        <w:rPr>
          <w:rtl/>
        </w:rPr>
        <w:t>23</w:t>
      </w:r>
      <w:r w:rsidRPr="00F60D22">
        <w:rPr>
          <w:rtl/>
        </w:rPr>
        <w:t>-</w:t>
      </w:r>
      <w:r w:rsidRPr="00F60D22">
        <w:rPr>
          <w:rtl/>
        </w:rPr>
        <w:tab/>
        <w:t>يساور اللجنة القلق ل</w:t>
      </w:r>
      <w:r>
        <w:rPr>
          <w:rtl/>
        </w:rPr>
        <w:t>كون</w:t>
      </w:r>
      <w:r w:rsidRPr="00F60D22">
        <w:rPr>
          <w:rtl/>
        </w:rPr>
        <w:t xml:space="preserve"> لوائح الإدارة المالية العامة (صندوق التعويضات عن المظالم التاريخية) لعام </w:t>
      </w:r>
      <w:r w:rsidRPr="0035575A">
        <w:rPr>
          <w:rtl/>
        </w:rPr>
        <w:t>2017</w:t>
      </w:r>
      <w:r w:rsidRPr="00F60D22">
        <w:rPr>
          <w:rtl/>
        </w:rPr>
        <w:t>، التي وضعت لتشغيل صندوق العدالة الإصلاحية، لا تزال في مرحلة التشاور، الأمر الذي يحول دون جبر جميع الأضرار التي لحق</w:t>
      </w:r>
      <w:r>
        <w:rPr>
          <w:rtl/>
        </w:rPr>
        <w:t>ت</w:t>
      </w:r>
      <w:r w:rsidRPr="00F60D22">
        <w:rPr>
          <w:rtl/>
        </w:rPr>
        <w:t xml:space="preserve"> بضحايا الانتهاكات الجسيمة لحقوق الإنسان التي وقعت في سياق انتخابات عام </w:t>
      </w:r>
      <w:r w:rsidRPr="0035575A">
        <w:rPr>
          <w:rtl/>
        </w:rPr>
        <w:t>200</w:t>
      </w:r>
      <w:r w:rsidR="005F70DF" w:rsidRPr="0035575A">
        <w:rPr>
          <w:rtl/>
        </w:rPr>
        <w:t>7</w:t>
      </w:r>
      <w:r w:rsidR="005F70DF" w:rsidRPr="005F70DF">
        <w:rPr>
          <w:rtl/>
        </w:rPr>
        <w:t xml:space="preserve">. </w:t>
      </w:r>
      <w:r w:rsidRPr="00F60D22">
        <w:rPr>
          <w:rtl/>
        </w:rPr>
        <w:t xml:space="preserve">وتأسف </w:t>
      </w:r>
      <w:r>
        <w:rPr>
          <w:rtl/>
        </w:rPr>
        <w:t xml:space="preserve">اللجنة </w:t>
      </w:r>
      <w:r w:rsidRPr="00F60D22">
        <w:rPr>
          <w:rtl/>
        </w:rPr>
        <w:t xml:space="preserve">للافتقار إلى المعلومات عن حالة تنفيذ توصيات لجنة الحقيقة والعدالة والمصالحة. وتعرب عن قلقها أيضاً، لا سيما في ضوء الانتخابات المقرر إجراؤها </w:t>
      </w:r>
      <w:r w:rsidRPr="00F60D22">
        <w:rPr>
          <w:rtl/>
        </w:rPr>
        <w:lastRenderedPageBreak/>
        <w:t xml:space="preserve">في عام </w:t>
      </w:r>
      <w:r w:rsidRPr="0035575A">
        <w:rPr>
          <w:rtl/>
        </w:rPr>
        <w:t>2022</w:t>
      </w:r>
      <w:r w:rsidRPr="00F60D22">
        <w:rPr>
          <w:rtl/>
        </w:rPr>
        <w:t xml:space="preserve">، إزاء التقدم المحدود الذي أحرز في </w:t>
      </w:r>
      <w:r>
        <w:rPr>
          <w:rtl/>
        </w:rPr>
        <w:t>توفير العدالة</w:t>
      </w:r>
      <w:r w:rsidRPr="00F60D22">
        <w:rPr>
          <w:rtl/>
        </w:rPr>
        <w:t xml:space="preserve"> </w:t>
      </w:r>
      <w:r>
        <w:rPr>
          <w:rtl/>
        </w:rPr>
        <w:t>ل</w:t>
      </w:r>
      <w:r w:rsidRPr="00F60D22">
        <w:rPr>
          <w:rtl/>
        </w:rPr>
        <w:t xml:space="preserve">ضحايا انتهاكات حقوق الإنسان الخطيرة في سياق انتخابات عام </w:t>
      </w:r>
      <w:r w:rsidRPr="0035575A">
        <w:rPr>
          <w:rtl/>
        </w:rPr>
        <w:t>2017</w:t>
      </w:r>
      <w:r w:rsidRPr="00F60D22">
        <w:rPr>
          <w:rtl/>
        </w:rPr>
        <w:t xml:space="preserve">، </w:t>
      </w:r>
      <w:r>
        <w:rPr>
          <w:rtl/>
        </w:rPr>
        <w:t>بما فيها</w:t>
      </w:r>
      <w:r w:rsidRPr="00F60D22">
        <w:rPr>
          <w:rtl/>
        </w:rPr>
        <w:t xml:space="preserve"> استخدام القوة الفتاكة والاعتداءات والتعذيب والعنف الجنسي على يد عناصر من الشرطة،</w:t>
      </w:r>
      <w:r w:rsidR="001C35E3">
        <w:rPr>
          <w:rtl/>
        </w:rPr>
        <w:t xml:space="preserve"> </w:t>
      </w:r>
      <w:r>
        <w:rPr>
          <w:rtl/>
        </w:rPr>
        <w:t>ومنحهم</w:t>
      </w:r>
      <w:r w:rsidRPr="00F60D22">
        <w:rPr>
          <w:rtl/>
        </w:rPr>
        <w:t xml:space="preserve"> سبل الانتصاف، بما في</w:t>
      </w:r>
      <w:r>
        <w:rPr>
          <w:rtl/>
        </w:rPr>
        <w:t>ها</w:t>
      </w:r>
      <w:r w:rsidRPr="00F60D22">
        <w:rPr>
          <w:rtl/>
        </w:rPr>
        <w:t xml:space="preserve"> ضمانات عدم التكرا</w:t>
      </w:r>
      <w:r>
        <w:rPr>
          <w:rtl/>
        </w:rPr>
        <w:t>ر</w:t>
      </w:r>
      <w:r w:rsidRPr="00F60D22">
        <w:rPr>
          <w:rtl/>
        </w:rPr>
        <w:t>، و</w:t>
      </w:r>
      <w:r>
        <w:rPr>
          <w:rtl/>
        </w:rPr>
        <w:t xml:space="preserve">إزاء </w:t>
      </w:r>
      <w:r w:rsidRPr="00F60D22">
        <w:rPr>
          <w:rtl/>
        </w:rPr>
        <w:t xml:space="preserve">كون اللوائح التي تنظم صندوق حماية الضحايا لا تزال تنتظر موافقة البرلمان، وهو أمر ضروري قبل أن يتمكن الضحايا من </w:t>
      </w:r>
      <w:r>
        <w:rPr>
          <w:rtl/>
        </w:rPr>
        <w:t>الحصول على سبل ال</w:t>
      </w:r>
      <w:r w:rsidRPr="00F60D22">
        <w:rPr>
          <w:rtl/>
        </w:rPr>
        <w:t xml:space="preserve">جبر. وإضافة إلى ذلك، يساور اللجنة القلق إزاء الافتقار إلى المعلومات المتعلقة بالملاحقة القضائية في هذه القضايا (المواد </w:t>
      </w:r>
      <w:r w:rsidRPr="0035575A">
        <w:rPr>
          <w:rtl/>
        </w:rPr>
        <w:t>2</w:t>
      </w:r>
      <w:r w:rsidRPr="00F60D22">
        <w:rPr>
          <w:rtl/>
        </w:rPr>
        <w:t xml:space="preserve"> و</w:t>
      </w:r>
      <w:r w:rsidRPr="0035575A">
        <w:rPr>
          <w:rtl/>
        </w:rPr>
        <w:t>12</w:t>
      </w:r>
      <w:r w:rsidRPr="00F60D22">
        <w:rPr>
          <w:rtl/>
        </w:rPr>
        <w:t xml:space="preserve"> و</w:t>
      </w:r>
      <w:r w:rsidRPr="0035575A">
        <w:rPr>
          <w:rtl/>
        </w:rPr>
        <w:t>13</w:t>
      </w:r>
      <w:r w:rsidRPr="00F60D22">
        <w:rPr>
          <w:rtl/>
        </w:rPr>
        <w:t xml:space="preserve"> و</w:t>
      </w:r>
      <w:r w:rsidRPr="0035575A">
        <w:rPr>
          <w:rtl/>
        </w:rPr>
        <w:t>14</w:t>
      </w:r>
      <w:r w:rsidRPr="00F60D22">
        <w:rPr>
          <w:rtl/>
        </w:rPr>
        <w:t xml:space="preserve"> و</w:t>
      </w:r>
      <w:r w:rsidRPr="0035575A">
        <w:rPr>
          <w:rtl/>
        </w:rPr>
        <w:t>1</w:t>
      </w:r>
      <w:r w:rsidR="005F70DF" w:rsidRPr="0035575A">
        <w:rPr>
          <w:rtl/>
        </w:rPr>
        <w:t>6</w:t>
      </w:r>
      <w:r w:rsidR="005F70DF" w:rsidRPr="005F70DF">
        <w:rPr>
          <w:rtl/>
        </w:rPr>
        <w:t>).</w:t>
      </w:r>
    </w:p>
    <w:p w14:paraId="7C494E62" w14:textId="1B70C107" w:rsidR="00E8660E" w:rsidRPr="0035575A" w:rsidRDefault="00E8660E" w:rsidP="00E8660E">
      <w:pPr>
        <w:pStyle w:val="SingleTxtGA"/>
        <w:rPr>
          <w:bCs/>
          <w:lang w:val="ar-SA" w:eastAsia="zh-TW" w:bidi="en-GB"/>
        </w:rPr>
      </w:pPr>
      <w:r w:rsidRPr="0035575A">
        <w:rPr>
          <w:rtl/>
        </w:rPr>
        <w:t>24</w:t>
      </w:r>
      <w:r w:rsidRPr="00F60D22">
        <w:rPr>
          <w:rtl/>
        </w:rPr>
        <w:t>-</w:t>
      </w:r>
      <w:r w:rsidRPr="00F60D22">
        <w:rPr>
          <w:rtl/>
        </w:rPr>
        <w:tab/>
      </w:r>
      <w:r w:rsidRPr="0035575A">
        <w:rPr>
          <w:bCs/>
          <w:rtl/>
        </w:rPr>
        <w:t xml:space="preserve">ينبغي أن تفعل الدولة الطرف ما يلي: </w:t>
      </w:r>
    </w:p>
    <w:p w14:paraId="2350F41F" w14:textId="7C0AC0B2" w:rsidR="00E8660E" w:rsidRPr="0035575A" w:rsidRDefault="00E8660E" w:rsidP="00E8660E">
      <w:pPr>
        <w:pStyle w:val="SingleTxtGA"/>
        <w:rPr>
          <w:bCs/>
          <w:lang w:val="ar-SA" w:eastAsia="zh-TW" w:bidi="en-GB"/>
        </w:rPr>
      </w:pPr>
      <w:r>
        <w:rPr>
          <w:rtl/>
        </w:rPr>
        <w:tab/>
      </w:r>
      <w:r w:rsidRPr="00F60D22">
        <w:rPr>
          <w:rtl/>
        </w:rPr>
        <w:t>(أ)</w:t>
      </w:r>
      <w:r w:rsidRPr="00F60D22">
        <w:rPr>
          <w:rtl/>
        </w:rPr>
        <w:tab/>
      </w:r>
      <w:r w:rsidRPr="0035575A">
        <w:rPr>
          <w:bCs/>
          <w:rtl/>
        </w:rPr>
        <w:t>تكثيف جهودها</w:t>
      </w:r>
      <w:r w:rsidR="001C35E3" w:rsidRPr="0035575A">
        <w:rPr>
          <w:bCs/>
          <w:rtl/>
        </w:rPr>
        <w:t xml:space="preserve"> </w:t>
      </w:r>
      <w:r w:rsidRPr="0035575A">
        <w:rPr>
          <w:bCs/>
          <w:rtl/>
        </w:rPr>
        <w:t>لضمان تنفيذ جميع توصيات لجنة الحقيقة والعدالة والمصالحة تنفيذ</w:t>
      </w:r>
      <w:r w:rsidR="00696EA1" w:rsidRPr="0035575A">
        <w:rPr>
          <w:bCs/>
          <w:rtl/>
        </w:rPr>
        <w:t xml:space="preserve">اً </w:t>
      </w:r>
      <w:r w:rsidRPr="0035575A">
        <w:rPr>
          <w:bCs/>
          <w:rtl/>
        </w:rPr>
        <w:t>تام</w:t>
      </w:r>
      <w:r w:rsidR="00696EA1" w:rsidRPr="0035575A">
        <w:rPr>
          <w:bCs/>
          <w:rtl/>
        </w:rPr>
        <w:t xml:space="preserve">اً </w:t>
      </w:r>
      <w:r w:rsidRPr="0035575A">
        <w:rPr>
          <w:bCs/>
          <w:rtl/>
        </w:rPr>
        <w:t>وفعال</w:t>
      </w:r>
      <w:r w:rsidR="00696EA1" w:rsidRPr="0035575A">
        <w:rPr>
          <w:bCs/>
          <w:rtl/>
        </w:rPr>
        <w:t xml:space="preserve">اً، </w:t>
      </w:r>
      <w:r w:rsidRPr="0035575A">
        <w:rPr>
          <w:bCs/>
          <w:rtl/>
        </w:rPr>
        <w:t xml:space="preserve">بما في ذلك التعجيل بعملية جعل صندوق العدالة الإصلاحية يعمل بكامل طاقته؛ </w:t>
      </w:r>
    </w:p>
    <w:p w14:paraId="73B2201A" w14:textId="77777777" w:rsidR="00E8660E" w:rsidRPr="0035575A" w:rsidRDefault="00E8660E" w:rsidP="00E8660E">
      <w:pPr>
        <w:pStyle w:val="SingleTxtGA"/>
        <w:rPr>
          <w:bCs/>
          <w:lang w:val="ar-SA" w:eastAsia="zh-TW" w:bidi="en-GB"/>
        </w:rPr>
      </w:pPr>
      <w:r>
        <w:rPr>
          <w:rtl/>
        </w:rPr>
        <w:tab/>
      </w:r>
      <w:r w:rsidRPr="00F60D22">
        <w:rPr>
          <w:rtl/>
        </w:rPr>
        <w:t>(ب)</w:t>
      </w:r>
      <w:r w:rsidRPr="00F60D22">
        <w:rPr>
          <w:rtl/>
        </w:rPr>
        <w:tab/>
      </w:r>
      <w:r w:rsidRPr="0035575A">
        <w:rPr>
          <w:bCs/>
          <w:rtl/>
        </w:rPr>
        <w:t>بذل مزيد من الجهود لتوفير سبل انتصاف لضحايا أعمال العنف عقب انتخابات عام 2017، بما في ذلك تسريع عملية تفعيل صندوق حماية الضحايا؛</w:t>
      </w:r>
    </w:p>
    <w:p w14:paraId="1386734B" w14:textId="77777777" w:rsidR="00E8660E" w:rsidRPr="0035575A" w:rsidRDefault="00E8660E" w:rsidP="00E8660E">
      <w:pPr>
        <w:pStyle w:val="SingleTxtGA"/>
        <w:rPr>
          <w:bCs/>
          <w:lang w:val="ar-SA" w:eastAsia="zh-TW" w:bidi="en-GB"/>
        </w:rPr>
      </w:pPr>
      <w:r>
        <w:rPr>
          <w:rtl/>
        </w:rPr>
        <w:tab/>
      </w:r>
      <w:r w:rsidRPr="00F60D22">
        <w:rPr>
          <w:rtl/>
        </w:rPr>
        <w:t>(ج)</w:t>
      </w:r>
      <w:r w:rsidRPr="00F60D22">
        <w:rPr>
          <w:rtl/>
        </w:rPr>
        <w:tab/>
      </w:r>
      <w:r w:rsidRPr="0035575A">
        <w:rPr>
          <w:bCs/>
          <w:rtl/>
        </w:rPr>
        <w:t>اتخاذ إجراءات ملموسة قبل انتخابات عام 2022 للتصدي للإفلات من العقاب على العنف الذي وقع في الدورات الانتخابية السابقة، بما في ذلك التحقيق مع جميع الجناة، ولا سيما عناصر الشرطة وموظفي الأمن، ومقاضاتهم ومعاقبتهم.</w:t>
      </w:r>
    </w:p>
    <w:p w14:paraId="2801C2D0" w14:textId="77777777" w:rsidR="00E8660E" w:rsidRPr="0035575A" w:rsidRDefault="00E8660E" w:rsidP="009563BC">
      <w:pPr>
        <w:pStyle w:val="H23GA"/>
        <w:rPr>
          <w:lang w:val="ar-SA" w:eastAsia="zh-TW" w:bidi="en-GB"/>
        </w:rPr>
      </w:pPr>
      <w:r w:rsidRPr="0035575A">
        <w:rPr>
          <w:rtl/>
        </w:rPr>
        <w:tab/>
      </w:r>
      <w:r w:rsidRPr="0035575A">
        <w:rPr>
          <w:rtl/>
        </w:rPr>
        <w:tab/>
        <w:t>معاملة اللاجئين وملتمسي اللجوء والمهاجرين وعديمي الجنسية</w:t>
      </w:r>
    </w:p>
    <w:p w14:paraId="780D8016" w14:textId="4A0A2205" w:rsidR="005F70DF" w:rsidRPr="005F70DF" w:rsidRDefault="00E8660E" w:rsidP="00E8660E">
      <w:pPr>
        <w:pStyle w:val="SingleTxtGA"/>
        <w:rPr>
          <w:lang w:val="ar-SA" w:eastAsia="zh-TW" w:bidi="en-GB"/>
        </w:rPr>
      </w:pPr>
      <w:r w:rsidRPr="0035575A">
        <w:rPr>
          <w:rtl/>
        </w:rPr>
        <w:t>25</w:t>
      </w:r>
      <w:r w:rsidRPr="00F60D22">
        <w:rPr>
          <w:rtl/>
        </w:rPr>
        <w:t>-</w:t>
      </w:r>
      <w:r w:rsidRPr="00F60D22">
        <w:rPr>
          <w:rtl/>
        </w:rPr>
        <w:tab/>
        <w:t>تحيط اللجنة علم</w:t>
      </w:r>
      <w:r w:rsidR="00696EA1">
        <w:rPr>
          <w:rtl/>
        </w:rPr>
        <w:t xml:space="preserve">اً </w:t>
      </w:r>
      <w:r w:rsidRPr="00F60D22">
        <w:rPr>
          <w:rtl/>
        </w:rPr>
        <w:t xml:space="preserve">باعتماد قانون اللاجئين (رقم </w:t>
      </w:r>
      <w:r w:rsidRPr="0035575A">
        <w:rPr>
          <w:rtl/>
        </w:rPr>
        <w:t>10</w:t>
      </w:r>
      <w:r w:rsidRPr="00F60D22">
        <w:rPr>
          <w:rtl/>
        </w:rPr>
        <w:t xml:space="preserve"> لعام </w:t>
      </w:r>
      <w:r w:rsidRPr="0035575A">
        <w:rPr>
          <w:rtl/>
        </w:rPr>
        <w:t>2021</w:t>
      </w:r>
      <w:r w:rsidR="005F70DF" w:rsidRPr="005F70DF">
        <w:rPr>
          <w:rtl/>
        </w:rPr>
        <w:t xml:space="preserve">)، </w:t>
      </w:r>
      <w:r w:rsidRPr="00F60D22">
        <w:rPr>
          <w:rtl/>
        </w:rPr>
        <w:t xml:space="preserve">بيد أنها تشعر بالقلق إزاء أحكام البند </w:t>
      </w:r>
      <w:r w:rsidRPr="0035575A">
        <w:rPr>
          <w:rtl/>
        </w:rPr>
        <w:t>19</w:t>
      </w:r>
      <w:r w:rsidRPr="00F60D22">
        <w:rPr>
          <w:rtl/>
        </w:rPr>
        <w:t>(</w:t>
      </w:r>
      <w:r w:rsidR="005F70DF" w:rsidRPr="0035575A">
        <w:rPr>
          <w:rtl/>
        </w:rPr>
        <w:t>2</w:t>
      </w:r>
      <w:r w:rsidR="005F70DF" w:rsidRPr="005F70DF">
        <w:rPr>
          <w:rtl/>
        </w:rPr>
        <w:t xml:space="preserve">) </w:t>
      </w:r>
      <w:r w:rsidRPr="00F60D22">
        <w:rPr>
          <w:rtl/>
        </w:rPr>
        <w:t>التي تبيح استثناءات كثيرة من مبدأ عدم الإعادة القسرية على أساس الآداب العامة. ويساورها القلق خاصة من احتمال إخضاع اللاجئين وملتمسي اللجوء من المثليات والمثليين ومزدوجي الميل الجنسي ومغايري الهوية الجنسانية وحاملي صفات الجنسين للإعادة القسرية على أساس ميولهم الجنسية وهويتهم الجنسانية</w:t>
      </w:r>
      <w:r w:rsidRPr="004745E9">
        <w:rPr>
          <w:rtl/>
        </w:rPr>
        <w:t xml:space="preserve"> </w:t>
      </w:r>
      <w:r w:rsidRPr="00F60D22">
        <w:rPr>
          <w:rtl/>
        </w:rPr>
        <w:t>بحكم الواقع. وتشمل المسائل الأخرى المثيرة للقلق إدراج السجون ومراكز الشرطة ودُور الاحتجاز في تعريف مراكز عبور اللاجئين؛ واحتجاز غير المواطنين لمجرد دخولهم البل</w:t>
      </w:r>
      <w:r>
        <w:rPr>
          <w:rtl/>
        </w:rPr>
        <w:t>د</w:t>
      </w:r>
      <w:r w:rsidR="009563BC">
        <w:rPr>
          <w:rFonts w:hint="cs"/>
          <w:rtl/>
        </w:rPr>
        <w:t> </w:t>
      </w:r>
      <w:r w:rsidRPr="00F60D22">
        <w:rPr>
          <w:rtl/>
        </w:rPr>
        <w:t xml:space="preserve">خارج نطاق القانون؛ واعتزام الدولة الطرف إغلاق مخيمي داداب وكاكوما للاجئين بحلول حزيران/يونيه </w:t>
      </w:r>
      <w:r w:rsidRPr="0035575A">
        <w:rPr>
          <w:rtl/>
        </w:rPr>
        <w:t>2022</w:t>
      </w:r>
      <w:r w:rsidRPr="00F60D22">
        <w:rPr>
          <w:rtl/>
        </w:rPr>
        <w:t xml:space="preserve">، مشيرة إلى المخاطر الأمنية المزعومة، </w:t>
      </w:r>
      <w:r>
        <w:rPr>
          <w:rtl/>
        </w:rPr>
        <w:t>مما</w:t>
      </w:r>
      <w:r w:rsidRPr="00F60D22">
        <w:rPr>
          <w:rtl/>
        </w:rPr>
        <w:t xml:space="preserve"> قد </w:t>
      </w:r>
      <w:r>
        <w:rPr>
          <w:rtl/>
        </w:rPr>
        <w:t>ي</w:t>
      </w:r>
      <w:r w:rsidRPr="00F60D22">
        <w:rPr>
          <w:rtl/>
        </w:rPr>
        <w:t>سفر عن عمليات طرد جماعي</w:t>
      </w:r>
      <w:r w:rsidR="009563BC">
        <w:rPr>
          <w:rFonts w:hint="cs"/>
          <w:rtl/>
        </w:rPr>
        <w:t> </w:t>
      </w:r>
      <w:r w:rsidRPr="00F60D22">
        <w:rPr>
          <w:rtl/>
        </w:rPr>
        <w:t xml:space="preserve">وإعادة </w:t>
      </w:r>
      <w:r>
        <w:rPr>
          <w:rtl/>
        </w:rPr>
        <w:t xml:space="preserve">أشخاص </w:t>
      </w:r>
      <w:r w:rsidRPr="00F60D22">
        <w:rPr>
          <w:rtl/>
        </w:rPr>
        <w:t>إلى الوطن قسر</w:t>
      </w:r>
      <w:r w:rsidR="00696EA1">
        <w:rPr>
          <w:rtl/>
        </w:rPr>
        <w:t xml:space="preserve">اً </w:t>
      </w:r>
      <w:r w:rsidRPr="00F60D22">
        <w:rPr>
          <w:rtl/>
        </w:rPr>
        <w:t>وإعادة عدد كبير جد</w:t>
      </w:r>
      <w:r w:rsidR="00696EA1">
        <w:rPr>
          <w:rtl/>
        </w:rPr>
        <w:t xml:space="preserve">اً </w:t>
      </w:r>
      <w:r w:rsidRPr="00F60D22">
        <w:rPr>
          <w:rtl/>
        </w:rPr>
        <w:t>من اللاجئين</w:t>
      </w:r>
      <w:r>
        <w:rPr>
          <w:rtl/>
        </w:rPr>
        <w:t xml:space="preserve"> من</w:t>
      </w:r>
      <w:r w:rsidRPr="00F60D22">
        <w:rPr>
          <w:rtl/>
        </w:rPr>
        <w:t xml:space="preserve"> الصومال</w:t>
      </w:r>
      <w:r w:rsidR="001C35E3">
        <w:rPr>
          <w:rtl/>
        </w:rPr>
        <w:t xml:space="preserve"> </w:t>
      </w:r>
      <w:r w:rsidRPr="00F60D22">
        <w:rPr>
          <w:rtl/>
        </w:rPr>
        <w:t>ومن جنوب السودان قسر</w:t>
      </w:r>
      <w:r w:rsidR="00696EA1">
        <w:rPr>
          <w:rtl/>
        </w:rPr>
        <w:t xml:space="preserve">اً، </w:t>
      </w:r>
      <w:r w:rsidRPr="00F60D22">
        <w:rPr>
          <w:rtl/>
        </w:rPr>
        <w:t>الأمر الذي قد يعرضهم للاحتجاز أو التعذيب أو القتل لدى عودتهم إلى بلدانهم الأصلية (المادتان</w:t>
      </w:r>
      <w:r w:rsidR="009563BC">
        <w:rPr>
          <w:rFonts w:hint="cs"/>
          <w:rtl/>
        </w:rPr>
        <w:t> </w:t>
      </w:r>
      <w:r w:rsidRPr="0035575A">
        <w:rPr>
          <w:rtl/>
        </w:rPr>
        <w:t>3</w:t>
      </w:r>
      <w:r w:rsidRPr="00F60D22">
        <w:rPr>
          <w:rtl/>
        </w:rPr>
        <w:t xml:space="preserve"> و</w:t>
      </w:r>
      <w:r w:rsidRPr="0035575A">
        <w:rPr>
          <w:rtl/>
        </w:rPr>
        <w:t>1</w:t>
      </w:r>
      <w:r w:rsidR="005F70DF" w:rsidRPr="0035575A">
        <w:rPr>
          <w:rtl/>
        </w:rPr>
        <w:t>1</w:t>
      </w:r>
      <w:r w:rsidR="005F70DF" w:rsidRPr="005F70DF">
        <w:rPr>
          <w:rtl/>
        </w:rPr>
        <w:t>).</w:t>
      </w:r>
    </w:p>
    <w:p w14:paraId="748D99F1" w14:textId="38F7B844" w:rsidR="00E8660E" w:rsidRPr="0035575A" w:rsidRDefault="00E8660E" w:rsidP="00E8660E">
      <w:pPr>
        <w:pStyle w:val="SingleTxtGA"/>
        <w:rPr>
          <w:bCs/>
          <w:lang w:val="ar-SA" w:eastAsia="zh-TW" w:bidi="en-GB"/>
        </w:rPr>
      </w:pPr>
      <w:r w:rsidRPr="0035575A">
        <w:rPr>
          <w:rtl/>
        </w:rPr>
        <w:t>26</w:t>
      </w:r>
      <w:r w:rsidRPr="00F60D22">
        <w:rPr>
          <w:rtl/>
        </w:rPr>
        <w:t>-</w:t>
      </w:r>
      <w:r w:rsidRPr="00F60D22">
        <w:rPr>
          <w:rtl/>
        </w:rPr>
        <w:tab/>
      </w:r>
      <w:r w:rsidRPr="0035575A">
        <w:rPr>
          <w:bCs/>
          <w:rtl/>
        </w:rPr>
        <w:t>ينبغي أن تفعل الدولة الطرف ما يلي:</w:t>
      </w:r>
    </w:p>
    <w:p w14:paraId="7757B838" w14:textId="77777777" w:rsidR="00E8660E" w:rsidRPr="0035575A" w:rsidRDefault="00E8660E" w:rsidP="00E8660E">
      <w:pPr>
        <w:pStyle w:val="SingleTxtGA"/>
        <w:rPr>
          <w:bCs/>
          <w:lang w:val="ar-SA" w:eastAsia="zh-TW" w:bidi="en-GB"/>
        </w:rPr>
      </w:pPr>
      <w:r>
        <w:rPr>
          <w:rtl/>
        </w:rPr>
        <w:tab/>
      </w:r>
      <w:r w:rsidRPr="00F60D22">
        <w:rPr>
          <w:rtl/>
        </w:rPr>
        <w:t>(أ)</w:t>
      </w:r>
      <w:r w:rsidRPr="00F60D22">
        <w:rPr>
          <w:rtl/>
        </w:rPr>
        <w:tab/>
      </w:r>
      <w:r w:rsidRPr="0035575A">
        <w:rPr>
          <w:bCs/>
          <w:rtl/>
        </w:rPr>
        <w:t>التمسك بصرامة بمبدأ عدم الإعادة القسرية في القانون وفي الممارسة على السواء؛</w:t>
      </w:r>
    </w:p>
    <w:p w14:paraId="7B433E57" w14:textId="708762B9" w:rsidR="00E8660E" w:rsidRPr="0035575A" w:rsidRDefault="00E8660E" w:rsidP="00E8660E">
      <w:pPr>
        <w:pStyle w:val="SingleTxtGA"/>
        <w:rPr>
          <w:bCs/>
          <w:lang w:eastAsia="zh-TW" w:bidi="en-GB"/>
        </w:rPr>
      </w:pPr>
      <w:r>
        <w:rPr>
          <w:rtl/>
        </w:rPr>
        <w:tab/>
      </w:r>
      <w:r w:rsidRPr="00F60D22">
        <w:rPr>
          <w:rtl/>
        </w:rPr>
        <w:t>(ب)</w:t>
      </w:r>
      <w:r w:rsidRPr="00F60D22">
        <w:rPr>
          <w:rtl/>
        </w:rPr>
        <w:tab/>
      </w:r>
      <w:r w:rsidRPr="0035575A">
        <w:rPr>
          <w:bCs/>
          <w:rtl/>
        </w:rPr>
        <w:t>تعديل قانون اللاجئين، بما فيه المادة 19(</w:t>
      </w:r>
      <w:r w:rsidR="005F70DF" w:rsidRPr="0035575A">
        <w:rPr>
          <w:bCs/>
          <w:rtl/>
        </w:rPr>
        <w:t xml:space="preserve">2) </w:t>
      </w:r>
      <w:r w:rsidRPr="0035575A">
        <w:rPr>
          <w:bCs/>
          <w:rtl/>
        </w:rPr>
        <w:t>والأحكام التي تدرج السجون ومراكز الشرطة ودُور الاحتجاز في تعريف مراكز العبور،</w:t>
      </w:r>
      <w:r w:rsidR="001C35E3" w:rsidRPr="0035575A">
        <w:rPr>
          <w:bCs/>
          <w:rtl/>
        </w:rPr>
        <w:t xml:space="preserve"> </w:t>
      </w:r>
      <w:r w:rsidRPr="0035575A">
        <w:rPr>
          <w:bCs/>
          <w:rtl/>
        </w:rPr>
        <w:t xml:space="preserve">لضمان توافقه مع </w:t>
      </w:r>
      <w:r w:rsidR="00840574" w:rsidRPr="0035575A">
        <w:rPr>
          <w:rFonts w:hint="cs"/>
          <w:bCs/>
          <w:rtl/>
        </w:rPr>
        <w:t xml:space="preserve">المادة 3 من </w:t>
      </w:r>
      <w:r w:rsidRPr="0035575A">
        <w:rPr>
          <w:bCs/>
          <w:rtl/>
        </w:rPr>
        <w:t>الاتفاقية توافق</w:t>
      </w:r>
      <w:r w:rsidR="00696EA1" w:rsidRPr="0035575A">
        <w:rPr>
          <w:bCs/>
          <w:rtl/>
        </w:rPr>
        <w:t xml:space="preserve">اً </w:t>
      </w:r>
      <w:r w:rsidRPr="0035575A">
        <w:rPr>
          <w:bCs/>
          <w:rtl/>
        </w:rPr>
        <w:t>تاما</w:t>
      </w:r>
      <w:r w:rsidR="009563BC" w:rsidRPr="0035575A">
        <w:rPr>
          <w:rFonts w:hint="cs"/>
          <w:bCs/>
          <w:rtl/>
        </w:rPr>
        <w:t>ً</w:t>
      </w:r>
      <w:r w:rsidRPr="0035575A">
        <w:rPr>
          <w:bCs/>
          <w:rtl/>
        </w:rPr>
        <w:t xml:space="preserve">؛ </w:t>
      </w:r>
    </w:p>
    <w:p w14:paraId="5DBB9580" w14:textId="77777777" w:rsidR="00E8660E" w:rsidRPr="0035575A" w:rsidRDefault="00E8660E" w:rsidP="00E8660E">
      <w:pPr>
        <w:pStyle w:val="SingleTxtGA"/>
        <w:rPr>
          <w:bCs/>
          <w:lang w:val="ar-SA" w:eastAsia="zh-TW" w:bidi="en-GB"/>
        </w:rPr>
      </w:pPr>
      <w:r>
        <w:rPr>
          <w:rtl/>
        </w:rPr>
        <w:tab/>
      </w:r>
      <w:r w:rsidRPr="00F60D22">
        <w:rPr>
          <w:rtl/>
        </w:rPr>
        <w:t>(ج)</w:t>
      </w:r>
      <w:r w:rsidRPr="00F60D22">
        <w:rPr>
          <w:rtl/>
        </w:rPr>
        <w:tab/>
      </w:r>
      <w:r w:rsidRPr="0035575A">
        <w:rPr>
          <w:bCs/>
          <w:rtl/>
        </w:rPr>
        <w:t xml:space="preserve">وقف العمل باحتجاز غير المواطنين لمجرد دخولهم البلد خارج نطاق القانون؛ </w:t>
      </w:r>
    </w:p>
    <w:p w14:paraId="0063401F" w14:textId="0C1464D3" w:rsidR="00E8660E" w:rsidRPr="0035575A" w:rsidRDefault="00E8660E" w:rsidP="00E8660E">
      <w:pPr>
        <w:pStyle w:val="SingleTxtGA"/>
        <w:rPr>
          <w:bCs/>
          <w:lang w:val="ar-SA" w:eastAsia="zh-TW" w:bidi="en-GB"/>
        </w:rPr>
      </w:pPr>
      <w:r>
        <w:rPr>
          <w:rtl/>
        </w:rPr>
        <w:tab/>
      </w:r>
      <w:r w:rsidRPr="00F60D22">
        <w:rPr>
          <w:rtl/>
        </w:rPr>
        <w:t>(د)</w:t>
      </w:r>
      <w:r w:rsidRPr="00F60D22">
        <w:rPr>
          <w:rtl/>
        </w:rPr>
        <w:tab/>
      </w:r>
      <w:r w:rsidRPr="0035575A">
        <w:rPr>
          <w:bCs/>
          <w:rtl/>
        </w:rPr>
        <w:t>النظر في مراجعة قرارها إغلاق مخيمي داداب وكاكوما للاجئين لتجنب الإبعاد الجماعي والإعادة إلى الوطن قسر</w:t>
      </w:r>
      <w:r w:rsidR="00696EA1" w:rsidRPr="0035575A">
        <w:rPr>
          <w:bCs/>
          <w:rtl/>
        </w:rPr>
        <w:t xml:space="preserve">اً </w:t>
      </w:r>
      <w:r w:rsidRPr="0035575A">
        <w:rPr>
          <w:bCs/>
          <w:rtl/>
        </w:rPr>
        <w:t>للاجئين من الصومال ومن جنوب السودان، الذين قد يتعرضون للاحتجاز التعسفي أو التعذيب أو غيره من أشكال سوء المعاملة عند عودتهم إلى بلدهم الأصلي.</w:t>
      </w:r>
    </w:p>
    <w:p w14:paraId="7A9F98F6" w14:textId="77777777" w:rsidR="00E8660E" w:rsidRPr="0035575A" w:rsidRDefault="00E8660E" w:rsidP="009563BC">
      <w:pPr>
        <w:pStyle w:val="H23GA"/>
        <w:rPr>
          <w:lang w:eastAsia="zh-TW" w:bidi="en-GB"/>
        </w:rPr>
      </w:pPr>
      <w:r w:rsidRPr="0035575A">
        <w:rPr>
          <w:rtl/>
        </w:rPr>
        <w:lastRenderedPageBreak/>
        <w:tab/>
      </w:r>
      <w:r w:rsidRPr="0035575A">
        <w:rPr>
          <w:rtl/>
        </w:rPr>
        <w:tab/>
        <w:t>تدابير مكافحة الإرهاب</w:t>
      </w:r>
    </w:p>
    <w:p w14:paraId="57BBFBF2" w14:textId="7D3858F5" w:rsidR="00E8660E" w:rsidRPr="00AE3040" w:rsidRDefault="00E8660E" w:rsidP="00E8660E">
      <w:pPr>
        <w:pStyle w:val="SingleTxtGA"/>
        <w:rPr>
          <w:lang w:eastAsia="zh-TW" w:bidi="en-GB"/>
        </w:rPr>
      </w:pPr>
      <w:r w:rsidRPr="0035575A">
        <w:rPr>
          <w:rtl/>
        </w:rPr>
        <w:t>27</w:t>
      </w:r>
      <w:r w:rsidRPr="00F60D22">
        <w:rPr>
          <w:rtl/>
        </w:rPr>
        <w:t>-</w:t>
      </w:r>
      <w:r w:rsidRPr="00F60D22">
        <w:rPr>
          <w:rtl/>
        </w:rPr>
        <w:tab/>
        <w:t>تسلّم اللجنة بشواغل الدولة الطرف المتعلقة بالأمن القومي، غير أنها لا تزال تشعر ببالغ القلق إزاء التقارير التي تتحدث عن الاعتقال والاحتجاز التعسفيين والابتزاز وإعادة التوطين القسرية والإعادة القسرية والقتل خارج نطاق القضاء والتعذيب والعنف الجنسي وال</w:t>
      </w:r>
      <w:r>
        <w:rPr>
          <w:rtl/>
        </w:rPr>
        <w:t>ج</w:t>
      </w:r>
      <w:r w:rsidRPr="00F60D22">
        <w:rPr>
          <w:rtl/>
        </w:rPr>
        <w:t xml:space="preserve">نساني والاختفاء القسري على يد موظفين عموميين، ولا سيما أفراد من وحدة مكافحة الإرهاب التابعة للشرطة، في سياق عمليات مكافحة الإرهاب، بما في ذلك أثناء عملية رصد أوسالاما في نيسان/أبريل </w:t>
      </w:r>
      <w:r w:rsidRPr="0035575A">
        <w:rPr>
          <w:rtl/>
        </w:rPr>
        <w:t>2014</w:t>
      </w:r>
      <w:r w:rsidRPr="00F60D22">
        <w:rPr>
          <w:rtl/>
        </w:rPr>
        <w:t>،</w:t>
      </w:r>
      <w:r w:rsidR="001C35E3">
        <w:rPr>
          <w:rtl/>
        </w:rPr>
        <w:t xml:space="preserve"> </w:t>
      </w:r>
      <w:r w:rsidRPr="00F60D22">
        <w:rPr>
          <w:rtl/>
        </w:rPr>
        <w:t>وتأسف للافتقار إلى المعلومات عن التحقيقات والملاحقات القضائية التي أجريت ونتائجها، بما في ذلك جبر أضرار الضحايا. وتشعر اللجنة بالقلق أيض</w:t>
      </w:r>
      <w:r w:rsidR="00696EA1">
        <w:rPr>
          <w:rtl/>
        </w:rPr>
        <w:t xml:space="preserve">اً </w:t>
      </w:r>
      <w:r w:rsidRPr="00F60D22">
        <w:rPr>
          <w:rtl/>
        </w:rPr>
        <w:t xml:space="preserve">لأن قانون منع الإرهاب (القانون رقم </w:t>
      </w:r>
      <w:r w:rsidRPr="0035575A">
        <w:rPr>
          <w:rtl/>
        </w:rPr>
        <w:t>30</w:t>
      </w:r>
      <w:r w:rsidRPr="00F60D22">
        <w:rPr>
          <w:rtl/>
        </w:rPr>
        <w:t xml:space="preserve"> لعام </w:t>
      </w:r>
      <w:r w:rsidRPr="0035575A">
        <w:rPr>
          <w:rtl/>
        </w:rPr>
        <w:t>201</w:t>
      </w:r>
      <w:r w:rsidR="005F70DF" w:rsidRPr="0035575A">
        <w:rPr>
          <w:rtl/>
        </w:rPr>
        <w:t>2</w:t>
      </w:r>
      <w:r w:rsidR="005F70DF" w:rsidRPr="005F70DF">
        <w:rPr>
          <w:rtl/>
        </w:rPr>
        <w:t xml:space="preserve">) </w:t>
      </w:r>
      <w:r w:rsidRPr="00F60D22">
        <w:rPr>
          <w:rtl/>
        </w:rPr>
        <w:t xml:space="preserve">يتضمن تعريفاً غامضاً وفضفاضاً للغاية لمفهوم الإرهاب يُستخدم لقمع من ينتقدون الحكومة. وتشعر بالقلق، إضافة إلى ذلك، لأن المادة </w:t>
      </w:r>
      <w:r w:rsidRPr="0035575A">
        <w:rPr>
          <w:rtl/>
        </w:rPr>
        <w:t>35</w:t>
      </w:r>
      <w:r w:rsidRPr="00F60D22">
        <w:rPr>
          <w:rtl/>
        </w:rPr>
        <w:t xml:space="preserve"> من هذا القانون تنص على فرض قيود مفرطة على حقوق المشتبه في ضلوعهم في أعمال إرهابية أو المتهمين بالضلوع فيها، بما في ذلك الحق في محاكمة وفق الأصول وفي محاكمة عادلة وحق</w:t>
      </w:r>
      <w:r>
        <w:rPr>
          <w:rtl/>
        </w:rPr>
        <w:t xml:space="preserve"> الفرد </w:t>
      </w:r>
      <w:r w:rsidRPr="00F60D22">
        <w:rPr>
          <w:rtl/>
        </w:rPr>
        <w:t>في الحرية والأمن</w:t>
      </w:r>
      <w:r>
        <w:rPr>
          <w:rtl/>
        </w:rPr>
        <w:t xml:space="preserve"> على شخصه</w:t>
      </w:r>
      <w:r w:rsidRPr="00F60D22">
        <w:rPr>
          <w:rtl/>
        </w:rPr>
        <w:t>. وتحيط اللجنة علم</w:t>
      </w:r>
      <w:r w:rsidR="00696EA1">
        <w:rPr>
          <w:rtl/>
        </w:rPr>
        <w:t xml:space="preserve">اً </w:t>
      </w:r>
      <w:r w:rsidRPr="00F60D22">
        <w:rPr>
          <w:rtl/>
        </w:rPr>
        <w:t xml:space="preserve">بجهود الدولة الطرف لتعديل مواد القانون (المعدِّل) لقوانين الأمن (القانون رقم </w:t>
      </w:r>
      <w:r w:rsidRPr="0035575A">
        <w:rPr>
          <w:rtl/>
        </w:rPr>
        <w:t>19</w:t>
      </w:r>
      <w:r w:rsidRPr="00F60D22">
        <w:rPr>
          <w:rtl/>
        </w:rPr>
        <w:t xml:space="preserve"> لعام </w:t>
      </w:r>
      <w:r w:rsidRPr="0035575A">
        <w:rPr>
          <w:rtl/>
        </w:rPr>
        <w:t>201</w:t>
      </w:r>
      <w:r w:rsidR="005F70DF" w:rsidRPr="0035575A">
        <w:rPr>
          <w:rtl/>
        </w:rPr>
        <w:t>4</w:t>
      </w:r>
      <w:r w:rsidR="005F70DF" w:rsidRPr="005F70DF">
        <w:rPr>
          <w:rtl/>
        </w:rPr>
        <w:t xml:space="preserve">) </w:t>
      </w:r>
      <w:r w:rsidRPr="00F60D22">
        <w:rPr>
          <w:rtl/>
        </w:rPr>
        <w:t xml:space="preserve">الذي اعتبره حكم المحكمة العليا غير دستوري، لكنها تأسف للافتقار إلى معلومات عن الموعد المحتمل لسريان هذه التغييرات (المواد </w:t>
      </w:r>
      <w:r w:rsidRPr="0035575A">
        <w:rPr>
          <w:rtl/>
        </w:rPr>
        <w:t>2</w:t>
      </w:r>
      <w:r w:rsidRPr="00F60D22">
        <w:rPr>
          <w:rtl/>
        </w:rPr>
        <w:t xml:space="preserve"> و</w:t>
      </w:r>
      <w:r w:rsidRPr="0035575A">
        <w:rPr>
          <w:rtl/>
        </w:rPr>
        <w:t>11</w:t>
      </w:r>
      <w:r w:rsidRPr="00F60D22">
        <w:rPr>
          <w:rtl/>
        </w:rPr>
        <w:t xml:space="preserve"> و</w:t>
      </w:r>
      <w:r w:rsidRPr="0035575A">
        <w:rPr>
          <w:rtl/>
        </w:rPr>
        <w:t>12</w:t>
      </w:r>
      <w:r w:rsidRPr="00F60D22">
        <w:rPr>
          <w:rtl/>
        </w:rPr>
        <w:t xml:space="preserve"> و</w:t>
      </w:r>
      <w:r w:rsidRPr="0035575A">
        <w:rPr>
          <w:rtl/>
        </w:rPr>
        <w:t>1</w:t>
      </w:r>
      <w:r w:rsidR="005F70DF" w:rsidRPr="0035575A">
        <w:rPr>
          <w:rtl/>
        </w:rPr>
        <w:t>6</w:t>
      </w:r>
      <w:r w:rsidR="005F70DF" w:rsidRPr="005F70DF">
        <w:rPr>
          <w:rtl/>
        </w:rPr>
        <w:t>).</w:t>
      </w:r>
      <w:r w:rsidR="005F70DF" w:rsidRPr="005F70DF">
        <w:rPr>
          <w:rtl/>
          <w:lang w:eastAsia="zh-TW"/>
        </w:rPr>
        <w:t xml:space="preserve"> </w:t>
      </w:r>
    </w:p>
    <w:p w14:paraId="61BD4E66" w14:textId="77777777" w:rsidR="00E8660E" w:rsidRPr="0035575A" w:rsidRDefault="00E8660E" w:rsidP="00E8660E">
      <w:pPr>
        <w:pStyle w:val="SingleTxtGA"/>
        <w:rPr>
          <w:bCs/>
          <w:lang w:val="ar-SA" w:eastAsia="zh-TW" w:bidi="en-GB"/>
        </w:rPr>
      </w:pPr>
      <w:r w:rsidRPr="0035575A">
        <w:rPr>
          <w:rtl/>
        </w:rPr>
        <w:t>28</w:t>
      </w:r>
      <w:r w:rsidRPr="00F60D22">
        <w:rPr>
          <w:rtl/>
        </w:rPr>
        <w:t>-</w:t>
      </w:r>
      <w:r w:rsidRPr="00F60D22">
        <w:rPr>
          <w:rtl/>
        </w:rPr>
        <w:tab/>
      </w:r>
      <w:r w:rsidRPr="0035575A">
        <w:rPr>
          <w:bCs/>
          <w:rtl/>
        </w:rPr>
        <w:t>ينبغي أن تفعل الدولة الطرف ما يلي:</w:t>
      </w:r>
    </w:p>
    <w:p w14:paraId="367596F1" w14:textId="77777777" w:rsidR="00E8660E" w:rsidRPr="0035575A" w:rsidRDefault="00E8660E" w:rsidP="00E8660E">
      <w:pPr>
        <w:pStyle w:val="SingleTxtGA"/>
        <w:rPr>
          <w:bCs/>
          <w:lang w:val="ar-SA" w:eastAsia="zh-TW" w:bidi="en-GB"/>
        </w:rPr>
      </w:pPr>
      <w:r>
        <w:rPr>
          <w:rtl/>
        </w:rPr>
        <w:tab/>
      </w:r>
      <w:r w:rsidRPr="00F60D22">
        <w:rPr>
          <w:rtl/>
        </w:rPr>
        <w:t>(أ)</w:t>
      </w:r>
      <w:r w:rsidRPr="00F60D22">
        <w:rPr>
          <w:rtl/>
        </w:rPr>
        <w:tab/>
      </w:r>
      <w:r w:rsidRPr="0035575A">
        <w:rPr>
          <w:bCs/>
          <w:rtl/>
        </w:rPr>
        <w:t>العمل على أن تكون التدابير المتخذة لمكافحة الإرهاب متوافقة مع الاتفاقية وضرورية للغاية في ضوء الأوضاع ومتطلبات مبدأ التناسب؛</w:t>
      </w:r>
    </w:p>
    <w:p w14:paraId="582C6701" w14:textId="3E622132" w:rsidR="00E8660E" w:rsidRPr="0035575A" w:rsidRDefault="00E8660E" w:rsidP="00E8660E">
      <w:pPr>
        <w:pStyle w:val="SingleTxtGA"/>
        <w:rPr>
          <w:bCs/>
          <w:lang w:val="ar-SA" w:eastAsia="zh-TW" w:bidi="en-GB"/>
        </w:rPr>
      </w:pPr>
      <w:r>
        <w:rPr>
          <w:rtl/>
        </w:rPr>
        <w:tab/>
      </w:r>
      <w:r w:rsidRPr="00F60D22">
        <w:rPr>
          <w:rtl/>
        </w:rPr>
        <w:t>(ب)</w:t>
      </w:r>
      <w:r w:rsidRPr="00F60D22">
        <w:rPr>
          <w:rtl/>
        </w:rPr>
        <w:tab/>
      </w:r>
      <w:r w:rsidRPr="0035575A">
        <w:rPr>
          <w:bCs/>
          <w:rtl/>
        </w:rPr>
        <w:t>إعادة النظر في تعريف الإرهاب في قانون منع الإرهاب (رقم 30 لعام 201</w:t>
      </w:r>
      <w:r w:rsidR="005F70DF" w:rsidRPr="0035575A">
        <w:rPr>
          <w:bCs/>
          <w:rtl/>
        </w:rPr>
        <w:t xml:space="preserve">2) </w:t>
      </w:r>
      <w:r w:rsidRPr="0035575A">
        <w:rPr>
          <w:bCs/>
          <w:rtl/>
        </w:rPr>
        <w:t xml:space="preserve">لضمان توافقه مع المعايير الدولية، وتعديل المادة 35 من هذا القانون لضمان حماية حقوق المشتبه في تورطهم في أعمال إرهابية أو المتهمين بالتورط فيها حمايةً وفق الأصول؛ </w:t>
      </w:r>
    </w:p>
    <w:p w14:paraId="3A7867D5" w14:textId="0DEB9EE4" w:rsidR="00E8660E" w:rsidRPr="0035575A" w:rsidRDefault="00E8660E" w:rsidP="00E8660E">
      <w:pPr>
        <w:pStyle w:val="SingleTxtGA"/>
        <w:rPr>
          <w:bCs/>
          <w:lang w:val="ar-SA" w:eastAsia="zh-TW" w:bidi="en-GB"/>
        </w:rPr>
      </w:pPr>
      <w:r>
        <w:rPr>
          <w:rtl/>
        </w:rPr>
        <w:tab/>
      </w:r>
      <w:r w:rsidRPr="00F60D22">
        <w:rPr>
          <w:rtl/>
        </w:rPr>
        <w:t>(ج)</w:t>
      </w:r>
      <w:r w:rsidRPr="00F60D22">
        <w:rPr>
          <w:rtl/>
        </w:rPr>
        <w:tab/>
      </w:r>
      <w:r w:rsidRPr="0035575A">
        <w:rPr>
          <w:bCs/>
          <w:rtl/>
        </w:rPr>
        <w:t>الإسراع في عملية تعديل القانون (المعدِّل) لقوانين الأمن (القانون رقم 19 لعام</w:t>
      </w:r>
      <w:r w:rsidR="009563BC" w:rsidRPr="0035575A">
        <w:rPr>
          <w:rFonts w:hint="cs"/>
          <w:bCs/>
          <w:rtl/>
        </w:rPr>
        <w:t> </w:t>
      </w:r>
      <w:r w:rsidRPr="0035575A">
        <w:rPr>
          <w:bCs/>
          <w:rtl/>
        </w:rPr>
        <w:t>201</w:t>
      </w:r>
      <w:r w:rsidR="005F70DF" w:rsidRPr="0035575A">
        <w:rPr>
          <w:bCs/>
          <w:rtl/>
        </w:rPr>
        <w:t xml:space="preserve">4) </w:t>
      </w:r>
      <w:r w:rsidRPr="0035575A">
        <w:rPr>
          <w:bCs/>
          <w:rtl/>
        </w:rPr>
        <w:t>تعديلاً يتوافق مع حكم المحكمة العليا؛</w:t>
      </w:r>
    </w:p>
    <w:p w14:paraId="38342162" w14:textId="4F32C094" w:rsidR="00E8660E" w:rsidRPr="0035575A" w:rsidRDefault="00E8660E" w:rsidP="00E8660E">
      <w:pPr>
        <w:pStyle w:val="SingleTxtGA"/>
        <w:rPr>
          <w:bCs/>
          <w:lang w:val="en-US" w:eastAsia="zh-TW" w:bidi="en-GB"/>
        </w:rPr>
      </w:pPr>
      <w:r>
        <w:rPr>
          <w:rtl/>
        </w:rPr>
        <w:tab/>
      </w:r>
      <w:r w:rsidRPr="00F60D22">
        <w:rPr>
          <w:rtl/>
        </w:rPr>
        <w:t>(د)</w:t>
      </w:r>
      <w:r w:rsidRPr="00F60D22">
        <w:rPr>
          <w:rtl/>
        </w:rPr>
        <w:tab/>
      </w:r>
      <w:r w:rsidRPr="0035575A">
        <w:rPr>
          <w:bCs/>
          <w:rtl/>
        </w:rPr>
        <w:t>إجراء تحقيقات سريعة ونزيهة وفعالة في ادعاءات انتهاك حقوق الإنسان، بما فيها أعمال التعذيب وسوء المعاملة، التي ارتكبت في سياق عمليات مكافحة الإرهاب، ومقاضاة الجناة ومعاقبتهم وضمان حصول الضحايا على سبل انتصاف فعالة وجبر ما أصابهم من أضرار جبر</w:t>
      </w:r>
      <w:r w:rsidR="00696EA1" w:rsidRPr="0035575A">
        <w:rPr>
          <w:bCs/>
          <w:rtl/>
        </w:rPr>
        <w:t xml:space="preserve">اً </w:t>
      </w:r>
      <w:r w:rsidRPr="0035575A">
        <w:rPr>
          <w:bCs/>
          <w:rtl/>
        </w:rPr>
        <w:t>تاما</w:t>
      </w:r>
      <w:r w:rsidR="009563BC" w:rsidRPr="0035575A">
        <w:rPr>
          <w:rFonts w:hint="cs"/>
          <w:bCs/>
          <w:rtl/>
        </w:rPr>
        <w:t>ً</w:t>
      </w:r>
      <w:r w:rsidRPr="0035575A">
        <w:rPr>
          <w:bCs/>
          <w:rtl/>
        </w:rPr>
        <w:t>.</w:t>
      </w:r>
    </w:p>
    <w:p w14:paraId="42F17F9F" w14:textId="77777777" w:rsidR="00E8660E" w:rsidRPr="0035575A" w:rsidRDefault="00E8660E" w:rsidP="009563BC">
      <w:pPr>
        <w:pStyle w:val="H23GA"/>
        <w:rPr>
          <w:lang w:val="ar-SA" w:eastAsia="zh-TW" w:bidi="en-GB"/>
        </w:rPr>
      </w:pPr>
      <w:r w:rsidRPr="0035575A">
        <w:rPr>
          <w:rtl/>
        </w:rPr>
        <w:tab/>
      </w:r>
      <w:r w:rsidRPr="0035575A">
        <w:rPr>
          <w:rtl/>
        </w:rPr>
        <w:tab/>
        <w:t>ادعاءات التعذيب والإفلات من العقاب</w:t>
      </w:r>
    </w:p>
    <w:p w14:paraId="6982F70A" w14:textId="3A572590" w:rsidR="005F70DF" w:rsidRPr="005F70DF" w:rsidRDefault="00E8660E" w:rsidP="00E8660E">
      <w:pPr>
        <w:pStyle w:val="SingleTxtGA"/>
        <w:rPr>
          <w:spacing w:val="-6"/>
          <w:lang w:eastAsia="zh-TW" w:bidi="en-GB"/>
        </w:rPr>
      </w:pPr>
      <w:r w:rsidRPr="0035575A">
        <w:rPr>
          <w:rtl/>
        </w:rPr>
        <w:t>29</w:t>
      </w:r>
      <w:r w:rsidRPr="00F60D22">
        <w:rPr>
          <w:rtl/>
        </w:rPr>
        <w:t>-</w:t>
      </w:r>
      <w:r w:rsidRPr="00F60D22">
        <w:rPr>
          <w:rtl/>
        </w:rPr>
        <w:tab/>
        <w:t>تعرب اللجنة عن تقديرها جهودَ الدولة الطرف لمكافحة الإفلات من العقاب على أعمال التعذيب وسوء المعاملة، مثل وضع مكتب مدير النيابة العامة دليل</w:t>
      </w:r>
      <w:r w:rsidR="00696EA1">
        <w:rPr>
          <w:rtl/>
        </w:rPr>
        <w:t xml:space="preserve">اً </w:t>
      </w:r>
      <w:r w:rsidRPr="00F60D22">
        <w:rPr>
          <w:rtl/>
        </w:rPr>
        <w:t>مرجعي</w:t>
      </w:r>
      <w:r w:rsidR="00696EA1">
        <w:rPr>
          <w:rtl/>
        </w:rPr>
        <w:t xml:space="preserve">اً </w:t>
      </w:r>
      <w:r w:rsidRPr="00F60D22">
        <w:rPr>
          <w:rtl/>
        </w:rPr>
        <w:t>ومشروع لوائح اتهام كي يتسنّى إنفاذ قانون منع التعذيب إنفاذ</w:t>
      </w:r>
      <w:r w:rsidR="00696EA1">
        <w:rPr>
          <w:rtl/>
        </w:rPr>
        <w:t xml:space="preserve">اً </w:t>
      </w:r>
      <w:r w:rsidRPr="00F60D22">
        <w:rPr>
          <w:rtl/>
        </w:rPr>
        <w:t>فاعلاً. بيد أنه بالنظر إلى الادعاءات والشكاوى العديدة التي تتكلم عن التعذيب وسوء المعاملة على يد موظفي الدولة، خاصة أفراد الشرطة، في أماكن سلب الحرية وأثناء أنشطة حفظ الأمن، والتقارير التي تفيد بأن آليات رقابة الشرطة لا تزال غير فعالة، يساور اللجنة بالغ القلق إزاء قلة المساءلة، الأمر الذي يسهم في تهيئة بيئة تتّسم بالإفلات من العقاب. وتلاحظ اللجنة بقلق عدم وجود حالات موثقة لأشخاص حوكموا وأدينوا باقتراف أعمال تعذيب بموجب قانون منع التعذيب. ويساورها القلق أيض</w:t>
      </w:r>
      <w:r w:rsidR="00696EA1">
        <w:rPr>
          <w:rtl/>
        </w:rPr>
        <w:t xml:space="preserve">اً </w:t>
      </w:r>
      <w:r w:rsidRPr="00F60D22">
        <w:rPr>
          <w:rtl/>
        </w:rPr>
        <w:t xml:space="preserve">بشأن التقارير التي تشير إلى أنه رغم اعتماد قانون المعونة القضائية (رقم </w:t>
      </w:r>
      <w:r w:rsidRPr="0035575A">
        <w:rPr>
          <w:rtl/>
        </w:rPr>
        <w:t>6</w:t>
      </w:r>
      <w:r w:rsidRPr="00F60D22">
        <w:rPr>
          <w:rtl/>
        </w:rPr>
        <w:t xml:space="preserve"> لعام </w:t>
      </w:r>
      <w:r w:rsidRPr="0035575A">
        <w:rPr>
          <w:rtl/>
        </w:rPr>
        <w:t>201</w:t>
      </w:r>
      <w:r w:rsidR="005F70DF" w:rsidRPr="0035575A">
        <w:rPr>
          <w:rtl/>
        </w:rPr>
        <w:t>6</w:t>
      </w:r>
      <w:r w:rsidR="005F70DF" w:rsidRPr="005F70DF">
        <w:rPr>
          <w:rtl/>
        </w:rPr>
        <w:t xml:space="preserve">) </w:t>
      </w:r>
      <w:r w:rsidRPr="00F60D22">
        <w:rPr>
          <w:rtl/>
        </w:rPr>
        <w:t>وخطة العمل الوطنية للمعونة القضائية (</w:t>
      </w:r>
      <w:r w:rsidRPr="0035575A">
        <w:rPr>
          <w:rtl/>
        </w:rPr>
        <w:t>2017</w:t>
      </w:r>
      <w:r w:rsidRPr="00F60D22">
        <w:rPr>
          <w:rtl/>
        </w:rPr>
        <w:t>-</w:t>
      </w:r>
      <w:r w:rsidRPr="0035575A">
        <w:rPr>
          <w:rtl/>
        </w:rPr>
        <w:t>2022</w:t>
      </w:r>
      <w:r w:rsidR="005F70DF" w:rsidRPr="005F70DF">
        <w:rPr>
          <w:rtl/>
        </w:rPr>
        <w:t xml:space="preserve">)، </w:t>
      </w:r>
      <w:r w:rsidRPr="00F60D22">
        <w:rPr>
          <w:rtl/>
        </w:rPr>
        <w:t>ي</w:t>
      </w:r>
      <w:r>
        <w:rPr>
          <w:rtl/>
        </w:rPr>
        <w:t>واجه</w:t>
      </w:r>
      <w:r w:rsidRPr="00F60D22">
        <w:rPr>
          <w:rtl/>
        </w:rPr>
        <w:t xml:space="preserve"> الضحايا صعوبات في الحصول على مساعدة </w:t>
      </w:r>
      <w:r w:rsidRPr="00F60D22">
        <w:rPr>
          <w:rtl/>
        </w:rPr>
        <w:lastRenderedPageBreak/>
        <w:t xml:space="preserve">قانونية مجانية. وإضافة إلى ذلك، يساورها القلق </w:t>
      </w:r>
      <w:r>
        <w:rPr>
          <w:rtl/>
        </w:rPr>
        <w:t>بخصوص</w:t>
      </w:r>
      <w:r w:rsidRPr="00F60D22">
        <w:rPr>
          <w:rtl/>
        </w:rPr>
        <w:t xml:space="preserve"> التقارير التي تفيد بأن أفراد</w:t>
      </w:r>
      <w:r w:rsidR="00696EA1">
        <w:rPr>
          <w:rtl/>
        </w:rPr>
        <w:t xml:space="preserve">اً </w:t>
      </w:r>
      <w:r w:rsidRPr="00F60D22">
        <w:rPr>
          <w:rtl/>
        </w:rPr>
        <w:t xml:space="preserve">من الجيش ودائرة </w:t>
      </w:r>
      <w:r w:rsidRPr="009563BC">
        <w:rPr>
          <w:spacing w:val="-6"/>
          <w:rtl/>
        </w:rPr>
        <w:t>المخابرات الوطنية ينعمون عملي</w:t>
      </w:r>
      <w:r w:rsidR="00696EA1">
        <w:rPr>
          <w:spacing w:val="-6"/>
          <w:rtl/>
        </w:rPr>
        <w:t xml:space="preserve">اً </w:t>
      </w:r>
      <w:r w:rsidRPr="009563BC">
        <w:rPr>
          <w:spacing w:val="-6"/>
          <w:rtl/>
        </w:rPr>
        <w:t xml:space="preserve">بالحصانة الشاملة من الملاحقة القضائية (المواد </w:t>
      </w:r>
      <w:r w:rsidRPr="0035575A">
        <w:rPr>
          <w:spacing w:val="-6"/>
          <w:rtl/>
        </w:rPr>
        <w:t>2</w:t>
      </w:r>
      <w:r w:rsidRPr="009563BC">
        <w:rPr>
          <w:spacing w:val="-6"/>
          <w:rtl/>
        </w:rPr>
        <w:t xml:space="preserve"> و</w:t>
      </w:r>
      <w:r w:rsidRPr="0035575A">
        <w:rPr>
          <w:spacing w:val="-6"/>
          <w:rtl/>
        </w:rPr>
        <w:t>4</w:t>
      </w:r>
      <w:r w:rsidRPr="009563BC">
        <w:rPr>
          <w:spacing w:val="-6"/>
          <w:rtl/>
        </w:rPr>
        <w:t xml:space="preserve"> و</w:t>
      </w:r>
      <w:r w:rsidRPr="0035575A">
        <w:rPr>
          <w:spacing w:val="-6"/>
          <w:rtl/>
        </w:rPr>
        <w:t>11</w:t>
      </w:r>
      <w:r w:rsidRPr="009563BC">
        <w:rPr>
          <w:spacing w:val="-6"/>
          <w:rtl/>
        </w:rPr>
        <w:t xml:space="preserve"> و</w:t>
      </w:r>
      <w:r w:rsidRPr="0035575A">
        <w:rPr>
          <w:spacing w:val="-6"/>
          <w:rtl/>
        </w:rPr>
        <w:t>12</w:t>
      </w:r>
      <w:r w:rsidRPr="009563BC">
        <w:rPr>
          <w:spacing w:val="-6"/>
          <w:rtl/>
        </w:rPr>
        <w:t xml:space="preserve"> و</w:t>
      </w:r>
      <w:r w:rsidRPr="0035575A">
        <w:rPr>
          <w:spacing w:val="-6"/>
          <w:rtl/>
        </w:rPr>
        <w:t>13</w:t>
      </w:r>
      <w:r w:rsidRPr="009563BC">
        <w:rPr>
          <w:spacing w:val="-6"/>
          <w:rtl/>
        </w:rPr>
        <w:t xml:space="preserve"> و</w:t>
      </w:r>
      <w:r w:rsidRPr="0035575A">
        <w:rPr>
          <w:spacing w:val="-6"/>
          <w:rtl/>
        </w:rPr>
        <w:t>1</w:t>
      </w:r>
      <w:r w:rsidR="005F70DF" w:rsidRPr="0035575A">
        <w:rPr>
          <w:spacing w:val="-6"/>
          <w:rtl/>
        </w:rPr>
        <w:t>6</w:t>
      </w:r>
      <w:r w:rsidR="005F70DF" w:rsidRPr="005F70DF">
        <w:rPr>
          <w:spacing w:val="-6"/>
          <w:rtl/>
        </w:rPr>
        <w:t>).</w:t>
      </w:r>
    </w:p>
    <w:p w14:paraId="05FFE48D" w14:textId="604C2CAC" w:rsidR="00E8660E" w:rsidRPr="0035575A" w:rsidRDefault="00E8660E" w:rsidP="00E8660E">
      <w:pPr>
        <w:pStyle w:val="SingleTxtGA"/>
        <w:rPr>
          <w:bCs/>
          <w:lang w:val="ar-SA" w:eastAsia="zh-TW" w:bidi="en-GB"/>
        </w:rPr>
      </w:pPr>
      <w:r w:rsidRPr="0035575A">
        <w:rPr>
          <w:rtl/>
        </w:rPr>
        <w:t>30</w:t>
      </w:r>
      <w:r w:rsidRPr="00F60D22">
        <w:rPr>
          <w:rtl/>
        </w:rPr>
        <w:t>-</w:t>
      </w:r>
      <w:r w:rsidRPr="00F60D22">
        <w:rPr>
          <w:rtl/>
        </w:rPr>
        <w:tab/>
      </w:r>
      <w:r w:rsidRPr="0035575A">
        <w:rPr>
          <w:bCs/>
          <w:rtl/>
        </w:rPr>
        <w:t>ينبغي أن تفعل الدولة الطرف ما يلي:</w:t>
      </w:r>
    </w:p>
    <w:p w14:paraId="44EFA15B" w14:textId="77777777" w:rsidR="00E8660E" w:rsidRPr="0035575A" w:rsidRDefault="00E8660E" w:rsidP="00E8660E">
      <w:pPr>
        <w:pStyle w:val="SingleTxtGA"/>
        <w:rPr>
          <w:bCs/>
          <w:lang w:val="ar-SA" w:eastAsia="zh-TW" w:bidi="en-GB"/>
        </w:rPr>
      </w:pPr>
      <w:r>
        <w:rPr>
          <w:rtl/>
        </w:rPr>
        <w:tab/>
      </w:r>
      <w:r w:rsidRPr="00F60D22">
        <w:rPr>
          <w:rtl/>
        </w:rPr>
        <w:t>(أ)</w:t>
      </w:r>
      <w:r w:rsidRPr="00F60D22">
        <w:rPr>
          <w:rtl/>
        </w:rPr>
        <w:tab/>
      </w:r>
      <w:r w:rsidRPr="0035575A">
        <w:rPr>
          <w:bCs/>
          <w:rtl/>
        </w:rPr>
        <w:t>التعجيل بوضع الصيغة النهائية للدليل المرجعي ولوائح الاتهام التي وضعها مكتب مدير النيابة العامة ونشرهما واتخاذ التدابير اللازمة لتعميم قانون منع التعذيب على نطاق واسع وتعريف القضاة والمدعين العامين به، للمساعدة على إنفاذه بفعالية؛</w:t>
      </w:r>
    </w:p>
    <w:p w14:paraId="380DF960" w14:textId="505BE37E" w:rsidR="00E8660E" w:rsidRPr="0035575A" w:rsidRDefault="00E8660E" w:rsidP="00E8660E">
      <w:pPr>
        <w:pStyle w:val="SingleTxtGA"/>
        <w:rPr>
          <w:bCs/>
          <w:lang w:val="ar-SA" w:eastAsia="zh-TW" w:bidi="en-GB"/>
        </w:rPr>
      </w:pPr>
      <w:r w:rsidRPr="0035575A">
        <w:rPr>
          <w:b/>
          <w:rtl/>
        </w:rPr>
        <w:tab/>
        <w:t>(</w:t>
      </w:r>
      <w:r w:rsidRPr="00F60D22">
        <w:rPr>
          <w:rtl/>
        </w:rPr>
        <w:t>ب)</w:t>
      </w:r>
      <w:r w:rsidRPr="00F60D22">
        <w:rPr>
          <w:rtl/>
        </w:rPr>
        <w:tab/>
      </w:r>
      <w:r w:rsidRPr="0035575A">
        <w:rPr>
          <w:bCs/>
          <w:rtl/>
        </w:rPr>
        <w:t>التأكد</w:t>
      </w:r>
      <w:r w:rsidR="001C35E3" w:rsidRPr="0035575A">
        <w:rPr>
          <w:bCs/>
          <w:rtl/>
        </w:rPr>
        <w:t xml:space="preserve"> </w:t>
      </w:r>
      <w:r w:rsidRPr="0035575A">
        <w:rPr>
          <w:bCs/>
          <w:rtl/>
        </w:rPr>
        <w:t>من أن التحقيقات تجري بسرعة وفعالية ونزاهة في جميع ادعاءات التعذيب أو سوء المعاملة على يد الشرطة أو أفراد الجيش أو عناصر دائرة المخابرات الوطنية، ومقاضاة الجناة وفق الأصول بوصف تلك الأعمال تعذيب</w:t>
      </w:r>
      <w:r w:rsidR="00696EA1" w:rsidRPr="0035575A">
        <w:rPr>
          <w:bCs/>
          <w:rtl/>
        </w:rPr>
        <w:t xml:space="preserve">اً </w:t>
      </w:r>
      <w:r w:rsidRPr="0035575A">
        <w:rPr>
          <w:bCs/>
          <w:rtl/>
        </w:rPr>
        <w:t>أو ضرب</w:t>
      </w:r>
      <w:r w:rsidR="00696EA1" w:rsidRPr="0035575A">
        <w:rPr>
          <w:bCs/>
          <w:rtl/>
        </w:rPr>
        <w:t xml:space="preserve">اً </w:t>
      </w:r>
      <w:r w:rsidRPr="0035575A">
        <w:rPr>
          <w:bCs/>
          <w:rtl/>
        </w:rPr>
        <w:t>من ضروب المعاملة أو العقوبة القاسية أو</w:t>
      </w:r>
      <w:r w:rsidR="00840574" w:rsidRPr="0035575A">
        <w:rPr>
          <w:rFonts w:hint="cs"/>
          <w:bCs/>
          <w:rtl/>
        </w:rPr>
        <w:t> </w:t>
      </w:r>
      <w:r w:rsidRPr="0035575A">
        <w:rPr>
          <w:bCs/>
          <w:rtl/>
        </w:rPr>
        <w:t>اللاإنسانية أو المهينة، ومعاقبتهم على النحو المناسب إن ثبتت إدانتهم؛</w:t>
      </w:r>
    </w:p>
    <w:p w14:paraId="0B249F23" w14:textId="21DE4124" w:rsidR="00E8660E" w:rsidRPr="0035575A" w:rsidRDefault="00E8660E" w:rsidP="00E8660E">
      <w:pPr>
        <w:pStyle w:val="SingleTxtGA"/>
        <w:rPr>
          <w:bCs/>
          <w:lang w:eastAsia="zh-TW" w:bidi="en-GB"/>
        </w:rPr>
      </w:pPr>
      <w:r>
        <w:rPr>
          <w:rtl/>
        </w:rPr>
        <w:tab/>
      </w:r>
      <w:r w:rsidRPr="00F60D22">
        <w:rPr>
          <w:rtl/>
        </w:rPr>
        <w:t>(ج)</w:t>
      </w:r>
      <w:r w:rsidRPr="00F60D22">
        <w:rPr>
          <w:rtl/>
        </w:rPr>
        <w:tab/>
      </w:r>
      <w:r w:rsidRPr="0035575A">
        <w:rPr>
          <w:bCs/>
          <w:rtl/>
        </w:rPr>
        <w:t>تخصيص موارد مالية وبشرية كافية للهيئة المستقلة لمراقبة الشرطة واللجنة الوطنية الكينية لحقوق الإنسان كي يتسنى لهما الاضطلاع بولايتيهما بفاعلية، بما في ذلك جمع بيانات مستقلة عن الشكاوى والتحقيقات والملاحقات القضائية والإدانات والعقوبات</w:t>
      </w:r>
      <w:r w:rsidR="001C35E3" w:rsidRPr="0035575A">
        <w:rPr>
          <w:bCs/>
          <w:rtl/>
        </w:rPr>
        <w:t xml:space="preserve"> </w:t>
      </w:r>
      <w:r w:rsidRPr="0035575A">
        <w:rPr>
          <w:bCs/>
          <w:rtl/>
          <w:lang w:val="fr-CH"/>
        </w:rPr>
        <w:t>المتعلقة</w:t>
      </w:r>
      <w:r w:rsidRPr="0035575A">
        <w:rPr>
          <w:bCs/>
          <w:rtl/>
        </w:rPr>
        <w:t xml:space="preserve"> بموظفي إنفاذ القانون بسبب ارتكابهم أفعال التعذيب وسوء المعاملة؛ وإمداد وحدة الشؤون الداخلية التابعة لدائرة الشرطة الوطنية بما يكفي من التمويل وإيلاء الأولوية لاستخدام نظام للتدقيق يوقَف بموجبه المتهمون بارتكاب جرائم عن العمل، ريثما يحقّق معهم، ويقاضون مقاضاة مناسبة؛ </w:t>
      </w:r>
    </w:p>
    <w:p w14:paraId="16F9AB3A" w14:textId="77777777" w:rsidR="00E8660E" w:rsidRPr="0035575A" w:rsidRDefault="00E8660E" w:rsidP="00E8660E">
      <w:pPr>
        <w:pStyle w:val="SingleTxtGA"/>
        <w:rPr>
          <w:bCs/>
          <w:lang w:eastAsia="zh-TW" w:bidi="en-GB"/>
        </w:rPr>
      </w:pPr>
      <w:r w:rsidRPr="0035575A">
        <w:rPr>
          <w:b/>
          <w:rtl/>
        </w:rPr>
        <w:tab/>
        <w:t>(</w:t>
      </w:r>
      <w:r w:rsidRPr="00F60D22">
        <w:rPr>
          <w:rtl/>
        </w:rPr>
        <w:t>د)</w:t>
      </w:r>
      <w:r w:rsidRPr="00F60D22">
        <w:rPr>
          <w:rtl/>
        </w:rPr>
        <w:tab/>
      </w:r>
      <w:r w:rsidRPr="0035575A">
        <w:rPr>
          <w:bCs/>
          <w:rtl/>
        </w:rPr>
        <w:t>إنشاء آلية شكاوى مستقلة وفعالة وسرية ويمكن الوصول إليها في جميع أماكن الاحتجاز، بما فيها مرافق الاحتجاز لدى الشرطة والسجون، وحماية أصحاب الشكاوى والضحايا وأفراد أسرهم من الانتقام؛</w:t>
      </w:r>
    </w:p>
    <w:p w14:paraId="032A9BAD" w14:textId="77777777" w:rsidR="00E8660E" w:rsidRPr="0035575A" w:rsidRDefault="00E8660E" w:rsidP="00E8660E">
      <w:pPr>
        <w:pStyle w:val="SingleTxtGA"/>
        <w:rPr>
          <w:bCs/>
          <w:lang w:val="ar-SA" w:eastAsia="zh-TW" w:bidi="en-GB"/>
        </w:rPr>
      </w:pPr>
      <w:r>
        <w:rPr>
          <w:rtl/>
        </w:rPr>
        <w:tab/>
      </w:r>
      <w:r w:rsidRPr="00F60D22">
        <w:rPr>
          <w:rtl/>
        </w:rPr>
        <w:t>(هـ)</w:t>
      </w:r>
      <w:r w:rsidRPr="00F60D22">
        <w:rPr>
          <w:rtl/>
        </w:rPr>
        <w:tab/>
      </w:r>
      <w:r w:rsidRPr="0035575A">
        <w:rPr>
          <w:bCs/>
          <w:rtl/>
        </w:rPr>
        <w:t>توفير الموارد البشرية والمالية اللازمة لضمان حسن سير عمل الدائرة الوطنية للمعونة القضائية بحيث لا يحول نقص الموارد دون اللجوء إلى العدالة، وزيادة لَامَرْكزية البرنامج الوطني للمعونة القضائية لتغطية جميع مناطق البلد، وتكثيف الجهود لزيادة عدد المحامين في جميع أنحاء البلد؛</w:t>
      </w:r>
    </w:p>
    <w:p w14:paraId="14A2F9E4" w14:textId="77777777" w:rsidR="00E8660E" w:rsidRPr="0035575A" w:rsidRDefault="00E8660E" w:rsidP="00E8660E">
      <w:pPr>
        <w:pStyle w:val="SingleTxtGA"/>
        <w:rPr>
          <w:bCs/>
          <w:lang w:eastAsia="zh-TW" w:bidi="en-GB"/>
        </w:rPr>
      </w:pPr>
      <w:r w:rsidRPr="0035575A">
        <w:rPr>
          <w:b/>
          <w:rtl/>
        </w:rPr>
        <w:tab/>
        <w:t>(</w:t>
      </w:r>
      <w:r w:rsidRPr="00F60D22">
        <w:rPr>
          <w:rtl/>
        </w:rPr>
        <w:t>و)</w:t>
      </w:r>
      <w:r w:rsidRPr="00F60D22">
        <w:rPr>
          <w:rtl/>
        </w:rPr>
        <w:tab/>
      </w:r>
      <w:r w:rsidRPr="0035575A">
        <w:rPr>
          <w:bCs/>
          <w:rtl/>
        </w:rPr>
        <w:t>جمع بيانات إحصائية محدَّثة عن الشكاوى والتحقيقات والملاحقات القضائية والإدانات في القضايا المرتبطة بادعاءات التعذيب وسوء المعاملة ونشرها.</w:t>
      </w:r>
    </w:p>
    <w:p w14:paraId="4B596297" w14:textId="77777777" w:rsidR="00E8660E" w:rsidRPr="0035575A" w:rsidRDefault="00E8660E" w:rsidP="009563BC">
      <w:pPr>
        <w:pStyle w:val="H23GA"/>
        <w:rPr>
          <w:lang w:eastAsia="zh-TW" w:bidi="en-GB"/>
        </w:rPr>
      </w:pPr>
      <w:r w:rsidRPr="0035575A">
        <w:rPr>
          <w:rtl/>
        </w:rPr>
        <w:tab/>
      </w:r>
      <w:r w:rsidRPr="0035575A">
        <w:rPr>
          <w:rtl/>
        </w:rPr>
        <w:tab/>
        <w:t>مؤسسات الصحة النفسية</w:t>
      </w:r>
    </w:p>
    <w:p w14:paraId="3DEEC9F4" w14:textId="212BD5DF" w:rsidR="005F70DF" w:rsidRPr="005F70DF" w:rsidRDefault="00E8660E" w:rsidP="00E8660E">
      <w:pPr>
        <w:pStyle w:val="SingleTxtGA"/>
        <w:rPr>
          <w:lang w:eastAsia="zh-TW" w:bidi="en-GB"/>
        </w:rPr>
      </w:pPr>
      <w:r w:rsidRPr="0035575A">
        <w:rPr>
          <w:rtl/>
        </w:rPr>
        <w:t>31</w:t>
      </w:r>
      <w:r w:rsidRPr="00F60D22">
        <w:rPr>
          <w:rtl/>
        </w:rPr>
        <w:t>-</w:t>
      </w:r>
      <w:r w:rsidRPr="00F60D22">
        <w:rPr>
          <w:rtl/>
        </w:rPr>
        <w:tab/>
        <w:t>يساور اللجنة القلق إزاء المعلومات الواردة بشأن العلاج الطبي القسري واستخدام المثبطات المادية والكيميائية، والعزلة التي يواجهها الأشخاص ذوو الإعاقة في م</w:t>
      </w:r>
      <w:r>
        <w:rPr>
          <w:rtl/>
        </w:rPr>
        <w:t>َشافي</w:t>
      </w:r>
      <w:r w:rsidRPr="00F60D22">
        <w:rPr>
          <w:rtl/>
        </w:rPr>
        <w:t xml:space="preserve"> الأمراض النفسية </w:t>
      </w:r>
      <w:r>
        <w:rPr>
          <w:rtl/>
        </w:rPr>
        <w:t xml:space="preserve">وإزاء </w:t>
      </w:r>
      <w:r w:rsidRPr="00F60D22">
        <w:rPr>
          <w:rtl/>
        </w:rPr>
        <w:t xml:space="preserve">عدم وجود تدابير يُشترط بمقتضاها على الأشخاص ذوي الإعاقة إعطاء موافقتهم الحرة والمستنيرة للحصول على علاج طبي والخضوع لتجارب علمية (المادة </w:t>
      </w:r>
      <w:r w:rsidRPr="0035575A">
        <w:rPr>
          <w:rtl/>
        </w:rPr>
        <w:t>1</w:t>
      </w:r>
      <w:r w:rsidR="005F70DF" w:rsidRPr="0035575A">
        <w:rPr>
          <w:rtl/>
        </w:rPr>
        <w:t>6</w:t>
      </w:r>
      <w:r w:rsidR="005F70DF" w:rsidRPr="005F70DF">
        <w:rPr>
          <w:rtl/>
        </w:rPr>
        <w:t>).</w:t>
      </w:r>
    </w:p>
    <w:p w14:paraId="0238651D" w14:textId="0CC6607F" w:rsidR="00E8660E" w:rsidRPr="0035575A" w:rsidRDefault="00E8660E" w:rsidP="00E8660E">
      <w:pPr>
        <w:pStyle w:val="SingleTxtGA"/>
        <w:rPr>
          <w:bCs/>
          <w:lang w:eastAsia="zh-TW" w:bidi="en-GB"/>
        </w:rPr>
      </w:pPr>
      <w:r w:rsidRPr="0035575A">
        <w:rPr>
          <w:rtl/>
        </w:rPr>
        <w:t>32</w:t>
      </w:r>
      <w:r w:rsidRPr="00F60D22">
        <w:rPr>
          <w:rtl/>
        </w:rPr>
        <w:t>-</w:t>
      </w:r>
      <w:r w:rsidRPr="00F60D22">
        <w:rPr>
          <w:rtl/>
        </w:rPr>
        <w:tab/>
      </w:r>
      <w:r w:rsidRPr="0035575A">
        <w:rPr>
          <w:bCs/>
          <w:rtl/>
        </w:rPr>
        <w:t>ينبغي أن تفعل الدولة الطرف ما يلي:</w:t>
      </w:r>
    </w:p>
    <w:p w14:paraId="488BB1EC" w14:textId="77777777" w:rsidR="00E8660E" w:rsidRPr="0035575A" w:rsidRDefault="00E8660E" w:rsidP="00E8660E">
      <w:pPr>
        <w:pStyle w:val="SingleTxtGA"/>
        <w:rPr>
          <w:bCs/>
          <w:lang w:val="ar-SA" w:eastAsia="zh-TW" w:bidi="en-GB"/>
        </w:rPr>
      </w:pPr>
      <w:r>
        <w:rPr>
          <w:rtl/>
        </w:rPr>
        <w:tab/>
      </w:r>
      <w:r w:rsidRPr="00F60D22">
        <w:rPr>
          <w:rtl/>
        </w:rPr>
        <w:t>(أ)</w:t>
      </w:r>
      <w:r w:rsidRPr="00F60D22">
        <w:rPr>
          <w:rtl/>
        </w:rPr>
        <w:tab/>
      </w:r>
      <w:r w:rsidRPr="0035575A">
        <w:rPr>
          <w:bCs/>
          <w:rtl/>
        </w:rPr>
        <w:t>تقديم الدعم للأشخاص ذوي الإعاقة، بما في ذلك المعلومات بصيغ ميسرة، لتمكينهم من إعطاء موافقة حرة ومستنيرة بخصوص العلاج الطبي والتجارب العلمية؛</w:t>
      </w:r>
    </w:p>
    <w:p w14:paraId="323580E8" w14:textId="2BCB0E85" w:rsidR="00E8660E" w:rsidRPr="0035575A" w:rsidRDefault="00E8660E" w:rsidP="00E8660E">
      <w:pPr>
        <w:pStyle w:val="SingleTxtGA"/>
        <w:rPr>
          <w:bCs/>
          <w:lang w:val="ar-SA" w:eastAsia="zh-TW" w:bidi="en-GB"/>
        </w:rPr>
      </w:pPr>
      <w:r>
        <w:rPr>
          <w:rtl/>
        </w:rPr>
        <w:tab/>
      </w:r>
      <w:r w:rsidRPr="00F60D22">
        <w:rPr>
          <w:rtl/>
        </w:rPr>
        <w:t>(ب)</w:t>
      </w:r>
      <w:r w:rsidRPr="00F60D22">
        <w:rPr>
          <w:rtl/>
        </w:rPr>
        <w:tab/>
      </w:r>
      <w:r w:rsidRPr="0035575A">
        <w:rPr>
          <w:bCs/>
          <w:rtl/>
        </w:rPr>
        <w:t>تدريب جميع المهنيين العاملين في القطاع الصحي على حقوق الأشخاص ذوي الإعاقة، وتحديد</w:t>
      </w:r>
      <w:r w:rsidR="00696EA1" w:rsidRPr="0035575A">
        <w:rPr>
          <w:bCs/>
          <w:rtl/>
        </w:rPr>
        <w:t xml:space="preserve">اً </w:t>
      </w:r>
      <w:r w:rsidRPr="0035575A">
        <w:rPr>
          <w:bCs/>
          <w:rtl/>
        </w:rPr>
        <w:t>الحق في الموافقة الحرة والمستنيرة؛</w:t>
      </w:r>
    </w:p>
    <w:p w14:paraId="499F0A6A" w14:textId="77777777" w:rsidR="00E8660E" w:rsidRPr="0035575A" w:rsidRDefault="00E8660E" w:rsidP="00E8660E">
      <w:pPr>
        <w:pStyle w:val="SingleTxtGA"/>
        <w:rPr>
          <w:bCs/>
          <w:lang w:val="ar-SA" w:eastAsia="zh-TW" w:bidi="en-GB"/>
        </w:rPr>
      </w:pPr>
      <w:r>
        <w:rPr>
          <w:rtl/>
        </w:rPr>
        <w:lastRenderedPageBreak/>
        <w:tab/>
      </w:r>
      <w:r w:rsidRPr="00F60D22">
        <w:rPr>
          <w:rtl/>
        </w:rPr>
        <w:t>(ج)</w:t>
      </w:r>
      <w:r w:rsidRPr="00F60D22">
        <w:rPr>
          <w:rtl/>
        </w:rPr>
        <w:tab/>
      </w:r>
      <w:r w:rsidRPr="0035575A">
        <w:rPr>
          <w:bCs/>
          <w:rtl/>
        </w:rPr>
        <w:t>ضمان عدم استخدام المثبّطات والقوة إلا في إطار القانون وتحت الإشراف المناسب ولأقصر وقت ممكن، وأن ينحصر استخدامهما فيما تقتضيه الضرورة والتناسب؛</w:t>
      </w:r>
    </w:p>
    <w:p w14:paraId="755F5EF1" w14:textId="6BE48A2D" w:rsidR="00E8660E" w:rsidRPr="0035575A" w:rsidRDefault="00E8660E" w:rsidP="00E8660E">
      <w:pPr>
        <w:pStyle w:val="SingleTxtGA"/>
        <w:rPr>
          <w:bCs/>
          <w:lang w:eastAsia="zh-TW" w:bidi="en-GB"/>
        </w:rPr>
      </w:pPr>
      <w:r>
        <w:rPr>
          <w:rtl/>
        </w:rPr>
        <w:tab/>
      </w:r>
      <w:r w:rsidRPr="00F60D22">
        <w:rPr>
          <w:rtl/>
        </w:rPr>
        <w:t>(د)</w:t>
      </w:r>
      <w:r w:rsidRPr="00F60D22">
        <w:rPr>
          <w:rtl/>
        </w:rPr>
        <w:tab/>
      </w:r>
      <w:r w:rsidRPr="0035575A">
        <w:rPr>
          <w:bCs/>
          <w:rtl/>
        </w:rPr>
        <w:t>التمكين من رصد مشافي الأمراض النفسية رصد</w:t>
      </w:r>
      <w:r w:rsidR="00696EA1" w:rsidRPr="0035575A">
        <w:rPr>
          <w:bCs/>
          <w:rtl/>
        </w:rPr>
        <w:t xml:space="preserve">اً </w:t>
      </w:r>
      <w:r w:rsidRPr="0035575A">
        <w:rPr>
          <w:bCs/>
          <w:rtl/>
        </w:rPr>
        <w:t>كافي</w:t>
      </w:r>
      <w:r w:rsidR="00696EA1" w:rsidRPr="0035575A">
        <w:rPr>
          <w:bCs/>
          <w:rtl/>
        </w:rPr>
        <w:t xml:space="preserve">اً </w:t>
      </w:r>
      <w:r w:rsidRPr="0035575A">
        <w:rPr>
          <w:bCs/>
          <w:rtl/>
        </w:rPr>
        <w:t xml:space="preserve">وتوفير ضمانات فعالة لمنع أي سوء معاملة في هذه المرافق. </w:t>
      </w:r>
    </w:p>
    <w:p w14:paraId="66CA4CF8" w14:textId="77777777" w:rsidR="00E8660E" w:rsidRPr="0035575A" w:rsidRDefault="00E8660E" w:rsidP="009563BC">
      <w:pPr>
        <w:pStyle w:val="H23GA"/>
        <w:rPr>
          <w:lang w:val="ar-SA" w:eastAsia="zh-TW" w:bidi="en-GB"/>
        </w:rPr>
      </w:pPr>
      <w:r w:rsidRPr="0035575A">
        <w:rPr>
          <w:rtl/>
        </w:rPr>
        <w:tab/>
      </w:r>
      <w:r w:rsidRPr="0035575A">
        <w:rPr>
          <w:rtl/>
        </w:rPr>
        <w:tab/>
        <w:t>عقوبة الإعدام</w:t>
      </w:r>
    </w:p>
    <w:p w14:paraId="6C78BC83" w14:textId="27137F12" w:rsidR="005F70DF" w:rsidRPr="005F70DF" w:rsidRDefault="00E8660E" w:rsidP="00E8660E">
      <w:pPr>
        <w:pStyle w:val="SingleTxtGA"/>
        <w:rPr>
          <w:lang w:eastAsia="zh-TW" w:bidi="en-GB"/>
        </w:rPr>
      </w:pPr>
      <w:r w:rsidRPr="0035575A">
        <w:rPr>
          <w:rtl/>
        </w:rPr>
        <w:t>33</w:t>
      </w:r>
      <w:r w:rsidRPr="00F60D22">
        <w:rPr>
          <w:rtl/>
        </w:rPr>
        <w:t>-</w:t>
      </w:r>
      <w:r w:rsidRPr="00F60D22">
        <w:rPr>
          <w:rtl/>
        </w:rPr>
        <w:tab/>
        <w:t xml:space="preserve">تلاحظ اللجنة وقف الدولة الطرف الاختياري بحكم الواقع عقوبةَ الإعدام؛ فهي لم تنفذ أي عمليات إعدام منذ عام </w:t>
      </w:r>
      <w:r w:rsidRPr="0035575A">
        <w:rPr>
          <w:rtl/>
        </w:rPr>
        <w:t>1987</w:t>
      </w:r>
      <w:r w:rsidRPr="00F60D22">
        <w:rPr>
          <w:rtl/>
        </w:rPr>
        <w:t>، لكن</w:t>
      </w:r>
      <w:r>
        <w:rPr>
          <w:rtl/>
        </w:rPr>
        <w:t xml:space="preserve"> اللجنة</w:t>
      </w:r>
      <w:r w:rsidRPr="00F60D22">
        <w:rPr>
          <w:rtl/>
        </w:rPr>
        <w:t xml:space="preserve"> لا تزال تشعر بالقلق لأن الأحكام</w:t>
      </w:r>
      <w:r>
        <w:rPr>
          <w:rtl/>
        </w:rPr>
        <w:t xml:space="preserve"> بالإعدام</w:t>
      </w:r>
      <w:r w:rsidRPr="00F60D22">
        <w:rPr>
          <w:rtl/>
        </w:rPr>
        <w:t xml:space="preserve"> لا تزال تصدر، بما</w:t>
      </w:r>
      <w:r w:rsidR="00696EA1">
        <w:rPr>
          <w:rFonts w:hint="cs"/>
          <w:rtl/>
        </w:rPr>
        <w:t> </w:t>
      </w:r>
      <w:r w:rsidRPr="00F60D22">
        <w:rPr>
          <w:rtl/>
        </w:rPr>
        <w:t xml:space="preserve">فيها الأحكام الصادرة في جرائم أقل خطورة نسبيا ولأن السجناء في قسم المحكوم عليهم بالإعدام يعيشون ظروف احتجاز قد تبلغ في حد ذاتها مستوى سوء المعاملة. وترحب اللجنة بالخطوات التي خَطَتها الدولة الطرف لتنفيذ الحكم الذي أصدرته المحكمة العليا في عام </w:t>
      </w:r>
      <w:r w:rsidRPr="0035575A">
        <w:rPr>
          <w:rtl/>
        </w:rPr>
        <w:t>2017</w:t>
      </w:r>
      <w:r w:rsidRPr="00F60D22">
        <w:rPr>
          <w:rtl/>
        </w:rPr>
        <w:t xml:space="preserve"> في قضية </w:t>
      </w:r>
      <w:r w:rsidRPr="0035575A">
        <w:rPr>
          <w:i/>
          <w:iCs/>
          <w:rtl/>
        </w:rPr>
        <w:t>فرانسيس كاريوكو مورواتو وشخص آخر ضد جمهورية كينيا وخمس جهات أخرى</w:t>
      </w:r>
      <w:r>
        <w:rPr>
          <w:rtl/>
        </w:rPr>
        <w:t>، والذي خلص إلى أن الاستخدام</w:t>
      </w:r>
      <w:r w:rsidRPr="00F60D22">
        <w:rPr>
          <w:rtl/>
        </w:rPr>
        <w:t xml:space="preserve"> الإلزامي</w:t>
      </w:r>
      <w:r w:rsidR="001C35E3">
        <w:rPr>
          <w:rtl/>
        </w:rPr>
        <w:t xml:space="preserve"> </w:t>
      </w:r>
      <w:r>
        <w:rPr>
          <w:rtl/>
        </w:rPr>
        <w:t xml:space="preserve">لعقوبة </w:t>
      </w:r>
      <w:r w:rsidRPr="00F60D22">
        <w:rPr>
          <w:rtl/>
        </w:rPr>
        <w:t xml:space="preserve">الإعدام في جرائم القتل على النحو المبين في المادة </w:t>
      </w:r>
      <w:r w:rsidRPr="0035575A">
        <w:rPr>
          <w:rtl/>
        </w:rPr>
        <w:t>204</w:t>
      </w:r>
      <w:r w:rsidRPr="00F60D22">
        <w:rPr>
          <w:rtl/>
        </w:rPr>
        <w:t xml:space="preserve"> من قانون العقوبات </w:t>
      </w:r>
      <w:r>
        <w:rPr>
          <w:rtl/>
        </w:rPr>
        <w:t xml:space="preserve">هو حكم </w:t>
      </w:r>
      <w:r w:rsidRPr="00F60D22">
        <w:rPr>
          <w:rtl/>
        </w:rPr>
        <w:t>غير دستوري</w:t>
      </w:r>
      <w:r>
        <w:rPr>
          <w:rtl/>
        </w:rPr>
        <w:t>.</w:t>
      </w:r>
      <w:r w:rsidRPr="00F60D22">
        <w:rPr>
          <w:rtl/>
        </w:rPr>
        <w:t xml:space="preserve"> </w:t>
      </w:r>
      <w:r>
        <w:rPr>
          <w:rtl/>
        </w:rPr>
        <w:t>ومع ذلك،</w:t>
      </w:r>
      <w:r w:rsidRPr="00F60D22">
        <w:rPr>
          <w:rtl/>
        </w:rPr>
        <w:t xml:space="preserve"> تشعر</w:t>
      </w:r>
      <w:r>
        <w:rPr>
          <w:rtl/>
        </w:rPr>
        <w:t xml:space="preserve"> اللجنة</w:t>
      </w:r>
      <w:r w:rsidRPr="00F60D22">
        <w:rPr>
          <w:rtl/>
        </w:rPr>
        <w:t xml:space="preserve"> بالقلق </w:t>
      </w:r>
      <w:r>
        <w:rPr>
          <w:rtl/>
        </w:rPr>
        <w:t>بشأن</w:t>
      </w:r>
      <w:r w:rsidRPr="00F60D22">
        <w:rPr>
          <w:rtl/>
        </w:rPr>
        <w:t xml:space="preserve"> تفسير هذا </w:t>
      </w:r>
      <w:r>
        <w:rPr>
          <w:rtl/>
        </w:rPr>
        <w:t>الاستخدام</w:t>
      </w:r>
      <w:r w:rsidRPr="00F60D22">
        <w:rPr>
          <w:rtl/>
        </w:rPr>
        <w:t xml:space="preserve"> الإلزامي</w:t>
      </w:r>
      <w:r>
        <w:rPr>
          <w:rtl/>
        </w:rPr>
        <w:t xml:space="preserve"> لعقوبة </w:t>
      </w:r>
      <w:r w:rsidRPr="00F60D22">
        <w:rPr>
          <w:rtl/>
        </w:rPr>
        <w:t>الإعدام في جرائم أخرى على أنه غير مشمول بذلك القرار</w:t>
      </w:r>
      <w:r>
        <w:rPr>
          <w:rtl/>
        </w:rPr>
        <w:t xml:space="preserve"> وبشأن</w:t>
      </w:r>
      <w:r w:rsidRPr="00F60D22">
        <w:rPr>
          <w:rtl/>
        </w:rPr>
        <w:t xml:space="preserve"> الافتقار إلى المعلومات </w:t>
      </w:r>
      <w:r>
        <w:rPr>
          <w:rtl/>
        </w:rPr>
        <w:t>عن</w:t>
      </w:r>
      <w:r w:rsidRPr="00F60D22">
        <w:rPr>
          <w:rtl/>
        </w:rPr>
        <w:t xml:space="preserve"> الموعد الذي من المرجح أن تنتهي فيه عملية الإصلاح القانوني </w:t>
      </w:r>
      <w:r>
        <w:rPr>
          <w:rtl/>
        </w:rPr>
        <w:t>لإقرار</w:t>
      </w:r>
      <w:r w:rsidRPr="00F60D22">
        <w:rPr>
          <w:rtl/>
        </w:rPr>
        <w:t xml:space="preserve"> ذلك الحكم الذي أصدرته المحكمة العليا وإعادة إصدار الأحكام على السجناء الم</w:t>
      </w:r>
      <w:r>
        <w:rPr>
          <w:rtl/>
        </w:rPr>
        <w:t>عنيين</w:t>
      </w:r>
      <w:r w:rsidRPr="00F60D22">
        <w:rPr>
          <w:rtl/>
        </w:rPr>
        <w:t xml:space="preserve"> في قسم المحكوم عليهم بالإعدام. ويساورها القلق أيض</w:t>
      </w:r>
      <w:r w:rsidR="00696EA1">
        <w:rPr>
          <w:rtl/>
        </w:rPr>
        <w:t xml:space="preserve">اً </w:t>
      </w:r>
      <w:r w:rsidRPr="00F60D22">
        <w:rPr>
          <w:rtl/>
        </w:rPr>
        <w:t>لكون الدولة الطرف لم تَخْط بعد خطوات ملموسة لتنفيذ توصية فرقة العمل المعنية بتنفيذ حكم المحكمة العليا بشأن عقوبة الإعدام</w:t>
      </w:r>
      <w:r>
        <w:rPr>
          <w:rtl/>
        </w:rPr>
        <w:t>،</w:t>
      </w:r>
      <w:r w:rsidRPr="00F60D22">
        <w:rPr>
          <w:rtl/>
        </w:rPr>
        <w:t xml:space="preserve"> </w:t>
      </w:r>
      <w:r>
        <w:rPr>
          <w:rtl/>
        </w:rPr>
        <w:t xml:space="preserve">التي تدعو إلى </w:t>
      </w:r>
      <w:r w:rsidRPr="00F60D22">
        <w:rPr>
          <w:rtl/>
        </w:rPr>
        <w:t xml:space="preserve">إلغاء عقوبة الإعدام (المواد </w:t>
      </w:r>
      <w:r w:rsidRPr="0035575A">
        <w:rPr>
          <w:rtl/>
        </w:rPr>
        <w:t>2</w:t>
      </w:r>
      <w:r w:rsidRPr="00F60D22">
        <w:rPr>
          <w:rtl/>
        </w:rPr>
        <w:t xml:space="preserve"> و</w:t>
      </w:r>
      <w:r w:rsidRPr="0035575A">
        <w:rPr>
          <w:rtl/>
        </w:rPr>
        <w:t>11</w:t>
      </w:r>
      <w:r w:rsidRPr="00F60D22">
        <w:rPr>
          <w:rtl/>
        </w:rPr>
        <w:t xml:space="preserve"> و</w:t>
      </w:r>
      <w:r w:rsidRPr="0035575A">
        <w:rPr>
          <w:rtl/>
        </w:rPr>
        <w:t>1</w:t>
      </w:r>
      <w:r w:rsidR="005F70DF" w:rsidRPr="0035575A">
        <w:rPr>
          <w:rtl/>
        </w:rPr>
        <w:t>6</w:t>
      </w:r>
      <w:r w:rsidR="005F70DF" w:rsidRPr="005F70DF">
        <w:rPr>
          <w:rtl/>
        </w:rPr>
        <w:t>).</w:t>
      </w:r>
    </w:p>
    <w:p w14:paraId="2C82DCB4" w14:textId="6EE4EE9D" w:rsidR="00E8660E" w:rsidRPr="0035575A" w:rsidRDefault="00E8660E" w:rsidP="00E8660E">
      <w:pPr>
        <w:pStyle w:val="SingleTxtGA"/>
        <w:rPr>
          <w:bCs/>
          <w:lang w:val="ar-SA" w:eastAsia="zh-TW" w:bidi="en-GB"/>
        </w:rPr>
      </w:pPr>
      <w:r w:rsidRPr="0035575A">
        <w:rPr>
          <w:rtl/>
        </w:rPr>
        <w:t>34</w:t>
      </w:r>
      <w:r w:rsidRPr="00F60D22">
        <w:rPr>
          <w:rtl/>
        </w:rPr>
        <w:t>-</w:t>
      </w:r>
      <w:r w:rsidRPr="00F60D22">
        <w:rPr>
          <w:rtl/>
        </w:rPr>
        <w:tab/>
      </w:r>
      <w:r w:rsidRPr="0035575A">
        <w:rPr>
          <w:bCs/>
          <w:rtl/>
        </w:rPr>
        <w:t>ينبغي أن تفعل الدولة الطرف ما يلي:</w:t>
      </w:r>
    </w:p>
    <w:p w14:paraId="3359B33E" w14:textId="77777777" w:rsidR="00E8660E" w:rsidRPr="0035575A" w:rsidRDefault="00E8660E" w:rsidP="00E8660E">
      <w:pPr>
        <w:pStyle w:val="SingleTxtGA"/>
        <w:rPr>
          <w:bCs/>
          <w:lang w:val="ar-SA" w:eastAsia="zh-TW" w:bidi="en-GB"/>
        </w:rPr>
      </w:pPr>
      <w:r>
        <w:rPr>
          <w:rtl/>
        </w:rPr>
        <w:tab/>
      </w:r>
      <w:r w:rsidRPr="00F60D22">
        <w:rPr>
          <w:rtl/>
        </w:rPr>
        <w:t>(أ)</w:t>
      </w:r>
      <w:r w:rsidRPr="00F60D22">
        <w:rPr>
          <w:rtl/>
        </w:rPr>
        <w:tab/>
      </w:r>
      <w:r w:rsidRPr="0035575A">
        <w:rPr>
          <w:bCs/>
          <w:rtl/>
        </w:rPr>
        <w:t xml:space="preserve">تسريع عملية تعديل المادة 204 من قانون العقوبات وإعادة الحكم على السجناء المعنيين المحكوم عليهم بالإعدام وفق الحكم الذي أصدرته المحكمة العليا في عام 2017 في قضية </w:t>
      </w:r>
      <w:r w:rsidRPr="0035575A">
        <w:rPr>
          <w:bCs/>
          <w:i/>
          <w:iCs/>
          <w:rtl/>
        </w:rPr>
        <w:t>فرانسيس كاريوكو مورواتو وشخص آخر ضد جمهورية كينيا وخمس جهات أخرى</w:t>
      </w:r>
      <w:r w:rsidRPr="0035575A">
        <w:rPr>
          <w:bCs/>
          <w:rtl/>
        </w:rPr>
        <w:t>، والنظر في اتخاذ إجراءات لتوسيع نطاق الحظر المفروض على استخدام عقوبة الإعدام الإلزامية ليشمل جميع الجرائم، وليس القتل فحسب؛</w:t>
      </w:r>
    </w:p>
    <w:p w14:paraId="133E20CD" w14:textId="77777777" w:rsidR="00E8660E" w:rsidRPr="0035575A" w:rsidRDefault="00E8660E" w:rsidP="00E8660E">
      <w:pPr>
        <w:pStyle w:val="SingleTxtGA"/>
        <w:rPr>
          <w:bCs/>
          <w:lang w:val="en-US" w:eastAsia="zh-TW" w:bidi="en-GB"/>
        </w:rPr>
      </w:pPr>
      <w:r w:rsidRPr="0035575A">
        <w:rPr>
          <w:b/>
          <w:rtl/>
        </w:rPr>
        <w:tab/>
        <w:t>(</w:t>
      </w:r>
      <w:r w:rsidRPr="00F60D22">
        <w:rPr>
          <w:rtl/>
        </w:rPr>
        <w:t>ب)</w:t>
      </w:r>
      <w:r w:rsidRPr="00F60D22">
        <w:rPr>
          <w:rtl/>
        </w:rPr>
        <w:tab/>
      </w:r>
      <w:r w:rsidRPr="0035575A">
        <w:rPr>
          <w:bCs/>
          <w:rtl/>
        </w:rPr>
        <w:t>النظر في إمكانية مراجعة سياستها بهدف إلغاء عقوبة الإعدام في القانون أو اتخاذ إجراءات إيجابية لإضفاء الطابع الرسمي على الوقف الاختياري لعقوبة الإعدام؛</w:t>
      </w:r>
    </w:p>
    <w:p w14:paraId="517D12B1" w14:textId="5DA2B5FF" w:rsidR="00E8660E" w:rsidRPr="0035575A" w:rsidRDefault="00E8660E" w:rsidP="00E8660E">
      <w:pPr>
        <w:pStyle w:val="SingleTxtGA"/>
        <w:rPr>
          <w:bCs/>
          <w:lang w:eastAsia="zh-TW" w:bidi="en-GB"/>
        </w:rPr>
      </w:pPr>
      <w:r w:rsidRPr="0035575A">
        <w:rPr>
          <w:b/>
          <w:rtl/>
        </w:rPr>
        <w:tab/>
        <w:t>(</w:t>
      </w:r>
      <w:r w:rsidRPr="00F60D22">
        <w:rPr>
          <w:rtl/>
        </w:rPr>
        <w:t>ج)</w:t>
      </w:r>
      <w:r w:rsidRPr="00F60D22">
        <w:rPr>
          <w:rtl/>
        </w:rPr>
        <w:tab/>
      </w:r>
      <w:r w:rsidRPr="0035575A">
        <w:rPr>
          <w:bCs/>
          <w:rtl/>
        </w:rPr>
        <w:t>التأكد من ألا تشكل ظروف احتجاز السجناء المدانين عقوبة أو معاملة قاسية أو</w:t>
      </w:r>
      <w:r w:rsidR="009563BC" w:rsidRPr="0035575A">
        <w:rPr>
          <w:rFonts w:hint="cs"/>
          <w:bCs/>
          <w:rtl/>
        </w:rPr>
        <w:t> </w:t>
      </w:r>
      <w:r w:rsidRPr="0035575A">
        <w:rPr>
          <w:bCs/>
          <w:rtl/>
        </w:rPr>
        <w:t>لا</w:t>
      </w:r>
      <w:r w:rsidR="009563BC" w:rsidRPr="0035575A">
        <w:rPr>
          <w:rFonts w:hint="cs"/>
          <w:bCs/>
          <w:rtl/>
        </w:rPr>
        <w:t> </w:t>
      </w:r>
      <w:r w:rsidRPr="0035575A">
        <w:rPr>
          <w:bCs/>
          <w:rtl/>
        </w:rPr>
        <w:t>إنسانية أو مهينة، وذلك باتخاذ إجراءات فورية لتدعيم الضمانات القانونية والتمكين من الحصول على المعونة القضائية المجانية؛</w:t>
      </w:r>
    </w:p>
    <w:p w14:paraId="4642EF4F" w14:textId="77777777" w:rsidR="00E8660E" w:rsidRPr="0035575A" w:rsidRDefault="00E8660E" w:rsidP="00E8660E">
      <w:pPr>
        <w:pStyle w:val="SingleTxtGA"/>
        <w:rPr>
          <w:bCs/>
          <w:lang w:val="ar-SA" w:eastAsia="zh-TW" w:bidi="en-GB"/>
        </w:rPr>
      </w:pPr>
      <w:r w:rsidRPr="0035575A">
        <w:rPr>
          <w:b/>
          <w:rtl/>
        </w:rPr>
        <w:tab/>
        <w:t>(</w:t>
      </w:r>
      <w:r w:rsidRPr="00F60D22">
        <w:rPr>
          <w:rtl/>
        </w:rPr>
        <w:t>د)</w:t>
      </w:r>
      <w:r w:rsidRPr="00F60D22">
        <w:rPr>
          <w:rtl/>
        </w:rPr>
        <w:tab/>
      </w:r>
      <w:r w:rsidRPr="0035575A">
        <w:rPr>
          <w:bCs/>
          <w:rtl/>
        </w:rPr>
        <w:t>إمداد اللجنة، في تقريرها الدوري المقبل، بمعلومات عن العدد الدقيق لأحكام الإعدام الصادرة، والمحاكم المسؤولة عن إصدارها، والجرائم التي صدرت بشأنها هذه الأحكام.</w:t>
      </w:r>
    </w:p>
    <w:p w14:paraId="10E38FD4" w14:textId="77777777" w:rsidR="00E8660E" w:rsidRPr="0035575A" w:rsidRDefault="00E8660E" w:rsidP="009563BC">
      <w:pPr>
        <w:pStyle w:val="H23GA"/>
        <w:rPr>
          <w:lang w:eastAsia="zh-TW" w:bidi="en-GB"/>
        </w:rPr>
      </w:pPr>
      <w:r w:rsidRPr="0035575A">
        <w:rPr>
          <w:rtl/>
        </w:rPr>
        <w:tab/>
      </w:r>
      <w:r w:rsidRPr="0035575A">
        <w:rPr>
          <w:rtl/>
        </w:rPr>
        <w:tab/>
        <w:t>الإعدامات الغوغائية</w:t>
      </w:r>
    </w:p>
    <w:p w14:paraId="312BCFF4" w14:textId="6A0F0406" w:rsidR="005F70DF" w:rsidRPr="005F70DF" w:rsidRDefault="00E8660E" w:rsidP="00E8660E">
      <w:pPr>
        <w:pStyle w:val="SingleTxtGA"/>
        <w:rPr>
          <w:rStyle w:val="FootnoteReference"/>
          <w:rFonts w:ascii="Simplified Arabic" w:hAnsi="Simplified Arabic"/>
          <w:szCs w:val="22"/>
          <w:lang w:eastAsia="zh-TW" w:bidi="en-GB"/>
        </w:rPr>
      </w:pPr>
      <w:r w:rsidRPr="0035575A">
        <w:rPr>
          <w:rtl/>
        </w:rPr>
        <w:t>35</w:t>
      </w:r>
      <w:r w:rsidRPr="00F60D22">
        <w:rPr>
          <w:rtl/>
        </w:rPr>
        <w:t>-</w:t>
      </w:r>
      <w:r w:rsidRPr="00F60D22">
        <w:rPr>
          <w:rtl/>
        </w:rPr>
        <w:tab/>
        <w:t xml:space="preserve">تكرر اللجنة الإعراب عن قلقها إزاء التقارير التي تفيد بوقوع إعدامات غوغائية، ولا سيما حالات إعدام مسنّات متهمات بممارسة السحر وإزاء الادعاءات القائلة بأنه لم يحقَّق بفعالية في هذه الأفعال </w:t>
      </w:r>
      <w:r w:rsidRPr="00C07444">
        <w:rPr>
          <w:rtl/>
        </w:rPr>
        <w:lastRenderedPageBreak/>
        <w:t>ولم</w:t>
      </w:r>
      <w:r w:rsidR="00840574" w:rsidRPr="00C07444">
        <w:rPr>
          <w:rFonts w:hint="cs"/>
          <w:rtl/>
        </w:rPr>
        <w:t> </w:t>
      </w:r>
      <w:r w:rsidRPr="00C07444">
        <w:rPr>
          <w:rtl/>
        </w:rPr>
        <w:t xml:space="preserve">يُقاض مرتكبوها ولم يعاقبوا، حتى في الحالات التي تتوفر بشأنها أدلة بالفيديو على الإعدامات الغوغائية (المادتان </w:t>
      </w:r>
      <w:r w:rsidRPr="0035575A">
        <w:rPr>
          <w:rtl/>
        </w:rPr>
        <w:t>2</w:t>
      </w:r>
      <w:r w:rsidRPr="00C07444">
        <w:rPr>
          <w:rtl/>
        </w:rPr>
        <w:t xml:space="preserve"> و</w:t>
      </w:r>
      <w:r w:rsidRPr="0035575A">
        <w:rPr>
          <w:rtl/>
        </w:rPr>
        <w:t>12</w:t>
      </w:r>
      <w:r w:rsidRPr="00C07444">
        <w:rPr>
          <w:rtl/>
        </w:rPr>
        <w:t>)</w:t>
      </w:r>
      <w:r w:rsidR="005F70DF" w:rsidRPr="00975757">
        <w:rPr>
          <w:rStyle w:val="FootnoteReference"/>
          <w:rFonts w:ascii="Simplified Arabic" w:hAnsi="Simplified Arabic"/>
          <w:szCs w:val="22"/>
          <w:rtl/>
        </w:rPr>
        <w:t>(</w:t>
      </w:r>
      <w:r w:rsidR="005F70DF" w:rsidRPr="0035575A">
        <w:rPr>
          <w:rStyle w:val="FootnoteReference"/>
          <w:rFonts w:ascii="Simplified Arabic" w:hAnsi="Simplified Arabic"/>
          <w:szCs w:val="22"/>
          <w:lang w:val="en-US"/>
        </w:rPr>
        <w:footnoteReference w:id="7"/>
      </w:r>
      <w:r w:rsidR="005F70DF" w:rsidRPr="005F70DF">
        <w:rPr>
          <w:rStyle w:val="FootnoteReference"/>
          <w:rFonts w:ascii="Simplified Arabic" w:hAnsi="Simplified Arabic"/>
          <w:szCs w:val="22"/>
          <w:rtl/>
        </w:rPr>
        <w:t>)</w:t>
      </w:r>
      <w:r w:rsidR="005F70DF" w:rsidRPr="005F70DF">
        <w:rPr>
          <w:rtl/>
        </w:rPr>
        <w:t>.</w:t>
      </w:r>
    </w:p>
    <w:p w14:paraId="0BA58C4C" w14:textId="0C8858CF" w:rsidR="00E8660E" w:rsidRPr="0035575A" w:rsidRDefault="00E8660E" w:rsidP="00E8660E">
      <w:pPr>
        <w:pStyle w:val="SingleTxtGA"/>
        <w:rPr>
          <w:bCs/>
          <w:lang w:val="ar-SA" w:eastAsia="zh-TW" w:bidi="en-GB"/>
        </w:rPr>
      </w:pPr>
      <w:r w:rsidRPr="0035575A">
        <w:rPr>
          <w:rtl/>
        </w:rPr>
        <w:t>36</w:t>
      </w:r>
      <w:r w:rsidRPr="00F60D22">
        <w:rPr>
          <w:rtl/>
        </w:rPr>
        <w:t>-</w:t>
      </w:r>
      <w:r w:rsidRPr="00F60D22">
        <w:rPr>
          <w:rtl/>
        </w:rPr>
        <w:tab/>
      </w:r>
      <w:r w:rsidRPr="0035575A">
        <w:rPr>
          <w:bCs/>
          <w:rtl/>
        </w:rPr>
        <w:t>تكرر اللجنة توصيتها بتعديل قانون السحر (192</w:t>
      </w:r>
      <w:r w:rsidR="005F70DF" w:rsidRPr="0035575A">
        <w:rPr>
          <w:bCs/>
          <w:rtl/>
        </w:rPr>
        <w:t xml:space="preserve">5) </w:t>
      </w:r>
      <w:r w:rsidRPr="0035575A">
        <w:rPr>
          <w:bCs/>
          <w:rtl/>
        </w:rPr>
        <w:t>لمواءمته مع الدستور والمعايير الدولية لحقوق الإنسان قصد منع ممارسة الإعدام الغوغائي ومكافحتها. وينبغي أن تحقق الدولة الطرف مع مرتكبي هذه الأفعال وأن تقاضيهم وتعاقبهم وفق الأصول، لتحقيق أمن جميع الناس وسلامتهم</w:t>
      </w:r>
      <w:r w:rsidR="005F70DF" w:rsidRPr="0035575A">
        <w:rPr>
          <w:rStyle w:val="FootnoteReference"/>
          <w:rFonts w:ascii="Simplified Arabic" w:hAnsi="Simplified Arabic"/>
          <w:b/>
          <w:szCs w:val="22"/>
          <w:rtl/>
        </w:rPr>
        <w:t>(</w:t>
      </w:r>
      <w:r w:rsidR="005F70DF" w:rsidRPr="0035575A">
        <w:rPr>
          <w:rStyle w:val="FootnoteReference"/>
          <w:rFonts w:ascii="Simplified Arabic" w:hAnsi="Simplified Arabic"/>
          <w:b/>
          <w:szCs w:val="22"/>
          <w:lang w:val="en-US"/>
        </w:rPr>
        <w:footnoteReference w:id="8"/>
      </w:r>
      <w:r w:rsidR="005F70DF" w:rsidRPr="0035575A">
        <w:rPr>
          <w:rStyle w:val="FootnoteReference"/>
          <w:rFonts w:ascii="Simplified Arabic" w:hAnsi="Simplified Arabic"/>
          <w:b/>
          <w:szCs w:val="22"/>
          <w:rtl/>
        </w:rPr>
        <w:t>)</w:t>
      </w:r>
      <w:r w:rsidR="005F70DF" w:rsidRPr="0035575A">
        <w:rPr>
          <w:bCs/>
          <w:rtl/>
        </w:rPr>
        <w:t xml:space="preserve">. </w:t>
      </w:r>
      <w:r w:rsidRPr="0035575A">
        <w:rPr>
          <w:bCs/>
          <w:rtl/>
        </w:rPr>
        <w:t>وينبغي أيض</w:t>
      </w:r>
      <w:r w:rsidR="00696EA1" w:rsidRPr="0035575A">
        <w:rPr>
          <w:bCs/>
          <w:rtl/>
        </w:rPr>
        <w:t xml:space="preserve">اً </w:t>
      </w:r>
      <w:r w:rsidRPr="0035575A">
        <w:rPr>
          <w:bCs/>
          <w:rtl/>
        </w:rPr>
        <w:t>أن تجبر ما أصاب أُسر الضحايا من أضرار، بما في ذلك تقديم تعويض مناسب.</w:t>
      </w:r>
    </w:p>
    <w:p w14:paraId="6903FE8C" w14:textId="77777777" w:rsidR="00E8660E" w:rsidRPr="0035575A" w:rsidRDefault="00E8660E" w:rsidP="009563BC">
      <w:pPr>
        <w:pStyle w:val="H23GA"/>
        <w:rPr>
          <w:lang w:eastAsia="zh-TW" w:bidi="en-GB"/>
        </w:rPr>
      </w:pPr>
      <w:r w:rsidRPr="0035575A">
        <w:rPr>
          <w:rtl/>
        </w:rPr>
        <w:tab/>
      </w:r>
      <w:r w:rsidRPr="0035575A">
        <w:rPr>
          <w:rtl/>
        </w:rPr>
        <w:tab/>
        <w:t>العنف الجنسي والجنساني</w:t>
      </w:r>
    </w:p>
    <w:p w14:paraId="594930E0" w14:textId="77777777" w:rsidR="00E8660E" w:rsidRPr="00F60D22" w:rsidRDefault="00E8660E" w:rsidP="00E8660E">
      <w:pPr>
        <w:pStyle w:val="SingleTxtGA"/>
        <w:rPr>
          <w:lang w:val="ar-SA" w:eastAsia="zh-TW" w:bidi="en-GB"/>
        </w:rPr>
      </w:pPr>
      <w:r w:rsidRPr="0035575A">
        <w:rPr>
          <w:rtl/>
        </w:rPr>
        <w:t>37</w:t>
      </w:r>
      <w:r w:rsidRPr="00F60D22">
        <w:rPr>
          <w:rtl/>
        </w:rPr>
        <w:t>-</w:t>
      </w:r>
      <w:r w:rsidRPr="00F60D22">
        <w:rPr>
          <w:rtl/>
        </w:rPr>
        <w:tab/>
        <w:t xml:space="preserve">تشعر اللجنة بالقلق </w:t>
      </w:r>
      <w:r>
        <w:rPr>
          <w:rtl/>
        </w:rPr>
        <w:t>م</w:t>
      </w:r>
      <w:r w:rsidRPr="00F60D22">
        <w:rPr>
          <w:rtl/>
        </w:rPr>
        <w:t>ما يلي:</w:t>
      </w:r>
    </w:p>
    <w:p w14:paraId="67E4F06B" w14:textId="77777777" w:rsidR="00E8660E" w:rsidRPr="00F60D22" w:rsidRDefault="00E8660E" w:rsidP="00E8660E">
      <w:pPr>
        <w:pStyle w:val="SingleTxtGA"/>
        <w:rPr>
          <w:lang w:val="ar-SA" w:eastAsia="zh-TW" w:bidi="en-GB"/>
        </w:rPr>
      </w:pPr>
      <w:r>
        <w:rPr>
          <w:rtl/>
        </w:rPr>
        <w:tab/>
      </w:r>
      <w:r w:rsidRPr="00F60D22">
        <w:rPr>
          <w:rtl/>
        </w:rPr>
        <w:t>(أ)</w:t>
      </w:r>
      <w:r w:rsidRPr="00F60D22">
        <w:rPr>
          <w:rtl/>
        </w:rPr>
        <w:tab/>
        <w:t>تفشي العنف العائلي، الذي زاد زيادة ملحوظة خلال جائحة كوفيد-</w:t>
      </w:r>
      <w:r w:rsidRPr="0035575A">
        <w:rPr>
          <w:rtl/>
        </w:rPr>
        <w:t>19</w:t>
      </w:r>
      <w:r w:rsidRPr="00F60D22">
        <w:rPr>
          <w:rtl/>
        </w:rPr>
        <w:t>، واستمرار العنف الجنسي، بما فيه الاغتصاب، في المجالين الخاص والعام؛</w:t>
      </w:r>
    </w:p>
    <w:p w14:paraId="54E81A0D" w14:textId="77777777" w:rsidR="00E8660E" w:rsidRPr="00F60D22" w:rsidRDefault="00E8660E" w:rsidP="00E8660E">
      <w:pPr>
        <w:pStyle w:val="SingleTxtGA"/>
        <w:rPr>
          <w:lang w:val="ar-SA" w:eastAsia="zh-TW" w:bidi="en-GB"/>
        </w:rPr>
      </w:pPr>
      <w:r>
        <w:rPr>
          <w:rtl/>
        </w:rPr>
        <w:tab/>
      </w:r>
      <w:r w:rsidRPr="00F60D22">
        <w:rPr>
          <w:rtl/>
        </w:rPr>
        <w:t>(ب)</w:t>
      </w:r>
      <w:r w:rsidRPr="00F60D22">
        <w:rPr>
          <w:rtl/>
        </w:rPr>
        <w:tab/>
        <w:t>مواطن الضعف في التصدي القانوني والمؤسسي، بما فيها ضعف إنفاذ قانون الحماية من العنف العائلي وعدم تجريم الاغتصاب الزوجي؛</w:t>
      </w:r>
    </w:p>
    <w:p w14:paraId="673C551D" w14:textId="0C7D9F8F" w:rsidR="00E8660E" w:rsidRPr="00314AC6" w:rsidRDefault="00E8660E" w:rsidP="00E8660E">
      <w:pPr>
        <w:pStyle w:val="SingleTxtGA"/>
        <w:rPr>
          <w:lang w:eastAsia="zh-TW" w:bidi="en-GB"/>
        </w:rPr>
      </w:pPr>
      <w:r>
        <w:rPr>
          <w:rtl/>
        </w:rPr>
        <w:tab/>
      </w:r>
      <w:r w:rsidRPr="00F60D22">
        <w:rPr>
          <w:rtl/>
        </w:rPr>
        <w:t>(ج)</w:t>
      </w:r>
      <w:r w:rsidRPr="00F60D22">
        <w:rPr>
          <w:rtl/>
        </w:rPr>
        <w:tab/>
      </w:r>
      <w:r>
        <w:rPr>
          <w:rtl/>
        </w:rPr>
        <w:t>قلة إبلاغ</w:t>
      </w:r>
      <w:r w:rsidRPr="00F60D22">
        <w:rPr>
          <w:rtl/>
        </w:rPr>
        <w:t xml:space="preserve"> الضحايا لأسباب منها فرض موظفي إنفاذ القانون والموظفين الطبيين رسوم</w:t>
      </w:r>
      <w:r w:rsidR="00696EA1">
        <w:rPr>
          <w:rtl/>
        </w:rPr>
        <w:t xml:space="preserve">اً </w:t>
      </w:r>
      <w:r w:rsidRPr="00F60D22">
        <w:rPr>
          <w:rtl/>
        </w:rPr>
        <w:t xml:space="preserve">غير قانونية على الضحايا مقابل استمارات الإبلاغ، وقلة </w:t>
      </w:r>
      <w:r>
        <w:rPr>
          <w:rtl/>
        </w:rPr>
        <w:t xml:space="preserve">الملاحقات القضائية </w:t>
      </w:r>
      <w:r w:rsidRPr="00F60D22">
        <w:rPr>
          <w:rtl/>
        </w:rPr>
        <w:t>في قضايا العنف الجنسي</w:t>
      </w:r>
      <w:r w:rsidR="009563BC">
        <w:rPr>
          <w:rFonts w:hint="cs"/>
          <w:rtl/>
        </w:rPr>
        <w:t> </w:t>
      </w:r>
      <w:r w:rsidRPr="00F60D22">
        <w:rPr>
          <w:rtl/>
        </w:rPr>
        <w:t>والجنساني؛</w:t>
      </w:r>
    </w:p>
    <w:p w14:paraId="109A250F" w14:textId="2D21BB5A" w:rsidR="00E8660E" w:rsidRPr="004E22A0" w:rsidRDefault="00E8660E" w:rsidP="00E8660E">
      <w:pPr>
        <w:pStyle w:val="SingleTxtGA"/>
        <w:rPr>
          <w:lang w:eastAsia="zh-TW" w:bidi="en-GB"/>
        </w:rPr>
      </w:pPr>
      <w:r>
        <w:rPr>
          <w:rtl/>
        </w:rPr>
        <w:tab/>
      </w:r>
      <w:r w:rsidRPr="00F60D22">
        <w:rPr>
          <w:rtl/>
        </w:rPr>
        <w:t>(د)</w:t>
      </w:r>
      <w:r w:rsidRPr="00F60D22">
        <w:rPr>
          <w:rtl/>
        </w:rPr>
        <w:tab/>
        <w:t>تقارير عن العنف الجنساني المرتبط بالانتخابات، بما فيه العنف</w:t>
      </w:r>
      <w:r>
        <w:rPr>
          <w:rtl/>
        </w:rPr>
        <w:t xml:space="preserve"> الجنساني</w:t>
      </w:r>
      <w:r w:rsidRPr="00F60D22">
        <w:rPr>
          <w:rtl/>
        </w:rPr>
        <w:t xml:space="preserve"> ذي الطابع الجنسي، مثل الاغتصاب الجماعي، </w:t>
      </w:r>
      <w:r>
        <w:rPr>
          <w:rtl/>
        </w:rPr>
        <w:t>الذي استهدف</w:t>
      </w:r>
      <w:r w:rsidR="001C35E3">
        <w:rPr>
          <w:rtl/>
        </w:rPr>
        <w:t xml:space="preserve"> </w:t>
      </w:r>
      <w:r w:rsidRPr="00F60D22">
        <w:rPr>
          <w:rtl/>
        </w:rPr>
        <w:t xml:space="preserve">النساء خلال انتخابات عام </w:t>
      </w:r>
      <w:r w:rsidRPr="0035575A">
        <w:rPr>
          <w:rtl/>
        </w:rPr>
        <w:t>2017</w:t>
      </w:r>
      <w:r w:rsidRPr="00F60D22">
        <w:rPr>
          <w:rtl/>
        </w:rPr>
        <w:t xml:space="preserve">، </w:t>
      </w:r>
      <w:r>
        <w:rPr>
          <w:rtl/>
        </w:rPr>
        <w:t>و</w:t>
      </w:r>
      <w:r w:rsidRPr="00F60D22">
        <w:rPr>
          <w:rtl/>
        </w:rPr>
        <w:t>الذي يُزعم أن معظمه</w:t>
      </w:r>
      <w:r w:rsidR="001C35E3">
        <w:rPr>
          <w:rtl/>
        </w:rPr>
        <w:t xml:space="preserve"> </w:t>
      </w:r>
      <w:r w:rsidRPr="00F60D22">
        <w:rPr>
          <w:rtl/>
        </w:rPr>
        <w:t>ا</w:t>
      </w:r>
      <w:r>
        <w:rPr>
          <w:rtl/>
        </w:rPr>
        <w:t>رتكب</w:t>
      </w:r>
      <w:r w:rsidRPr="00F60D22">
        <w:rPr>
          <w:rtl/>
        </w:rPr>
        <w:t>ه أفراد من الشرطة أو من قوات أمن أخرى، والتأخير في مقاضاة الجناة، وجبر أضرار ضحايا هذا العنف، رغم توصيات لجنة التحقيق في أعمال العنف عقب الانتخابات في الفترة</w:t>
      </w:r>
      <w:r w:rsidR="009563BC">
        <w:rPr>
          <w:rFonts w:hint="cs"/>
          <w:rtl/>
        </w:rPr>
        <w:t> </w:t>
      </w:r>
      <w:r w:rsidRPr="0035575A">
        <w:rPr>
          <w:rtl/>
        </w:rPr>
        <w:t>2007</w:t>
      </w:r>
      <w:r w:rsidRPr="00F60D22">
        <w:rPr>
          <w:rtl/>
        </w:rPr>
        <w:t>/</w:t>
      </w:r>
      <w:r w:rsidRPr="0035575A">
        <w:rPr>
          <w:rtl/>
        </w:rPr>
        <w:t>2008</w:t>
      </w:r>
      <w:r w:rsidRPr="00F60D22">
        <w:rPr>
          <w:rtl/>
        </w:rPr>
        <w:t xml:space="preserve">؛ </w:t>
      </w:r>
    </w:p>
    <w:p w14:paraId="40B76473" w14:textId="07D08B35" w:rsidR="005F70DF" w:rsidRPr="005F70DF" w:rsidRDefault="00E8660E" w:rsidP="00E8660E">
      <w:pPr>
        <w:pStyle w:val="SingleTxtGA"/>
        <w:rPr>
          <w:lang w:eastAsia="zh-TW" w:bidi="en-GB"/>
        </w:rPr>
      </w:pPr>
      <w:r>
        <w:rPr>
          <w:rtl/>
        </w:rPr>
        <w:tab/>
      </w:r>
      <w:r w:rsidRPr="00F60D22">
        <w:rPr>
          <w:rtl/>
        </w:rPr>
        <w:t>(هـ)</w:t>
      </w:r>
      <w:r w:rsidRPr="00F60D22">
        <w:rPr>
          <w:rtl/>
        </w:rPr>
        <w:tab/>
        <w:t xml:space="preserve">استمرار التعقيم القسري والجبري للمصابات بفيروس نقص المناعة البشرية والنساء ذوات الإعاقة (المادتان </w:t>
      </w:r>
      <w:r w:rsidRPr="0035575A">
        <w:rPr>
          <w:rtl/>
        </w:rPr>
        <w:t>2</w:t>
      </w:r>
      <w:r w:rsidRPr="00F60D22">
        <w:rPr>
          <w:rtl/>
        </w:rPr>
        <w:t xml:space="preserve"> و</w:t>
      </w:r>
      <w:r w:rsidRPr="0035575A">
        <w:rPr>
          <w:rtl/>
        </w:rPr>
        <w:t>1</w:t>
      </w:r>
      <w:r w:rsidR="005F70DF" w:rsidRPr="0035575A">
        <w:rPr>
          <w:rtl/>
        </w:rPr>
        <w:t>6</w:t>
      </w:r>
      <w:r w:rsidR="005F70DF" w:rsidRPr="005F70DF">
        <w:rPr>
          <w:rtl/>
        </w:rPr>
        <w:t>).</w:t>
      </w:r>
    </w:p>
    <w:p w14:paraId="1CA54173" w14:textId="56955D2D" w:rsidR="00E8660E" w:rsidRPr="0035575A" w:rsidRDefault="00E8660E" w:rsidP="00E8660E">
      <w:pPr>
        <w:pStyle w:val="SingleTxtGA"/>
        <w:rPr>
          <w:bCs/>
          <w:lang w:val="ar-SA" w:eastAsia="zh-TW" w:bidi="en-GB"/>
        </w:rPr>
      </w:pPr>
      <w:r w:rsidRPr="0035575A">
        <w:rPr>
          <w:rtl/>
        </w:rPr>
        <w:t>38</w:t>
      </w:r>
      <w:r w:rsidRPr="00F60D22">
        <w:rPr>
          <w:rtl/>
        </w:rPr>
        <w:t>-</w:t>
      </w:r>
      <w:r w:rsidRPr="00F60D22">
        <w:rPr>
          <w:rtl/>
        </w:rPr>
        <w:tab/>
      </w:r>
      <w:r w:rsidRPr="0035575A">
        <w:rPr>
          <w:bCs/>
          <w:rtl/>
        </w:rPr>
        <w:t>ينبغي أن تفعل الدولة الطرف ما يلي:</w:t>
      </w:r>
    </w:p>
    <w:p w14:paraId="0ACC8C55" w14:textId="77777777" w:rsidR="00E8660E" w:rsidRPr="0035575A" w:rsidRDefault="00E8660E" w:rsidP="00E8660E">
      <w:pPr>
        <w:pStyle w:val="SingleTxtGA"/>
        <w:rPr>
          <w:bCs/>
          <w:lang w:val="ar-SA" w:eastAsia="zh-TW" w:bidi="en-GB"/>
        </w:rPr>
      </w:pPr>
      <w:r>
        <w:rPr>
          <w:rtl/>
        </w:rPr>
        <w:tab/>
      </w:r>
      <w:r w:rsidRPr="00F60D22">
        <w:rPr>
          <w:rtl/>
        </w:rPr>
        <w:t>(أ)</w:t>
      </w:r>
      <w:r w:rsidRPr="00F60D22">
        <w:rPr>
          <w:rtl/>
        </w:rPr>
        <w:tab/>
      </w:r>
      <w:r w:rsidRPr="0035575A">
        <w:rPr>
          <w:bCs/>
          <w:rtl/>
        </w:rPr>
        <w:t>العمل على التحقيق الشامل في جميع حالات العنف الجنساني، سِيّما تلك التي اتخذت فيها سلطات الدولة أو كيانات أخرى إجراءات أو امتنعت فيها عن اتخاذ إجراءات على نحو أثار المسؤولية الدولية للدولة الطرف بمقتضى الاتفاقية، والعمل على محاكمة الجناة المزعومين، ومعاقبتهم في حال إدانتهم، وفق الأصول، وعلى جبر ما أصاب الضحايا أو أسرهم من أضرار، بما في ذلك تقديم تعويض كاف لهم؛</w:t>
      </w:r>
    </w:p>
    <w:p w14:paraId="64304B27" w14:textId="7F79E8AB" w:rsidR="00E8660E" w:rsidRPr="0035575A" w:rsidRDefault="00E8660E" w:rsidP="00E8660E">
      <w:pPr>
        <w:pStyle w:val="SingleTxtGA"/>
        <w:rPr>
          <w:bCs/>
          <w:lang w:eastAsia="zh-TW" w:bidi="en-GB"/>
        </w:rPr>
      </w:pPr>
      <w:r>
        <w:rPr>
          <w:rtl/>
        </w:rPr>
        <w:tab/>
      </w:r>
      <w:r w:rsidRPr="00F60D22">
        <w:rPr>
          <w:rtl/>
        </w:rPr>
        <w:t>(ب)</w:t>
      </w:r>
      <w:r w:rsidRPr="00F60D22">
        <w:rPr>
          <w:rtl/>
        </w:rPr>
        <w:tab/>
      </w:r>
      <w:r w:rsidRPr="0035575A">
        <w:rPr>
          <w:bCs/>
          <w:rtl/>
        </w:rPr>
        <w:t>ضمان الإنفاذ الصارم لقانون الحماية من العنف العائلي، بسبل منها تخصيص ما</w:t>
      </w:r>
      <w:r w:rsidR="009563BC" w:rsidRPr="0035575A">
        <w:rPr>
          <w:rFonts w:hint="cs"/>
          <w:bCs/>
          <w:rtl/>
        </w:rPr>
        <w:t> </w:t>
      </w:r>
      <w:r w:rsidRPr="0035575A">
        <w:rPr>
          <w:bCs/>
          <w:rtl/>
        </w:rPr>
        <w:t>يكفي من الموارد البشرية والمالية، وتعديل القانون الجنائي و/أو قانون الجرائم الجنسية (رقم</w:t>
      </w:r>
      <w:r w:rsidR="006712E0" w:rsidRPr="0035575A">
        <w:rPr>
          <w:rFonts w:hint="cs"/>
          <w:bCs/>
          <w:rtl/>
        </w:rPr>
        <w:t> </w:t>
      </w:r>
      <w:r w:rsidRPr="0035575A">
        <w:rPr>
          <w:bCs/>
          <w:rtl/>
        </w:rPr>
        <w:t>3</w:t>
      </w:r>
      <w:r w:rsidR="006712E0" w:rsidRPr="0035575A">
        <w:rPr>
          <w:rFonts w:hint="cs"/>
          <w:bCs/>
          <w:rtl/>
        </w:rPr>
        <w:t> </w:t>
      </w:r>
      <w:r w:rsidRPr="0035575A">
        <w:rPr>
          <w:bCs/>
          <w:rtl/>
        </w:rPr>
        <w:t>لعام</w:t>
      </w:r>
      <w:r w:rsidR="009563BC" w:rsidRPr="0035575A">
        <w:rPr>
          <w:rFonts w:hint="cs"/>
          <w:bCs/>
          <w:rtl/>
        </w:rPr>
        <w:t> </w:t>
      </w:r>
      <w:r w:rsidRPr="0035575A">
        <w:rPr>
          <w:bCs/>
          <w:rtl/>
        </w:rPr>
        <w:t>200</w:t>
      </w:r>
      <w:r w:rsidR="005F70DF" w:rsidRPr="0035575A">
        <w:rPr>
          <w:bCs/>
          <w:rtl/>
        </w:rPr>
        <w:t xml:space="preserve">6) </w:t>
      </w:r>
      <w:r w:rsidRPr="0035575A">
        <w:rPr>
          <w:bCs/>
          <w:rtl/>
        </w:rPr>
        <w:t>لتجريم الاغتصاب الزوجي؛</w:t>
      </w:r>
    </w:p>
    <w:p w14:paraId="2BC012CD" w14:textId="77777777" w:rsidR="00E8660E" w:rsidRPr="0035575A" w:rsidRDefault="00E8660E" w:rsidP="00E8660E">
      <w:pPr>
        <w:pStyle w:val="SingleTxtGA"/>
        <w:rPr>
          <w:bCs/>
          <w:lang w:val="ar-SA" w:eastAsia="zh-TW" w:bidi="en-GB"/>
        </w:rPr>
      </w:pPr>
      <w:r>
        <w:rPr>
          <w:rtl/>
        </w:rPr>
        <w:lastRenderedPageBreak/>
        <w:tab/>
      </w:r>
      <w:r w:rsidRPr="00F60D22">
        <w:rPr>
          <w:rtl/>
        </w:rPr>
        <w:t>(ج)</w:t>
      </w:r>
      <w:r w:rsidRPr="00F60D22">
        <w:rPr>
          <w:rtl/>
        </w:rPr>
        <w:tab/>
      </w:r>
      <w:r w:rsidRPr="0035575A">
        <w:rPr>
          <w:bCs/>
          <w:rtl/>
        </w:rPr>
        <w:t xml:space="preserve">تمكين الضحايا، بمن فيهم النساء المحرومات، من الوصول بسهولة إلى استمارات الإبلاغ والاستمارات الطبية، بما فيها استمارات </w:t>
      </w:r>
      <w:r w:rsidRPr="0035575A">
        <w:rPr>
          <w:bCs/>
        </w:rPr>
        <w:t>P3</w:t>
      </w:r>
      <w:r w:rsidRPr="0035575A">
        <w:rPr>
          <w:bCs/>
          <w:rtl/>
        </w:rPr>
        <w:t xml:space="preserve">، وعدم تحميلهم رسوم الحصول عليها؛ </w:t>
      </w:r>
    </w:p>
    <w:p w14:paraId="029E1114" w14:textId="180524C5" w:rsidR="00E8660E" w:rsidRPr="0035575A" w:rsidRDefault="00E8660E" w:rsidP="00E8660E">
      <w:pPr>
        <w:pStyle w:val="SingleTxtGA"/>
        <w:rPr>
          <w:bCs/>
          <w:lang w:val="ar-SA" w:eastAsia="zh-TW" w:bidi="en-GB"/>
        </w:rPr>
      </w:pPr>
      <w:r>
        <w:rPr>
          <w:rtl/>
        </w:rPr>
        <w:tab/>
      </w:r>
      <w:r w:rsidRPr="00F60D22">
        <w:rPr>
          <w:rtl/>
        </w:rPr>
        <w:t>(د)</w:t>
      </w:r>
      <w:r w:rsidRPr="00F60D22">
        <w:rPr>
          <w:rtl/>
        </w:rPr>
        <w:tab/>
      </w:r>
      <w:r w:rsidRPr="0035575A">
        <w:rPr>
          <w:bCs/>
          <w:rtl/>
        </w:rPr>
        <w:t>مقاضاة مرتكبي العنف الجنساني الذي وقع بعد انتخابات عام 2007 وأثناء انتخابات عام 2017، والع</w:t>
      </w:r>
      <w:r w:rsidR="000F465D" w:rsidRPr="0035575A">
        <w:rPr>
          <w:rFonts w:hint="cs"/>
          <w:bCs/>
          <w:rtl/>
        </w:rPr>
        <w:t>م</w:t>
      </w:r>
      <w:r w:rsidRPr="0035575A">
        <w:rPr>
          <w:bCs/>
          <w:rtl/>
        </w:rPr>
        <w:t>ل على تنفيذ تقرير لجنة التحقيق تنفيذ</w:t>
      </w:r>
      <w:r w:rsidR="00696EA1" w:rsidRPr="0035575A">
        <w:rPr>
          <w:bCs/>
          <w:rtl/>
        </w:rPr>
        <w:t xml:space="preserve">اً </w:t>
      </w:r>
      <w:r w:rsidRPr="0035575A">
        <w:rPr>
          <w:bCs/>
          <w:rtl/>
        </w:rPr>
        <w:t>تام</w:t>
      </w:r>
      <w:r w:rsidR="00696EA1" w:rsidRPr="0035575A">
        <w:rPr>
          <w:bCs/>
          <w:rtl/>
        </w:rPr>
        <w:t xml:space="preserve">اً، </w:t>
      </w:r>
      <w:r w:rsidRPr="0035575A">
        <w:rPr>
          <w:bCs/>
          <w:rtl/>
        </w:rPr>
        <w:t>وتقديم تعويضات ومساعدات كافية، بما فيها الدعم النفسي والاجتماعي والمادي، لمن وقعن ضحايا هذا العنف؛</w:t>
      </w:r>
    </w:p>
    <w:p w14:paraId="0501CE23" w14:textId="77777777" w:rsidR="00E8660E" w:rsidRPr="0035575A" w:rsidRDefault="00E8660E" w:rsidP="00E8660E">
      <w:pPr>
        <w:pStyle w:val="SingleTxtGA"/>
        <w:rPr>
          <w:bCs/>
          <w:lang w:val="ar-SA" w:eastAsia="zh-TW" w:bidi="en-GB"/>
        </w:rPr>
      </w:pPr>
      <w:r>
        <w:rPr>
          <w:rtl/>
        </w:rPr>
        <w:tab/>
      </w:r>
      <w:r w:rsidRPr="00F60D22">
        <w:rPr>
          <w:rtl/>
        </w:rPr>
        <w:t>(هـ)</w:t>
      </w:r>
      <w:r w:rsidRPr="0035575A">
        <w:rPr>
          <w:bCs/>
          <w:rtl/>
        </w:rPr>
        <w:tab/>
        <w:t>إصدار مبادئ توجيهية بشأن حماية النساء والفتيات، بما في ذلك في المؤسسات التعليمية، أثناء الانتخابات، في إطار نهج قائم على حقوق الإنسان لإنفاذ القوانين إبّان الانتخابات؛</w:t>
      </w:r>
    </w:p>
    <w:p w14:paraId="314DCC17" w14:textId="77777777" w:rsidR="00E8660E" w:rsidRPr="0035575A" w:rsidRDefault="00E8660E" w:rsidP="00E8660E">
      <w:pPr>
        <w:pStyle w:val="SingleTxtGA"/>
        <w:rPr>
          <w:bCs/>
          <w:lang w:val="ar-SA" w:eastAsia="zh-TW" w:bidi="en-GB"/>
        </w:rPr>
      </w:pPr>
      <w:r>
        <w:rPr>
          <w:rtl/>
        </w:rPr>
        <w:tab/>
      </w:r>
      <w:r w:rsidRPr="00F60D22">
        <w:rPr>
          <w:rtl/>
        </w:rPr>
        <w:t>(و)</w:t>
      </w:r>
      <w:r w:rsidRPr="00F60D22">
        <w:rPr>
          <w:rtl/>
        </w:rPr>
        <w:tab/>
      </w:r>
      <w:r w:rsidRPr="0035575A">
        <w:rPr>
          <w:bCs/>
          <w:rtl/>
        </w:rPr>
        <w:t>تدعيم جهودها للتحقيق في ادعاءات التعقيم غير الطوعي أو غيره من الممارسات الضارة بخصوص الصحة والحقوق الإنجابية للمصابات بفيروس نقص المناعة البشرية والنساء ذوات الإعاقة، وكشف المتورطين في تلك الممارسات ومعاقبتهم، وتوفير سبل الانتصاف المناسبة للضحايا.</w:t>
      </w:r>
    </w:p>
    <w:p w14:paraId="109B61BF" w14:textId="77777777" w:rsidR="00E8660E" w:rsidRPr="0035575A" w:rsidRDefault="00E8660E" w:rsidP="009563BC">
      <w:pPr>
        <w:pStyle w:val="H23GA"/>
        <w:rPr>
          <w:lang w:eastAsia="zh-TW" w:bidi="en-GB"/>
        </w:rPr>
      </w:pPr>
      <w:r w:rsidRPr="0035575A">
        <w:rPr>
          <w:rtl/>
        </w:rPr>
        <w:tab/>
      </w:r>
      <w:r w:rsidRPr="0035575A">
        <w:rPr>
          <w:rtl/>
        </w:rPr>
        <w:tab/>
        <w:t>تشويه الأعضاء التناسلية الأنثوية</w:t>
      </w:r>
    </w:p>
    <w:p w14:paraId="7F955B38" w14:textId="7C05926F" w:rsidR="005F70DF" w:rsidRPr="005F70DF" w:rsidRDefault="00E8660E" w:rsidP="00E8660E">
      <w:pPr>
        <w:pStyle w:val="SingleTxtGA"/>
        <w:rPr>
          <w:lang w:eastAsia="zh-TW" w:bidi="en-GB"/>
        </w:rPr>
      </w:pPr>
      <w:r w:rsidRPr="0035575A">
        <w:rPr>
          <w:rtl/>
        </w:rPr>
        <w:t>39</w:t>
      </w:r>
      <w:r w:rsidRPr="00F60D22">
        <w:rPr>
          <w:rtl/>
        </w:rPr>
        <w:t>-</w:t>
      </w:r>
      <w:r w:rsidRPr="00F60D22">
        <w:rPr>
          <w:rtl/>
        </w:rPr>
        <w:tab/>
        <w:t>يساور اللجنة القلق لأن الممارسة الضارة المتمثلة في تشويه الأعضاء التناسلية الأنثوية لا تزال شائعة في بعض المجتمعات المحلية. وتلاحظ بقلق الافتقار إلى البيانات الدقيقة، وقلة الملاحقات القضائية نسبي</w:t>
      </w:r>
      <w:r w:rsidR="00696EA1">
        <w:rPr>
          <w:rtl/>
        </w:rPr>
        <w:t xml:space="preserve">اً، </w:t>
      </w:r>
      <w:r w:rsidRPr="00F60D22">
        <w:rPr>
          <w:rtl/>
        </w:rPr>
        <w:t xml:space="preserve">واستمرار إفلات الجناة من العقاب، إضافة إلى التقارير التي تفيد بأن الممارسين الطبيين يجرون العملية </w:t>
      </w:r>
      <w:r>
        <w:rPr>
          <w:rtl/>
        </w:rPr>
        <w:t>حالي</w:t>
      </w:r>
      <w:r w:rsidR="00696EA1">
        <w:rPr>
          <w:rtl/>
        </w:rPr>
        <w:t xml:space="preserve">اً </w:t>
      </w:r>
      <w:r w:rsidRPr="00F60D22">
        <w:rPr>
          <w:rtl/>
        </w:rPr>
        <w:t xml:space="preserve">("إضفاء الطابع الطبي" على تشويه الأعضاء التناسلية الأنثوية) (المادتان </w:t>
      </w:r>
      <w:r w:rsidRPr="0035575A">
        <w:rPr>
          <w:rtl/>
        </w:rPr>
        <w:t>2</w:t>
      </w:r>
      <w:r w:rsidRPr="00F60D22">
        <w:rPr>
          <w:rtl/>
        </w:rPr>
        <w:t xml:space="preserve"> و</w:t>
      </w:r>
      <w:r w:rsidRPr="0035575A">
        <w:rPr>
          <w:rtl/>
        </w:rPr>
        <w:t>1</w:t>
      </w:r>
      <w:r w:rsidR="005F70DF" w:rsidRPr="0035575A">
        <w:rPr>
          <w:rtl/>
        </w:rPr>
        <w:t>6</w:t>
      </w:r>
      <w:r w:rsidR="005F70DF" w:rsidRPr="005F70DF">
        <w:rPr>
          <w:rtl/>
        </w:rPr>
        <w:t>).</w:t>
      </w:r>
    </w:p>
    <w:p w14:paraId="39A44248" w14:textId="140E5B30" w:rsidR="00E8660E" w:rsidRPr="0035575A" w:rsidRDefault="00E8660E" w:rsidP="00E8660E">
      <w:pPr>
        <w:pStyle w:val="SingleTxtGA"/>
        <w:rPr>
          <w:bCs/>
          <w:lang w:eastAsia="zh-TW" w:bidi="en-GB"/>
        </w:rPr>
      </w:pPr>
      <w:r w:rsidRPr="0035575A">
        <w:rPr>
          <w:rtl/>
        </w:rPr>
        <w:t>40</w:t>
      </w:r>
      <w:r w:rsidRPr="00F60D22">
        <w:rPr>
          <w:rtl/>
        </w:rPr>
        <w:t>-</w:t>
      </w:r>
      <w:r w:rsidRPr="00F60D22">
        <w:rPr>
          <w:rtl/>
        </w:rPr>
        <w:tab/>
      </w:r>
      <w:r w:rsidRPr="0035575A">
        <w:rPr>
          <w:bCs/>
          <w:rtl/>
        </w:rPr>
        <w:t>ينبغي أن تعمل الدولة الطرف على التعريف بقانون حظر تشويه الأعضاء التناسلية الأنثوية (رقم 32 لعام 201</w:t>
      </w:r>
      <w:r w:rsidR="005F70DF" w:rsidRPr="0035575A">
        <w:rPr>
          <w:bCs/>
          <w:rtl/>
        </w:rPr>
        <w:t xml:space="preserve">1) </w:t>
      </w:r>
      <w:r w:rsidRPr="0035575A">
        <w:rPr>
          <w:bCs/>
          <w:rtl/>
        </w:rPr>
        <w:t xml:space="preserve">وتنفيذه على نطاق واسع وعلى مقاضاة مرتكبي تشويه الأعضاء التناسلية الأنثوية، بمن فيهم الممارسون الطبيون، ومقاضاتهم على النحو المناسب؛ وينبغي أن تتخذ تدابير للقضاء على تشويه الأعضاء التناسلية الأنثوية، بطرق منها التعاون عبر الحدود ونشر الوعي بين الزعماء الدينيين والتقليديين وعامة الناس، بالتعاون مع المجتمع المدني، بشأن الطابع الإجرامي لهذا الإجراء، وأثره السلبي على حقوق الإنسان للمرأة وصحتها، وضرورة القضاء عليه وعلى مبرراته الثقافية الأساسية. </w:t>
      </w:r>
    </w:p>
    <w:p w14:paraId="6D8FA659" w14:textId="77777777" w:rsidR="00E8660E" w:rsidRPr="0035575A" w:rsidRDefault="00E8660E" w:rsidP="009563BC">
      <w:pPr>
        <w:pStyle w:val="H23GA"/>
        <w:rPr>
          <w:lang w:eastAsia="zh-TW" w:bidi="en-GB"/>
        </w:rPr>
      </w:pPr>
      <w:r w:rsidRPr="0035575A">
        <w:rPr>
          <w:rtl/>
        </w:rPr>
        <w:tab/>
      </w:r>
      <w:r w:rsidRPr="0035575A">
        <w:rPr>
          <w:rtl/>
        </w:rPr>
        <w:tab/>
        <w:t xml:space="preserve">الإجهاض </w:t>
      </w:r>
    </w:p>
    <w:p w14:paraId="3AED92ED" w14:textId="73589A68" w:rsidR="00E8660E" w:rsidRPr="00F60D22" w:rsidRDefault="00E8660E" w:rsidP="00E8660E">
      <w:pPr>
        <w:pStyle w:val="SingleTxtGA"/>
        <w:rPr>
          <w:lang w:val="ar-SA" w:eastAsia="zh-TW" w:bidi="en-GB"/>
        </w:rPr>
      </w:pPr>
      <w:r w:rsidRPr="0035575A">
        <w:rPr>
          <w:rtl/>
        </w:rPr>
        <w:t>41</w:t>
      </w:r>
      <w:r w:rsidRPr="00F60D22">
        <w:rPr>
          <w:rtl/>
        </w:rPr>
        <w:t>-</w:t>
      </w:r>
      <w:r w:rsidRPr="00F60D22">
        <w:rPr>
          <w:rtl/>
        </w:rPr>
        <w:tab/>
        <w:t xml:space="preserve">يساور اللجنة القلق لكون المواد </w:t>
      </w:r>
      <w:r w:rsidRPr="0035575A">
        <w:rPr>
          <w:rtl/>
        </w:rPr>
        <w:t>158</w:t>
      </w:r>
      <w:r w:rsidRPr="00F60D22">
        <w:rPr>
          <w:rtl/>
        </w:rPr>
        <w:t>-</w:t>
      </w:r>
      <w:r w:rsidRPr="0035575A">
        <w:rPr>
          <w:rtl/>
        </w:rPr>
        <w:t>160</w:t>
      </w:r>
      <w:r w:rsidRPr="00F60D22">
        <w:rPr>
          <w:rtl/>
        </w:rPr>
        <w:t xml:space="preserve"> و</w:t>
      </w:r>
      <w:r w:rsidRPr="0035575A">
        <w:rPr>
          <w:rtl/>
        </w:rPr>
        <w:t>228</w:t>
      </w:r>
      <w:r w:rsidRPr="00F60D22">
        <w:rPr>
          <w:rtl/>
        </w:rPr>
        <w:t xml:space="preserve"> و</w:t>
      </w:r>
      <w:r w:rsidRPr="0035575A">
        <w:rPr>
          <w:rtl/>
        </w:rPr>
        <w:t>240</w:t>
      </w:r>
      <w:r w:rsidRPr="00F60D22">
        <w:rPr>
          <w:rtl/>
        </w:rPr>
        <w:t xml:space="preserve"> من قانون العقوبات تجرم العمليات المتعلقة بتوفير خدمات الإجهاض، رغم أن المادة </w:t>
      </w:r>
      <w:r w:rsidRPr="0035575A">
        <w:rPr>
          <w:rtl/>
        </w:rPr>
        <w:t>26</w:t>
      </w:r>
      <w:r w:rsidRPr="00F60D22">
        <w:rPr>
          <w:rtl/>
        </w:rPr>
        <w:t xml:space="preserve"> من الدستور تجيزه في ظروف محدودة. وتلاحظ بقلق أن إطار الدولة الطرف القانوني التقييدي وغير الواضح بشأن الإجهاض يدفع النساء إلى السعي إلى إجراء عمليات إجهاض غير مأمونة وغير قانونية. وتشعر </w:t>
      </w:r>
      <w:r>
        <w:rPr>
          <w:rtl/>
        </w:rPr>
        <w:t xml:space="preserve">اللجنة </w:t>
      </w:r>
      <w:r w:rsidRPr="00F60D22">
        <w:rPr>
          <w:rtl/>
        </w:rPr>
        <w:t xml:space="preserve">بالقلق أيضاً في هذا الصدد إزاء سحب الحكومة، في عام </w:t>
      </w:r>
      <w:r w:rsidRPr="0035575A">
        <w:rPr>
          <w:rtl/>
        </w:rPr>
        <w:t>2013</w:t>
      </w:r>
      <w:r w:rsidRPr="00F60D22">
        <w:rPr>
          <w:rtl/>
        </w:rPr>
        <w:t xml:space="preserve">، المعايير والمبادئ التوجيهية للحد من الاعتلالات والوفيات الناجمة عن الإجهاض غير المأمون، وعدم إعادة العمل بها بعد قرار المحكمة العليا في عام </w:t>
      </w:r>
      <w:r w:rsidRPr="0035575A">
        <w:rPr>
          <w:rtl/>
        </w:rPr>
        <w:t>2019</w:t>
      </w:r>
      <w:r w:rsidRPr="00F60D22">
        <w:rPr>
          <w:rtl/>
        </w:rPr>
        <w:t xml:space="preserve"> الذي خلص إلى أن إلغاءها إجراء غير دستوري. وتشعر بالقلق</w:t>
      </w:r>
      <w:r>
        <w:rPr>
          <w:rtl/>
        </w:rPr>
        <w:t xml:space="preserve"> كذلك</w:t>
      </w:r>
      <w:r w:rsidRPr="00F60D22">
        <w:rPr>
          <w:rtl/>
        </w:rPr>
        <w:t xml:space="preserve"> إزاء سحب المبادئ التوجيهية الوطنية بشأن التصدي للعنف الجنسي في عام </w:t>
      </w:r>
      <w:r w:rsidRPr="0035575A">
        <w:rPr>
          <w:rtl/>
        </w:rPr>
        <w:t>2017</w:t>
      </w:r>
      <w:r w:rsidRPr="00F60D22">
        <w:rPr>
          <w:rtl/>
        </w:rPr>
        <w:t>، والافتقار إلى سياسات ومبادئ توجيهية واضحة بشأن إمكانية الإجهاض في حالات العنف الجنسي. وأخير</w:t>
      </w:r>
      <w:r w:rsidR="00696EA1">
        <w:rPr>
          <w:rtl/>
        </w:rPr>
        <w:t xml:space="preserve">اً </w:t>
      </w:r>
      <w:r w:rsidRPr="00F60D22">
        <w:rPr>
          <w:rtl/>
        </w:rPr>
        <w:t xml:space="preserve">تلاحظ بقلق أن محاولات البرلمان سن مشروع قانون الصحة الإنجابية لعام </w:t>
      </w:r>
      <w:r w:rsidRPr="0035575A">
        <w:rPr>
          <w:rtl/>
        </w:rPr>
        <w:t>2019</w:t>
      </w:r>
      <w:r w:rsidRPr="00F60D22">
        <w:rPr>
          <w:rtl/>
        </w:rPr>
        <w:t xml:space="preserve"> باءت بالفشل.</w:t>
      </w:r>
    </w:p>
    <w:p w14:paraId="472A6BD5" w14:textId="13433CE1" w:rsidR="00E8660E" w:rsidRPr="0035575A" w:rsidRDefault="00E8660E" w:rsidP="00E8660E">
      <w:pPr>
        <w:pStyle w:val="SingleTxtGA"/>
        <w:rPr>
          <w:bCs/>
          <w:lang w:val="ar-SA" w:eastAsia="zh-TW" w:bidi="en-GB"/>
        </w:rPr>
      </w:pPr>
      <w:r w:rsidRPr="0035575A">
        <w:rPr>
          <w:rtl/>
        </w:rPr>
        <w:t>42</w:t>
      </w:r>
      <w:r w:rsidRPr="00F60D22">
        <w:rPr>
          <w:rtl/>
        </w:rPr>
        <w:t>-</w:t>
      </w:r>
      <w:r w:rsidRPr="00F60D22">
        <w:rPr>
          <w:rtl/>
        </w:rPr>
        <w:tab/>
      </w:r>
      <w:r w:rsidRPr="0035575A">
        <w:rPr>
          <w:bCs/>
          <w:rtl/>
        </w:rPr>
        <w:t>ينبغي أن تعيد الدولة الطرف النظر في إطارها الدستوري والتشريعي لكي يتضمن أحكام</w:t>
      </w:r>
      <w:r w:rsidR="00696EA1" w:rsidRPr="0035575A">
        <w:rPr>
          <w:bCs/>
          <w:rtl/>
        </w:rPr>
        <w:t xml:space="preserve">اً </w:t>
      </w:r>
      <w:r w:rsidRPr="0035575A">
        <w:rPr>
          <w:bCs/>
          <w:rtl/>
        </w:rPr>
        <w:t>وسياسات ومبادئ توجيهية واضحة ومنسقة لتنظيم الإجهاض الآمن والمباح الذي تجيزه المادة 26 من الدستور، بما في ذلك في حالات الحمل الناجمة عن العنف الجنسي. وينبغي أن تشمل تلك الخطوات</w:t>
      </w:r>
      <w:r w:rsidRPr="0035575A">
        <w:rPr>
          <w:b/>
          <w:rtl/>
        </w:rPr>
        <w:t xml:space="preserve"> </w:t>
      </w:r>
      <w:r w:rsidRPr="0035575A">
        <w:rPr>
          <w:bCs/>
          <w:rtl/>
        </w:rPr>
        <w:lastRenderedPageBreak/>
        <w:t xml:space="preserve">الإسراع بسن مشروع قانون الصحة الإنجابية لعام 2019، وإلغاء مواد قانون العقوبات التي تجرم الإجهاض في إطار القانون الراهن، وإعادة العمل بكل من المعايير والمبادئ التوجيهية للحد من الاعتلالات والوفيات الناجمة عن الإجهاض غير المأمون في كينيا، والمبادئ التوجيهية الوطنية بشأن التصدي للعنف الجنسي. </w:t>
      </w:r>
    </w:p>
    <w:p w14:paraId="4177AD22" w14:textId="77777777" w:rsidR="00E8660E" w:rsidRPr="0035575A" w:rsidRDefault="00E8660E" w:rsidP="009563BC">
      <w:pPr>
        <w:pStyle w:val="H23GA"/>
        <w:rPr>
          <w:lang w:val="ar-SA" w:eastAsia="zh-TW" w:bidi="en-GB"/>
        </w:rPr>
      </w:pPr>
      <w:r w:rsidRPr="0035575A">
        <w:rPr>
          <w:rtl/>
        </w:rPr>
        <w:tab/>
      </w:r>
      <w:r w:rsidRPr="0035575A">
        <w:rPr>
          <w:rtl/>
        </w:rPr>
        <w:tab/>
        <w:t>الميل الجنسي والهوية الجنسانية وحمل صفات الجنسين</w:t>
      </w:r>
    </w:p>
    <w:p w14:paraId="2739DAA1" w14:textId="77777777" w:rsidR="00E8660E" w:rsidRPr="00F60D22" w:rsidRDefault="00E8660E" w:rsidP="00E8660E">
      <w:pPr>
        <w:pStyle w:val="SingleTxtGA"/>
        <w:rPr>
          <w:lang w:val="ar-SA" w:eastAsia="zh-TW" w:bidi="en-GB"/>
        </w:rPr>
      </w:pPr>
      <w:r w:rsidRPr="0035575A">
        <w:rPr>
          <w:rtl/>
        </w:rPr>
        <w:t>43</w:t>
      </w:r>
      <w:r w:rsidRPr="00F60D22">
        <w:rPr>
          <w:rtl/>
        </w:rPr>
        <w:t>-</w:t>
      </w:r>
      <w:r w:rsidRPr="00F60D22">
        <w:rPr>
          <w:rtl/>
        </w:rPr>
        <w:tab/>
        <w:t xml:space="preserve">ترحب اللجنة باعتماد قانون تسجيل الأشخاص (المعدَّل) لعام </w:t>
      </w:r>
      <w:r w:rsidRPr="0035575A">
        <w:rPr>
          <w:rtl/>
        </w:rPr>
        <w:t>2019</w:t>
      </w:r>
      <w:r w:rsidRPr="00F60D22">
        <w:rPr>
          <w:rtl/>
        </w:rPr>
        <w:t xml:space="preserve"> الذي ينص على الاعتراف القانوني بحاملي صفات الجنسين</w:t>
      </w:r>
      <w:r>
        <w:rPr>
          <w:rtl/>
        </w:rPr>
        <w:t>،</w:t>
      </w:r>
      <w:r w:rsidRPr="00F60D22">
        <w:rPr>
          <w:rtl/>
        </w:rPr>
        <w:t xml:space="preserve"> بيد</w:t>
      </w:r>
      <w:r>
        <w:rPr>
          <w:rtl/>
        </w:rPr>
        <w:t xml:space="preserve"> </w:t>
      </w:r>
      <w:r w:rsidRPr="00F60D22">
        <w:rPr>
          <w:rtl/>
        </w:rPr>
        <w:t>أن القلق يساورها على وجه الخصوص مما يلي:</w:t>
      </w:r>
    </w:p>
    <w:p w14:paraId="71850DD4" w14:textId="77777777" w:rsidR="00E8660E" w:rsidRPr="00F60D22" w:rsidRDefault="00E8660E" w:rsidP="00E8660E">
      <w:pPr>
        <w:pStyle w:val="SingleTxtGA"/>
        <w:rPr>
          <w:lang w:val="ar-SA" w:eastAsia="zh-TW" w:bidi="en-GB"/>
        </w:rPr>
      </w:pPr>
      <w:r>
        <w:rPr>
          <w:rtl/>
        </w:rPr>
        <w:tab/>
      </w:r>
      <w:r w:rsidRPr="00F60D22">
        <w:rPr>
          <w:rtl/>
        </w:rPr>
        <w:t>(أ)</w:t>
      </w:r>
      <w:r w:rsidRPr="00F60D22">
        <w:rPr>
          <w:rtl/>
        </w:rPr>
        <w:tab/>
        <w:t xml:space="preserve">المادتان </w:t>
      </w:r>
      <w:r w:rsidRPr="0035575A">
        <w:rPr>
          <w:rtl/>
        </w:rPr>
        <w:t>162</w:t>
      </w:r>
      <w:r w:rsidRPr="00F60D22">
        <w:rPr>
          <w:rtl/>
        </w:rPr>
        <w:t xml:space="preserve"> و</w:t>
      </w:r>
      <w:r w:rsidRPr="0035575A">
        <w:rPr>
          <w:rtl/>
        </w:rPr>
        <w:t>165</w:t>
      </w:r>
      <w:r w:rsidRPr="00F60D22">
        <w:rPr>
          <w:rtl/>
        </w:rPr>
        <w:t xml:space="preserve"> من قانون العقوبات اللتان تجرمان العلاقات الجنسية المثلية، وحكم المحكمة العليا في عام </w:t>
      </w:r>
      <w:r w:rsidRPr="0035575A">
        <w:rPr>
          <w:rtl/>
        </w:rPr>
        <w:t>2019</w:t>
      </w:r>
      <w:r w:rsidRPr="00F60D22">
        <w:rPr>
          <w:rtl/>
        </w:rPr>
        <w:t xml:space="preserve"> الذي أقرّ دستورية الأحكام الواردة فيهما؛</w:t>
      </w:r>
    </w:p>
    <w:p w14:paraId="187078D3" w14:textId="68820CC7" w:rsidR="00E8660E" w:rsidRPr="00F60D22" w:rsidRDefault="00E8660E" w:rsidP="00E8660E">
      <w:pPr>
        <w:pStyle w:val="SingleTxtGA"/>
        <w:rPr>
          <w:lang w:val="ar-SA" w:eastAsia="zh-TW" w:bidi="en-GB"/>
        </w:rPr>
      </w:pPr>
      <w:r>
        <w:rPr>
          <w:rtl/>
        </w:rPr>
        <w:tab/>
      </w:r>
      <w:r w:rsidRPr="00F60D22">
        <w:rPr>
          <w:rtl/>
        </w:rPr>
        <w:t>(ب)</w:t>
      </w:r>
      <w:r w:rsidRPr="00F60D22">
        <w:rPr>
          <w:rtl/>
        </w:rPr>
        <w:tab/>
        <w:t>تقارير عن المثليات والمثليين ومزدوجي الميل الجنسي ومغايري الهوية الجنسانية وحاملي صفات الجنسين تفيد بتعرضهم للتحرش والتمييز والعنف، بما في ذلك الانتهاكات التي يرتكبها موظفو إنفاذ القانون، وجماعات القصاص الأهلي، واصطدامهم بعقبات</w:t>
      </w:r>
      <w:r>
        <w:rPr>
          <w:rtl/>
        </w:rPr>
        <w:t xml:space="preserve"> عند لجوئهم</w:t>
      </w:r>
      <w:r w:rsidRPr="00F60D22">
        <w:rPr>
          <w:rtl/>
        </w:rPr>
        <w:t xml:space="preserve"> إلى العدالة وسبل</w:t>
      </w:r>
      <w:r w:rsidR="00696EA1">
        <w:rPr>
          <w:rFonts w:hint="cs"/>
          <w:rtl/>
        </w:rPr>
        <w:t> </w:t>
      </w:r>
      <w:r w:rsidRPr="00F60D22">
        <w:rPr>
          <w:rtl/>
        </w:rPr>
        <w:t xml:space="preserve">الانتصاف؛ </w:t>
      </w:r>
    </w:p>
    <w:p w14:paraId="0BB95BCD" w14:textId="127968B6" w:rsidR="005F70DF" w:rsidRPr="005F70DF" w:rsidRDefault="00E8660E" w:rsidP="00E8660E">
      <w:pPr>
        <w:pStyle w:val="SingleTxtGA"/>
        <w:rPr>
          <w:rtl/>
          <w:lang w:eastAsia="zh-TW"/>
        </w:rPr>
      </w:pPr>
      <w:r>
        <w:rPr>
          <w:rtl/>
        </w:rPr>
        <w:tab/>
      </w:r>
      <w:r w:rsidRPr="00F60D22">
        <w:rPr>
          <w:rtl/>
        </w:rPr>
        <w:t>(ج)</w:t>
      </w:r>
      <w:r w:rsidRPr="00F60D22">
        <w:rPr>
          <w:rtl/>
        </w:rPr>
        <w:tab/>
      </w:r>
      <w:r w:rsidRPr="00187407">
        <w:rPr>
          <w:rtl/>
        </w:rPr>
        <w:t>عمليات جراحية غير عاجلة لا رجعة فيها أجريت دون موافقة تامة وحرة ومستنيرة، وقتل مواليد جدد والتخلي عن أطفال حاملي</w:t>
      </w:r>
      <w:r>
        <w:rPr>
          <w:rtl/>
        </w:rPr>
        <w:t>ن</w:t>
      </w:r>
      <w:r w:rsidRPr="00187407">
        <w:rPr>
          <w:rtl/>
        </w:rPr>
        <w:t xml:space="preserve"> </w:t>
      </w:r>
      <w:r>
        <w:rPr>
          <w:rtl/>
        </w:rPr>
        <w:t>ل</w:t>
      </w:r>
      <w:r w:rsidRPr="00187407">
        <w:rPr>
          <w:rtl/>
        </w:rPr>
        <w:t xml:space="preserve">صفات الجنسين (المادتان </w:t>
      </w:r>
      <w:r w:rsidRPr="0035575A">
        <w:rPr>
          <w:rtl/>
        </w:rPr>
        <w:t>2</w:t>
      </w:r>
      <w:r w:rsidRPr="00187407">
        <w:rPr>
          <w:rtl/>
        </w:rPr>
        <w:t xml:space="preserve"> و</w:t>
      </w:r>
      <w:r w:rsidRPr="0035575A">
        <w:rPr>
          <w:rtl/>
        </w:rPr>
        <w:t>1</w:t>
      </w:r>
      <w:r w:rsidR="005F70DF" w:rsidRPr="0035575A">
        <w:rPr>
          <w:rtl/>
        </w:rPr>
        <w:t>6</w:t>
      </w:r>
      <w:r w:rsidR="005F70DF" w:rsidRPr="005F70DF">
        <w:rPr>
          <w:rtl/>
        </w:rPr>
        <w:t>).</w:t>
      </w:r>
    </w:p>
    <w:p w14:paraId="53541696" w14:textId="61037B8C" w:rsidR="00E8660E" w:rsidRPr="0035575A" w:rsidRDefault="00E8660E" w:rsidP="00E8660E">
      <w:pPr>
        <w:pStyle w:val="SingleTxtGA"/>
        <w:rPr>
          <w:bCs/>
          <w:lang w:val="ar-SA" w:eastAsia="zh-TW" w:bidi="en-GB"/>
        </w:rPr>
      </w:pPr>
      <w:r w:rsidRPr="0035575A">
        <w:rPr>
          <w:rtl/>
        </w:rPr>
        <w:t>44</w:t>
      </w:r>
      <w:r w:rsidRPr="00F60D22">
        <w:rPr>
          <w:rtl/>
        </w:rPr>
        <w:t>-</w:t>
      </w:r>
      <w:r w:rsidRPr="00F60D22">
        <w:rPr>
          <w:rtl/>
        </w:rPr>
        <w:tab/>
      </w:r>
      <w:r w:rsidRPr="0035575A">
        <w:rPr>
          <w:bCs/>
          <w:rtl/>
        </w:rPr>
        <w:t xml:space="preserve">ينبغي أن تفعل الدولة الطرف ما يلي: </w:t>
      </w:r>
    </w:p>
    <w:p w14:paraId="5BF34DFC" w14:textId="77777777" w:rsidR="00E8660E" w:rsidRPr="0035575A" w:rsidRDefault="00E8660E" w:rsidP="00E8660E">
      <w:pPr>
        <w:pStyle w:val="SingleTxtGA"/>
        <w:rPr>
          <w:bCs/>
          <w:lang w:val="ar-SA" w:eastAsia="zh-TW" w:bidi="en-GB"/>
        </w:rPr>
      </w:pPr>
      <w:r>
        <w:rPr>
          <w:rtl/>
        </w:rPr>
        <w:tab/>
      </w:r>
      <w:r w:rsidRPr="00F60D22">
        <w:rPr>
          <w:rtl/>
        </w:rPr>
        <w:t>(أ)</w:t>
      </w:r>
      <w:r w:rsidRPr="00F60D22">
        <w:rPr>
          <w:rtl/>
        </w:rPr>
        <w:tab/>
      </w:r>
      <w:r w:rsidRPr="0035575A">
        <w:rPr>
          <w:bCs/>
          <w:rtl/>
        </w:rPr>
        <w:t xml:space="preserve">تعديل جميع القوانين المعنية، بما فيها المادتان 162 و165 من قانون العقوبات، بهدف شطب العلاقات الجنسية المثلية بالتراضي بين البالغين من قائمة الجرائم؛ </w:t>
      </w:r>
    </w:p>
    <w:p w14:paraId="2003A00E" w14:textId="77777777" w:rsidR="00E8660E" w:rsidRPr="0035575A" w:rsidRDefault="00E8660E" w:rsidP="00E8660E">
      <w:pPr>
        <w:pStyle w:val="SingleTxtGA"/>
        <w:rPr>
          <w:bCs/>
          <w:lang w:val="ar-SA" w:eastAsia="zh-TW" w:bidi="en-GB"/>
        </w:rPr>
      </w:pPr>
      <w:r>
        <w:rPr>
          <w:rtl/>
        </w:rPr>
        <w:tab/>
      </w:r>
      <w:r w:rsidRPr="00F60D22">
        <w:rPr>
          <w:rtl/>
        </w:rPr>
        <w:t>(ب)</w:t>
      </w:r>
      <w:r w:rsidRPr="00F60D22">
        <w:rPr>
          <w:rtl/>
        </w:rPr>
        <w:tab/>
      </w:r>
      <w:r w:rsidRPr="0035575A">
        <w:rPr>
          <w:bCs/>
          <w:rtl/>
        </w:rPr>
        <w:t>تكثيف جهودها للقضاء على جميع أشكال التمييز والتحرش والعنف بسبب الميل الجنسي والهوية الجنسانية وتوفير سبل لجوء الضحايا إلى العدالة وسبل الانتصاف؛</w:t>
      </w:r>
    </w:p>
    <w:p w14:paraId="461FF4F4" w14:textId="5511A683" w:rsidR="00E8660E" w:rsidRPr="0035575A" w:rsidRDefault="00E8660E" w:rsidP="00E8660E">
      <w:pPr>
        <w:pStyle w:val="SingleTxtGA"/>
        <w:rPr>
          <w:bCs/>
          <w:lang w:val="ar-SA" w:eastAsia="zh-TW" w:bidi="en-GB"/>
        </w:rPr>
      </w:pPr>
      <w:r>
        <w:rPr>
          <w:rtl/>
        </w:rPr>
        <w:tab/>
      </w:r>
      <w:r w:rsidRPr="00F60D22">
        <w:rPr>
          <w:rtl/>
        </w:rPr>
        <w:t>(ج)</w:t>
      </w:r>
      <w:r w:rsidRPr="00F60D22">
        <w:rPr>
          <w:rtl/>
        </w:rPr>
        <w:tab/>
      </w:r>
      <w:r w:rsidRPr="0035575A">
        <w:rPr>
          <w:bCs/>
          <w:rtl/>
        </w:rPr>
        <w:t>تدعيم التدابير الرامية إلى وضع حد للتدخلات الطبية التي لا رجعة فيها، خاصة العمليات الجراحية، التي يخضع لها الأطفال حاملو صفات الجنسين غير القادرين بعد على إعطاء موافقتهم التامة والحرة والمستنيرة باستثناء الحالات التي تكون فيها تلك التدخلات ضرورية للغاية لأسباب طبية. وينبغي أيض</w:t>
      </w:r>
      <w:r w:rsidR="00696EA1" w:rsidRPr="0035575A">
        <w:rPr>
          <w:bCs/>
          <w:rtl/>
        </w:rPr>
        <w:t xml:space="preserve">اً </w:t>
      </w:r>
      <w:r w:rsidRPr="0035575A">
        <w:rPr>
          <w:bCs/>
          <w:rtl/>
        </w:rPr>
        <w:t>توفير سبل انتصاف فعالة لضحايا تلك التدخلات.</w:t>
      </w:r>
    </w:p>
    <w:p w14:paraId="53051380" w14:textId="77777777" w:rsidR="00E8660E" w:rsidRPr="0035575A" w:rsidRDefault="00E8660E" w:rsidP="009563BC">
      <w:pPr>
        <w:pStyle w:val="H23GA"/>
        <w:rPr>
          <w:lang w:eastAsia="zh-TW" w:bidi="en-GB"/>
        </w:rPr>
      </w:pPr>
      <w:r w:rsidRPr="0035575A">
        <w:rPr>
          <w:rtl/>
        </w:rPr>
        <w:tab/>
      </w:r>
      <w:r w:rsidRPr="0035575A">
        <w:rPr>
          <w:rtl/>
        </w:rPr>
        <w:tab/>
        <w:t xml:space="preserve">التدريب </w:t>
      </w:r>
    </w:p>
    <w:p w14:paraId="24B692A8" w14:textId="7DBCD520" w:rsidR="005F70DF" w:rsidRPr="005F70DF" w:rsidRDefault="00E8660E" w:rsidP="00E8660E">
      <w:pPr>
        <w:pStyle w:val="SingleTxtGA"/>
        <w:rPr>
          <w:spacing w:val="-4"/>
          <w:lang w:val="en-US" w:eastAsia="zh-TW" w:bidi="en-GB"/>
        </w:rPr>
      </w:pPr>
      <w:r w:rsidRPr="0035575A">
        <w:rPr>
          <w:rtl/>
        </w:rPr>
        <w:t>45</w:t>
      </w:r>
      <w:r w:rsidRPr="00F60D22">
        <w:rPr>
          <w:rtl/>
        </w:rPr>
        <w:t>-</w:t>
      </w:r>
      <w:r w:rsidRPr="00F60D22">
        <w:rPr>
          <w:rtl/>
        </w:rPr>
        <w:tab/>
        <w:t xml:space="preserve">تلاحظ اللجنة الجهود التي تبذلها الدولة الطرف لتوفير دورات تدريبية عامة في مجال حقوق الإنسان لصالح أفراد الشرطة والعاملين في سلك القضاء وموظفي السجون، لكنها تأسف لقلة الدورات التدريبية </w:t>
      </w:r>
      <w:r>
        <w:rPr>
          <w:rtl/>
        </w:rPr>
        <w:t>بشأن</w:t>
      </w:r>
      <w:r w:rsidRPr="00F60D22">
        <w:rPr>
          <w:rtl/>
        </w:rPr>
        <w:t xml:space="preserve"> أحكام الاتفاقية ومضامين دليل التقصي والتوثيق الفعالين للتعذيب وغيره من ضروب </w:t>
      </w:r>
      <w:r w:rsidRPr="006712E0">
        <w:rPr>
          <w:spacing w:val="-2"/>
          <w:rtl/>
        </w:rPr>
        <w:t>المعاملة أو العقوبة القاسية أو اللاإنسانية أو المهينة (بروتوكول اسطنبول</w:t>
      </w:r>
      <w:r w:rsidR="005F70DF" w:rsidRPr="005F70DF">
        <w:rPr>
          <w:spacing w:val="-2"/>
          <w:rtl/>
        </w:rPr>
        <w:t xml:space="preserve">). </w:t>
      </w:r>
      <w:r w:rsidRPr="006712E0">
        <w:rPr>
          <w:spacing w:val="-2"/>
          <w:rtl/>
        </w:rPr>
        <w:t>وتأسف أيض</w:t>
      </w:r>
      <w:r w:rsidR="00696EA1" w:rsidRPr="006712E0">
        <w:rPr>
          <w:spacing w:val="-2"/>
          <w:rtl/>
        </w:rPr>
        <w:t xml:space="preserve">اً </w:t>
      </w:r>
      <w:r w:rsidRPr="006712E0">
        <w:rPr>
          <w:spacing w:val="-2"/>
          <w:rtl/>
        </w:rPr>
        <w:t>لعدم إنشاء آلية لتقييم</w:t>
      </w:r>
      <w:r w:rsidRPr="006712E0">
        <w:rPr>
          <w:spacing w:val="-4"/>
          <w:rtl/>
        </w:rPr>
        <w:t xml:space="preserve"> فعالية برامج التدريب ولعدم وجود تدريب محدد للقوات المسلحة والموظفين الطبيين المعنيين (المادة</w:t>
      </w:r>
      <w:r w:rsidR="006712E0" w:rsidRPr="00975757">
        <w:rPr>
          <w:rFonts w:hint="cs"/>
          <w:spacing w:val="-4"/>
          <w:rtl/>
        </w:rPr>
        <w:t xml:space="preserve"> </w:t>
      </w:r>
      <w:r w:rsidRPr="0035575A">
        <w:rPr>
          <w:spacing w:val="-4"/>
          <w:rtl/>
        </w:rPr>
        <w:t>1</w:t>
      </w:r>
      <w:r w:rsidR="005F70DF" w:rsidRPr="0035575A">
        <w:rPr>
          <w:spacing w:val="-4"/>
          <w:rtl/>
        </w:rPr>
        <w:t>0</w:t>
      </w:r>
      <w:r w:rsidR="005F70DF" w:rsidRPr="005F70DF">
        <w:rPr>
          <w:spacing w:val="-4"/>
          <w:rtl/>
        </w:rPr>
        <w:t>).</w:t>
      </w:r>
    </w:p>
    <w:p w14:paraId="51B0711F" w14:textId="0B24F78D" w:rsidR="00E8660E" w:rsidRPr="0035575A" w:rsidRDefault="00E8660E" w:rsidP="00E8660E">
      <w:pPr>
        <w:pStyle w:val="SingleTxtGA"/>
        <w:rPr>
          <w:bCs/>
          <w:lang w:val="ar-SA" w:eastAsia="zh-TW" w:bidi="en-GB"/>
        </w:rPr>
      </w:pPr>
      <w:r w:rsidRPr="0035575A">
        <w:rPr>
          <w:rtl/>
        </w:rPr>
        <w:t>46</w:t>
      </w:r>
      <w:r w:rsidRPr="00F60D22">
        <w:rPr>
          <w:rtl/>
        </w:rPr>
        <w:t>-</w:t>
      </w:r>
      <w:r w:rsidRPr="00F60D22">
        <w:rPr>
          <w:rtl/>
        </w:rPr>
        <w:tab/>
      </w:r>
      <w:r w:rsidRPr="0035575A">
        <w:rPr>
          <w:bCs/>
          <w:rtl/>
        </w:rPr>
        <w:t>ينبغي أن تفعل الدولة الطرف ما يلي:</w:t>
      </w:r>
    </w:p>
    <w:p w14:paraId="78F09996" w14:textId="7AEE5438" w:rsidR="00E8660E" w:rsidRPr="0035575A" w:rsidRDefault="00E8660E" w:rsidP="00E8660E">
      <w:pPr>
        <w:pStyle w:val="SingleTxtGA"/>
        <w:rPr>
          <w:bCs/>
          <w:lang w:val="ar-SA" w:eastAsia="zh-TW" w:bidi="en-GB"/>
        </w:rPr>
      </w:pPr>
      <w:r>
        <w:rPr>
          <w:rtl/>
        </w:rPr>
        <w:tab/>
      </w:r>
      <w:r w:rsidRPr="00F60D22">
        <w:rPr>
          <w:rtl/>
        </w:rPr>
        <w:t>(أ)</w:t>
      </w:r>
      <w:r w:rsidRPr="00F60D22">
        <w:rPr>
          <w:rtl/>
        </w:rPr>
        <w:tab/>
      </w:r>
      <w:r w:rsidRPr="0035575A">
        <w:rPr>
          <w:bCs/>
          <w:rtl/>
        </w:rPr>
        <w:t>المضي في وضع برامج تدريب إلزامية كي يتسنى اطلاع جميع الموظفين العموميين اطلاعاً جيداً على أحكام الاتفاقية، لا سيما الحظر المطلق للتعذيب، وكي يدركوا تمام الإدراك أنه لن يُتساهل مع الانتهاكات وأنه سيُحقَّق فيها ويقاضى مرتكبوها، ويعاقَبون عقاب</w:t>
      </w:r>
      <w:r w:rsidR="00696EA1" w:rsidRPr="0035575A">
        <w:rPr>
          <w:bCs/>
          <w:rtl/>
        </w:rPr>
        <w:t xml:space="preserve">اً </w:t>
      </w:r>
      <w:r w:rsidRPr="0035575A">
        <w:rPr>
          <w:bCs/>
          <w:rtl/>
        </w:rPr>
        <w:t>مناسب</w:t>
      </w:r>
      <w:r w:rsidR="00696EA1" w:rsidRPr="0035575A">
        <w:rPr>
          <w:bCs/>
          <w:rtl/>
        </w:rPr>
        <w:t xml:space="preserve">اً </w:t>
      </w:r>
      <w:r w:rsidRPr="0035575A">
        <w:rPr>
          <w:bCs/>
          <w:rtl/>
        </w:rPr>
        <w:t>إن ثبتت إدانتهم؛</w:t>
      </w:r>
    </w:p>
    <w:p w14:paraId="4140FBD7" w14:textId="77777777" w:rsidR="00E8660E" w:rsidRPr="0035575A" w:rsidRDefault="00E8660E" w:rsidP="00E8660E">
      <w:pPr>
        <w:pStyle w:val="SingleTxtGA"/>
        <w:rPr>
          <w:bCs/>
        </w:rPr>
      </w:pPr>
      <w:r>
        <w:rPr>
          <w:rtl/>
        </w:rPr>
        <w:lastRenderedPageBreak/>
        <w:tab/>
      </w:r>
      <w:r w:rsidRPr="00F60D22">
        <w:rPr>
          <w:rtl/>
        </w:rPr>
        <w:t>(ب)</w:t>
      </w:r>
      <w:r w:rsidRPr="00F60D22">
        <w:rPr>
          <w:rtl/>
        </w:rPr>
        <w:tab/>
      </w:r>
      <w:r w:rsidRPr="0035575A">
        <w:rPr>
          <w:bCs/>
          <w:rtl/>
        </w:rPr>
        <w:t>العمل على حصول جميع الموظفين المختصين، بمن فيهم الموظفون الطبيون، على تدريب خاص يمكنهم من تحديد حالات التعذيب وسوء المعاملة، وفقاً لبروتوكول اسطنبول؛</w:t>
      </w:r>
    </w:p>
    <w:p w14:paraId="750A33C1" w14:textId="428FFACB" w:rsidR="00E8660E" w:rsidRPr="0035575A" w:rsidRDefault="00E8660E" w:rsidP="00E8660E">
      <w:pPr>
        <w:pStyle w:val="SingleTxtGA"/>
        <w:rPr>
          <w:bCs/>
        </w:rPr>
      </w:pPr>
      <w:r>
        <w:rPr>
          <w:rtl/>
        </w:rPr>
        <w:tab/>
      </w:r>
      <w:r w:rsidRPr="00F60D22">
        <w:rPr>
          <w:rtl/>
        </w:rPr>
        <w:t>(ج)</w:t>
      </w:r>
      <w:r w:rsidRPr="0035575A">
        <w:rPr>
          <w:bCs/>
          <w:rtl/>
        </w:rPr>
        <w:tab/>
        <w:t>توفير دورات تدريبية ممنهجة لجميع موظفي إنفاذ القانون بشأن استخدام القوة، لا</w:t>
      </w:r>
      <w:r w:rsidR="00696EA1" w:rsidRPr="0035575A">
        <w:rPr>
          <w:rFonts w:hint="cs"/>
          <w:bCs/>
          <w:rtl/>
        </w:rPr>
        <w:t> </w:t>
      </w:r>
      <w:r w:rsidRPr="0035575A">
        <w:rPr>
          <w:bCs/>
          <w:rtl/>
        </w:rPr>
        <w:t>سيما في سياق مراقبة المظاهرات، مع المراعاة الواجبة للمبادئ الأساسية بشأن استخدام القوة والأسلحة النارية من جانب الموظفين المكلفين بإنفاذ القوانين؛</w:t>
      </w:r>
    </w:p>
    <w:p w14:paraId="23706C59" w14:textId="77777777" w:rsidR="00E8660E" w:rsidRPr="0035575A" w:rsidRDefault="00E8660E" w:rsidP="00E8660E">
      <w:pPr>
        <w:pStyle w:val="SingleTxtGA"/>
        <w:rPr>
          <w:bCs/>
        </w:rPr>
      </w:pPr>
      <w:r>
        <w:rPr>
          <w:rtl/>
        </w:rPr>
        <w:tab/>
      </w:r>
      <w:r w:rsidRPr="00F60D22">
        <w:rPr>
          <w:rtl/>
        </w:rPr>
        <w:t>(د)</w:t>
      </w:r>
      <w:r w:rsidRPr="00F60D22">
        <w:rPr>
          <w:rtl/>
        </w:rPr>
        <w:tab/>
      </w:r>
      <w:r w:rsidRPr="0035575A">
        <w:rPr>
          <w:bCs/>
          <w:rtl/>
        </w:rPr>
        <w:t>وضع منهجية لتقييم فعالية برامج التعليم والتدريب في تقليل حالات التعذيب وسوء المعاملة وفي التمكين من الكشف عن هذه الأفعال وتوثيقها والتحقيق فيها، إضافة إلى مقاضاة المسؤولين عنها.</w:t>
      </w:r>
    </w:p>
    <w:p w14:paraId="2AF96847" w14:textId="77777777" w:rsidR="00E8660E" w:rsidRPr="0035575A" w:rsidRDefault="00E8660E" w:rsidP="009563BC">
      <w:pPr>
        <w:pStyle w:val="H23GA"/>
        <w:rPr>
          <w:lang w:val="en-US" w:eastAsia="zh-TW" w:bidi="en-GB"/>
        </w:rPr>
      </w:pPr>
      <w:r w:rsidRPr="0035575A">
        <w:rPr>
          <w:rtl/>
        </w:rPr>
        <w:tab/>
      </w:r>
      <w:r w:rsidRPr="0035575A">
        <w:rPr>
          <w:rtl/>
        </w:rPr>
        <w:tab/>
        <w:t xml:space="preserve">الجبر </w:t>
      </w:r>
    </w:p>
    <w:p w14:paraId="293E6618" w14:textId="30456026" w:rsidR="005F70DF" w:rsidRPr="005F70DF" w:rsidRDefault="00E8660E" w:rsidP="00E8660E">
      <w:pPr>
        <w:pStyle w:val="SingleTxtGA"/>
        <w:rPr>
          <w:lang w:val="ar-SA" w:eastAsia="zh-TW" w:bidi="en-GB"/>
        </w:rPr>
      </w:pPr>
      <w:r w:rsidRPr="0035575A">
        <w:rPr>
          <w:rtl/>
        </w:rPr>
        <w:t>47</w:t>
      </w:r>
      <w:r w:rsidRPr="00F60D22">
        <w:rPr>
          <w:rtl/>
        </w:rPr>
        <w:t>-</w:t>
      </w:r>
      <w:r w:rsidRPr="00F60D22">
        <w:rPr>
          <w:rtl/>
        </w:rPr>
        <w:tab/>
        <w:t>تحيط اللجنة علم</w:t>
      </w:r>
      <w:r w:rsidR="00696EA1">
        <w:rPr>
          <w:rtl/>
        </w:rPr>
        <w:t xml:space="preserve">اً </w:t>
      </w:r>
      <w:r w:rsidRPr="00F60D22">
        <w:rPr>
          <w:rtl/>
        </w:rPr>
        <w:t>بأحكام قانون منع التعذيب التي تنص على حق الأشخاص في الحصول على المساعدة القانونية والمطالبة بالتعويض عن التعذيب وسوء المعاملة، غير أنها تأسف للافتقار إلى معلومات عن التطبيق الفعلي لتلك الأحكام، بما في ذلك بيانات عن ضحايا التعذيب وسوء المعاملة الذين جُبر ما أصابهم من أضرار حتى الآن. وتأسف</w:t>
      </w:r>
      <w:r>
        <w:rPr>
          <w:rtl/>
        </w:rPr>
        <w:t xml:space="preserve"> اللجنة</w:t>
      </w:r>
      <w:r w:rsidRPr="00F60D22">
        <w:rPr>
          <w:rtl/>
        </w:rPr>
        <w:t xml:space="preserve"> أيض</w:t>
      </w:r>
      <w:r w:rsidR="00696EA1">
        <w:rPr>
          <w:rtl/>
        </w:rPr>
        <w:t xml:space="preserve">اً </w:t>
      </w:r>
      <w:r w:rsidRPr="00F60D22">
        <w:rPr>
          <w:rtl/>
        </w:rPr>
        <w:t xml:space="preserve">للافتقار إلى معلومات عما إن كان </w:t>
      </w:r>
      <w:r>
        <w:rPr>
          <w:rtl/>
          <w:lang w:val="fr-CH"/>
        </w:rPr>
        <w:t xml:space="preserve">قد </w:t>
      </w:r>
      <w:r w:rsidRPr="00F60D22">
        <w:rPr>
          <w:rtl/>
        </w:rPr>
        <w:t>أُعيدَ تأهيل ضحايا التعذيب تأهيل</w:t>
      </w:r>
      <w:r w:rsidR="00696EA1">
        <w:rPr>
          <w:rtl/>
        </w:rPr>
        <w:t xml:space="preserve">اً </w:t>
      </w:r>
      <w:r w:rsidRPr="00F60D22">
        <w:rPr>
          <w:rtl/>
        </w:rPr>
        <w:t>طبي</w:t>
      </w:r>
      <w:r w:rsidR="00696EA1">
        <w:rPr>
          <w:rtl/>
        </w:rPr>
        <w:t xml:space="preserve">اً </w:t>
      </w:r>
      <w:r w:rsidRPr="00F60D22">
        <w:rPr>
          <w:rtl/>
        </w:rPr>
        <w:t>أو نفسي</w:t>
      </w:r>
      <w:r w:rsidR="00696EA1">
        <w:rPr>
          <w:rtl/>
        </w:rPr>
        <w:t xml:space="preserve">اً </w:t>
      </w:r>
      <w:r>
        <w:rPr>
          <w:rtl/>
        </w:rPr>
        <w:t>و</w:t>
      </w:r>
      <w:r w:rsidRPr="00F60D22">
        <w:rPr>
          <w:rtl/>
        </w:rPr>
        <w:t>اجتماعي</w:t>
      </w:r>
      <w:r w:rsidR="00696EA1">
        <w:rPr>
          <w:rtl/>
        </w:rPr>
        <w:t xml:space="preserve">اً </w:t>
      </w:r>
      <w:r w:rsidRPr="00F60D22">
        <w:rPr>
          <w:rtl/>
        </w:rPr>
        <w:t>إضافة إلى التعويض، وما إن كان</w:t>
      </w:r>
      <w:r>
        <w:rPr>
          <w:rtl/>
        </w:rPr>
        <w:t>ت قد</w:t>
      </w:r>
      <w:r w:rsidRPr="00F60D22">
        <w:rPr>
          <w:rtl/>
        </w:rPr>
        <w:t xml:space="preserve"> وُضع</w:t>
      </w:r>
      <w:r>
        <w:rPr>
          <w:rtl/>
        </w:rPr>
        <w:t>ت</w:t>
      </w:r>
      <w:r w:rsidRPr="00F60D22">
        <w:rPr>
          <w:rtl/>
        </w:rPr>
        <w:t xml:space="preserve"> لهم برامج إعادة تأهيل محددة (المادة </w:t>
      </w:r>
      <w:r w:rsidRPr="0035575A">
        <w:rPr>
          <w:rtl/>
        </w:rPr>
        <w:t>1</w:t>
      </w:r>
      <w:r w:rsidR="005F70DF" w:rsidRPr="0035575A">
        <w:rPr>
          <w:rtl/>
        </w:rPr>
        <w:t>4</w:t>
      </w:r>
      <w:r w:rsidR="005F70DF" w:rsidRPr="005F70DF">
        <w:rPr>
          <w:rtl/>
        </w:rPr>
        <w:t>).</w:t>
      </w:r>
    </w:p>
    <w:p w14:paraId="630D751B" w14:textId="59DF801B" w:rsidR="00E8660E" w:rsidRPr="0035575A" w:rsidRDefault="00E8660E" w:rsidP="00E8660E">
      <w:pPr>
        <w:pStyle w:val="SingleTxtGA"/>
        <w:rPr>
          <w:bCs/>
          <w:lang w:eastAsia="zh-TW" w:bidi="en-GB"/>
        </w:rPr>
      </w:pPr>
      <w:r w:rsidRPr="0035575A">
        <w:rPr>
          <w:rtl/>
        </w:rPr>
        <w:t>48</w:t>
      </w:r>
      <w:r w:rsidRPr="00F60D22">
        <w:rPr>
          <w:rtl/>
        </w:rPr>
        <w:t>-</w:t>
      </w:r>
      <w:r w:rsidRPr="00F60D22">
        <w:rPr>
          <w:rtl/>
        </w:rPr>
        <w:tab/>
      </w:r>
      <w:r w:rsidRPr="0035575A">
        <w:rPr>
          <w:bCs/>
          <w:rtl/>
        </w:rPr>
        <w:t>ينبغي أن تفعل الدولة الطرف ما يلي:</w:t>
      </w:r>
    </w:p>
    <w:p w14:paraId="16526DEB" w14:textId="388F808D" w:rsidR="00E8660E" w:rsidRPr="0035575A" w:rsidRDefault="00E8660E" w:rsidP="00E8660E">
      <w:pPr>
        <w:pStyle w:val="SingleTxtGA"/>
        <w:rPr>
          <w:bCs/>
        </w:rPr>
      </w:pPr>
      <w:r>
        <w:rPr>
          <w:rtl/>
        </w:rPr>
        <w:tab/>
      </w:r>
      <w:r w:rsidRPr="00F60D22">
        <w:rPr>
          <w:rtl/>
        </w:rPr>
        <w:t>(أ)</w:t>
      </w:r>
      <w:r w:rsidRPr="00F60D22">
        <w:rPr>
          <w:rtl/>
        </w:rPr>
        <w:tab/>
      </w:r>
      <w:r w:rsidRPr="0035575A">
        <w:rPr>
          <w:bCs/>
          <w:rtl/>
        </w:rPr>
        <w:t>تماشي</w:t>
      </w:r>
      <w:r w:rsidR="00696EA1" w:rsidRPr="0035575A">
        <w:rPr>
          <w:bCs/>
          <w:rtl/>
        </w:rPr>
        <w:t xml:space="preserve">اً </w:t>
      </w:r>
      <w:r w:rsidRPr="0035575A">
        <w:rPr>
          <w:bCs/>
          <w:rtl/>
        </w:rPr>
        <w:t>مع المادة 14 من الاتفاقية، تجميع ونشر إحصاءات محدّثة عن عدد ضحايا التعذيب وسوء المعاملة الذين جُبر ما أصابهم من أضرار، بما في ذلك إعادة التأهيل الطبي أو</w:t>
      </w:r>
      <w:r w:rsidR="00696EA1" w:rsidRPr="0035575A">
        <w:rPr>
          <w:rFonts w:hint="cs"/>
          <w:bCs/>
          <w:rtl/>
        </w:rPr>
        <w:t> </w:t>
      </w:r>
      <w:r w:rsidRPr="0035575A">
        <w:rPr>
          <w:bCs/>
          <w:rtl/>
        </w:rPr>
        <w:t>النفسي والاجتماعي والتعويض، وعن أشكال هذا الجبر والنتائج المحققة؛</w:t>
      </w:r>
    </w:p>
    <w:p w14:paraId="734F936E" w14:textId="77777777" w:rsidR="00E8660E" w:rsidRPr="0035575A" w:rsidRDefault="00E8660E" w:rsidP="00E8660E">
      <w:pPr>
        <w:pStyle w:val="SingleTxtGA"/>
        <w:rPr>
          <w:bCs/>
        </w:rPr>
      </w:pPr>
      <w:r>
        <w:rPr>
          <w:rtl/>
        </w:rPr>
        <w:tab/>
      </w:r>
      <w:r w:rsidRPr="00F60D22">
        <w:rPr>
          <w:rtl/>
        </w:rPr>
        <w:t>(ب)</w:t>
      </w:r>
      <w:r w:rsidRPr="00F60D22">
        <w:rPr>
          <w:rtl/>
        </w:rPr>
        <w:tab/>
      </w:r>
      <w:r w:rsidRPr="0035575A">
        <w:rPr>
          <w:bCs/>
          <w:rtl/>
        </w:rPr>
        <w:t xml:space="preserve">اتخاذ التدابير التشريعية والإدارية اللازمة لتمكين ضحايا التعذيب أو سوء المعاملة أو عائلاتهم أو محامي الدفاع عنهم من رفع دعاوى مدنية للمطالبة بالتعويض، بغض النظر عن أي دعوى جنائية قد تكون رُفعت أو اكتملت؛ </w:t>
      </w:r>
    </w:p>
    <w:p w14:paraId="4ED7D29B" w14:textId="77777777" w:rsidR="00E8660E" w:rsidRPr="0035575A" w:rsidRDefault="00E8660E" w:rsidP="00E8660E">
      <w:pPr>
        <w:pStyle w:val="SingleTxtGA"/>
        <w:rPr>
          <w:bCs/>
        </w:rPr>
      </w:pPr>
      <w:r>
        <w:rPr>
          <w:rtl/>
        </w:rPr>
        <w:tab/>
      </w:r>
      <w:r w:rsidRPr="00F60D22">
        <w:rPr>
          <w:rtl/>
        </w:rPr>
        <w:t>(ج)</w:t>
      </w:r>
      <w:r w:rsidRPr="00F60D22">
        <w:rPr>
          <w:rtl/>
        </w:rPr>
        <w:tab/>
      </w:r>
      <w:r w:rsidRPr="0035575A">
        <w:rPr>
          <w:bCs/>
          <w:rtl/>
        </w:rPr>
        <w:t>إجراء تقييم شامل لاحتياجات الضحايا والعمل على التعجيل بإتاحة خدمات متخصصة لإعادة التأهيل مزوّدة بموارد كافية.</w:t>
      </w:r>
    </w:p>
    <w:p w14:paraId="48B750A9" w14:textId="77777777" w:rsidR="00E8660E" w:rsidRPr="0035575A" w:rsidRDefault="00E8660E" w:rsidP="009563BC">
      <w:pPr>
        <w:pStyle w:val="H23GA"/>
        <w:rPr>
          <w:lang w:eastAsia="zh-TW" w:bidi="en-GB"/>
        </w:rPr>
      </w:pPr>
      <w:r w:rsidRPr="0035575A">
        <w:rPr>
          <w:rtl/>
        </w:rPr>
        <w:tab/>
      </w:r>
      <w:r w:rsidRPr="0035575A">
        <w:rPr>
          <w:rtl/>
        </w:rPr>
        <w:tab/>
        <w:t>إجراءات المتابعة</w:t>
      </w:r>
    </w:p>
    <w:p w14:paraId="3B9E40C1" w14:textId="36ADEA0F" w:rsidR="00E8660E" w:rsidRPr="0035575A" w:rsidRDefault="00E8660E" w:rsidP="00E8660E">
      <w:pPr>
        <w:pStyle w:val="SingleTxtGA"/>
        <w:rPr>
          <w:bCs/>
          <w:lang w:val="ar-SA" w:eastAsia="zh-TW" w:bidi="en-GB"/>
        </w:rPr>
      </w:pPr>
      <w:r w:rsidRPr="0035575A">
        <w:rPr>
          <w:rtl/>
        </w:rPr>
        <w:t>49</w:t>
      </w:r>
      <w:r w:rsidRPr="00F60D22">
        <w:rPr>
          <w:rtl/>
        </w:rPr>
        <w:t>-</w:t>
      </w:r>
      <w:r w:rsidRPr="00F60D22">
        <w:rPr>
          <w:rtl/>
        </w:rPr>
        <w:tab/>
      </w:r>
      <w:r w:rsidRPr="0035575A">
        <w:rPr>
          <w:bCs/>
          <w:rtl/>
        </w:rPr>
        <w:t>تطلب اللجنة إلى الدولة الطرف أن تقدم، بحلول 13 أيار/مايو 2023، معلومات عن متابعتها توصيات اللجنة بشأن القتل خارج نطاق القضاء والاختفاء القسري والإفراط في استخدام القوة؛ واللجنة الوطنية لحقوق الانسان؛ وتشويه الأعضاء التناسلية الأنثوية (انظر الفقرات 12(أ) و14 و40 أعلاه</w:t>
      </w:r>
      <w:r w:rsidR="005F70DF" w:rsidRPr="0035575A">
        <w:rPr>
          <w:bCs/>
          <w:rtl/>
        </w:rPr>
        <w:t xml:space="preserve">). </w:t>
      </w:r>
      <w:r w:rsidRPr="0035575A">
        <w:rPr>
          <w:bCs/>
          <w:rtl/>
        </w:rPr>
        <w:t>وفي هذا السياق، تدعو اللجنة الدولة الطرف إلى إعلامها بما لديها من خطط لتنفيذ بعض التوصيات المتبقية الواردة في الملاحظات الختامية أو جميعها، خلال الفترة المشمولة بالتقرير المقبل.</w:t>
      </w:r>
    </w:p>
    <w:p w14:paraId="41271264" w14:textId="77777777" w:rsidR="00E8660E" w:rsidRPr="0035575A" w:rsidRDefault="00E8660E" w:rsidP="009563BC">
      <w:pPr>
        <w:pStyle w:val="H23GA"/>
        <w:rPr>
          <w:lang w:val="ar-SA" w:eastAsia="zh-TW" w:bidi="en-GB"/>
        </w:rPr>
      </w:pPr>
      <w:r w:rsidRPr="0035575A">
        <w:rPr>
          <w:rtl/>
        </w:rPr>
        <w:tab/>
      </w:r>
      <w:r w:rsidRPr="0035575A">
        <w:rPr>
          <w:rtl/>
        </w:rPr>
        <w:tab/>
        <w:t>مسائل أخرى</w:t>
      </w:r>
    </w:p>
    <w:p w14:paraId="12F95DD9" w14:textId="5CA0681F" w:rsidR="00E8660E" w:rsidRPr="0035575A" w:rsidRDefault="00E8660E" w:rsidP="00E8660E">
      <w:pPr>
        <w:pStyle w:val="SingleTxtGA"/>
        <w:rPr>
          <w:bCs/>
          <w:lang w:val="en-US" w:eastAsia="zh-TW" w:bidi="en-GB"/>
        </w:rPr>
      </w:pPr>
      <w:r w:rsidRPr="0035575A">
        <w:rPr>
          <w:rtl/>
        </w:rPr>
        <w:t>50</w:t>
      </w:r>
      <w:r w:rsidRPr="00F60D22">
        <w:rPr>
          <w:rtl/>
        </w:rPr>
        <w:t>-</w:t>
      </w:r>
      <w:r w:rsidRPr="00F60D22">
        <w:rPr>
          <w:rtl/>
        </w:rPr>
        <w:tab/>
      </w:r>
      <w:r w:rsidRPr="0035575A">
        <w:rPr>
          <w:bCs/>
          <w:rtl/>
        </w:rPr>
        <w:t>تشجع اللجنة الدولة الطرف على النظر في إصدار الإعلانين المنصوص عليهما في المادتين</w:t>
      </w:r>
      <w:r w:rsidR="009563BC" w:rsidRPr="0035575A">
        <w:rPr>
          <w:rFonts w:hint="cs"/>
          <w:bCs/>
          <w:rtl/>
        </w:rPr>
        <w:t> </w:t>
      </w:r>
      <w:r w:rsidRPr="0035575A">
        <w:rPr>
          <w:bCs/>
          <w:rtl/>
        </w:rPr>
        <w:t xml:space="preserve">21 و22 من الاتفاقية. </w:t>
      </w:r>
    </w:p>
    <w:p w14:paraId="0392074E" w14:textId="627EE28E" w:rsidR="00E8660E" w:rsidRPr="0035575A" w:rsidRDefault="00E8660E" w:rsidP="00E8660E">
      <w:pPr>
        <w:pStyle w:val="SingleTxtGA"/>
        <w:rPr>
          <w:bCs/>
          <w:lang w:val="ar-SA" w:eastAsia="zh-TW" w:bidi="en-GB"/>
        </w:rPr>
      </w:pPr>
      <w:r w:rsidRPr="0035575A">
        <w:rPr>
          <w:rtl/>
        </w:rPr>
        <w:lastRenderedPageBreak/>
        <w:t>51</w:t>
      </w:r>
      <w:r w:rsidRPr="00F60D22">
        <w:rPr>
          <w:rtl/>
        </w:rPr>
        <w:t>-</w:t>
      </w:r>
      <w:r w:rsidRPr="00F60D22">
        <w:rPr>
          <w:rtl/>
        </w:rPr>
        <w:tab/>
      </w:r>
      <w:r w:rsidRPr="0035575A">
        <w:rPr>
          <w:bCs/>
          <w:rtl/>
        </w:rPr>
        <w:t>ويُطلب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اللجنة بما تضطلع به من أنشطة النشر.</w:t>
      </w:r>
    </w:p>
    <w:p w14:paraId="142EFB07" w14:textId="6A1A3997" w:rsidR="00E8660E" w:rsidRPr="0035575A" w:rsidRDefault="00E8660E" w:rsidP="00E8660E">
      <w:pPr>
        <w:pStyle w:val="SingleTxtGA"/>
        <w:rPr>
          <w:bCs/>
          <w:szCs w:val="20"/>
          <w:lang w:val="ar-SA" w:eastAsia="zh-TW" w:bidi="en-GB"/>
        </w:rPr>
      </w:pPr>
      <w:r w:rsidRPr="0035575A">
        <w:rPr>
          <w:rtl/>
        </w:rPr>
        <w:t>52</w:t>
      </w:r>
      <w:r w:rsidRPr="00F60D22">
        <w:rPr>
          <w:rtl/>
        </w:rPr>
        <w:t>-</w:t>
      </w:r>
      <w:r w:rsidRPr="00F60D22">
        <w:rPr>
          <w:rtl/>
        </w:rPr>
        <w:tab/>
      </w:r>
      <w:r w:rsidRPr="0035575A">
        <w:rPr>
          <w:bCs/>
          <w:rtl/>
        </w:rPr>
        <w:t>والدولة الطرف مدعوة إلى تقديم تقريرها الدوري الرابع بحلول 13 أيار/مايو 202</w:t>
      </w:r>
      <w:r w:rsidR="005F70DF" w:rsidRPr="0035575A">
        <w:rPr>
          <w:bCs/>
          <w:rtl/>
        </w:rPr>
        <w:t xml:space="preserve">6. </w:t>
      </w:r>
      <w:r w:rsidRPr="0035575A">
        <w:rPr>
          <w:bCs/>
          <w:rtl/>
        </w:rPr>
        <w:t>ولهذا</w:t>
      </w:r>
      <w:r w:rsidR="009563BC" w:rsidRPr="0035575A">
        <w:rPr>
          <w:rFonts w:hint="cs"/>
          <w:bCs/>
          <w:rtl/>
        </w:rPr>
        <w:t> </w:t>
      </w:r>
      <w:r w:rsidRPr="0035575A">
        <w:rPr>
          <w:bCs/>
          <w:rtl/>
        </w:rPr>
        <w:t>الغرض، وبالنظر إلى أن الدولة الطرف وافقت على تقديم تقاريرها إلى اللجنة عملاً بالإجراء</w:t>
      </w:r>
      <w:r w:rsidR="009563BC" w:rsidRPr="0035575A">
        <w:rPr>
          <w:rFonts w:hint="cs"/>
          <w:bCs/>
          <w:rtl/>
        </w:rPr>
        <w:t> </w:t>
      </w:r>
      <w:r w:rsidRPr="0035575A">
        <w:rPr>
          <w:bCs/>
          <w:rtl/>
        </w:rPr>
        <w:t>المبسط لتقديم التقارير، ف</w:t>
      </w:r>
      <w:r w:rsidR="00B56890" w:rsidRPr="0035575A">
        <w:rPr>
          <w:rFonts w:hint="cs"/>
          <w:bCs/>
          <w:rtl/>
        </w:rPr>
        <w:t>إ</w:t>
      </w:r>
      <w:r w:rsidRPr="0035575A">
        <w:rPr>
          <w:bCs/>
          <w:rtl/>
        </w:rPr>
        <w:t>ن اللجنة ستحيل إليها، في الوقت المناسب، قائمة مسائل قبل تقديم تقريرها. وستشكل ردود الدولة الطرف على قائمة المسائل هذه تقريرها الدوري الرابع بموجب المادة 19 من ا</w:t>
      </w:r>
      <w:r w:rsidR="00D916D9" w:rsidRPr="0035575A">
        <w:rPr>
          <w:rFonts w:hint="cs"/>
          <w:bCs/>
          <w:rtl/>
        </w:rPr>
        <w:t>لاتفاقية</w:t>
      </w:r>
      <w:r w:rsidRPr="0035575A">
        <w:rPr>
          <w:bCs/>
          <w:rtl/>
        </w:rPr>
        <w:t>.</w:t>
      </w:r>
    </w:p>
    <w:p w14:paraId="2AEDB533" w14:textId="7C4D1C85" w:rsidR="009563BC" w:rsidRPr="009563BC" w:rsidRDefault="009563BC" w:rsidP="009563BC">
      <w:pPr>
        <w:pStyle w:val="SingleTxtGA"/>
        <w:jc w:val="center"/>
        <w:rPr>
          <w:u w:val="single"/>
          <w:rtl/>
        </w:rPr>
      </w:pPr>
      <w:r>
        <w:rPr>
          <w:u w:val="single"/>
          <w:rtl/>
        </w:rPr>
        <w:tab/>
      </w:r>
      <w:r>
        <w:rPr>
          <w:u w:val="single"/>
          <w:rtl/>
        </w:rPr>
        <w:tab/>
      </w:r>
      <w:r>
        <w:rPr>
          <w:u w:val="single"/>
          <w:rtl/>
        </w:rPr>
        <w:tab/>
      </w:r>
    </w:p>
    <w:sectPr w:rsidR="009563BC" w:rsidRPr="009563BC" w:rsidSect="00C0743E">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DBCA2" w14:textId="77777777" w:rsidR="00D7702C" w:rsidRPr="002901D9" w:rsidRDefault="00D7702C" w:rsidP="00874514">
      <w:pPr>
        <w:spacing w:after="60" w:line="240" w:lineRule="auto"/>
        <w:ind w:left="57"/>
        <w:rPr>
          <w:i/>
          <w:iCs/>
        </w:rPr>
      </w:pPr>
      <w:r>
        <w:rPr>
          <w:rFonts w:hint="cs"/>
          <w:i/>
          <w:iCs/>
          <w:rtl/>
        </w:rPr>
        <w:t>الحواشي</w:t>
      </w:r>
    </w:p>
  </w:endnote>
  <w:endnote w:type="continuationSeparator" w:id="0">
    <w:p w14:paraId="3DE1B61D" w14:textId="77777777" w:rsidR="00D7702C" w:rsidRDefault="00D7702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3AF8C" w14:textId="08090674" w:rsidR="00C77AB5" w:rsidRPr="00C77AB5" w:rsidRDefault="00C77AB5" w:rsidP="00C77AB5">
    <w:pPr>
      <w:pStyle w:val="Footer"/>
      <w:tabs>
        <w:tab w:val="right" w:pos="9638"/>
      </w:tabs>
      <w:rPr>
        <w:b/>
        <w:sz w:val="18"/>
        <w:lang w:val="en-US"/>
      </w:rPr>
    </w:pPr>
    <w:r>
      <w:rPr>
        <w:lang w:val="en-US"/>
      </w:rPr>
      <w:t>GE.22-08156</w:t>
    </w:r>
    <w:r>
      <w:rPr>
        <w:lang w:val="en-US"/>
      </w:rPr>
      <w:tab/>
    </w:r>
    <w:r w:rsidRPr="00C77AB5">
      <w:rPr>
        <w:b/>
        <w:sz w:val="18"/>
        <w:lang w:val="en-US"/>
      </w:rPr>
      <w:fldChar w:fldCharType="begin"/>
    </w:r>
    <w:r w:rsidRPr="00C77AB5">
      <w:rPr>
        <w:b/>
        <w:sz w:val="18"/>
        <w:lang w:val="en-US"/>
      </w:rPr>
      <w:instrText xml:space="preserve"> PAGE  \* MERGEFORMAT </w:instrText>
    </w:r>
    <w:r w:rsidRPr="00C77AB5">
      <w:rPr>
        <w:b/>
        <w:sz w:val="18"/>
        <w:lang w:val="en-US"/>
      </w:rPr>
      <w:fldChar w:fldCharType="separate"/>
    </w:r>
    <w:r w:rsidRPr="00C77AB5">
      <w:rPr>
        <w:b/>
        <w:noProof/>
        <w:sz w:val="18"/>
        <w:lang w:val="en-US"/>
      </w:rPr>
      <w:t>2</w:t>
    </w:r>
    <w:r w:rsidRPr="00C77AB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BED88" w14:textId="65F40293" w:rsidR="006959B0" w:rsidRPr="00C77AB5" w:rsidRDefault="00C77AB5" w:rsidP="00C77AB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GE.22-08156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122F7" w14:textId="24C7C3F5" w:rsidR="00261289" w:rsidRPr="00C77AB5" w:rsidRDefault="00C77AB5" w:rsidP="00C77AB5">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016B7B35" wp14:editId="1A9E6E9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22-08156 (A)</w:t>
    </w:r>
    <w:r>
      <w:rPr>
        <w:noProof/>
        <w:sz w:val="20"/>
        <w:lang w:val="en-US"/>
      </w:rPr>
      <w:drawing>
        <wp:anchor distT="0" distB="0" distL="114300" distR="114300" simplePos="0" relativeHeight="251659264" behindDoc="0" locked="0" layoutInCell="1" allowOverlap="1" wp14:anchorId="24630891" wp14:editId="619A8329">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4BA6B8" w14:textId="77777777" w:rsidR="00D7702C" w:rsidRPr="00C111C6" w:rsidRDefault="00D7702C"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03F2F5A" w14:textId="77777777" w:rsidR="00D7702C" w:rsidRDefault="00D7702C" w:rsidP="00656392">
      <w:pPr>
        <w:spacing w:line="240" w:lineRule="auto"/>
      </w:pPr>
      <w:r>
        <w:continuationSeparator/>
      </w:r>
    </w:p>
  </w:footnote>
  <w:footnote w:id="1">
    <w:p w14:paraId="503FBFDA" w14:textId="07E1510B" w:rsidR="001C35E3" w:rsidRPr="001C35E3" w:rsidRDefault="001C35E3" w:rsidP="001C35E3">
      <w:pPr>
        <w:pStyle w:val="FootnoteText1"/>
        <w:rPr>
          <w:rFonts w:eastAsiaTheme="minorEastAsia"/>
          <w:rtl/>
        </w:rPr>
      </w:pPr>
      <w:r w:rsidRPr="009B04FF">
        <w:rPr>
          <w:rFonts w:eastAsiaTheme="minorEastAsia"/>
          <w:sz w:val="22"/>
          <w:szCs w:val="22"/>
          <w:rtl/>
        </w:rPr>
        <w:t>*</w:t>
      </w:r>
      <w:r w:rsidRPr="001C35E3">
        <w:rPr>
          <w:rFonts w:eastAsiaTheme="minorEastAsia"/>
          <w:rtl/>
        </w:rPr>
        <w:tab/>
        <w:t>اعتمدتها اللجنة في دورتها الثالثة والسبعين (</w:t>
      </w:r>
      <w:r w:rsidRPr="0035575A">
        <w:rPr>
          <w:rFonts w:eastAsiaTheme="minorEastAsia"/>
          <w:rtl/>
        </w:rPr>
        <w:t>19</w:t>
      </w:r>
      <w:r w:rsidRPr="001C35E3">
        <w:rPr>
          <w:rFonts w:eastAsiaTheme="minorEastAsia"/>
          <w:rtl/>
        </w:rPr>
        <w:t xml:space="preserve"> نيسان/أبريل - </w:t>
      </w:r>
      <w:r w:rsidRPr="0035575A">
        <w:rPr>
          <w:rFonts w:eastAsiaTheme="minorEastAsia"/>
          <w:rtl/>
        </w:rPr>
        <w:t>13</w:t>
      </w:r>
      <w:r w:rsidRPr="001C35E3">
        <w:rPr>
          <w:rFonts w:eastAsiaTheme="minorEastAsia"/>
          <w:rtl/>
        </w:rPr>
        <w:t xml:space="preserve"> أيار/مايو </w:t>
      </w:r>
      <w:r w:rsidRPr="0035575A">
        <w:rPr>
          <w:rFonts w:eastAsiaTheme="minorEastAsia"/>
          <w:rtl/>
        </w:rPr>
        <w:t>2022</w:t>
      </w:r>
      <w:r w:rsidR="005F70DF" w:rsidRPr="005F70DF">
        <w:rPr>
          <w:rFonts w:eastAsiaTheme="minorEastAsia"/>
          <w:rtl/>
        </w:rPr>
        <w:t xml:space="preserve">). </w:t>
      </w:r>
    </w:p>
  </w:footnote>
  <w:footnote w:id="2">
    <w:p w14:paraId="2A91D842" w14:textId="77777777" w:rsidR="005F70DF" w:rsidRPr="001C35E3" w:rsidRDefault="005F70DF" w:rsidP="005F70DF">
      <w:pPr>
        <w:pStyle w:val="FootnoteText1"/>
        <w:textDirection w:val="tbRlV"/>
        <w:rPr>
          <w:rFonts w:eastAsiaTheme="minorEastAsia"/>
          <w:lang w:eastAsia="zh-TW" w:bidi="en-GB"/>
        </w:rPr>
      </w:pPr>
      <w:r w:rsidRPr="001C35E3">
        <w:rPr>
          <w:rFonts w:eastAsiaTheme="minorEastAsia" w:hint="cs"/>
          <w:rtl/>
        </w:rPr>
        <w:t>(</w:t>
      </w:r>
      <w:r w:rsidRPr="0035575A">
        <w:rPr>
          <w:rStyle w:val="FootnoteReference"/>
          <w:rFonts w:eastAsiaTheme="minorEastAsia"/>
          <w:vertAlign w:val="baseline"/>
        </w:rPr>
        <w:footnoteRef/>
      </w:r>
      <w:r w:rsidRPr="001C35E3">
        <w:rPr>
          <w:rFonts w:eastAsiaTheme="minorEastAsia" w:hint="cs"/>
          <w:rtl/>
        </w:rPr>
        <w:t>)</w:t>
      </w:r>
      <w:r w:rsidRPr="001C35E3">
        <w:rPr>
          <w:rFonts w:eastAsiaTheme="minorEastAsia"/>
          <w:rtl/>
        </w:rPr>
        <w:tab/>
      </w:r>
      <w:hyperlink r:id="rId1" w:history="1">
        <w:r w:rsidRPr="005F70DF">
          <w:rPr>
            <w:rStyle w:val="Hyperlink"/>
            <w:lang w:val="en-AU"/>
          </w:rPr>
          <w:t>CAT/C/KEN/</w:t>
        </w:r>
        <w:r w:rsidRPr="0035575A">
          <w:rPr>
            <w:rStyle w:val="Hyperlink"/>
            <w:lang w:val="en-AU"/>
          </w:rPr>
          <w:t>3</w:t>
        </w:r>
      </w:hyperlink>
      <w:r w:rsidRPr="005F70DF">
        <w:rPr>
          <w:rFonts w:eastAsiaTheme="minorEastAsia"/>
          <w:rtl/>
        </w:rPr>
        <w:t xml:space="preserve">. </w:t>
      </w:r>
    </w:p>
  </w:footnote>
  <w:footnote w:id="3">
    <w:p w14:paraId="5FB8F21D" w14:textId="77777777" w:rsidR="005F70DF" w:rsidRPr="009B04FF" w:rsidRDefault="005F70DF" w:rsidP="005F70DF">
      <w:pPr>
        <w:pStyle w:val="FootnoteText1"/>
        <w:textDirection w:val="tbRlV"/>
        <w:rPr>
          <w:rFonts w:eastAsiaTheme="minorEastAsia"/>
          <w:lang w:eastAsia="zh-TW" w:bidi="en-GB"/>
        </w:rPr>
      </w:pPr>
      <w:r w:rsidRPr="001C35E3">
        <w:rPr>
          <w:rFonts w:eastAsiaTheme="minorEastAsia" w:hint="cs"/>
          <w:rtl/>
        </w:rPr>
        <w:t>(</w:t>
      </w:r>
      <w:r w:rsidRPr="0035575A">
        <w:rPr>
          <w:rStyle w:val="FootnoteReference"/>
          <w:rFonts w:eastAsiaTheme="minorEastAsia"/>
          <w:vertAlign w:val="baseline"/>
        </w:rPr>
        <w:footnoteRef/>
      </w:r>
      <w:r w:rsidRPr="001C35E3">
        <w:rPr>
          <w:rFonts w:eastAsiaTheme="minorEastAsia" w:hint="cs"/>
          <w:rtl/>
        </w:rPr>
        <w:t>)</w:t>
      </w:r>
      <w:r w:rsidRPr="001C35E3">
        <w:rPr>
          <w:rFonts w:eastAsiaTheme="minorEastAsia"/>
          <w:rtl/>
        </w:rPr>
        <w:tab/>
        <w:t xml:space="preserve">انظر </w:t>
      </w:r>
      <w:hyperlink r:id="rId2" w:history="1">
        <w:r w:rsidRPr="005F70DF">
          <w:rPr>
            <w:rStyle w:val="Hyperlink"/>
            <w:lang w:val="en-AU"/>
          </w:rPr>
          <w:t>CAT/C/SR.</w:t>
        </w:r>
        <w:r w:rsidRPr="0035575A">
          <w:rPr>
            <w:rStyle w:val="Hyperlink"/>
            <w:lang w:val="en-AU"/>
          </w:rPr>
          <w:t>1897</w:t>
        </w:r>
      </w:hyperlink>
      <w:r w:rsidRPr="001C35E3">
        <w:rPr>
          <w:rFonts w:eastAsiaTheme="minorEastAsia"/>
          <w:rtl/>
        </w:rPr>
        <w:t xml:space="preserve"> و</w:t>
      </w:r>
      <w:hyperlink r:id="rId3" w:history="1">
        <w:r w:rsidRPr="005F70DF">
          <w:rPr>
            <w:rStyle w:val="Hyperlink"/>
            <w:lang w:val="en-AU"/>
          </w:rPr>
          <w:t>CAT/C/SR.</w:t>
        </w:r>
        <w:r w:rsidRPr="0035575A">
          <w:rPr>
            <w:rStyle w:val="Hyperlink"/>
            <w:lang w:val="en-AU"/>
          </w:rPr>
          <w:t>1900</w:t>
        </w:r>
      </w:hyperlink>
      <w:r w:rsidRPr="005F70DF">
        <w:rPr>
          <w:rFonts w:eastAsiaTheme="minorEastAsia"/>
          <w:rtl/>
        </w:rPr>
        <w:t xml:space="preserve">. </w:t>
      </w:r>
    </w:p>
  </w:footnote>
  <w:footnote w:id="4">
    <w:p w14:paraId="5427AA32" w14:textId="77777777" w:rsidR="005F70DF" w:rsidRPr="001C35E3" w:rsidRDefault="005F70DF" w:rsidP="005F70DF">
      <w:pPr>
        <w:pStyle w:val="FootnoteText1"/>
        <w:textDirection w:val="tbRlV"/>
        <w:rPr>
          <w:rFonts w:eastAsiaTheme="minorEastAsia"/>
          <w:lang w:eastAsia="zh-TW" w:bidi="en-GB"/>
        </w:rPr>
      </w:pPr>
      <w:r w:rsidRPr="001C35E3">
        <w:rPr>
          <w:rFonts w:eastAsiaTheme="minorEastAsia"/>
          <w:rtl/>
        </w:rPr>
        <w:t>(</w:t>
      </w:r>
      <w:r w:rsidRPr="0035575A">
        <w:rPr>
          <w:rStyle w:val="FootnoteReference"/>
          <w:rFonts w:eastAsiaTheme="minorEastAsia"/>
          <w:vertAlign w:val="baseline"/>
        </w:rPr>
        <w:footnoteRef/>
      </w:r>
      <w:r w:rsidRPr="001C35E3">
        <w:rPr>
          <w:rStyle w:val="FootnoteReference"/>
          <w:rFonts w:eastAsiaTheme="minorEastAsia"/>
          <w:vertAlign w:val="baseline"/>
          <w:rtl/>
        </w:rPr>
        <w:t>)</w:t>
      </w:r>
      <w:r w:rsidRPr="001C35E3">
        <w:rPr>
          <w:rStyle w:val="FootnoteReference"/>
          <w:rFonts w:eastAsiaTheme="minorEastAsia"/>
          <w:vertAlign w:val="baseline"/>
          <w:rtl/>
        </w:rPr>
        <w:tab/>
      </w:r>
      <w:hyperlink r:id="rId4" w:history="1">
        <w:r w:rsidRPr="00975757">
          <w:rPr>
            <w:rStyle w:val="Hyperlink"/>
            <w:lang w:val="en-AU"/>
          </w:rPr>
          <w:t>CAT/C/KEN/CO/</w:t>
        </w:r>
        <w:r w:rsidRPr="0035575A">
          <w:rPr>
            <w:rStyle w:val="Hyperlink"/>
            <w:lang w:val="en-AU"/>
          </w:rPr>
          <w:t>2</w:t>
        </w:r>
      </w:hyperlink>
      <w:r w:rsidRPr="001C35E3">
        <w:rPr>
          <w:rFonts w:eastAsiaTheme="minorEastAsia"/>
          <w:rtl/>
        </w:rPr>
        <w:t xml:space="preserve">، الفقرات </w:t>
      </w:r>
      <w:r w:rsidRPr="0035575A">
        <w:rPr>
          <w:rFonts w:eastAsiaTheme="minorEastAsia"/>
          <w:rtl/>
        </w:rPr>
        <w:t>9</w:t>
      </w:r>
      <w:r w:rsidRPr="001C35E3">
        <w:rPr>
          <w:rFonts w:eastAsiaTheme="minorEastAsia"/>
          <w:rtl/>
        </w:rPr>
        <w:t xml:space="preserve"> و</w:t>
      </w:r>
      <w:r w:rsidRPr="0035575A">
        <w:rPr>
          <w:rFonts w:eastAsiaTheme="minorEastAsia"/>
          <w:rtl/>
        </w:rPr>
        <w:t>10</w:t>
      </w:r>
      <w:r w:rsidRPr="001C35E3">
        <w:rPr>
          <w:rFonts w:eastAsiaTheme="minorEastAsia"/>
          <w:rtl/>
        </w:rPr>
        <w:t xml:space="preserve"> و</w:t>
      </w:r>
      <w:r w:rsidRPr="0035575A">
        <w:rPr>
          <w:rFonts w:eastAsiaTheme="minorEastAsia"/>
          <w:rtl/>
        </w:rPr>
        <w:t>17</w:t>
      </w:r>
      <w:r w:rsidRPr="001C35E3">
        <w:rPr>
          <w:rFonts w:eastAsiaTheme="minorEastAsia"/>
          <w:rtl/>
        </w:rPr>
        <w:t xml:space="preserve"> و</w:t>
      </w:r>
      <w:r w:rsidRPr="0035575A">
        <w:rPr>
          <w:rFonts w:eastAsiaTheme="minorEastAsia"/>
          <w:rtl/>
        </w:rPr>
        <w:t>18</w:t>
      </w:r>
      <w:r w:rsidRPr="001C35E3">
        <w:rPr>
          <w:rFonts w:eastAsiaTheme="minorEastAsia"/>
          <w:rtl/>
        </w:rPr>
        <w:t xml:space="preserve"> و</w:t>
      </w:r>
      <w:hyperlink r:id="rId5" w:history="1">
        <w:r w:rsidRPr="005F70DF">
          <w:rPr>
            <w:rStyle w:val="Hyperlink"/>
            <w:lang w:val="en-AU"/>
          </w:rPr>
          <w:t>CAT/C/KEN/CO/</w:t>
        </w:r>
        <w:r w:rsidRPr="0035575A">
          <w:rPr>
            <w:rStyle w:val="Hyperlink"/>
            <w:lang w:val="en-AU"/>
          </w:rPr>
          <w:t>2</w:t>
        </w:r>
        <w:r w:rsidRPr="005F70DF">
          <w:rPr>
            <w:rStyle w:val="Hyperlink"/>
            <w:lang w:val="en-AU"/>
          </w:rPr>
          <w:t>/Corr.</w:t>
        </w:r>
        <w:r w:rsidRPr="0035575A">
          <w:rPr>
            <w:rStyle w:val="Hyperlink"/>
            <w:lang w:val="en-AU"/>
          </w:rPr>
          <w:t>1</w:t>
        </w:r>
        <w:r w:rsidRPr="005F70DF">
          <w:rPr>
            <w:rStyle w:val="Hyperlink"/>
            <w:rtl/>
            <w:lang w:val="en-AU"/>
          </w:rPr>
          <w:t>.</w:t>
        </w:r>
      </w:hyperlink>
    </w:p>
  </w:footnote>
  <w:footnote w:id="5">
    <w:p w14:paraId="0173BE47" w14:textId="77777777" w:rsidR="005F70DF" w:rsidRPr="001C35E3" w:rsidRDefault="005F70DF" w:rsidP="005F70DF">
      <w:pPr>
        <w:pStyle w:val="FootnoteText1"/>
        <w:textDirection w:val="tbRlV"/>
        <w:rPr>
          <w:rFonts w:eastAsiaTheme="minorEastAsia"/>
          <w:lang w:eastAsia="zh-TW" w:bidi="en-GB"/>
        </w:rPr>
      </w:pPr>
      <w:r w:rsidRPr="001C35E3">
        <w:rPr>
          <w:rFonts w:eastAsiaTheme="minorEastAsia"/>
          <w:rtl/>
        </w:rPr>
        <w:t>(</w:t>
      </w:r>
      <w:r w:rsidRPr="0035575A">
        <w:rPr>
          <w:rStyle w:val="FootnoteReference"/>
          <w:rFonts w:eastAsiaTheme="minorEastAsia"/>
          <w:vertAlign w:val="baseline"/>
        </w:rPr>
        <w:footnoteRef/>
      </w:r>
      <w:r w:rsidRPr="001C35E3">
        <w:rPr>
          <w:rStyle w:val="FootnoteReference"/>
          <w:rFonts w:eastAsiaTheme="minorEastAsia"/>
          <w:vertAlign w:val="baseline"/>
          <w:rtl/>
        </w:rPr>
        <w:t>)</w:t>
      </w:r>
      <w:r w:rsidRPr="001C35E3">
        <w:rPr>
          <w:rFonts w:eastAsiaTheme="minorEastAsia"/>
          <w:rtl/>
        </w:rPr>
        <w:tab/>
      </w:r>
      <w:hyperlink r:id="rId6" w:history="1">
        <w:r w:rsidRPr="005F70DF">
          <w:rPr>
            <w:rStyle w:val="Hyperlink"/>
            <w:lang w:val="en-AU"/>
          </w:rPr>
          <w:t>CAT/C/KEN/CO/</w:t>
        </w:r>
        <w:r w:rsidRPr="0035575A">
          <w:rPr>
            <w:rStyle w:val="Hyperlink"/>
            <w:lang w:val="en-AU"/>
          </w:rPr>
          <w:t>2</w:t>
        </w:r>
        <w:r w:rsidRPr="005F70DF">
          <w:rPr>
            <w:rStyle w:val="Hyperlink"/>
            <w:lang w:val="en-AU"/>
          </w:rPr>
          <w:t>/Add.</w:t>
        </w:r>
        <w:r w:rsidRPr="0035575A">
          <w:rPr>
            <w:rStyle w:val="Hyperlink"/>
            <w:lang w:val="en-AU"/>
          </w:rPr>
          <w:t>1</w:t>
        </w:r>
        <w:r w:rsidRPr="005F70DF">
          <w:rPr>
            <w:rStyle w:val="Hyperlink"/>
            <w:rtl/>
            <w:lang w:val="en-AU"/>
          </w:rPr>
          <w:t>.</w:t>
        </w:r>
      </w:hyperlink>
    </w:p>
  </w:footnote>
  <w:footnote w:id="6">
    <w:p w14:paraId="0D3B74E0" w14:textId="5116529B" w:rsidR="005F70DF" w:rsidRDefault="005F70DF" w:rsidP="005F70DF">
      <w:pPr>
        <w:pStyle w:val="FootnoteText1"/>
        <w:jc w:val="left"/>
        <w:textDirection w:val="tbRlV"/>
        <w:rPr>
          <w:rFonts w:eastAsiaTheme="minorEastAsia"/>
          <w:lang w:eastAsia="zh-TW" w:bidi="en-GB"/>
        </w:rPr>
      </w:pPr>
      <w:r w:rsidRPr="001C35E3">
        <w:rPr>
          <w:rFonts w:eastAsiaTheme="minorEastAsia"/>
          <w:rtl/>
        </w:rPr>
        <w:t>(</w:t>
      </w:r>
      <w:r w:rsidRPr="0035575A">
        <w:rPr>
          <w:rStyle w:val="FootnoteReference"/>
          <w:rFonts w:eastAsiaTheme="minorEastAsia"/>
          <w:vertAlign w:val="baseline"/>
        </w:rPr>
        <w:footnoteRef/>
      </w:r>
      <w:r w:rsidRPr="001C35E3">
        <w:rPr>
          <w:rStyle w:val="FootnoteReference"/>
          <w:rFonts w:eastAsiaTheme="minorEastAsia"/>
          <w:vertAlign w:val="baseline"/>
          <w:rtl/>
        </w:rPr>
        <w:t>)</w:t>
      </w:r>
      <w:r w:rsidRPr="001C35E3">
        <w:rPr>
          <w:rFonts w:eastAsiaTheme="minorEastAsia"/>
          <w:rtl/>
        </w:rPr>
        <w:tab/>
        <w:t xml:space="preserve">انظر </w:t>
      </w:r>
    </w:p>
    <w:p w14:paraId="7909B5C3" w14:textId="4336B9E0" w:rsidR="005F70DF" w:rsidRPr="005F70DF" w:rsidRDefault="000F6121" w:rsidP="005F70DF">
      <w:pPr>
        <w:pStyle w:val="FootnoteText1"/>
        <w:ind w:firstLine="0"/>
        <w:jc w:val="left"/>
        <w:textDirection w:val="tbRlV"/>
        <w:rPr>
          <w:rFonts w:eastAsiaTheme="minorEastAsia"/>
          <w:rtl/>
          <w:lang w:eastAsia="zh-TW" w:bidi="en-GB"/>
        </w:rPr>
      </w:pPr>
      <w:hyperlink r:id="rId7" w:history="1">
        <w:r w:rsidR="005F70DF" w:rsidRPr="008242CA">
          <w:rPr>
            <w:rStyle w:val="Hyperlink"/>
          </w:rPr>
          <w:t>h</w:t>
        </w:r>
        <w:r w:rsidR="005F70DF" w:rsidRPr="005F70DF">
          <w:rPr>
            <w:rStyle w:val="Hyperlink"/>
            <w:spacing w:val="-2"/>
          </w:rPr>
          <w:t>ttps://tbinternet.ohchr.org/_layouts/</w:t>
        </w:r>
        <w:r w:rsidR="005F70DF" w:rsidRPr="0035575A">
          <w:rPr>
            <w:rStyle w:val="Hyperlink"/>
            <w:spacing w:val="-2"/>
          </w:rPr>
          <w:t>15</w:t>
        </w:r>
        <w:r w:rsidR="005F70DF" w:rsidRPr="005F70DF">
          <w:rPr>
            <w:rStyle w:val="Hyperlink"/>
            <w:spacing w:val="-2"/>
          </w:rPr>
          <w:t>/treatybodyexternal/Download.aspx?symbolno=INT%</w:t>
        </w:r>
        <w:r w:rsidR="005F70DF" w:rsidRPr="0035575A">
          <w:rPr>
            <w:rStyle w:val="Hyperlink"/>
            <w:spacing w:val="-2"/>
          </w:rPr>
          <w:t>2</w:t>
        </w:r>
        <w:r w:rsidR="005F70DF" w:rsidRPr="005F70DF">
          <w:rPr>
            <w:rStyle w:val="Hyperlink"/>
            <w:spacing w:val="-2"/>
          </w:rPr>
          <w:t>fCA</w:t>
        </w:r>
        <w:r w:rsidR="005F70DF" w:rsidRPr="008242CA">
          <w:rPr>
            <w:rStyle w:val="Hyperlink"/>
          </w:rPr>
          <w:t>T%</w:t>
        </w:r>
        <w:r w:rsidR="005F70DF" w:rsidRPr="0035575A">
          <w:rPr>
            <w:rStyle w:val="Hyperlink"/>
          </w:rPr>
          <w:t>2</w:t>
        </w:r>
        <w:r w:rsidR="005F70DF" w:rsidRPr="008242CA">
          <w:rPr>
            <w:rStyle w:val="Hyperlink"/>
          </w:rPr>
          <w:t>fFUL%</w:t>
        </w:r>
        <w:r w:rsidR="005F70DF" w:rsidRPr="0035575A">
          <w:rPr>
            <w:rStyle w:val="Hyperlink"/>
          </w:rPr>
          <w:t>2</w:t>
        </w:r>
        <w:r w:rsidR="005F70DF" w:rsidRPr="008242CA">
          <w:rPr>
            <w:rStyle w:val="Hyperlink"/>
          </w:rPr>
          <w:t>fKEN%</w:t>
        </w:r>
        <w:r w:rsidR="005F70DF" w:rsidRPr="0035575A">
          <w:rPr>
            <w:rStyle w:val="Hyperlink"/>
          </w:rPr>
          <w:t>2</w:t>
        </w:r>
        <w:r w:rsidR="005F70DF" w:rsidRPr="008242CA">
          <w:rPr>
            <w:rStyle w:val="Hyperlink"/>
          </w:rPr>
          <w:t>f</w:t>
        </w:r>
        <w:r w:rsidR="005F70DF" w:rsidRPr="0035575A">
          <w:rPr>
            <w:rStyle w:val="Hyperlink"/>
          </w:rPr>
          <w:t>25016</w:t>
        </w:r>
        <w:r w:rsidR="005F70DF" w:rsidRPr="008242CA">
          <w:rPr>
            <w:rStyle w:val="Hyperlink"/>
          </w:rPr>
          <w:t>&amp;Lang=en</w:t>
        </w:r>
      </w:hyperlink>
      <w:r w:rsidR="005F70DF">
        <w:rPr>
          <w:rStyle w:val="Hyperlink"/>
          <w:rFonts w:hint="cs"/>
          <w:rtl/>
        </w:rPr>
        <w:t>.</w:t>
      </w:r>
    </w:p>
  </w:footnote>
  <w:footnote w:id="7">
    <w:p w14:paraId="5D1A4986" w14:textId="77777777" w:rsidR="005F70DF" w:rsidRPr="001C35E3" w:rsidRDefault="005F70DF" w:rsidP="005F70DF">
      <w:pPr>
        <w:pStyle w:val="FootnoteText1"/>
        <w:textDirection w:val="tbRlV"/>
        <w:rPr>
          <w:rFonts w:eastAsiaTheme="minorEastAsia"/>
          <w:lang w:val="ar-SA" w:eastAsia="zh-TW" w:bidi="en-GB"/>
        </w:rPr>
      </w:pPr>
      <w:r w:rsidRPr="001C35E3">
        <w:rPr>
          <w:rFonts w:eastAsiaTheme="minorEastAsia"/>
          <w:rtl/>
        </w:rPr>
        <w:t>(</w:t>
      </w:r>
      <w:r w:rsidRPr="0035575A">
        <w:rPr>
          <w:rStyle w:val="FootnoteReference"/>
          <w:rFonts w:eastAsiaTheme="minorEastAsia"/>
          <w:vertAlign w:val="baseline"/>
        </w:rPr>
        <w:footnoteRef/>
      </w:r>
      <w:r w:rsidRPr="001C35E3">
        <w:rPr>
          <w:rStyle w:val="FootnoteReference"/>
          <w:rFonts w:eastAsiaTheme="minorEastAsia"/>
          <w:vertAlign w:val="baseline"/>
          <w:rtl/>
        </w:rPr>
        <w:t>)</w:t>
      </w:r>
      <w:r w:rsidRPr="001C35E3">
        <w:rPr>
          <w:rStyle w:val="FootnoteReference"/>
          <w:rFonts w:eastAsiaTheme="minorEastAsia"/>
          <w:vertAlign w:val="baseline"/>
          <w:rtl/>
        </w:rPr>
        <w:tab/>
      </w:r>
      <w:hyperlink r:id="rId8" w:history="1">
        <w:r w:rsidRPr="00975757">
          <w:rPr>
            <w:rStyle w:val="Hyperlink"/>
            <w:lang w:val="en-AU"/>
          </w:rPr>
          <w:t>CAT/C/KEN/CO/</w:t>
        </w:r>
        <w:r w:rsidRPr="0035575A">
          <w:rPr>
            <w:rStyle w:val="Hyperlink"/>
            <w:lang w:val="en-AU"/>
          </w:rPr>
          <w:t>2</w:t>
        </w:r>
      </w:hyperlink>
      <w:r w:rsidRPr="001C35E3">
        <w:rPr>
          <w:rFonts w:eastAsiaTheme="minorEastAsia"/>
          <w:rtl/>
        </w:rPr>
        <w:t xml:space="preserve">، الفقرة </w:t>
      </w:r>
      <w:r w:rsidRPr="0035575A">
        <w:rPr>
          <w:rFonts w:eastAsiaTheme="minorEastAsia"/>
          <w:rtl/>
        </w:rPr>
        <w:t>17</w:t>
      </w:r>
      <w:r w:rsidRPr="001C35E3">
        <w:rPr>
          <w:rFonts w:eastAsiaTheme="minorEastAsia"/>
          <w:rtl/>
        </w:rPr>
        <w:t>.</w:t>
      </w:r>
    </w:p>
  </w:footnote>
  <w:footnote w:id="8">
    <w:p w14:paraId="65C3AD87" w14:textId="77777777" w:rsidR="005F70DF" w:rsidRPr="001C35E3" w:rsidRDefault="005F70DF" w:rsidP="0076108D">
      <w:pPr>
        <w:pStyle w:val="FootnoteText1"/>
        <w:textDirection w:val="tbRlV"/>
        <w:rPr>
          <w:rFonts w:eastAsiaTheme="minorEastAsia"/>
          <w:lang w:eastAsia="zh-TW" w:bidi="en-GB"/>
        </w:rPr>
      </w:pPr>
      <w:r w:rsidRPr="001C35E3">
        <w:rPr>
          <w:rFonts w:eastAsiaTheme="minorEastAsia"/>
          <w:rtl/>
        </w:rPr>
        <w:t>(</w:t>
      </w:r>
      <w:r w:rsidRPr="0035575A">
        <w:rPr>
          <w:rStyle w:val="FootnoteReference"/>
          <w:rFonts w:eastAsiaTheme="minorEastAsia"/>
          <w:vertAlign w:val="baseline"/>
        </w:rPr>
        <w:footnoteRef/>
      </w:r>
      <w:r w:rsidRPr="001C35E3">
        <w:rPr>
          <w:rStyle w:val="FootnoteReference"/>
          <w:rFonts w:eastAsiaTheme="minorEastAsia"/>
          <w:vertAlign w:val="baseline"/>
          <w:rtl/>
        </w:rPr>
        <w:t>)</w:t>
      </w:r>
      <w:r w:rsidRPr="001C35E3">
        <w:rPr>
          <w:rStyle w:val="FootnoteReference"/>
          <w:rFonts w:eastAsiaTheme="minorEastAsia"/>
          <w:vertAlign w:val="baseline"/>
          <w:rtl/>
        </w:rPr>
        <w:tab/>
      </w:r>
      <w:r w:rsidRPr="001C35E3">
        <w:rPr>
          <w:rFonts w:eastAsiaTheme="minorEastAsia"/>
          <w:rtl/>
        </w:rPr>
        <w:t>المرجع نفسه.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D198B" w14:textId="188645AD" w:rsidR="00C77AB5" w:rsidRPr="00C77AB5" w:rsidRDefault="00C77AB5" w:rsidP="00C77AB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F6121">
      <w:t>CAT/C/KEN/CO/3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D8D1E" w14:textId="11780C3E" w:rsidR="00C77AB5" w:rsidRPr="00C77AB5" w:rsidRDefault="00C77AB5" w:rsidP="00C77AB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F6121">
      <w:t>CAT/C/KEN/CO/3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D9192"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02C"/>
    <w:rsid w:val="000076D5"/>
    <w:rsid w:val="00043663"/>
    <w:rsid w:val="000456F3"/>
    <w:rsid w:val="000505CF"/>
    <w:rsid w:val="000A2113"/>
    <w:rsid w:val="000D701C"/>
    <w:rsid w:val="000E11D4"/>
    <w:rsid w:val="000E2A71"/>
    <w:rsid w:val="000F465D"/>
    <w:rsid w:val="000F6121"/>
    <w:rsid w:val="000F71D2"/>
    <w:rsid w:val="00143C39"/>
    <w:rsid w:val="00160263"/>
    <w:rsid w:val="00166BD2"/>
    <w:rsid w:val="00167825"/>
    <w:rsid w:val="00170EB3"/>
    <w:rsid w:val="00181F96"/>
    <w:rsid w:val="001A1371"/>
    <w:rsid w:val="001B346A"/>
    <w:rsid w:val="001C35E3"/>
    <w:rsid w:val="001D6F7B"/>
    <w:rsid w:val="001E1CAD"/>
    <w:rsid w:val="001E290D"/>
    <w:rsid w:val="00210DD4"/>
    <w:rsid w:val="002144FA"/>
    <w:rsid w:val="0023469A"/>
    <w:rsid w:val="00234B54"/>
    <w:rsid w:val="00243C8A"/>
    <w:rsid w:val="00261289"/>
    <w:rsid w:val="00266034"/>
    <w:rsid w:val="0026755E"/>
    <w:rsid w:val="00267A0E"/>
    <w:rsid w:val="002901D9"/>
    <w:rsid w:val="002976C2"/>
    <w:rsid w:val="00323EC8"/>
    <w:rsid w:val="003260FF"/>
    <w:rsid w:val="00343D95"/>
    <w:rsid w:val="0035575A"/>
    <w:rsid w:val="00362E33"/>
    <w:rsid w:val="00374341"/>
    <w:rsid w:val="00384DA7"/>
    <w:rsid w:val="003D1062"/>
    <w:rsid w:val="00420D7B"/>
    <w:rsid w:val="00450B21"/>
    <w:rsid w:val="00453B63"/>
    <w:rsid w:val="00455780"/>
    <w:rsid w:val="00462F28"/>
    <w:rsid w:val="00472BE8"/>
    <w:rsid w:val="004811D5"/>
    <w:rsid w:val="004956DC"/>
    <w:rsid w:val="004B0A1C"/>
    <w:rsid w:val="004D2177"/>
    <w:rsid w:val="004D298E"/>
    <w:rsid w:val="00531DEA"/>
    <w:rsid w:val="0054472E"/>
    <w:rsid w:val="005662A9"/>
    <w:rsid w:val="00575E9A"/>
    <w:rsid w:val="005827D4"/>
    <w:rsid w:val="0059622A"/>
    <w:rsid w:val="005A3015"/>
    <w:rsid w:val="005C5878"/>
    <w:rsid w:val="005C7CEA"/>
    <w:rsid w:val="005D3C0B"/>
    <w:rsid w:val="005E23DF"/>
    <w:rsid w:val="005E5217"/>
    <w:rsid w:val="005F0FA4"/>
    <w:rsid w:val="005F30EE"/>
    <w:rsid w:val="005F70DF"/>
    <w:rsid w:val="0060473A"/>
    <w:rsid w:val="00636EA5"/>
    <w:rsid w:val="00656392"/>
    <w:rsid w:val="006646E9"/>
    <w:rsid w:val="006712E0"/>
    <w:rsid w:val="0068781D"/>
    <w:rsid w:val="006959B0"/>
    <w:rsid w:val="00696EA1"/>
    <w:rsid w:val="006B2A7F"/>
    <w:rsid w:val="006B3E27"/>
    <w:rsid w:val="006B6507"/>
    <w:rsid w:val="006C104C"/>
    <w:rsid w:val="006D05CB"/>
    <w:rsid w:val="00706DFD"/>
    <w:rsid w:val="00712059"/>
    <w:rsid w:val="00733704"/>
    <w:rsid w:val="0074737D"/>
    <w:rsid w:val="0076108D"/>
    <w:rsid w:val="00761849"/>
    <w:rsid w:val="0078071A"/>
    <w:rsid w:val="007A3847"/>
    <w:rsid w:val="007D56C1"/>
    <w:rsid w:val="00817373"/>
    <w:rsid w:val="00840574"/>
    <w:rsid w:val="00852A9A"/>
    <w:rsid w:val="00860491"/>
    <w:rsid w:val="00867E10"/>
    <w:rsid w:val="00874514"/>
    <w:rsid w:val="00893A8A"/>
    <w:rsid w:val="00897AA1"/>
    <w:rsid w:val="008C0B37"/>
    <w:rsid w:val="008F49E1"/>
    <w:rsid w:val="0090370F"/>
    <w:rsid w:val="00906A57"/>
    <w:rsid w:val="009269D2"/>
    <w:rsid w:val="00942135"/>
    <w:rsid w:val="009521B0"/>
    <w:rsid w:val="009563BC"/>
    <w:rsid w:val="00972676"/>
    <w:rsid w:val="00975757"/>
    <w:rsid w:val="00981C12"/>
    <w:rsid w:val="009A7E9F"/>
    <w:rsid w:val="009B04FF"/>
    <w:rsid w:val="009E4397"/>
    <w:rsid w:val="009E5018"/>
    <w:rsid w:val="009F09F5"/>
    <w:rsid w:val="00A12B37"/>
    <w:rsid w:val="00A34EA8"/>
    <w:rsid w:val="00A44D86"/>
    <w:rsid w:val="00A67AF5"/>
    <w:rsid w:val="00A94CA3"/>
    <w:rsid w:val="00AB2C0B"/>
    <w:rsid w:val="00AB6758"/>
    <w:rsid w:val="00AF1187"/>
    <w:rsid w:val="00B07715"/>
    <w:rsid w:val="00B13763"/>
    <w:rsid w:val="00B456A0"/>
    <w:rsid w:val="00B477A4"/>
    <w:rsid w:val="00B54045"/>
    <w:rsid w:val="00B56890"/>
    <w:rsid w:val="00B82677"/>
    <w:rsid w:val="00BA39D4"/>
    <w:rsid w:val="00BD0805"/>
    <w:rsid w:val="00C0743E"/>
    <w:rsid w:val="00C07444"/>
    <w:rsid w:val="00C111C6"/>
    <w:rsid w:val="00C438D7"/>
    <w:rsid w:val="00C62476"/>
    <w:rsid w:val="00C64C7B"/>
    <w:rsid w:val="00C77AB5"/>
    <w:rsid w:val="00C81B50"/>
    <w:rsid w:val="00C87F1F"/>
    <w:rsid w:val="00C96AFF"/>
    <w:rsid w:val="00CA2103"/>
    <w:rsid w:val="00CA35DF"/>
    <w:rsid w:val="00CD1801"/>
    <w:rsid w:val="00CE363A"/>
    <w:rsid w:val="00CF25FC"/>
    <w:rsid w:val="00CF43DF"/>
    <w:rsid w:val="00D10EF1"/>
    <w:rsid w:val="00D26894"/>
    <w:rsid w:val="00D317F1"/>
    <w:rsid w:val="00D3653E"/>
    <w:rsid w:val="00D42810"/>
    <w:rsid w:val="00D7702C"/>
    <w:rsid w:val="00D867EE"/>
    <w:rsid w:val="00D914A7"/>
    <w:rsid w:val="00D916D9"/>
    <w:rsid w:val="00DB712F"/>
    <w:rsid w:val="00DC1D29"/>
    <w:rsid w:val="00DD13C3"/>
    <w:rsid w:val="00DD596E"/>
    <w:rsid w:val="00DD621E"/>
    <w:rsid w:val="00DF0575"/>
    <w:rsid w:val="00E2697F"/>
    <w:rsid w:val="00E64B72"/>
    <w:rsid w:val="00E70E04"/>
    <w:rsid w:val="00E76499"/>
    <w:rsid w:val="00E8660E"/>
    <w:rsid w:val="00EB7170"/>
    <w:rsid w:val="00EC05A7"/>
    <w:rsid w:val="00EC4B6B"/>
    <w:rsid w:val="00EE56C3"/>
    <w:rsid w:val="00EF1EE5"/>
    <w:rsid w:val="00F158EB"/>
    <w:rsid w:val="00F1695F"/>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4B75E3A"/>
  <w15:docId w15:val="{5CA50487-132E-4EDB-AFEB-648C18866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8E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F158EB"/>
    <w:pPr>
      <w:bidi w:val="0"/>
      <w:outlineLvl w:val="0"/>
    </w:pPr>
  </w:style>
  <w:style w:type="paragraph" w:styleId="Heading2">
    <w:name w:val="heading 2"/>
    <w:basedOn w:val="Normal"/>
    <w:next w:val="Normal"/>
    <w:link w:val="Heading2Char"/>
    <w:uiPriority w:val="9"/>
    <w:unhideWhenUsed/>
    <w:rsid w:val="00F158E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158EB"/>
    <w:pPr>
      <w:keepNext/>
      <w:keepLines/>
      <w:spacing w:before="200"/>
      <w:outlineLvl w:val="2"/>
    </w:pPr>
    <w:rPr>
      <w:b/>
      <w:bCs/>
      <w:color w:val="4F81BD"/>
    </w:rPr>
  </w:style>
  <w:style w:type="paragraph" w:styleId="Heading4">
    <w:name w:val="heading 4"/>
    <w:basedOn w:val="Normal"/>
    <w:next w:val="Normal"/>
    <w:link w:val="Heading4Char"/>
    <w:uiPriority w:val="9"/>
    <w:unhideWhenUsed/>
    <w:rsid w:val="00F158E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158EB"/>
    <w:pPr>
      <w:keepNext/>
      <w:keepLines/>
      <w:spacing w:before="200"/>
      <w:outlineLvl w:val="4"/>
    </w:pPr>
    <w:rPr>
      <w:color w:val="243F60"/>
    </w:rPr>
  </w:style>
  <w:style w:type="paragraph" w:styleId="Heading6">
    <w:name w:val="heading 6"/>
    <w:basedOn w:val="Normal"/>
    <w:next w:val="Normal"/>
    <w:link w:val="Heading6Char"/>
    <w:uiPriority w:val="9"/>
    <w:unhideWhenUsed/>
    <w:rsid w:val="00F158EB"/>
    <w:pPr>
      <w:keepNext/>
      <w:keepLines/>
      <w:spacing w:before="200"/>
      <w:outlineLvl w:val="5"/>
    </w:pPr>
    <w:rPr>
      <w:i/>
      <w:iCs/>
      <w:color w:val="243F60"/>
    </w:rPr>
  </w:style>
  <w:style w:type="paragraph" w:styleId="Heading7">
    <w:name w:val="heading 7"/>
    <w:basedOn w:val="Normal"/>
    <w:next w:val="Normal"/>
    <w:link w:val="Heading7Char"/>
    <w:uiPriority w:val="9"/>
    <w:unhideWhenUsed/>
    <w:rsid w:val="00F158EB"/>
    <w:pPr>
      <w:keepNext/>
      <w:keepLines/>
      <w:spacing w:before="200"/>
      <w:outlineLvl w:val="6"/>
    </w:pPr>
    <w:rPr>
      <w:i/>
      <w:iCs/>
      <w:color w:val="404040"/>
    </w:rPr>
  </w:style>
  <w:style w:type="paragraph" w:styleId="Heading8">
    <w:name w:val="heading 8"/>
    <w:basedOn w:val="Normal"/>
    <w:next w:val="Normal"/>
    <w:link w:val="Heading8Char"/>
    <w:uiPriority w:val="9"/>
    <w:unhideWhenUsed/>
    <w:rsid w:val="00F158E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158E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158EB"/>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158EB"/>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link w:val="Char2"/>
    <w:qFormat/>
    <w:rsid w:val="00F158EB"/>
    <w:rPr>
      <w:szCs w:val="18"/>
      <w:vertAlign w:val="superscript"/>
    </w:rPr>
  </w:style>
  <w:style w:type="paragraph" w:customStyle="1" w:styleId="HMGA">
    <w:name w:val="_ H __M_GA"/>
    <w:basedOn w:val="Normal"/>
    <w:next w:val="SingleTxtGA"/>
    <w:qFormat/>
    <w:rsid w:val="00F158E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158E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158E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158E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158E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158E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158E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158E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158E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158E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158E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158E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158E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158EB"/>
    <w:pPr>
      <w:numPr>
        <w:numId w:val="5"/>
      </w:numPr>
      <w:bidi w:val="0"/>
    </w:pPr>
    <w:rPr>
      <w:lang w:val="en-US"/>
    </w:rPr>
  </w:style>
  <w:style w:type="paragraph" w:customStyle="1" w:styleId="Roman1GA">
    <w:name w:val="_Roman 1_GA"/>
    <w:basedOn w:val="Bullet1GA"/>
    <w:qFormat/>
    <w:rsid w:val="00F158EB"/>
    <w:pPr>
      <w:numPr>
        <w:numId w:val="6"/>
      </w:numPr>
      <w:tabs>
        <w:tab w:val="clear" w:pos="2310"/>
        <w:tab w:val="left" w:pos="2486"/>
      </w:tabs>
      <w:ind w:left="2486" w:hanging="378"/>
    </w:pPr>
  </w:style>
  <w:style w:type="paragraph" w:customStyle="1" w:styleId="Roman2GA">
    <w:name w:val="_Roman 2_GA"/>
    <w:basedOn w:val="Bullet2GA"/>
    <w:qFormat/>
    <w:rsid w:val="00F158E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158E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158E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F158E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158EB"/>
    <w:pPr>
      <w:suppressAutoHyphens/>
      <w:bidi w:val="0"/>
      <w:spacing w:line="240" w:lineRule="auto"/>
    </w:pPr>
    <w:rPr>
      <w:sz w:val="16"/>
      <w:lang w:val="en-GB"/>
    </w:rPr>
  </w:style>
  <w:style w:type="character" w:customStyle="1" w:styleId="FooterChar">
    <w:name w:val="Footer Char"/>
    <w:aliases w:val="3_GA Char,3_G Char"/>
    <w:link w:val="Footer"/>
    <w:rsid w:val="00F158E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F158E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158E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F158E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F158EB"/>
    <w:rPr>
      <w:rFonts w:ascii="Times New Roman" w:eastAsia="PMingLiU" w:hAnsi="Times New Roman" w:cs="Simplified Arabic"/>
      <w:sz w:val="22"/>
      <w:szCs w:val="22"/>
      <w:lang w:val="en-GB" w:eastAsia="en-US"/>
    </w:rPr>
  </w:style>
  <w:style w:type="character" w:styleId="PageNumber">
    <w:name w:val="page number"/>
    <w:aliases w:val="7_GA,7_G"/>
    <w:qFormat/>
    <w:rsid w:val="00F158EB"/>
    <w:rPr>
      <w:rFonts w:ascii="Times New Roman Bold" w:hAnsi="Times New Roman Bold"/>
      <w:b/>
      <w:i w:val="0"/>
      <w:sz w:val="18"/>
      <w:szCs w:val="18"/>
    </w:rPr>
  </w:style>
  <w:style w:type="paragraph" w:customStyle="1" w:styleId="XXLargeGA">
    <w:name w:val="XXLarge_GA"/>
    <w:basedOn w:val="Normal"/>
    <w:next w:val="SingleTxtGA"/>
    <w:qFormat/>
    <w:rsid w:val="00F158EB"/>
    <w:pPr>
      <w:suppressAutoHyphens/>
      <w:spacing w:line="820" w:lineRule="exact"/>
    </w:pPr>
    <w:rPr>
      <w:spacing w:val="-8"/>
      <w:w w:val="96"/>
      <w:sz w:val="57"/>
      <w:szCs w:val="86"/>
      <w:lang w:val="en-GB"/>
    </w:rPr>
  </w:style>
  <w:style w:type="character" w:customStyle="1" w:styleId="Heading2Char">
    <w:name w:val="Heading 2 Char"/>
    <w:link w:val="Heading2"/>
    <w:uiPriority w:val="9"/>
    <w:rsid w:val="00F158EB"/>
    <w:rPr>
      <w:rFonts w:ascii="Times New Roman" w:eastAsia="PMingLiU" w:hAnsi="Times New Roman" w:cs="Simplified Arabic"/>
      <w:b/>
      <w:bCs/>
      <w:color w:val="4F81BD"/>
      <w:sz w:val="26"/>
      <w:szCs w:val="26"/>
      <w:lang w:eastAsia="en-US"/>
    </w:rPr>
  </w:style>
  <w:style w:type="character" w:styleId="BookTitle">
    <w:name w:val="Book Title"/>
    <w:uiPriority w:val="33"/>
    <w:rsid w:val="00F158EB"/>
    <w:rPr>
      <w:b/>
      <w:bCs/>
      <w:smallCaps/>
      <w:spacing w:val="5"/>
    </w:rPr>
  </w:style>
  <w:style w:type="character" w:customStyle="1" w:styleId="Heading3Char">
    <w:name w:val="Heading 3 Char"/>
    <w:link w:val="Heading3"/>
    <w:uiPriority w:val="9"/>
    <w:rsid w:val="00F158E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F158E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F158E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F158E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F158E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F158EB"/>
    <w:rPr>
      <w:rFonts w:ascii="Times New Roman" w:eastAsia="PMingLiU" w:hAnsi="Times New Roman" w:cs="Simplified Arabic"/>
      <w:color w:val="404040"/>
      <w:lang w:eastAsia="en-US"/>
    </w:rPr>
  </w:style>
  <w:style w:type="character" w:customStyle="1" w:styleId="Heading9Char">
    <w:name w:val="Heading 9 Char"/>
    <w:link w:val="Heading9"/>
    <w:uiPriority w:val="9"/>
    <w:rsid w:val="00F158E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F158E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158E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F158EB"/>
    <w:pPr>
      <w:numPr>
        <w:ilvl w:val="1"/>
      </w:numPr>
    </w:pPr>
    <w:rPr>
      <w:i/>
      <w:iCs/>
      <w:color w:val="4F81BD"/>
      <w:spacing w:val="15"/>
      <w:sz w:val="24"/>
      <w:szCs w:val="24"/>
    </w:rPr>
  </w:style>
  <w:style w:type="character" w:customStyle="1" w:styleId="SubtitleChar">
    <w:name w:val="Subtitle Char"/>
    <w:link w:val="Subtitle"/>
    <w:uiPriority w:val="11"/>
    <w:rsid w:val="00F158EB"/>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F158EB"/>
    <w:rPr>
      <w:i/>
      <w:iCs/>
      <w:color w:val="808080"/>
    </w:rPr>
  </w:style>
  <w:style w:type="table" w:styleId="ColorfulGrid-Accent6">
    <w:name w:val="Colorful Grid Accent 6"/>
    <w:basedOn w:val="TableNormal"/>
    <w:uiPriority w:val="73"/>
    <w:rsid w:val="00F158EB"/>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158EB"/>
    <w:rPr>
      <w:i/>
      <w:iCs/>
    </w:rPr>
  </w:style>
  <w:style w:type="character" w:styleId="IntenseEmphasis">
    <w:name w:val="Intense Emphasis"/>
    <w:uiPriority w:val="21"/>
    <w:rsid w:val="00F158EB"/>
    <w:rPr>
      <w:b/>
      <w:bCs/>
      <w:i/>
      <w:iCs/>
      <w:color w:val="4F81BD"/>
    </w:rPr>
  </w:style>
  <w:style w:type="character" w:styleId="Strong">
    <w:name w:val="Strong"/>
    <w:uiPriority w:val="22"/>
    <w:rsid w:val="00F158EB"/>
    <w:rPr>
      <w:b/>
      <w:bCs/>
    </w:rPr>
  </w:style>
  <w:style w:type="paragraph" w:styleId="Quote">
    <w:name w:val="Quote"/>
    <w:basedOn w:val="Normal"/>
    <w:next w:val="Normal"/>
    <w:link w:val="QuoteChar"/>
    <w:uiPriority w:val="29"/>
    <w:rsid w:val="00F158EB"/>
    <w:rPr>
      <w:i/>
      <w:iCs/>
      <w:color w:val="000000"/>
    </w:rPr>
  </w:style>
  <w:style w:type="character" w:customStyle="1" w:styleId="QuoteChar">
    <w:name w:val="Quote Char"/>
    <w:link w:val="Quote"/>
    <w:uiPriority w:val="29"/>
    <w:rsid w:val="00F158EB"/>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F158E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158EB"/>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F158EB"/>
    <w:rPr>
      <w:smallCaps/>
      <w:color w:val="C0504D"/>
      <w:u w:val="single"/>
    </w:rPr>
  </w:style>
  <w:style w:type="character" w:styleId="IntenseReference">
    <w:name w:val="Intense Reference"/>
    <w:uiPriority w:val="32"/>
    <w:rsid w:val="00F158EB"/>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F158EB"/>
    <w:pPr>
      <w:ind w:left="720"/>
    </w:pPr>
  </w:style>
  <w:style w:type="table" w:styleId="MediumShading1-Accent4">
    <w:name w:val="Medium Shading 1 Accent 4"/>
    <w:basedOn w:val="TableNormal"/>
    <w:uiPriority w:val="63"/>
    <w:rsid w:val="00F158EB"/>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158EB"/>
    <w:rPr>
      <w:rFonts w:eastAsia="MS Mincho"/>
      <w:sz w:val="18"/>
      <w:vertAlign w:val="superscript"/>
    </w:rPr>
  </w:style>
  <w:style w:type="table" w:styleId="TableGrid">
    <w:name w:val="Table Grid"/>
    <w:basedOn w:val="TableNormal"/>
    <w:rsid w:val="00F158E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158EB"/>
    <w:pPr>
      <w:spacing w:line="240" w:lineRule="auto"/>
    </w:pPr>
    <w:rPr>
      <w:sz w:val="16"/>
      <w:szCs w:val="16"/>
    </w:rPr>
  </w:style>
  <w:style w:type="character" w:customStyle="1" w:styleId="BalloonTextChar">
    <w:name w:val="Balloon Text Char"/>
    <w:link w:val="BalloonText"/>
    <w:uiPriority w:val="99"/>
    <w:semiHidden/>
    <w:rsid w:val="00F158EB"/>
    <w:rPr>
      <w:rFonts w:ascii="Times New Roman" w:eastAsia="PMingLiU" w:hAnsi="Times New Roman" w:cs="Simplified Arabic"/>
      <w:sz w:val="16"/>
      <w:szCs w:val="16"/>
      <w:lang w:eastAsia="en-US"/>
    </w:rPr>
  </w:style>
  <w:style w:type="character" w:styleId="Hyperlink">
    <w:name w:val="Hyperlink"/>
    <w:unhideWhenUsed/>
    <w:rsid w:val="00F158EB"/>
    <w:rPr>
      <w:color w:val="0000FF"/>
      <w:u w:val="none"/>
    </w:rPr>
  </w:style>
  <w:style w:type="paragraph" w:styleId="TOC1">
    <w:name w:val="toc 1"/>
    <w:basedOn w:val="Normal"/>
    <w:link w:val="TOC1Char"/>
    <w:autoRedefine/>
    <w:uiPriority w:val="39"/>
    <w:unhideWhenUsed/>
    <w:rsid w:val="00F158E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158E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158E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158EB"/>
    <w:rPr>
      <w:rFonts w:eastAsia="DengXian"/>
      <w:color w:val="auto"/>
      <w:sz w:val="20"/>
      <w:szCs w:val="20"/>
      <w:u w:val="none"/>
      <w:lang w:eastAsia="zh-CN" w:bidi="ar-EG"/>
    </w:rPr>
  </w:style>
  <w:style w:type="paragraph" w:styleId="TOC4">
    <w:name w:val="toc 4"/>
    <w:basedOn w:val="Normal"/>
    <w:link w:val="TOC4Char"/>
    <w:autoRedefine/>
    <w:uiPriority w:val="39"/>
    <w:unhideWhenUsed/>
    <w:rsid w:val="00F158E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158E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158EB"/>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158EB"/>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F158E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158EB"/>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F158EB"/>
    <w:rPr>
      <w:color w:val="605E5C"/>
      <w:shd w:val="clear" w:color="auto" w:fill="E1DFDD"/>
    </w:rPr>
  </w:style>
  <w:style w:type="character" w:customStyle="1" w:styleId="TOC1Char">
    <w:name w:val="TOC 1 Char"/>
    <w:basedOn w:val="DefaultParagraphFont"/>
    <w:link w:val="TOC1"/>
    <w:uiPriority w:val="39"/>
    <w:rsid w:val="00F158E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F158E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F158E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F158E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F158E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F158EB"/>
    <w:rPr>
      <w:rFonts w:ascii="Times New Roman" w:eastAsia="PMingLiU" w:hAnsi="Times New Roman" w:cs="Simplified Arabic"/>
      <w:lang w:val="en-GB" w:eastAsia="en-US"/>
    </w:rPr>
  </w:style>
  <w:style w:type="paragraph" w:customStyle="1" w:styleId="SessionDate">
    <w:name w:val="Session_Date"/>
    <w:basedOn w:val="Normal"/>
    <w:qFormat/>
    <w:rsid w:val="00F158EB"/>
    <w:pPr>
      <w:spacing w:before="240" w:after="240" w:line="460" w:lineRule="exact"/>
      <w:ind w:left="1247"/>
    </w:pPr>
    <w:rPr>
      <w:b/>
      <w:bCs/>
      <w:sz w:val="32"/>
      <w:szCs w:val="44"/>
    </w:rPr>
  </w:style>
  <w:style w:type="paragraph" w:customStyle="1" w:styleId="SessionNumber">
    <w:name w:val="Session_Number"/>
    <w:basedOn w:val="Normal"/>
    <w:qFormat/>
    <w:rsid w:val="00F158EB"/>
    <w:pPr>
      <w:spacing w:line="480" w:lineRule="exact"/>
      <w:ind w:left="1247"/>
    </w:pPr>
    <w:rPr>
      <w:b/>
      <w:bCs/>
      <w:sz w:val="28"/>
      <w:szCs w:val="38"/>
    </w:rPr>
  </w:style>
  <w:style w:type="paragraph" w:customStyle="1" w:styleId="CityandYear">
    <w:name w:val="City and Year"/>
    <w:basedOn w:val="SingleTxtGA"/>
    <w:qFormat/>
    <w:rsid w:val="00F158EB"/>
    <w:pPr>
      <w:spacing w:line="480" w:lineRule="exact"/>
    </w:pPr>
    <w:rPr>
      <w:b/>
      <w:bCs/>
      <w:sz w:val="30"/>
      <w:szCs w:val="38"/>
      <w:lang w:eastAsia="ar-SA"/>
    </w:rPr>
  </w:style>
  <w:style w:type="paragraph" w:customStyle="1" w:styleId="NormalA">
    <w:name w:val="Normal_A"/>
    <w:basedOn w:val="Normal"/>
    <w:qFormat/>
    <w:rsid w:val="00F158EB"/>
  </w:style>
  <w:style w:type="paragraph" w:customStyle="1" w:styleId="H1G">
    <w:name w:val="_ H_1_G"/>
    <w:basedOn w:val="Normal"/>
    <w:next w:val="Normal"/>
    <w:qFormat/>
    <w:rsid w:val="00F158EB"/>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F158EB"/>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F158EB"/>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F158EB"/>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158EB"/>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158E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158EB"/>
    <w:rPr>
      <w:sz w:val="44"/>
      <w:szCs w:val="44"/>
      <w:lang w:val="en-US" w:bidi="ar-DZ"/>
    </w:rPr>
  </w:style>
  <w:style w:type="paragraph" w:customStyle="1" w:styleId="FootnoteGA0">
    <w:name w:val="Footnote_GA"/>
    <w:basedOn w:val="Normal"/>
    <w:qFormat/>
    <w:rsid w:val="00F158EB"/>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158EB"/>
    <w:pPr>
      <w:keepNext/>
      <w:keepLines/>
      <w:spacing w:after="120" w:line="400" w:lineRule="exact"/>
      <w:outlineLvl w:val="0"/>
    </w:pPr>
    <w:rPr>
      <w:b/>
      <w:bCs/>
      <w:kern w:val="14"/>
      <w:sz w:val="24"/>
      <w:szCs w:val="32"/>
    </w:rPr>
  </w:style>
  <w:style w:type="paragraph" w:customStyle="1" w:styleId="HCh">
    <w:name w:val="_ H _Ch"/>
    <w:basedOn w:val="H1"/>
    <w:next w:val="SingleTxt"/>
    <w:qFormat/>
    <w:rsid w:val="00F158EB"/>
    <w:pPr>
      <w:spacing w:line="440" w:lineRule="exact"/>
    </w:pPr>
    <w:rPr>
      <w:spacing w:val="-2"/>
      <w:sz w:val="28"/>
      <w:szCs w:val="36"/>
    </w:rPr>
  </w:style>
  <w:style w:type="character" w:styleId="CommentReference">
    <w:name w:val="annotation reference"/>
    <w:uiPriority w:val="99"/>
    <w:semiHidden/>
    <w:rsid w:val="00F158EB"/>
    <w:rPr>
      <w:sz w:val="6"/>
      <w:szCs w:val="9"/>
    </w:rPr>
  </w:style>
  <w:style w:type="paragraph" w:customStyle="1" w:styleId="HM">
    <w:name w:val="_ H __M"/>
    <w:basedOn w:val="HCh"/>
    <w:next w:val="Normal"/>
    <w:qFormat/>
    <w:rsid w:val="00F158EB"/>
    <w:pPr>
      <w:suppressAutoHyphens/>
      <w:spacing w:line="520" w:lineRule="exact"/>
    </w:pPr>
    <w:rPr>
      <w:spacing w:val="-3"/>
      <w:sz w:val="34"/>
      <w:szCs w:val="48"/>
    </w:rPr>
  </w:style>
  <w:style w:type="paragraph" w:customStyle="1" w:styleId="SingleTxt">
    <w:name w:val="__Single Txt"/>
    <w:basedOn w:val="SingleTxtG"/>
    <w:qFormat/>
    <w:rsid w:val="00F158EB"/>
  </w:style>
  <w:style w:type="paragraph" w:customStyle="1" w:styleId="H23">
    <w:name w:val="_ H_2/3"/>
    <w:basedOn w:val="H1"/>
    <w:next w:val="Normal"/>
    <w:qFormat/>
    <w:rsid w:val="00F158EB"/>
    <w:pPr>
      <w:suppressAutoHyphens/>
      <w:spacing w:line="360" w:lineRule="exact"/>
      <w:outlineLvl w:val="1"/>
    </w:pPr>
    <w:rPr>
      <w:spacing w:val="2"/>
      <w:sz w:val="20"/>
      <w:szCs w:val="28"/>
    </w:rPr>
  </w:style>
  <w:style w:type="paragraph" w:customStyle="1" w:styleId="H4">
    <w:name w:val="_ H_4"/>
    <w:basedOn w:val="Normal"/>
    <w:next w:val="Normal"/>
    <w:qFormat/>
    <w:rsid w:val="00F158EB"/>
    <w:pPr>
      <w:keepNext/>
      <w:keepLines/>
      <w:spacing w:after="120" w:line="360" w:lineRule="exact"/>
      <w:outlineLvl w:val="3"/>
    </w:pPr>
    <w:rPr>
      <w:i/>
      <w:iCs/>
      <w:kern w:val="14"/>
      <w:szCs w:val="28"/>
    </w:rPr>
  </w:style>
  <w:style w:type="paragraph" w:customStyle="1" w:styleId="H56">
    <w:name w:val="_ H_5/6"/>
    <w:basedOn w:val="Normal"/>
    <w:next w:val="Normal"/>
    <w:qFormat/>
    <w:rsid w:val="00F158EB"/>
    <w:pPr>
      <w:keepNext/>
      <w:keepLines/>
      <w:spacing w:after="120" w:line="360" w:lineRule="exact"/>
      <w:outlineLvl w:val="4"/>
    </w:pPr>
    <w:rPr>
      <w:kern w:val="14"/>
      <w:szCs w:val="28"/>
    </w:rPr>
  </w:style>
  <w:style w:type="paragraph" w:customStyle="1" w:styleId="DualTxt">
    <w:name w:val="__Dual Txt"/>
    <w:basedOn w:val="Normal"/>
    <w:qFormat/>
    <w:rsid w:val="00F158EB"/>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158EB"/>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158EB"/>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158EB"/>
    <w:pPr>
      <w:spacing w:after="120" w:line="440" w:lineRule="exact"/>
      <w:jc w:val="center"/>
    </w:pPr>
    <w:rPr>
      <w:b/>
      <w:bCs/>
      <w:sz w:val="25"/>
      <w:szCs w:val="38"/>
    </w:rPr>
  </w:style>
  <w:style w:type="paragraph" w:customStyle="1" w:styleId="JH1">
    <w:name w:val="J_H_1"/>
    <w:basedOn w:val="JCH"/>
    <w:qFormat/>
    <w:rsid w:val="00F158EB"/>
    <w:pPr>
      <w:spacing w:line="420" w:lineRule="exact"/>
    </w:pPr>
    <w:rPr>
      <w:sz w:val="23"/>
      <w:szCs w:val="34"/>
    </w:rPr>
  </w:style>
  <w:style w:type="paragraph" w:customStyle="1" w:styleId="JH2">
    <w:name w:val="J_H_2"/>
    <w:basedOn w:val="JH1"/>
    <w:qFormat/>
    <w:rsid w:val="00F158EB"/>
    <w:pPr>
      <w:spacing w:line="400" w:lineRule="exact"/>
    </w:pPr>
    <w:rPr>
      <w:sz w:val="20"/>
      <w:szCs w:val="30"/>
    </w:rPr>
  </w:style>
  <w:style w:type="paragraph" w:customStyle="1" w:styleId="JSmall">
    <w:name w:val="J_Small"/>
    <w:basedOn w:val="JSingleTxt"/>
    <w:next w:val="JSingleTxt"/>
    <w:qFormat/>
    <w:rsid w:val="00F158E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158EB"/>
    <w:pPr>
      <w:tabs>
        <w:tab w:val="right" w:leader="dot" w:pos="360"/>
      </w:tabs>
      <w:spacing w:line="310" w:lineRule="exact"/>
      <w:jc w:val="right"/>
    </w:pPr>
    <w:rPr>
      <w:spacing w:val="5"/>
      <w:w w:val="104"/>
      <w:kern w:val="14"/>
      <w:sz w:val="17"/>
      <w:szCs w:val="25"/>
    </w:rPr>
  </w:style>
  <w:style w:type="character" w:styleId="LineNumber">
    <w:name w:val="line number"/>
    <w:qFormat/>
    <w:rsid w:val="00F158EB"/>
    <w:rPr>
      <w:sz w:val="14"/>
      <w:szCs w:val="16"/>
    </w:rPr>
  </w:style>
  <w:style w:type="paragraph" w:customStyle="1" w:styleId="SmallX">
    <w:name w:val="SmallX"/>
    <w:basedOn w:val="Small"/>
    <w:next w:val="Normal"/>
    <w:qFormat/>
    <w:rsid w:val="00F158EB"/>
    <w:pPr>
      <w:spacing w:line="240" w:lineRule="exact"/>
    </w:pPr>
    <w:rPr>
      <w:spacing w:val="6"/>
      <w:w w:val="106"/>
      <w:sz w:val="14"/>
      <w:szCs w:val="21"/>
    </w:rPr>
  </w:style>
  <w:style w:type="paragraph" w:customStyle="1" w:styleId="XLarge">
    <w:name w:val="XLarge"/>
    <w:basedOn w:val="HM"/>
    <w:qFormat/>
    <w:rsid w:val="00F158EB"/>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158EB"/>
    <w:pPr>
      <w:spacing w:line="820" w:lineRule="exact"/>
    </w:pPr>
    <w:rPr>
      <w:spacing w:val="-8"/>
      <w:w w:val="96"/>
      <w:sz w:val="57"/>
      <w:szCs w:val="86"/>
    </w:rPr>
  </w:style>
  <w:style w:type="paragraph" w:customStyle="1" w:styleId="Distribution">
    <w:name w:val="Distribu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158EB"/>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F158EB"/>
    <w:pPr>
      <w:tabs>
        <w:tab w:val="left" w:pos="662"/>
        <w:tab w:val="left" w:pos="1267"/>
        <w:tab w:val="left" w:pos="1987"/>
        <w:tab w:val="left" w:pos="2650"/>
      </w:tabs>
      <w:spacing w:after="0"/>
      <w:ind w:left="662" w:hanging="662"/>
    </w:pPr>
  </w:style>
  <w:style w:type="paragraph" w:customStyle="1" w:styleId="Committee">
    <w:name w:val="Committee"/>
    <w:basedOn w:val="H1"/>
    <w:qFormat/>
    <w:rsid w:val="00F158EB"/>
    <w:pPr>
      <w:tabs>
        <w:tab w:val="left" w:pos="662"/>
        <w:tab w:val="left" w:pos="1267"/>
        <w:tab w:val="left" w:pos="1987"/>
        <w:tab w:val="left" w:pos="2650"/>
      </w:tabs>
      <w:ind w:right="1264"/>
    </w:pPr>
  </w:style>
  <w:style w:type="paragraph" w:customStyle="1" w:styleId="AgendaItemNormal">
    <w:name w:val="Agenda_Item_Normal"/>
    <w:next w:val="Normal"/>
    <w:qFormat/>
    <w:rsid w:val="00F158EB"/>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F158EB"/>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158EB"/>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158E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158EB"/>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158EB"/>
    <w:rPr>
      <w:i w:val="0"/>
      <w:color w:val="0000FF"/>
      <w:u w:val="none"/>
    </w:rPr>
  </w:style>
  <w:style w:type="paragraph" w:customStyle="1" w:styleId="Bullet1">
    <w:name w:val="Bullet 1"/>
    <w:basedOn w:val="Normal"/>
    <w:qFormat/>
    <w:rsid w:val="00F158EB"/>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158EB"/>
    <w:pPr>
      <w:numPr>
        <w:numId w:val="19"/>
      </w:numPr>
      <w:spacing w:after="120" w:line="360" w:lineRule="exact"/>
      <w:ind w:right="1264"/>
    </w:pPr>
    <w:rPr>
      <w:kern w:val="14"/>
      <w:szCs w:val="28"/>
    </w:rPr>
  </w:style>
  <w:style w:type="paragraph" w:customStyle="1" w:styleId="Bullet3">
    <w:name w:val="Bullet 3"/>
    <w:basedOn w:val="SingleTxt"/>
    <w:qFormat/>
    <w:rsid w:val="00F158EB"/>
    <w:pPr>
      <w:numPr>
        <w:numId w:val="20"/>
      </w:numPr>
      <w:tabs>
        <w:tab w:val="num" w:pos="2495"/>
      </w:tabs>
      <w:ind w:left="2495" w:hanging="545"/>
    </w:pPr>
  </w:style>
  <w:style w:type="paragraph" w:customStyle="1" w:styleId="AgendaTitleH2">
    <w:name w:val="Agenda_Title_H2"/>
    <w:basedOn w:val="H1"/>
    <w:next w:val="Normal"/>
    <w:qFormat/>
    <w:rsid w:val="00F158EB"/>
    <w:pPr>
      <w:ind w:right="5760"/>
      <w:outlineLvl w:val="1"/>
    </w:pPr>
    <w:rPr>
      <w:spacing w:val="2"/>
      <w:sz w:val="20"/>
      <w:szCs w:val="28"/>
    </w:rPr>
  </w:style>
  <w:style w:type="paragraph" w:customStyle="1" w:styleId="STitleM">
    <w:name w:val="S_Title_M"/>
    <w:basedOn w:val="Normal"/>
    <w:next w:val="Normal"/>
    <w:qFormat/>
    <w:rsid w:val="00F158EB"/>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158EB"/>
    <w:pPr>
      <w:spacing w:line="600" w:lineRule="exact"/>
      <w:ind w:left="1267" w:right="1267"/>
    </w:pPr>
    <w:rPr>
      <w:w w:val="103"/>
      <w:sz w:val="60"/>
      <w:szCs w:val="60"/>
    </w:rPr>
  </w:style>
  <w:style w:type="paragraph" w:customStyle="1" w:styleId="STitleL">
    <w:name w:val="S_Title_L"/>
    <w:basedOn w:val="XLarge"/>
    <w:next w:val="Normal"/>
    <w:qFormat/>
    <w:rsid w:val="00F158EB"/>
    <w:rPr>
      <w:spacing w:val="-8"/>
      <w:w w:val="96"/>
      <w:sz w:val="57"/>
    </w:rPr>
  </w:style>
  <w:style w:type="paragraph" w:styleId="CommentText">
    <w:name w:val="annotation text"/>
    <w:basedOn w:val="Normal"/>
    <w:link w:val="CommentTextChar"/>
    <w:uiPriority w:val="99"/>
    <w:semiHidden/>
    <w:unhideWhenUsed/>
    <w:rsid w:val="00F158EB"/>
    <w:pPr>
      <w:spacing w:line="240" w:lineRule="auto"/>
    </w:pPr>
    <w:rPr>
      <w:kern w:val="14"/>
    </w:rPr>
  </w:style>
  <w:style w:type="character" w:customStyle="1" w:styleId="CommentTextChar">
    <w:name w:val="Comment Text Char"/>
    <w:basedOn w:val="DefaultParagraphFont"/>
    <w:link w:val="CommentText"/>
    <w:uiPriority w:val="99"/>
    <w:semiHidden/>
    <w:rsid w:val="00F158EB"/>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F158EB"/>
    <w:rPr>
      <w:b/>
      <w:bCs/>
    </w:rPr>
  </w:style>
  <w:style w:type="character" w:customStyle="1" w:styleId="CommentSubjectChar">
    <w:name w:val="Comment Subject Char"/>
    <w:basedOn w:val="CommentTextChar"/>
    <w:link w:val="CommentSubject"/>
    <w:uiPriority w:val="99"/>
    <w:semiHidden/>
    <w:rsid w:val="00F158EB"/>
    <w:rPr>
      <w:rFonts w:ascii="Times New Roman" w:eastAsia="PMingLiU" w:hAnsi="Times New Roman" w:cs="Simplified Arabic"/>
      <w:b/>
      <w:bCs/>
      <w:kern w:val="14"/>
      <w:szCs w:val="22"/>
      <w:lang w:eastAsia="en-US"/>
    </w:rPr>
  </w:style>
  <w:style w:type="paragraph" w:customStyle="1" w:styleId="Bullet1G">
    <w:name w:val="_Bullet 1_G"/>
    <w:basedOn w:val="Normal"/>
    <w:qFormat/>
    <w:rsid w:val="00F158EB"/>
    <w:pPr>
      <w:numPr>
        <w:numId w:val="21"/>
      </w:numPr>
      <w:bidi w:val="0"/>
      <w:spacing w:after="120"/>
      <w:ind w:right="1134"/>
      <w:jc w:val="both"/>
    </w:pPr>
    <w:rPr>
      <w:sz w:val="22"/>
    </w:rPr>
  </w:style>
  <w:style w:type="character" w:customStyle="1" w:styleId="SingleTxtGChar">
    <w:name w:val="_ Single Txt_G Char"/>
    <w:link w:val="SingleTxtG"/>
    <w:rsid w:val="00F158EB"/>
    <w:rPr>
      <w:rFonts w:ascii="Times New Roman" w:eastAsia="PMingLiU" w:hAnsi="Times New Roman" w:cs="Simplified Arabic"/>
      <w:lang w:val="en-GB" w:eastAsia="en-US"/>
    </w:rPr>
  </w:style>
  <w:style w:type="paragraph" w:customStyle="1" w:styleId="Preparedby">
    <w:name w:val="Prepared by:"/>
    <w:basedOn w:val="H23GA"/>
    <w:qFormat/>
    <w:rsid w:val="00F158EB"/>
    <w:rPr>
      <w:sz w:val="32"/>
      <w:szCs w:val="32"/>
    </w:rPr>
  </w:style>
  <w:style w:type="paragraph" w:customStyle="1" w:styleId="ParaNoG">
    <w:name w:val="_ParaNo._G"/>
    <w:basedOn w:val="SingleTxtG"/>
    <w:rsid w:val="00F158EB"/>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158EB"/>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158EB"/>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158EB"/>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158EB"/>
    <w:rPr>
      <w:rFonts w:asciiTheme="minorHAnsi" w:eastAsiaTheme="minorEastAsia" w:hAnsiTheme="minorHAnsi" w:cstheme="minorBidi"/>
      <w:sz w:val="24"/>
      <w:szCs w:val="24"/>
      <w:lang w:val="fr-FR" w:eastAsia="fr-FR"/>
    </w:rPr>
  </w:style>
  <w:style w:type="paragraph" w:customStyle="1" w:styleId="Default">
    <w:name w:val="Default"/>
    <w:semiHidden/>
    <w:rsid w:val="00F158EB"/>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158EB"/>
  </w:style>
  <w:style w:type="character" w:customStyle="1" w:styleId="preferred">
    <w:name w:val="preferred"/>
    <w:basedOn w:val="DefaultParagraphFont"/>
    <w:rsid w:val="00F158EB"/>
  </w:style>
  <w:style w:type="character" w:customStyle="1" w:styleId="admitted">
    <w:name w:val="admitted"/>
    <w:basedOn w:val="DefaultParagraphFont"/>
    <w:rsid w:val="00F158EB"/>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F158EB"/>
    <w:pPr>
      <w:bidi w:val="0"/>
      <w:spacing w:after="160" w:line="240" w:lineRule="exact"/>
      <w:jc w:val="both"/>
    </w:pPr>
    <w:rPr>
      <w:rFonts w:ascii="Calibri" w:eastAsia="Times New Roman" w:hAnsi="Calibri" w:cs="Arial"/>
      <w:szCs w:val="18"/>
      <w:vertAlign w:val="superscript"/>
      <w:lang w:eastAsia="zh-TW"/>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F158EB"/>
    <w:rPr>
      <w:rFonts w:ascii="Times New Roman" w:eastAsia="PMingLiU" w:hAnsi="Times New Roman" w:cs="Simplified Arabic"/>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AT/C/KEN/CO/2" TargetMode="External"/><Relationship Id="rId3" Type="http://schemas.openxmlformats.org/officeDocument/2006/relationships/hyperlink" Target="https://undocs.org/ar/CAT/C/SR.1900" TargetMode="External"/><Relationship Id="rId7" Type="http://schemas.openxmlformats.org/officeDocument/2006/relationships/hyperlink" Target="https://tbinternet.ohchr.org/_layouts/15/treatybodyexternal/Download.aspx?symbolno=INT%2fCAT%2fFUL%2fKEN%2f25016&amp;Lang=en" TargetMode="External"/><Relationship Id="rId2" Type="http://schemas.openxmlformats.org/officeDocument/2006/relationships/hyperlink" Target="https://undocs.org/ar/CAT/C/SR.1897" TargetMode="External"/><Relationship Id="rId1" Type="http://schemas.openxmlformats.org/officeDocument/2006/relationships/hyperlink" Target="https://undocs.org/ar/CAT/C/KEN/3" TargetMode="External"/><Relationship Id="rId6" Type="http://schemas.openxmlformats.org/officeDocument/2006/relationships/hyperlink" Target="https://undocs.org/ar/CAT/C/KEN/CO/2/Add.1." TargetMode="External"/><Relationship Id="rId5" Type="http://schemas.openxmlformats.org/officeDocument/2006/relationships/hyperlink" Target="https://undocs.org/ar/CAT/C/KEN/CO/2/Corr.1." TargetMode="External"/><Relationship Id="rId4" Type="http://schemas.openxmlformats.org/officeDocument/2006/relationships/hyperlink" Target="https://undocs.org/ar/CAT/C/KEN/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16</Pages>
  <Words>5476</Words>
  <Characters>31219</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CAT/C/KEN/CO/3</vt:lpstr>
    </vt:vector>
  </TitlesOfParts>
  <Company>DCM</Company>
  <LinksUpToDate>false</LinksUpToDate>
  <CharactersWithSpaces>36622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CAT/C/KEN/CO/3</dc:title>
  <dc:subject>GE.2208156(A)</dc:subject>
  <dc:creator>Muntaha BUHNAM - FMO</dc:creator>
  <cp:keywords>GE.2235334(A)</cp:keywords>
  <dc:description>Distr.: General
30 May 2022
Arabic
Original: English</dc:description>
  <cp:lastModifiedBy>Jamila Chedad</cp:lastModifiedBy>
  <cp:revision>3</cp:revision>
  <cp:lastPrinted>2022-09-26T09:19:00Z</cp:lastPrinted>
  <dcterms:created xsi:type="dcterms:W3CDTF">2022-09-26T09:19:00Z</dcterms:created>
  <dcterms:modified xsi:type="dcterms:W3CDTF">2022-09-26T09:20:00Z</dcterms:modified>
  <cp:category>Final</cp:category>
</cp:coreProperties>
</file>