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EA3" w:rsidRDefault="005D6EA3" w:rsidP="005D6EA3">
      <w:pPr>
        <w:spacing w:line="60" w:lineRule="exact"/>
        <w:rPr>
          <w:sz w:val="6"/>
        </w:rPr>
        <w:sectPr w:rsidR="005D6EA3" w:rsidSect="005D6E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D6EA3" w:rsidRDefault="005D6EA3" w:rsidP="005D6EA3">
      <w:pPr>
        <w:spacing w:line="60" w:lineRule="exact"/>
        <w:rPr>
          <w:sz w:val="6"/>
        </w:rPr>
      </w:pPr>
    </w:p>
    <w:p w:rsidR="00A7115D" w:rsidRDefault="00A7115D" w:rsidP="00A711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A7115D" w:rsidRPr="00EB2346" w:rsidRDefault="00A7115D" w:rsidP="00A7115D">
      <w:pPr>
        <w:pStyle w:val="SingleTxt"/>
        <w:spacing w:after="60"/>
        <w:ind w:left="0"/>
        <w:rPr>
          <w:rFonts w:ascii="SimHei" w:eastAsia="SimHei" w:hint="eastAsia"/>
          <w:color w:val="FF0000"/>
        </w:rPr>
      </w:pPr>
      <w:r w:rsidRPr="00EB2346">
        <w:rPr>
          <w:rFonts w:ascii="SimHei" w:eastAsia="SimHei" w:hint="eastAsia"/>
          <w:color w:val="FF0000"/>
        </w:rPr>
        <w:t>第四十二届会议</w:t>
      </w:r>
    </w:p>
    <w:p w:rsidR="00A7115D" w:rsidRDefault="00A7115D" w:rsidP="00A7115D">
      <w:pPr>
        <w:pStyle w:val="SingleTxt"/>
        <w:ind w:left="0"/>
        <w:rPr>
          <w:rFonts w:hint="eastAsia"/>
        </w:rPr>
      </w:pPr>
      <w:r>
        <w:rPr>
          <w:rFonts w:hint="eastAsia"/>
        </w:rPr>
        <w:t>2008年10月20日至11月7日</w:t>
      </w:r>
    </w:p>
    <w:p w:rsidR="00A7115D" w:rsidRPr="00E817B3" w:rsidRDefault="00A7115D" w:rsidP="00A7115D">
      <w:pPr>
        <w:pStyle w:val="SingleTxt"/>
        <w:spacing w:after="0" w:line="120" w:lineRule="exact"/>
        <w:ind w:right="0"/>
        <w:rPr>
          <w:rFonts w:hint="eastAsia"/>
          <w:sz w:val="10"/>
        </w:rPr>
      </w:pPr>
    </w:p>
    <w:p w:rsidR="00A7115D" w:rsidRPr="00E817B3" w:rsidRDefault="00A7115D" w:rsidP="00A7115D">
      <w:pPr>
        <w:pStyle w:val="SingleTxt"/>
        <w:spacing w:after="0" w:line="120" w:lineRule="exact"/>
        <w:ind w:right="0"/>
        <w:rPr>
          <w:rFonts w:hint="eastAsia"/>
          <w:sz w:val="10"/>
        </w:rPr>
      </w:pPr>
    </w:p>
    <w:p w:rsidR="00A7115D" w:rsidRDefault="00A7115D" w:rsidP="00A7115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A7115D" w:rsidRPr="00E817B3" w:rsidRDefault="00A7115D" w:rsidP="00A7115D">
      <w:pPr>
        <w:pStyle w:val="SingleTxt"/>
        <w:spacing w:after="0" w:line="120" w:lineRule="exact"/>
        <w:ind w:right="0"/>
        <w:rPr>
          <w:rFonts w:hint="eastAsia"/>
          <w:sz w:val="10"/>
        </w:rPr>
      </w:pPr>
    </w:p>
    <w:p w:rsidR="00A7115D" w:rsidRPr="00E817B3" w:rsidRDefault="00A7115D" w:rsidP="00A7115D">
      <w:pPr>
        <w:pStyle w:val="SingleTxt"/>
        <w:spacing w:after="0" w:line="120" w:lineRule="exact"/>
        <w:ind w:right="0"/>
        <w:rPr>
          <w:rFonts w:hint="eastAsia"/>
          <w:sz w:val="10"/>
        </w:rPr>
      </w:pPr>
    </w:p>
    <w:p w:rsidR="00A7115D" w:rsidRDefault="00A7115D" w:rsidP="00A711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乌拉圭</w:t>
      </w:r>
    </w:p>
    <w:p w:rsidR="00A7115D" w:rsidRPr="00E817B3" w:rsidRDefault="00A7115D" w:rsidP="00A7115D">
      <w:pPr>
        <w:pStyle w:val="SingleTxt"/>
        <w:spacing w:after="0" w:line="120" w:lineRule="exact"/>
        <w:ind w:right="0"/>
        <w:rPr>
          <w:rFonts w:hint="eastAsia"/>
          <w:sz w:val="10"/>
        </w:rPr>
      </w:pPr>
    </w:p>
    <w:p w:rsidR="00A7115D" w:rsidRPr="00E817B3" w:rsidRDefault="00A7115D" w:rsidP="00A7115D">
      <w:pPr>
        <w:pStyle w:val="SingleTxt"/>
        <w:spacing w:after="0" w:line="120" w:lineRule="exact"/>
        <w:ind w:right="0"/>
        <w:rPr>
          <w:rFonts w:hint="eastAsia"/>
          <w:sz w:val="10"/>
        </w:rPr>
      </w:pPr>
    </w:p>
    <w:p w:rsidR="00A7115D" w:rsidRDefault="00A7115D" w:rsidP="00A7115D">
      <w:pPr>
        <w:pStyle w:val="SingleTxt"/>
        <w:rPr>
          <w:rFonts w:hint="eastAsia"/>
        </w:rPr>
      </w:pPr>
      <w:r>
        <w:rPr>
          <w:rFonts w:hint="eastAsia"/>
        </w:rPr>
        <w:t>1.</w:t>
      </w:r>
      <w:r>
        <w:rPr>
          <w:rFonts w:hint="eastAsia"/>
        </w:rPr>
        <w:tab/>
        <w:t>2008年10月23日委员会第856和857次会议审议了乌拉圭第四次、第五次、第六次和第七次合并定期报告(CEDAW/C/URY/7)(见CEDAW/C/SR.856和CEDAW/C/</w:t>
      </w:r>
      <w:r>
        <w:t xml:space="preserve"> </w:t>
      </w:r>
      <w:r>
        <w:rPr>
          <w:rFonts w:hint="eastAsia"/>
        </w:rPr>
        <w:t>SR.857)。委员会的有关事项和问题清单载于CEDAW/C/URY/Q/7，乌拉圭的答复载于CEDAW/C/URY/Q/7/Add.1。</w:t>
      </w:r>
    </w:p>
    <w:p w:rsidR="00A7115D" w:rsidRPr="005675EC" w:rsidRDefault="00A7115D" w:rsidP="00A7115D">
      <w:pPr>
        <w:pStyle w:val="SingleTxt"/>
        <w:rPr>
          <w:rFonts w:ascii="SimHei" w:eastAsia="SimHei" w:hint="eastAsia"/>
          <w:color w:val="FF0000"/>
        </w:rPr>
      </w:pPr>
      <w:r w:rsidRPr="005675EC">
        <w:rPr>
          <w:rFonts w:ascii="SimHei" w:eastAsia="SimHei" w:hint="eastAsia"/>
          <w:color w:val="FF0000"/>
        </w:rPr>
        <w:t>导言</w:t>
      </w:r>
    </w:p>
    <w:p w:rsidR="00A7115D" w:rsidRDefault="00A7115D" w:rsidP="00A7115D">
      <w:pPr>
        <w:pStyle w:val="SingleTxt"/>
        <w:rPr>
          <w:rFonts w:hint="eastAsia"/>
        </w:rPr>
      </w:pPr>
      <w:r>
        <w:rPr>
          <w:rFonts w:hint="eastAsia"/>
        </w:rPr>
        <w:t>2.</w:t>
      </w:r>
      <w:r>
        <w:rPr>
          <w:rFonts w:hint="eastAsia"/>
        </w:rPr>
        <w:tab/>
        <w:t>委员会对该缔约国第四次、第五次、第六次和第七次合并定期报告表示欢迎,但对报告迟交表示遗憾。委员会还欢迎该缔约国对会前工作组提出的有关事项和问题清单作出书面答复。但是，令委员会遗憾的是，报告和答复都是描述性的，缺乏按性别分列的适当统计数据来说明妇女、特别是非洲裔和土著妇女在《公约》所述各领域的状况。</w:t>
      </w:r>
    </w:p>
    <w:p w:rsidR="00A7115D" w:rsidRDefault="00A7115D" w:rsidP="00A7115D">
      <w:pPr>
        <w:pStyle w:val="SingleTxt"/>
        <w:rPr>
          <w:rFonts w:hint="eastAsia"/>
        </w:rPr>
      </w:pPr>
      <w:r>
        <w:rPr>
          <w:rFonts w:hint="eastAsia"/>
        </w:rPr>
        <w:t>3.</w:t>
      </w:r>
      <w:r>
        <w:rPr>
          <w:rFonts w:hint="eastAsia"/>
        </w:rPr>
        <w:tab/>
        <w:t>委员会感谢该缔约国所作的口头发言以及对委员会口头提出的问题所作的进一步澄清。</w:t>
      </w:r>
    </w:p>
    <w:p w:rsidR="00A7115D" w:rsidRDefault="00A7115D" w:rsidP="00A7115D">
      <w:pPr>
        <w:pStyle w:val="SingleTxt"/>
        <w:rPr>
          <w:rFonts w:hint="eastAsia"/>
        </w:rPr>
      </w:pPr>
      <w:r>
        <w:rPr>
          <w:rFonts w:hint="eastAsia"/>
        </w:rPr>
        <w:t>4.</w:t>
      </w:r>
      <w:r>
        <w:rPr>
          <w:rFonts w:hint="eastAsia"/>
        </w:rPr>
        <w:tab/>
        <w:t>委员会赞扬该缔约国派出一个由国家妇女研究所所长率领的代表团出席会议，成员包括来自议会、司法部门、各部委、各市以及民间社会的代表。委员会赞赏代表团和委员会成员进行了坦率、建设性的对话。</w:t>
      </w:r>
    </w:p>
    <w:p w:rsidR="00A7115D" w:rsidRPr="005675EC" w:rsidRDefault="00A7115D" w:rsidP="00A7115D">
      <w:pPr>
        <w:pStyle w:val="SingleTxt"/>
        <w:rPr>
          <w:rFonts w:ascii="SimHei" w:eastAsia="SimHei" w:hint="eastAsia"/>
          <w:color w:val="FF0000"/>
        </w:rPr>
      </w:pPr>
      <w:r w:rsidRPr="005675EC">
        <w:rPr>
          <w:rFonts w:ascii="SimHei" w:eastAsia="SimHei" w:hint="eastAsia"/>
          <w:color w:val="FF0000"/>
        </w:rPr>
        <w:t>积极方面</w:t>
      </w:r>
    </w:p>
    <w:p w:rsidR="00A7115D" w:rsidRPr="00E817B3" w:rsidRDefault="00A7115D" w:rsidP="00EA01CD">
      <w:pPr>
        <w:pStyle w:val="SingleTxt"/>
        <w:spacing w:line="322" w:lineRule="exact"/>
        <w:rPr>
          <w:rFonts w:hint="eastAsia"/>
          <w:spacing w:val="-4"/>
        </w:rPr>
      </w:pPr>
      <w:r w:rsidRPr="00E817B3">
        <w:rPr>
          <w:rFonts w:hint="eastAsia"/>
          <w:spacing w:val="-4"/>
        </w:rPr>
        <w:t>5.</w:t>
      </w:r>
      <w:r w:rsidRPr="00E817B3">
        <w:rPr>
          <w:rFonts w:hint="eastAsia"/>
          <w:spacing w:val="-4"/>
        </w:rPr>
        <w:tab/>
        <w:t>委员会赞赏地注意到该缔约国为执行《公约》作出努力,通过了若干法律，包括有关男女权利和机会平等的第18</w:t>
      </w:r>
      <w:r>
        <w:rPr>
          <w:rFonts w:hint="eastAsia"/>
          <w:spacing w:val="-4"/>
        </w:rPr>
        <w:t>.</w:t>
      </w:r>
      <w:r w:rsidRPr="00E817B3">
        <w:rPr>
          <w:rFonts w:hint="eastAsia"/>
          <w:spacing w:val="-4"/>
        </w:rPr>
        <w:t>104号法律、有关预防、早期发现和消除家庭暴力问题的第17</w:t>
      </w:r>
      <w:r>
        <w:rPr>
          <w:rFonts w:hint="eastAsia"/>
          <w:spacing w:val="-4"/>
        </w:rPr>
        <w:t>.</w:t>
      </w:r>
      <w:r w:rsidRPr="00E817B3">
        <w:rPr>
          <w:rFonts w:hint="eastAsia"/>
          <w:spacing w:val="-4"/>
        </w:rPr>
        <w:t>514号法律、有关家政服务问题的第18</w:t>
      </w:r>
      <w:r>
        <w:rPr>
          <w:rFonts w:hint="eastAsia"/>
          <w:spacing w:val="-4"/>
        </w:rPr>
        <w:t>.</w:t>
      </w:r>
      <w:r w:rsidRPr="00E817B3">
        <w:rPr>
          <w:rFonts w:hint="eastAsia"/>
          <w:spacing w:val="-4"/>
        </w:rPr>
        <w:t>065号法律、有关儿童和青少年的法规(第17</w:t>
      </w:r>
      <w:r>
        <w:rPr>
          <w:rFonts w:hint="eastAsia"/>
          <w:spacing w:val="-4"/>
        </w:rPr>
        <w:t>.</w:t>
      </w:r>
      <w:r w:rsidRPr="00E817B3">
        <w:rPr>
          <w:rFonts w:hint="eastAsia"/>
          <w:spacing w:val="-4"/>
        </w:rPr>
        <w:t>823号法律)以及有关儿童和青少年人格完整问题的第18</w:t>
      </w:r>
      <w:r>
        <w:rPr>
          <w:rFonts w:hint="eastAsia"/>
          <w:spacing w:val="-4"/>
        </w:rPr>
        <w:t>.</w:t>
      </w:r>
      <w:r w:rsidRPr="00E817B3">
        <w:rPr>
          <w:rFonts w:hint="eastAsia"/>
          <w:spacing w:val="-4"/>
        </w:rPr>
        <w:t>214号法律。</w:t>
      </w:r>
    </w:p>
    <w:p w:rsidR="00A7115D" w:rsidRPr="00E817B3" w:rsidRDefault="00A7115D" w:rsidP="00EA01CD">
      <w:pPr>
        <w:pStyle w:val="SingleTxt"/>
        <w:spacing w:line="322" w:lineRule="exact"/>
        <w:rPr>
          <w:rFonts w:hint="eastAsia"/>
          <w:spacing w:val="-4"/>
        </w:rPr>
      </w:pPr>
      <w:r w:rsidRPr="00E817B3">
        <w:rPr>
          <w:rFonts w:hint="eastAsia"/>
          <w:spacing w:val="-4"/>
        </w:rPr>
        <w:t>6.</w:t>
      </w:r>
      <w:r w:rsidRPr="00E817B3">
        <w:rPr>
          <w:rFonts w:hint="eastAsia"/>
          <w:spacing w:val="-4"/>
        </w:rPr>
        <w:tab/>
        <w:t>委员会欣见若干提高妇女地位的计划和方案获得通过，特别是《第一个机会和权利平等国家计划》(2007-2011年)和《打击家庭暴力国家计划》(2004-2010年)。</w:t>
      </w:r>
    </w:p>
    <w:p w:rsidR="00A7115D" w:rsidRDefault="00A7115D" w:rsidP="00EA01CD">
      <w:pPr>
        <w:pStyle w:val="SingleTxt"/>
        <w:spacing w:line="322" w:lineRule="exact"/>
        <w:rPr>
          <w:rFonts w:hint="eastAsia"/>
        </w:rPr>
      </w:pPr>
      <w:r>
        <w:rPr>
          <w:rFonts w:hint="eastAsia"/>
        </w:rPr>
        <w:t>7.</w:t>
      </w:r>
      <w:r>
        <w:rPr>
          <w:rFonts w:hint="eastAsia"/>
        </w:rPr>
        <w:tab/>
        <w:t>委员会满意地注意到成立了全国妇女研究所，作为提高妇女地位的国家机构。该机构比其前身全国家庭和妇女事务局的职权范围更明确，能见度更高。</w:t>
      </w:r>
    </w:p>
    <w:p w:rsidR="00A7115D" w:rsidRPr="005675EC" w:rsidRDefault="00A7115D" w:rsidP="00EA01CD">
      <w:pPr>
        <w:pStyle w:val="SingleTxt"/>
        <w:spacing w:line="322" w:lineRule="exact"/>
        <w:rPr>
          <w:rFonts w:ascii="SimHei" w:eastAsia="SimHei" w:hint="eastAsia"/>
          <w:color w:val="FF0000"/>
        </w:rPr>
      </w:pPr>
      <w:r w:rsidRPr="005675EC">
        <w:rPr>
          <w:rFonts w:ascii="SimHei" w:eastAsia="SimHei" w:hint="eastAsia"/>
          <w:color w:val="FF0000"/>
        </w:rPr>
        <w:t>主要关切领域和建议</w:t>
      </w:r>
    </w:p>
    <w:p w:rsidR="00A7115D" w:rsidRPr="00EA01CD" w:rsidRDefault="00A7115D" w:rsidP="00EA01CD">
      <w:pPr>
        <w:pStyle w:val="SingleTxt"/>
        <w:spacing w:line="322" w:lineRule="exact"/>
        <w:rPr>
          <w:rFonts w:ascii="SimHei" w:eastAsia="SimHei" w:hint="eastAsia"/>
          <w:color w:val="FF0000"/>
          <w:spacing w:val="4"/>
        </w:rPr>
      </w:pPr>
      <w:r w:rsidRPr="00EA01CD">
        <w:rPr>
          <w:rFonts w:ascii="SimHei" w:eastAsia="SimHei" w:hint="eastAsia"/>
          <w:color w:val="FF0000"/>
          <w:spacing w:val="4"/>
        </w:rPr>
        <w:t>8.</w:t>
      </w:r>
      <w:r w:rsidRPr="00EA01CD">
        <w:rPr>
          <w:rFonts w:ascii="SimHei" w:eastAsia="SimHei" w:hint="eastAsia"/>
          <w:color w:val="FF0000"/>
          <w:spacing w:val="4"/>
        </w:rPr>
        <w:tab/>
        <w:t>委员会忆及，缔约国有义务系统地、持续地执行《公约》各项规定，同时认为，从现在到提交下一次定期报告期间，缔约国必须优先注意本结论意见提出的各项关切和建议。因此，委员会吁请该缔约国将执行活动的重点放在这些领域上，并在下一次定期报告中汇报所采取的行动和取得的成果。委员会还吁请该缔约国将本结论意见发交各相关部委和议会，以确保这些意见得到充分执行。</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议会</w:t>
      </w:r>
    </w:p>
    <w:p w:rsidR="00A7115D" w:rsidRDefault="00A7115D" w:rsidP="00EA01CD">
      <w:pPr>
        <w:pStyle w:val="SingleTxt"/>
        <w:spacing w:line="322" w:lineRule="exact"/>
        <w:rPr>
          <w:rFonts w:hint="eastAsia"/>
        </w:rPr>
      </w:pPr>
      <w:r w:rsidRPr="00800980">
        <w:rPr>
          <w:rFonts w:ascii="SimHei" w:eastAsia="SimHei" w:hint="eastAsia"/>
          <w:color w:val="FF0000"/>
        </w:rPr>
        <w:t>9.</w:t>
      </w:r>
      <w:r>
        <w:rPr>
          <w:rFonts w:hint="eastAsia"/>
        </w:rPr>
        <w:tab/>
      </w:r>
      <w:r w:rsidRPr="00DE47F3">
        <w:rPr>
          <w:rFonts w:ascii="SimHei" w:eastAsia="SimHei" w:hint="eastAsia"/>
          <w:color w:val="FF0000"/>
        </w:rPr>
        <w:t>委员会重申，该缔约国政府对全面履行《公约》为该国规定的义务负有首要责任，尤其是接受问责。委员会强调《公约》对政府的各个分支机构都具有约束力，并邀请该缔约国鼓励本国议会酌情按照有关程序采取必要步骤，执行上述结论意见，并根据《公约》的规定履行政府的下一次报告程序</w:t>
      </w:r>
      <w:r>
        <w:rPr>
          <w:rFonts w:hint="eastAsia"/>
        </w:rPr>
        <w:t>。</w:t>
      </w:r>
    </w:p>
    <w:p w:rsidR="00A7115D" w:rsidRPr="005675EC" w:rsidRDefault="00A7115D" w:rsidP="00EA01CD">
      <w:pPr>
        <w:pStyle w:val="SingleTxt"/>
        <w:spacing w:line="322" w:lineRule="exact"/>
        <w:rPr>
          <w:rFonts w:ascii="SimHei" w:eastAsia="SimHei" w:hint="eastAsia"/>
          <w:color w:val="FF0000"/>
        </w:rPr>
      </w:pPr>
      <w:r w:rsidRPr="005675EC">
        <w:rPr>
          <w:rFonts w:ascii="SimHei" w:eastAsia="SimHei" w:hint="eastAsia"/>
          <w:color w:val="FF0000"/>
        </w:rPr>
        <w:t>《公约》的法律地位和歧视的定义</w:t>
      </w:r>
    </w:p>
    <w:p w:rsidR="00A7115D" w:rsidRDefault="00A7115D" w:rsidP="00EA01CD">
      <w:pPr>
        <w:pStyle w:val="SingleTxt"/>
        <w:spacing w:line="322" w:lineRule="exact"/>
        <w:rPr>
          <w:rFonts w:hint="eastAsia"/>
        </w:rPr>
      </w:pPr>
      <w:r>
        <w:rPr>
          <w:rFonts w:hint="eastAsia"/>
        </w:rPr>
        <w:t>10.</w:t>
      </w:r>
      <w:r>
        <w:rPr>
          <w:rFonts w:hint="eastAsia"/>
        </w:rPr>
        <w:tab/>
        <w:t>委员会注意到在宪法中载入了男女平等的原则，但是委员会仍感到关切的是，未能根据《公约》第1条的规定将《公约》和歧视妇女的具体定义直接、明确地纳入国内立法。委员会感到特别遗憾的是，在最近通过的有关男女权利和机会平等的第18.104号法律中没有纳入这项定义。委员会忆及，对包括公共和私人领域直接和间接歧视在内的歧视妇女定义没有作出具体规定，阻碍了《公约》在该缔约国的充分适用。</w:t>
      </w:r>
    </w:p>
    <w:p w:rsidR="00A7115D" w:rsidRDefault="00A7115D" w:rsidP="00EA01CD">
      <w:pPr>
        <w:pStyle w:val="SingleTxt"/>
        <w:spacing w:line="322" w:lineRule="exact"/>
        <w:rPr>
          <w:rFonts w:hint="eastAsia"/>
        </w:rPr>
      </w:pPr>
      <w:r>
        <w:rPr>
          <w:rFonts w:hint="eastAsia"/>
        </w:rPr>
        <w:t>11.</w:t>
      </w:r>
      <w:r>
        <w:rPr>
          <w:rFonts w:hint="eastAsia"/>
        </w:rPr>
        <w:tab/>
      </w:r>
      <w:r w:rsidRPr="005675EC">
        <w:rPr>
          <w:rFonts w:ascii="SimHei" w:eastAsia="SimHei" w:hint="eastAsia"/>
          <w:color w:val="FF0000"/>
        </w:rPr>
        <w:t>委员会吁请缔约国采取紧急措施，将《公约》及其第1条规定的歧视妇女定义纳入国内立法，并在下一次定期报告中说明这方面取得的进展</w:t>
      </w:r>
      <w:r>
        <w:rPr>
          <w:rFonts w:hint="eastAsia"/>
        </w:rPr>
        <w:t>。</w:t>
      </w:r>
    </w:p>
    <w:p w:rsidR="00A7115D" w:rsidRPr="005675EC" w:rsidRDefault="00A7115D" w:rsidP="00EA01CD">
      <w:pPr>
        <w:pStyle w:val="SingleTxt"/>
        <w:spacing w:line="322" w:lineRule="exact"/>
        <w:rPr>
          <w:rFonts w:ascii="SimHei" w:eastAsia="SimHei" w:hint="eastAsia"/>
          <w:color w:val="FF0000"/>
        </w:rPr>
      </w:pPr>
      <w:r w:rsidRPr="005675EC">
        <w:rPr>
          <w:rFonts w:ascii="SimHei" w:eastAsia="SimHei" w:hint="eastAsia"/>
          <w:color w:val="FF0000"/>
        </w:rPr>
        <w:t>《公约》</w:t>
      </w:r>
      <w:r>
        <w:rPr>
          <w:rFonts w:ascii="SimHei" w:eastAsia="SimHei" w:hint="eastAsia"/>
          <w:color w:val="FF0000"/>
        </w:rPr>
        <w:t>及其</w:t>
      </w:r>
      <w:r w:rsidRPr="005675EC">
        <w:rPr>
          <w:rFonts w:ascii="SimHei" w:eastAsia="SimHei" w:hint="eastAsia"/>
          <w:color w:val="FF0000"/>
        </w:rPr>
        <w:t>《任择议定书》的</w:t>
      </w:r>
      <w:r>
        <w:rPr>
          <w:rFonts w:ascii="SimHei" w:eastAsia="SimHei" w:hint="eastAsia"/>
          <w:color w:val="FF0000"/>
        </w:rPr>
        <w:t>知名</w:t>
      </w:r>
      <w:r w:rsidRPr="005675EC">
        <w:rPr>
          <w:rFonts w:ascii="SimHei" w:eastAsia="SimHei" w:hint="eastAsia"/>
          <w:color w:val="FF0000"/>
        </w:rPr>
        <w:t>度</w:t>
      </w:r>
    </w:p>
    <w:p w:rsidR="00A7115D" w:rsidRDefault="00A7115D" w:rsidP="00EA01CD">
      <w:pPr>
        <w:pStyle w:val="SingleTxt"/>
        <w:spacing w:line="322" w:lineRule="exact"/>
        <w:rPr>
          <w:rFonts w:hint="eastAsia"/>
        </w:rPr>
      </w:pPr>
      <w:r>
        <w:rPr>
          <w:rFonts w:hint="eastAsia"/>
        </w:rPr>
        <w:t>12.</w:t>
      </w:r>
      <w:r>
        <w:rPr>
          <w:rFonts w:hint="eastAsia"/>
        </w:rPr>
        <w:tab/>
        <w:t>委员会赞扬成立</w:t>
      </w:r>
      <w:r>
        <w:t>就业机会和待遇均等</w:t>
      </w:r>
      <w:r>
        <w:rPr>
          <w:rFonts w:hint="eastAsia"/>
        </w:rPr>
        <w:t>三方委员会处理工作中性骚扰问题的投诉，但是委员会感到遗憾的是，在乌拉圭，人们对《公约》和《任择议定书》的了解不多。委员会还感到遗憾的是，普遍缺乏有关保护和享有妇女权利方面的现行司法补救办法和使用此类补救办法的资料</w:t>
      </w:r>
      <w:r>
        <w:t>。</w:t>
      </w:r>
    </w:p>
    <w:p w:rsidR="00A7115D" w:rsidRPr="00E817B3" w:rsidRDefault="00A7115D" w:rsidP="00EA01CD">
      <w:pPr>
        <w:pStyle w:val="SingleTxt"/>
        <w:spacing w:after="136"/>
        <w:rPr>
          <w:rFonts w:hint="eastAsia"/>
          <w:spacing w:val="-2"/>
        </w:rPr>
      </w:pPr>
      <w:r w:rsidRPr="00E817B3">
        <w:rPr>
          <w:rFonts w:hint="eastAsia"/>
          <w:spacing w:val="-2"/>
        </w:rPr>
        <w:t>1</w:t>
      </w:r>
      <w:r>
        <w:rPr>
          <w:rFonts w:hint="eastAsia"/>
          <w:spacing w:val="-2"/>
        </w:rPr>
        <w:t>3</w:t>
      </w:r>
      <w:r w:rsidRPr="00E817B3">
        <w:rPr>
          <w:rFonts w:hint="eastAsia"/>
          <w:spacing w:val="-2"/>
        </w:rPr>
        <w:t>.</w:t>
      </w:r>
      <w:r w:rsidRPr="00E817B3">
        <w:rPr>
          <w:rFonts w:hint="eastAsia"/>
          <w:spacing w:val="-2"/>
        </w:rPr>
        <w:tab/>
      </w:r>
      <w:r w:rsidRPr="00E817B3">
        <w:rPr>
          <w:rFonts w:ascii="SimHei" w:eastAsia="SimHei" w:hint="eastAsia"/>
          <w:color w:val="FF0000"/>
          <w:spacing w:val="-2"/>
        </w:rPr>
        <w:t>委员会建议针对法官和法律专业人士开展提高认识活动和培训。委员会还重申其之前提出的建议(A/57/38，第一部分，第189段)，建议该缔约国在下一次定期报告中提供更多资料，说明妇女可以使用的保护和促进妇女权利的机制和程序</w:t>
      </w:r>
      <w:r w:rsidRPr="00E817B3">
        <w:rPr>
          <w:rFonts w:hint="eastAsia"/>
          <w:spacing w:val="-2"/>
        </w:rPr>
        <w:t>。</w:t>
      </w:r>
    </w:p>
    <w:p w:rsidR="00A7115D" w:rsidRPr="005675EC" w:rsidRDefault="00A7115D" w:rsidP="00EA01CD">
      <w:pPr>
        <w:pStyle w:val="SingleTxt"/>
        <w:spacing w:after="136"/>
        <w:rPr>
          <w:rFonts w:ascii="SimHei" w:eastAsia="SimHei" w:hint="eastAsia"/>
          <w:color w:val="FF0000"/>
        </w:rPr>
      </w:pPr>
      <w:r w:rsidRPr="005675EC">
        <w:rPr>
          <w:rFonts w:ascii="SimHei" w:eastAsia="SimHei" w:hint="eastAsia"/>
          <w:color w:val="FF0000"/>
        </w:rPr>
        <w:t>暂行特别措施</w:t>
      </w:r>
      <w:r w:rsidR="00EA01CD">
        <w:rPr>
          <w:rFonts w:ascii="SimHei" w:eastAsia="SimHei"/>
          <w:color w:val="FF0000"/>
        </w:rPr>
        <w:br/>
      </w:r>
      <w:r w:rsidRPr="005675EC">
        <w:rPr>
          <w:rFonts w:ascii="SimHei" w:eastAsia="SimHei" w:hint="eastAsia"/>
          <w:color w:val="FF0000"/>
        </w:rPr>
        <w:t>(第4条第1款)</w:t>
      </w:r>
    </w:p>
    <w:p w:rsidR="00A7115D" w:rsidRDefault="00A7115D" w:rsidP="00EA01CD">
      <w:pPr>
        <w:pStyle w:val="SingleTxt"/>
        <w:spacing w:after="136"/>
        <w:rPr>
          <w:rFonts w:hint="eastAsia"/>
        </w:rPr>
      </w:pPr>
      <w:r>
        <w:rPr>
          <w:rFonts w:hint="eastAsia"/>
        </w:rPr>
        <w:t>14.</w:t>
      </w:r>
      <w:r>
        <w:rPr>
          <w:rFonts w:hint="eastAsia"/>
        </w:rPr>
        <w:tab/>
        <w:t>委员会遗憾地注意到，该缔约国未制定暂行特别措施，用以加快实现事实上的男女平等和改善妇女权利状况，特别是工作场所的妇女状况和妇女参政情况。</w:t>
      </w:r>
    </w:p>
    <w:p w:rsidR="00A7115D" w:rsidRPr="00EA01CD" w:rsidRDefault="00A7115D" w:rsidP="00EA01CD">
      <w:pPr>
        <w:pStyle w:val="SingleTxt"/>
        <w:spacing w:after="136"/>
        <w:rPr>
          <w:rFonts w:hint="eastAsia"/>
          <w:spacing w:val="-2"/>
        </w:rPr>
      </w:pPr>
      <w:r w:rsidRPr="00EA01CD">
        <w:rPr>
          <w:rFonts w:hint="eastAsia"/>
          <w:spacing w:val="-2"/>
        </w:rPr>
        <w:t>15.</w:t>
      </w:r>
      <w:r w:rsidRPr="00EA01CD">
        <w:rPr>
          <w:rFonts w:hint="eastAsia"/>
          <w:spacing w:val="-2"/>
        </w:rPr>
        <w:tab/>
      </w:r>
      <w:r w:rsidRPr="00EA01CD">
        <w:rPr>
          <w:rFonts w:ascii="SimHei" w:eastAsia="SimHei" w:hint="eastAsia"/>
          <w:color w:val="FF0000"/>
          <w:spacing w:val="-2"/>
        </w:rPr>
        <w:t>委员会敦促该缔约国根据《公约》第4条第1款的规定和委员会的一般性建议25采取和实施暂行特别措施，把重点放在妇女就业和妇女参与公共生活等领域</w:t>
      </w:r>
      <w:r w:rsidRPr="00EA01CD">
        <w:rPr>
          <w:rFonts w:hint="eastAsia"/>
          <w:spacing w:val="-2"/>
        </w:rPr>
        <w:t>。</w:t>
      </w:r>
    </w:p>
    <w:p w:rsidR="00A7115D" w:rsidRPr="005675EC" w:rsidRDefault="00A7115D" w:rsidP="00EA01CD">
      <w:pPr>
        <w:pStyle w:val="SingleTxt"/>
        <w:spacing w:after="136"/>
        <w:rPr>
          <w:rFonts w:ascii="SimHei" w:eastAsia="SimHei" w:hint="eastAsia"/>
          <w:color w:val="FF0000"/>
        </w:rPr>
      </w:pPr>
      <w:r w:rsidRPr="005675EC">
        <w:rPr>
          <w:rFonts w:ascii="SimHei" w:eastAsia="SimHei" w:hint="eastAsia"/>
          <w:color w:val="FF0000"/>
        </w:rPr>
        <w:t>提高妇女地位国家机构</w:t>
      </w:r>
    </w:p>
    <w:p w:rsidR="00A7115D" w:rsidRDefault="00A7115D" w:rsidP="00EA01CD">
      <w:pPr>
        <w:pStyle w:val="SingleTxt"/>
        <w:spacing w:after="136"/>
        <w:rPr>
          <w:rFonts w:hint="eastAsia"/>
        </w:rPr>
      </w:pPr>
      <w:r>
        <w:rPr>
          <w:rFonts w:hint="eastAsia"/>
        </w:rPr>
        <w:t>16.</w:t>
      </w:r>
      <w:r>
        <w:rPr>
          <w:rFonts w:hint="eastAsia"/>
        </w:rPr>
        <w:tab/>
        <w:t>委员会注意到，国家妇女研究所在促进乌拉圭两性平等和妇女权利方面发挥重要作用，并欢迎给该研究所分配更多的人力和财政资源，逐步扩大其地域覆盖范围。不过，仍令委员会关切的是，由于国家妇女研究所不是一个自治机构，加之国家对它的预算拨款不足，研究所有效履行职责的能力受到限制。研究所地域覆盖有限，也令委员会颇感关切。</w:t>
      </w:r>
    </w:p>
    <w:p w:rsidR="00A7115D" w:rsidRDefault="00A7115D" w:rsidP="00EA01CD">
      <w:pPr>
        <w:pStyle w:val="SingleTxt"/>
        <w:spacing w:after="136"/>
        <w:rPr>
          <w:rFonts w:hint="eastAsia"/>
        </w:rPr>
      </w:pPr>
      <w:r>
        <w:rPr>
          <w:rFonts w:hint="eastAsia"/>
        </w:rPr>
        <w:t>17.</w:t>
      </w:r>
      <w:r>
        <w:rPr>
          <w:rFonts w:hint="eastAsia"/>
        </w:rPr>
        <w:tab/>
      </w:r>
      <w:r w:rsidRPr="005675EC">
        <w:rPr>
          <w:rFonts w:ascii="SimHei" w:eastAsia="SimHei" w:hint="eastAsia"/>
          <w:color w:val="FF0000"/>
        </w:rPr>
        <w:t>委员会建议该缔约国确保国家妇女研究所享有更大的自治权，并获得适当和独立的预算，能够以有效和可持续的方式履行其职责。还应确保该研究所在乌拉圭全境的存在</w:t>
      </w:r>
      <w:r>
        <w:rPr>
          <w:rFonts w:hint="eastAsia"/>
        </w:rPr>
        <w:t>。</w:t>
      </w:r>
    </w:p>
    <w:p w:rsidR="00A7115D" w:rsidRPr="005675EC" w:rsidRDefault="00A7115D" w:rsidP="00EA01CD">
      <w:pPr>
        <w:pStyle w:val="SingleTxt"/>
        <w:spacing w:after="136"/>
        <w:rPr>
          <w:rFonts w:ascii="SimHei" w:eastAsia="SimHei" w:hint="eastAsia"/>
          <w:color w:val="FF0000"/>
        </w:rPr>
      </w:pPr>
      <w:r w:rsidRPr="005675EC">
        <w:rPr>
          <w:rFonts w:ascii="SimHei" w:eastAsia="SimHei" w:hint="eastAsia"/>
          <w:color w:val="FF0000"/>
        </w:rPr>
        <w:t>平等原则</w:t>
      </w:r>
    </w:p>
    <w:p w:rsidR="00A7115D" w:rsidRDefault="00A7115D" w:rsidP="00EA01CD">
      <w:pPr>
        <w:pStyle w:val="SingleTxt"/>
        <w:spacing w:after="136"/>
        <w:rPr>
          <w:rFonts w:hint="eastAsia"/>
        </w:rPr>
      </w:pPr>
      <w:r>
        <w:rPr>
          <w:rFonts w:hint="eastAsia"/>
        </w:rPr>
        <w:t>18.</w:t>
      </w:r>
      <w:r>
        <w:rPr>
          <w:rFonts w:hint="eastAsia"/>
        </w:rPr>
        <w:tab/>
        <w:t>该委员会关切地注意到，《刑法典》的某些条款，尤其是题为“伤风败俗和破坏家庭罪”的第十章所载有的条款，在描述性犯罪的性质时保留了端庄、贞操和公共丑闻等概念，对妇女有所歧视。委员会感到遗憾的是，参议院2005年9月提出的刑法典修正草案仍未获通过。</w:t>
      </w:r>
    </w:p>
    <w:p w:rsidR="00A7115D" w:rsidRDefault="00A7115D" w:rsidP="00EA01CD">
      <w:pPr>
        <w:pStyle w:val="SingleTxt"/>
        <w:spacing w:after="136"/>
        <w:rPr>
          <w:rFonts w:hint="eastAsia"/>
        </w:rPr>
      </w:pPr>
      <w:r>
        <w:rPr>
          <w:rFonts w:hint="eastAsia"/>
        </w:rPr>
        <w:t>19.</w:t>
      </w:r>
      <w:r>
        <w:rPr>
          <w:rFonts w:hint="eastAsia"/>
        </w:rPr>
        <w:tab/>
      </w:r>
      <w:r w:rsidRPr="005675EC">
        <w:rPr>
          <w:rFonts w:ascii="SimHei" w:eastAsia="SimHei" w:hint="eastAsia"/>
          <w:color w:val="FF0000"/>
        </w:rPr>
        <w:t>委员会敦促该缔约国加紧通过刑法典修正草案，并毫不拖延地废除刑法典中的上述条款，以便使该法典符合《公约》和委员会一般性建议19和24</w:t>
      </w:r>
      <w:r>
        <w:rPr>
          <w:rFonts w:hint="eastAsia"/>
        </w:rPr>
        <w:t>。</w:t>
      </w:r>
    </w:p>
    <w:p w:rsidR="00A7115D" w:rsidRPr="005675EC" w:rsidRDefault="00A7115D" w:rsidP="00EA01CD">
      <w:pPr>
        <w:pStyle w:val="SingleTxt"/>
        <w:spacing w:after="136"/>
        <w:rPr>
          <w:rFonts w:ascii="SimHei" w:eastAsia="SimHei" w:hint="eastAsia"/>
          <w:color w:val="FF0000"/>
        </w:rPr>
      </w:pPr>
      <w:r>
        <w:rPr>
          <w:rFonts w:ascii="SimHei" w:eastAsia="SimHei" w:hint="eastAsia"/>
          <w:color w:val="FF0000"/>
        </w:rPr>
        <w:t>陈规</w:t>
      </w:r>
      <w:r w:rsidRPr="005675EC">
        <w:rPr>
          <w:rFonts w:ascii="SimHei" w:eastAsia="SimHei" w:hint="eastAsia"/>
          <w:color w:val="FF0000"/>
        </w:rPr>
        <w:t>定型观念</w:t>
      </w:r>
      <w:r>
        <w:rPr>
          <w:rFonts w:ascii="SimHei" w:eastAsia="SimHei" w:hint="eastAsia"/>
          <w:color w:val="FF0000"/>
        </w:rPr>
        <w:t>、</w:t>
      </w:r>
      <w:r w:rsidRPr="005675EC">
        <w:rPr>
          <w:rFonts w:ascii="SimHei" w:eastAsia="SimHei" w:hint="eastAsia"/>
          <w:color w:val="FF0000"/>
        </w:rPr>
        <w:t>文化习俗</w:t>
      </w:r>
    </w:p>
    <w:p w:rsidR="00A7115D" w:rsidRDefault="00A7115D" w:rsidP="00EA01CD">
      <w:pPr>
        <w:pStyle w:val="SingleTxt"/>
        <w:spacing w:after="136"/>
        <w:rPr>
          <w:rFonts w:hint="eastAsia"/>
        </w:rPr>
      </w:pPr>
      <w:r>
        <w:rPr>
          <w:rFonts w:hint="eastAsia"/>
        </w:rPr>
        <w:t>20.</w:t>
      </w:r>
      <w:r>
        <w:rPr>
          <w:rFonts w:hint="eastAsia"/>
        </w:rPr>
        <w:tab/>
        <w:t>委员会欢迎该缔约国就暴力侵害妇女的具体问题，针对媒体运营商和教育专业人员开展培训和提高认识活动，但仍令委员会关切的是，对妇女在家庭和社会中的作用始终存在定型观念，在公共和私营领域，因假定男性优越而产生的态度和行为根深蒂固。</w:t>
      </w:r>
    </w:p>
    <w:p w:rsidR="00A7115D" w:rsidRPr="00EA01CD" w:rsidRDefault="00A7115D" w:rsidP="00A7115D">
      <w:pPr>
        <w:pStyle w:val="SingleTxt"/>
        <w:rPr>
          <w:rFonts w:hint="eastAsia"/>
          <w:spacing w:val="-4"/>
        </w:rPr>
      </w:pPr>
      <w:r w:rsidRPr="00EA01CD">
        <w:rPr>
          <w:rFonts w:hint="eastAsia"/>
          <w:spacing w:val="-4"/>
        </w:rPr>
        <w:t>21.</w:t>
      </w:r>
      <w:r w:rsidRPr="00EA01CD">
        <w:rPr>
          <w:rFonts w:hint="eastAsia"/>
          <w:spacing w:val="-4"/>
        </w:rPr>
        <w:tab/>
      </w:r>
      <w:r w:rsidRPr="00EA01CD">
        <w:rPr>
          <w:rFonts w:ascii="SimHei" w:eastAsia="SimHei" w:hint="eastAsia"/>
          <w:color w:val="FF0000"/>
          <w:spacing w:val="-4"/>
        </w:rPr>
        <w:t>按照委员会以前的建议(A/57/38，第一部分，第193段)，委员会建议该缔约国采取紧急措施，特别通过加强其针对媒体和教育专业人员的提高认识方案，并通过将这些方案扩大到司法系统中的执法人员和官员，消除乌拉圭境内的社会定型观念</w:t>
      </w:r>
      <w:r w:rsidRPr="00EA01CD">
        <w:rPr>
          <w:rFonts w:hint="eastAsia"/>
          <w:spacing w:val="-4"/>
        </w:rPr>
        <w:t>。</w:t>
      </w:r>
    </w:p>
    <w:p w:rsidR="00A7115D" w:rsidRPr="005675EC" w:rsidRDefault="00A7115D" w:rsidP="00EA01CD">
      <w:pPr>
        <w:pStyle w:val="SingleTxt"/>
        <w:spacing w:line="332" w:lineRule="exact"/>
        <w:rPr>
          <w:rFonts w:ascii="SimHei" w:eastAsia="SimHei" w:hint="eastAsia"/>
          <w:color w:val="FF0000"/>
        </w:rPr>
      </w:pPr>
      <w:r w:rsidRPr="005675EC">
        <w:rPr>
          <w:rFonts w:ascii="SimHei" w:eastAsia="SimHei" w:hint="eastAsia"/>
          <w:color w:val="FF0000"/>
        </w:rPr>
        <w:t>暴力侵害妇女</w:t>
      </w:r>
      <w:r>
        <w:rPr>
          <w:rFonts w:ascii="SimHei" w:eastAsia="SimHei" w:hint="eastAsia"/>
          <w:color w:val="FF0000"/>
        </w:rPr>
        <w:t>行为</w:t>
      </w:r>
    </w:p>
    <w:p w:rsidR="00A7115D" w:rsidRDefault="00A7115D" w:rsidP="00EA01CD">
      <w:pPr>
        <w:pStyle w:val="SingleTxt"/>
        <w:spacing w:line="332" w:lineRule="exact"/>
        <w:rPr>
          <w:rFonts w:hint="eastAsia"/>
        </w:rPr>
      </w:pPr>
      <w:r>
        <w:rPr>
          <w:rFonts w:hint="eastAsia"/>
        </w:rPr>
        <w:t>22.</w:t>
      </w:r>
      <w:r>
        <w:rPr>
          <w:rFonts w:hint="eastAsia"/>
        </w:rPr>
        <w:tab/>
        <w:t>委员会赞扬该缔约国采取各种立法和政策措施处理家庭暴力。不过，委员会感到遗憾的是，没有资料说明此类措施的实际效果，有关各种形式和表现侵害妇女行为的数据收集工作也普遍存在差距。委员会还感到遗憾的是，没有给家庭暴力的受害者提供支助服务，包括提供收容和咨询服务。</w:t>
      </w:r>
    </w:p>
    <w:p w:rsidR="00A7115D" w:rsidRDefault="00A7115D" w:rsidP="00EA01CD">
      <w:pPr>
        <w:pStyle w:val="SingleTxt"/>
        <w:spacing w:line="332" w:lineRule="exact"/>
        <w:rPr>
          <w:rFonts w:hint="eastAsia"/>
        </w:rPr>
      </w:pPr>
      <w:r>
        <w:rPr>
          <w:rFonts w:hint="eastAsia"/>
        </w:rPr>
        <w:t>23.</w:t>
      </w:r>
      <w:r>
        <w:rPr>
          <w:rFonts w:hint="eastAsia"/>
        </w:rPr>
        <w:tab/>
      </w:r>
      <w:r w:rsidRPr="005675EC">
        <w:rPr>
          <w:rFonts w:ascii="SimHei" w:eastAsia="SimHei" w:hint="eastAsia"/>
          <w:color w:val="FF0000"/>
        </w:rPr>
        <w:t>委员会鼓励该缔约国对处理家庭暴力的本国机制的影响和效力进行研究，并建立定期收集家庭暴力统计数据的制度，按性别、暴力类型和施暴者与受害者的关系加以分类。缔约国应为女性暴力受害者建立无障碍收容所和危机处理中心，并确保在受害妇女同意与施暴人达成和解时，向施暴人和受害人提供咨询服务，并对情况进行监测，以防再次发生虐待行为。应向司法人员、执法官员以及法律和保健专业的人员提供培训和提高认识方案。委员会还鼓励该缔约国在防止暴力侵害妇女方面，加强与民间社会和非政府组织的合作</w:t>
      </w:r>
      <w:r>
        <w:rPr>
          <w:rFonts w:hint="eastAsia"/>
        </w:rPr>
        <w:t>。</w:t>
      </w:r>
    </w:p>
    <w:p w:rsidR="00A7115D" w:rsidRDefault="00A7115D" w:rsidP="00EA01CD">
      <w:pPr>
        <w:pStyle w:val="SingleTxt"/>
        <w:spacing w:line="332" w:lineRule="exact"/>
        <w:rPr>
          <w:rFonts w:hint="eastAsia"/>
        </w:rPr>
      </w:pPr>
      <w:r>
        <w:rPr>
          <w:rFonts w:hint="eastAsia"/>
        </w:rPr>
        <w:t>24.</w:t>
      </w:r>
      <w:r>
        <w:rPr>
          <w:rFonts w:hint="eastAsia"/>
        </w:rPr>
        <w:tab/>
        <w:t>委员会赞赏地注意到，2006年1月第17.938号法律废除了《刑法典》第116条和《刑事诉讼法》第23条，两条曾规定：如强奸人与受害人结婚即撤回强奸罪指控。然而，委员会感到遗憾的是，该缔约国没有将婚内强奸定为犯罪。</w:t>
      </w:r>
    </w:p>
    <w:p w:rsidR="00A7115D" w:rsidRDefault="00A7115D" w:rsidP="00EA01CD">
      <w:pPr>
        <w:pStyle w:val="SingleTxt"/>
        <w:spacing w:line="332" w:lineRule="exact"/>
        <w:rPr>
          <w:rFonts w:hint="eastAsia"/>
        </w:rPr>
      </w:pPr>
      <w:r>
        <w:rPr>
          <w:rFonts w:hint="eastAsia"/>
        </w:rPr>
        <w:t>25.</w:t>
      </w:r>
      <w:r>
        <w:rPr>
          <w:rFonts w:hint="eastAsia"/>
        </w:rPr>
        <w:tab/>
      </w:r>
      <w:r w:rsidRPr="005675EC">
        <w:rPr>
          <w:rFonts w:ascii="SimHei" w:eastAsia="SimHei" w:hint="eastAsia"/>
          <w:color w:val="FF0000"/>
        </w:rPr>
        <w:t>委员会建议该缔约国将婚内强奸定为犯罪，凡未征得妻子同意的即定为婚内强奸</w:t>
      </w:r>
      <w:r>
        <w:rPr>
          <w:rFonts w:hint="eastAsia"/>
        </w:rPr>
        <w:t>。</w:t>
      </w:r>
    </w:p>
    <w:p w:rsidR="00A7115D" w:rsidRDefault="00A7115D" w:rsidP="00EA01CD">
      <w:pPr>
        <w:pStyle w:val="SingleTxt"/>
        <w:spacing w:line="332" w:lineRule="exact"/>
        <w:rPr>
          <w:rFonts w:hint="eastAsia"/>
        </w:rPr>
      </w:pPr>
      <w:r>
        <w:rPr>
          <w:rFonts w:hint="eastAsia"/>
        </w:rPr>
        <w:t>26.</w:t>
      </w:r>
      <w:r>
        <w:rPr>
          <w:rFonts w:hint="eastAsia"/>
        </w:rPr>
        <w:tab/>
        <w:t>委员会注意到，在蒙得维的亚省设立了四个专门家庭法院，主要负责审理家庭暴力案件，但委员会关切地注意到，这些法院不堪重负，仅有4%的家庭暴力案件最终提交刑事法院审理。</w:t>
      </w:r>
    </w:p>
    <w:p w:rsidR="00A7115D" w:rsidRPr="00EA01CD" w:rsidRDefault="00A7115D" w:rsidP="00EA01CD">
      <w:pPr>
        <w:pStyle w:val="SingleTxt"/>
        <w:spacing w:line="332" w:lineRule="exact"/>
        <w:rPr>
          <w:rFonts w:hint="eastAsia"/>
        </w:rPr>
      </w:pPr>
      <w:r w:rsidRPr="00EA01CD">
        <w:rPr>
          <w:rFonts w:hint="eastAsia"/>
        </w:rPr>
        <w:t>27.</w:t>
      </w:r>
      <w:r w:rsidRPr="00EA01CD">
        <w:rPr>
          <w:rFonts w:hint="eastAsia"/>
        </w:rPr>
        <w:tab/>
      </w:r>
      <w:r w:rsidRPr="00EA01CD">
        <w:rPr>
          <w:rFonts w:ascii="SimHei" w:eastAsia="SimHei" w:hint="eastAsia"/>
          <w:color w:val="FF0000"/>
        </w:rPr>
        <w:t>委员会建议该缔约国向家庭法院批拨适当财政和人力资源，确保其正常运作。鼓励缔约国增加家庭法院数目，尤其是在首都以外地区，使司法管辖范围遍及全国</w:t>
      </w:r>
      <w:r w:rsidRPr="00EA01CD">
        <w:rPr>
          <w:rFonts w:hint="eastAsia"/>
        </w:rPr>
        <w:t>。</w:t>
      </w:r>
    </w:p>
    <w:p w:rsidR="00A7115D" w:rsidRPr="00DB05A2" w:rsidRDefault="00A7115D" w:rsidP="00EA01CD">
      <w:pPr>
        <w:pStyle w:val="SingleTxt"/>
        <w:spacing w:line="332" w:lineRule="exact"/>
        <w:rPr>
          <w:rFonts w:ascii="SimHei" w:eastAsia="SimHei" w:hint="eastAsia"/>
          <w:color w:val="FF0000"/>
        </w:rPr>
      </w:pPr>
      <w:r w:rsidRPr="00DB05A2">
        <w:rPr>
          <w:rFonts w:ascii="SimHei" w:eastAsia="SimHei" w:hint="eastAsia"/>
          <w:color w:val="FF0000"/>
        </w:rPr>
        <w:t>贩运</w:t>
      </w:r>
    </w:p>
    <w:p w:rsidR="00A7115D" w:rsidRDefault="00A7115D" w:rsidP="00EA01CD">
      <w:pPr>
        <w:pStyle w:val="SingleTxt"/>
        <w:spacing w:line="332" w:lineRule="exact"/>
        <w:rPr>
          <w:rFonts w:hint="eastAsia"/>
        </w:rPr>
      </w:pPr>
      <w:r>
        <w:rPr>
          <w:rFonts w:hint="eastAsia"/>
        </w:rPr>
        <w:t>28.</w:t>
      </w:r>
      <w:r>
        <w:rPr>
          <w:rFonts w:hint="eastAsia"/>
        </w:rPr>
        <w:tab/>
        <w:t>委员会欢迎该缔约国参加2006年南方共同市场打击贩运行动计划和2007年打击性剥削国家行动计划，但委员会对为性剥削目的持续从该缔约国和向该缔约国贩运妇女和女孩深表关注。委员会感到遗憾的是，没有任何正式记录或统计数据，也没有开展任何研究，评估这种现象的发生率。委员会还对缺乏充分有效措施解决贩运人口问题表示关注。</w:t>
      </w:r>
    </w:p>
    <w:p w:rsidR="00A7115D" w:rsidRDefault="00A7115D" w:rsidP="00EA01CD">
      <w:pPr>
        <w:pStyle w:val="SingleTxt"/>
        <w:spacing w:line="326" w:lineRule="exact"/>
        <w:rPr>
          <w:rFonts w:hint="eastAsia"/>
        </w:rPr>
      </w:pPr>
      <w:r>
        <w:rPr>
          <w:rFonts w:hint="eastAsia"/>
        </w:rPr>
        <w:t>29.</w:t>
      </w:r>
      <w:r>
        <w:rPr>
          <w:rFonts w:hint="eastAsia"/>
        </w:rPr>
        <w:tab/>
      </w:r>
      <w:r w:rsidRPr="00DE47F3">
        <w:rPr>
          <w:rFonts w:ascii="SimHei" w:eastAsia="SimHei" w:hint="eastAsia"/>
          <w:color w:val="FF0000"/>
        </w:rPr>
        <w:t>委员会敦促该缔约国加紧努力，打击贩运妇女和女孩，并对贩运的规模、原因、后果和目的进行研究，同时有系统地汇编资料，以期制定一项全面的战略，包括预防、起诉和处罚犯罪者的措施，以及保护受害人、使其恢复正常生活和重新融入社会的措施。委员会还建议该缔约国就针对妇女和女孩的贩运风险和后果开展全国范围的提高意识运动，并培训执法、移民和边界警务官员，讲授贩运妇女和女孩的原因、后果和发生率。委员会请该缔约国仔细监测所采取各项措施的影响，并说明取得的成果</w:t>
      </w:r>
      <w:r>
        <w:rPr>
          <w:rFonts w:hint="eastAsia"/>
        </w:rPr>
        <w:t>。</w:t>
      </w:r>
    </w:p>
    <w:p w:rsidR="00A7115D" w:rsidRPr="00DB05A2" w:rsidRDefault="00A7115D" w:rsidP="00EA01CD">
      <w:pPr>
        <w:pStyle w:val="SingleTxt"/>
        <w:spacing w:line="326" w:lineRule="exact"/>
        <w:rPr>
          <w:rFonts w:ascii="SimHei" w:eastAsia="SimHei" w:hint="eastAsia"/>
          <w:color w:val="FF0000"/>
        </w:rPr>
      </w:pPr>
      <w:r w:rsidRPr="00DB05A2">
        <w:rPr>
          <w:rFonts w:ascii="SimHei" w:eastAsia="SimHei" w:hint="eastAsia"/>
          <w:color w:val="FF0000"/>
        </w:rPr>
        <w:t>政治参与和参与公共生活</w:t>
      </w:r>
    </w:p>
    <w:p w:rsidR="00A7115D" w:rsidRDefault="00A7115D" w:rsidP="00EA01CD">
      <w:pPr>
        <w:pStyle w:val="SingleTxt"/>
        <w:spacing w:line="326" w:lineRule="exact"/>
        <w:rPr>
          <w:rFonts w:hint="eastAsia"/>
        </w:rPr>
      </w:pPr>
      <w:r>
        <w:rPr>
          <w:rFonts w:hint="eastAsia"/>
        </w:rPr>
        <w:t>30.</w:t>
      </w:r>
      <w:r>
        <w:rPr>
          <w:rFonts w:hint="eastAsia"/>
        </w:rPr>
        <w:tab/>
        <w:t>委员会注意到该缔约国在促进妇女参与公共生活方面的各项举措，但委员会感到关切的是，妇女在公共或政治生活中的任职人数依然偏低，在2004年的选举中，妇女在议会中的代表人数从11.5%下降到10.8%。</w:t>
      </w:r>
    </w:p>
    <w:p w:rsidR="00A7115D" w:rsidRDefault="00A7115D" w:rsidP="00EA01CD">
      <w:pPr>
        <w:pStyle w:val="SingleTxt"/>
        <w:spacing w:line="326" w:lineRule="exact"/>
        <w:rPr>
          <w:rFonts w:hint="eastAsia"/>
        </w:rPr>
      </w:pPr>
      <w:r>
        <w:t>3</w:t>
      </w:r>
      <w:r>
        <w:rPr>
          <w:rFonts w:hint="eastAsia"/>
        </w:rPr>
        <w:t>1.</w:t>
      </w:r>
      <w:r>
        <w:rPr>
          <w:rFonts w:hint="eastAsia"/>
        </w:rPr>
        <w:tab/>
      </w:r>
      <w:r w:rsidRPr="00DE47F3">
        <w:rPr>
          <w:rFonts w:ascii="SimHei" w:eastAsia="SimHei" w:hint="eastAsia"/>
          <w:color w:val="FF0000"/>
        </w:rPr>
        <w:t>委员会敦促缔约国听取委员会先前的建议(A/57/38，第一部分，第201段)，采取适当行动，并实施广泛的战略，包括按照《公约》第4条第1款及委员会一般性建议25，采取暂行特别措施，促使妇女更多地参与公共生活，特别是在决策方面，并推动改变妇女和男子对他们在住户、家庭、工作乃至整个社会中的各自角色所持有的态度和观念。委员会吁请该缔约国加速通过关于配额和政党的法律草案。委员会鼓励该缔约国为妇女、包括土著和非裔妇女开办培训课程，以加强其在社会中的领导作用和决策地位</w:t>
      </w:r>
      <w:r>
        <w:rPr>
          <w:rFonts w:hint="eastAsia"/>
        </w:rPr>
        <w:t>。</w:t>
      </w:r>
    </w:p>
    <w:p w:rsidR="00A7115D" w:rsidRPr="00DB05A2" w:rsidRDefault="00A7115D" w:rsidP="00EA01CD">
      <w:pPr>
        <w:pStyle w:val="SingleTxt"/>
        <w:spacing w:line="326" w:lineRule="exact"/>
        <w:rPr>
          <w:rFonts w:ascii="SimHei" w:eastAsia="SimHei" w:hint="eastAsia"/>
          <w:color w:val="FF0000"/>
        </w:rPr>
      </w:pPr>
      <w:r w:rsidRPr="00DB05A2">
        <w:rPr>
          <w:rFonts w:ascii="SimHei" w:eastAsia="SimHei" w:hint="eastAsia"/>
          <w:color w:val="FF0000"/>
        </w:rPr>
        <w:t>教育</w:t>
      </w:r>
    </w:p>
    <w:p w:rsidR="00A7115D" w:rsidRDefault="00A7115D" w:rsidP="00EA01CD">
      <w:pPr>
        <w:pStyle w:val="SingleTxt"/>
        <w:spacing w:line="326" w:lineRule="exact"/>
        <w:rPr>
          <w:rFonts w:hint="eastAsia"/>
        </w:rPr>
      </w:pPr>
      <w:r>
        <w:rPr>
          <w:rFonts w:hint="eastAsia"/>
        </w:rPr>
        <w:t>32.</w:t>
      </w:r>
      <w:r>
        <w:rPr>
          <w:rFonts w:hint="eastAsia"/>
        </w:rPr>
        <w:tab/>
        <w:t>委员会注意到该缔约国已实现小学普遍入学，但令委员会关切的是，女孩小学复读率和中学辍学率仍居高不下，特别是在乡村和非裔女生当中。</w:t>
      </w:r>
    </w:p>
    <w:p w:rsidR="00A7115D" w:rsidRDefault="00A7115D" w:rsidP="00EA01CD">
      <w:pPr>
        <w:pStyle w:val="SingleTxt"/>
        <w:spacing w:line="326" w:lineRule="exact"/>
        <w:rPr>
          <w:rFonts w:hint="eastAsia"/>
        </w:rPr>
      </w:pPr>
      <w:r>
        <w:rPr>
          <w:rFonts w:hint="eastAsia"/>
        </w:rPr>
        <w:t>33.</w:t>
      </w:r>
      <w:r>
        <w:rPr>
          <w:rFonts w:hint="eastAsia"/>
        </w:rPr>
        <w:tab/>
      </w:r>
      <w:r w:rsidRPr="00DE47F3">
        <w:rPr>
          <w:rFonts w:ascii="SimHei" w:eastAsia="SimHei" w:hint="eastAsia"/>
          <w:color w:val="FF0000"/>
        </w:rPr>
        <w:t>委员会鼓励该缔约国按照《公约》第4条第1款和委员会一般性建议25，采取暂行特别措施，减少和消除初等和中等教育中的女孩高辍学率和复读率，并采纳奖励办法，鼓励父母送女孩上学</w:t>
      </w:r>
      <w:r>
        <w:rPr>
          <w:rFonts w:hint="eastAsia"/>
        </w:rPr>
        <w:t>。</w:t>
      </w:r>
    </w:p>
    <w:p w:rsidR="00A7115D" w:rsidRPr="00DB05A2" w:rsidRDefault="00A7115D" w:rsidP="00EA01CD">
      <w:pPr>
        <w:pStyle w:val="SingleTxt"/>
        <w:spacing w:line="326" w:lineRule="exact"/>
        <w:rPr>
          <w:rFonts w:ascii="SimHei" w:eastAsia="SimHei" w:hint="eastAsia"/>
          <w:color w:val="FF0000"/>
        </w:rPr>
      </w:pPr>
      <w:r w:rsidRPr="00DB05A2">
        <w:rPr>
          <w:rFonts w:ascii="SimHei" w:eastAsia="SimHei" w:hint="eastAsia"/>
          <w:color w:val="FF0000"/>
        </w:rPr>
        <w:t>就业</w:t>
      </w:r>
    </w:p>
    <w:p w:rsidR="00A7115D" w:rsidRDefault="00A7115D" w:rsidP="00EA01CD">
      <w:pPr>
        <w:pStyle w:val="SingleTxt"/>
        <w:spacing w:line="326" w:lineRule="exact"/>
        <w:rPr>
          <w:rFonts w:hint="eastAsia"/>
        </w:rPr>
      </w:pPr>
      <w:r>
        <w:rPr>
          <w:rFonts w:hint="eastAsia"/>
        </w:rPr>
        <w:t>34.</w:t>
      </w:r>
      <w:r>
        <w:rPr>
          <w:rFonts w:hint="eastAsia"/>
        </w:rPr>
        <w:tab/>
        <w:t>委员会关切地注意到，乌拉圭妇女尽管教育水平高，但她们就业不足和失业的比率依然偏高，农村地区也不例外，妇女还被隔离在低工资的就业部门。委员会进一步关注私营部门持续存在巨大薪金差距，对同工同酬的原则也不够理解。委员会感到遗憾的是，该缔约国说尚未制定防止工作地点歧视妇女的国家方案，因而不法评估对具体失业指标、工资水平或男女工资差别的影响。</w:t>
      </w:r>
    </w:p>
    <w:p w:rsidR="00A7115D" w:rsidRDefault="00A7115D" w:rsidP="00EA01CD">
      <w:pPr>
        <w:pStyle w:val="SingleTxt"/>
        <w:spacing w:line="326" w:lineRule="exact"/>
        <w:rPr>
          <w:rFonts w:hint="eastAsia"/>
        </w:rPr>
      </w:pPr>
      <w:r>
        <w:rPr>
          <w:rFonts w:hint="eastAsia"/>
        </w:rPr>
        <w:t>35.</w:t>
      </w:r>
      <w:r>
        <w:rPr>
          <w:rFonts w:hint="eastAsia"/>
        </w:rPr>
        <w:tab/>
      </w:r>
      <w:r w:rsidRPr="00DE47F3">
        <w:rPr>
          <w:rFonts w:ascii="SimHei" w:eastAsia="SimHei" w:hint="eastAsia"/>
          <w:color w:val="FF0000"/>
        </w:rPr>
        <w:t>委员会重申其建议(A/57/38，第一部分，第199段)</w:t>
      </w:r>
      <w:r>
        <w:rPr>
          <w:rFonts w:ascii="SimHei" w:eastAsia="SimHei" w:hint="eastAsia"/>
          <w:color w:val="FF0000"/>
        </w:rPr>
        <w:t>，建议该缔约国采取</w:t>
      </w:r>
      <w:r w:rsidRPr="00DE47F3">
        <w:rPr>
          <w:rFonts w:ascii="SimHei" w:eastAsia="SimHei" w:hint="eastAsia"/>
          <w:color w:val="FF0000"/>
        </w:rPr>
        <w:t>行动，消除就业歧视和职业隔离。委员会敦促该缔约国依照《公约》第11(d)条，颁布适当的立法，保障“同工同酬”的原则。缔约国应在下一次定期报告中列入按性别分列的关于工资、养恤金和社会保险权利的数据</w:t>
      </w:r>
      <w:r>
        <w:rPr>
          <w:rFonts w:hint="eastAsia"/>
        </w:rPr>
        <w:t>。</w:t>
      </w:r>
    </w:p>
    <w:p w:rsidR="00A7115D" w:rsidRDefault="00A7115D" w:rsidP="00EA01CD">
      <w:pPr>
        <w:pStyle w:val="SingleTxt"/>
        <w:spacing w:line="326" w:lineRule="exact"/>
        <w:rPr>
          <w:rFonts w:hint="eastAsia"/>
        </w:rPr>
      </w:pPr>
      <w:r>
        <w:rPr>
          <w:rFonts w:hint="eastAsia"/>
        </w:rPr>
        <w:t>36.</w:t>
      </w:r>
      <w:r>
        <w:rPr>
          <w:rFonts w:hint="eastAsia"/>
        </w:rPr>
        <w:tab/>
        <w:t>委员会欢迎通过《家政服务法》，但委员会关切地注意到，对该法的影响尚未作出任何评估。委员会还对女性家庭佣工被排除在该缔约国社会保险计划之外的比例偏高表示关注。</w:t>
      </w:r>
    </w:p>
    <w:p w:rsidR="00A7115D" w:rsidRPr="00EA01CD" w:rsidRDefault="00A7115D" w:rsidP="00A7115D">
      <w:pPr>
        <w:pStyle w:val="SingleTxt"/>
        <w:spacing w:line="326" w:lineRule="exact"/>
        <w:rPr>
          <w:rFonts w:hint="eastAsia"/>
        </w:rPr>
      </w:pPr>
      <w:r w:rsidRPr="00EA01CD">
        <w:rPr>
          <w:rFonts w:hint="eastAsia"/>
        </w:rPr>
        <w:t>37.</w:t>
      </w:r>
      <w:r w:rsidRPr="00EA01CD">
        <w:rPr>
          <w:rFonts w:hint="eastAsia"/>
        </w:rPr>
        <w:tab/>
      </w:r>
      <w:r w:rsidRPr="00EA01CD">
        <w:rPr>
          <w:rFonts w:ascii="SimHei" w:eastAsia="SimHei" w:hint="eastAsia"/>
          <w:color w:val="FF0000"/>
        </w:rPr>
        <w:t>委员会吁请该缔约国确保有效执行《家政服务法》，并在下一次定期报告中说明其执行情况。该缔约国还应确保正式确立家庭佣工享有社会保险的地位</w:t>
      </w:r>
      <w:r w:rsidRPr="00EA01CD">
        <w:rPr>
          <w:rFonts w:hint="eastAsia"/>
        </w:rPr>
        <w:t>。</w:t>
      </w:r>
    </w:p>
    <w:p w:rsidR="00A7115D" w:rsidRPr="00DB05A2" w:rsidRDefault="00A7115D" w:rsidP="00EA01CD">
      <w:pPr>
        <w:pStyle w:val="SingleTxt"/>
        <w:rPr>
          <w:rFonts w:ascii="SimHei" w:eastAsia="SimHei" w:hint="eastAsia"/>
          <w:color w:val="FF0000"/>
        </w:rPr>
      </w:pPr>
      <w:r w:rsidRPr="00DB05A2">
        <w:rPr>
          <w:rFonts w:ascii="SimHei" w:eastAsia="SimHei" w:hint="eastAsia"/>
          <w:color w:val="FF0000"/>
        </w:rPr>
        <w:t>卫生</w:t>
      </w:r>
    </w:p>
    <w:p w:rsidR="00A7115D" w:rsidRDefault="00A7115D" w:rsidP="00EA01CD">
      <w:pPr>
        <w:pStyle w:val="SingleTxt"/>
        <w:spacing w:line="322" w:lineRule="exact"/>
        <w:rPr>
          <w:rFonts w:hint="eastAsia"/>
        </w:rPr>
      </w:pPr>
      <w:r>
        <w:rPr>
          <w:rFonts w:hint="eastAsia"/>
        </w:rPr>
        <w:t>38.</w:t>
      </w:r>
      <w:r>
        <w:rPr>
          <w:rFonts w:hint="eastAsia"/>
        </w:rPr>
        <w:tab/>
        <w:t>委员会对少女和年轻妇女怀孕率偏高仍然感到关切。委员会还对孕产妇死亡率偏高仍然感到关切。导致孕产妇死亡率偏高的首要原因是不安全的人工流产。委员会感到遗憾的是，没有制订降低孕产妇死亡率的战略，产妇保健政策中也没有注意到不安全人工流产引起的并发症。</w:t>
      </w:r>
    </w:p>
    <w:p w:rsidR="00A7115D" w:rsidRDefault="00A7115D" w:rsidP="00EA01CD">
      <w:pPr>
        <w:pStyle w:val="SingleTxt"/>
        <w:spacing w:line="322" w:lineRule="exact"/>
        <w:rPr>
          <w:rFonts w:hint="eastAsia"/>
        </w:rPr>
      </w:pPr>
      <w:r>
        <w:rPr>
          <w:rFonts w:hint="eastAsia"/>
        </w:rPr>
        <w:t>39.</w:t>
      </w:r>
      <w:r>
        <w:rPr>
          <w:rFonts w:hint="eastAsia"/>
        </w:rPr>
        <w:tab/>
      </w:r>
      <w:r w:rsidRPr="00DE47F3">
        <w:rPr>
          <w:rFonts w:ascii="SimHei" w:eastAsia="SimHei" w:hint="eastAsia"/>
          <w:color w:val="FF0000"/>
        </w:rPr>
        <w:t>委员会建议该缔约国采取和执行有效的预防措施，防止不安全的人工流产及其对妇女健康和孕产妇死亡率的影响。委员会吁请该缔约国加强性教育方案，加强媒体以及性健康和生殖保健部门的高质量服务，以便确保男女都能够就子女数量和生育间隔做出知情的选择</w:t>
      </w:r>
      <w:r>
        <w:rPr>
          <w:rFonts w:hint="eastAsia"/>
        </w:rPr>
        <w:t>。</w:t>
      </w:r>
    </w:p>
    <w:p w:rsidR="00A7115D" w:rsidRDefault="00A7115D" w:rsidP="00EA01CD">
      <w:pPr>
        <w:pStyle w:val="SingleTxt"/>
        <w:spacing w:line="322" w:lineRule="exact"/>
        <w:rPr>
          <w:rFonts w:hint="eastAsia"/>
        </w:rPr>
      </w:pPr>
      <w:r>
        <w:rPr>
          <w:rFonts w:hint="eastAsia"/>
        </w:rPr>
        <w:t>40.</w:t>
      </w:r>
      <w:r>
        <w:rPr>
          <w:rFonts w:hint="eastAsia"/>
        </w:rPr>
        <w:tab/>
        <w:t>委员会感到关切的是，近期乌拉圭妇女的艾滋病毒/艾滋病发病率有所提高，而且没有制订战略性国家计划处理这个问题，也没有采取措施关爱感染艾滋病毒/艾滋病的妇女和女孩。</w:t>
      </w:r>
    </w:p>
    <w:p w:rsidR="00A7115D" w:rsidRPr="00EA01CD" w:rsidRDefault="00A7115D" w:rsidP="00EA01CD">
      <w:pPr>
        <w:pStyle w:val="SingleTxt"/>
        <w:spacing w:line="322" w:lineRule="exact"/>
        <w:rPr>
          <w:rFonts w:hint="eastAsia"/>
          <w:spacing w:val="-4"/>
        </w:rPr>
      </w:pPr>
      <w:r w:rsidRPr="00EA01CD">
        <w:rPr>
          <w:spacing w:val="-4"/>
        </w:rPr>
        <w:t>4</w:t>
      </w:r>
      <w:r w:rsidRPr="00EA01CD">
        <w:rPr>
          <w:rFonts w:hint="eastAsia"/>
          <w:spacing w:val="-4"/>
        </w:rPr>
        <w:t>1.</w:t>
      </w:r>
      <w:r w:rsidRPr="00EA01CD">
        <w:rPr>
          <w:rFonts w:hint="eastAsia"/>
          <w:spacing w:val="-4"/>
        </w:rPr>
        <w:tab/>
      </w:r>
      <w:r w:rsidRPr="00EA01CD">
        <w:rPr>
          <w:rFonts w:ascii="SimHei" w:eastAsia="SimHei" w:hint="eastAsia"/>
          <w:color w:val="FF0000"/>
          <w:spacing w:val="-4"/>
        </w:rPr>
        <w:t>委员会敦促该缔约国采取全面措施，防治艾滋病毒/艾滋病流行病，采取有力的预防措施，并确保感染艾滋病毒/艾滋病的妇女和女孩不受歧视，得到恰当的救助</w:t>
      </w:r>
      <w:r w:rsidRPr="00EA01CD">
        <w:rPr>
          <w:rFonts w:hint="eastAsia"/>
          <w:spacing w:val="-4"/>
        </w:rPr>
        <w:t>。</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农村妇女</w:t>
      </w:r>
    </w:p>
    <w:p w:rsidR="00A7115D" w:rsidRDefault="00A7115D" w:rsidP="00EA01CD">
      <w:pPr>
        <w:pStyle w:val="SingleTxt"/>
        <w:spacing w:line="322" w:lineRule="exact"/>
        <w:rPr>
          <w:rFonts w:hint="eastAsia"/>
        </w:rPr>
      </w:pPr>
      <w:r>
        <w:rPr>
          <w:rFonts w:hint="eastAsia"/>
        </w:rPr>
        <w:t>42.</w:t>
      </w:r>
      <w:r>
        <w:rPr>
          <w:rFonts w:hint="eastAsia"/>
        </w:rPr>
        <w:tab/>
        <w:t>委员会对乌拉圭农村妇女的状况感到关切。与城市人口相比，她们更加贫穷、工资更少、失业率和就业不足率更高，辍学率也更高。委员会尤其感到关切的是，没有为农村妇女设立任何公共机构或制订任何政策，包括有关就业、卫生和教育方面的机构和政策。</w:t>
      </w:r>
    </w:p>
    <w:p w:rsidR="00A7115D" w:rsidRDefault="00A7115D" w:rsidP="00EA01CD">
      <w:pPr>
        <w:pStyle w:val="SingleTxt"/>
        <w:spacing w:line="322" w:lineRule="exact"/>
        <w:rPr>
          <w:rFonts w:hint="eastAsia"/>
        </w:rPr>
      </w:pPr>
      <w:r>
        <w:rPr>
          <w:rFonts w:hint="eastAsia"/>
        </w:rPr>
        <w:t>43.</w:t>
      </w:r>
      <w:r>
        <w:rPr>
          <w:rFonts w:hint="eastAsia"/>
        </w:rPr>
        <w:tab/>
      </w:r>
      <w:r w:rsidRPr="00DE47F3">
        <w:rPr>
          <w:rFonts w:ascii="SimHei" w:eastAsia="SimHei" w:hint="eastAsia"/>
          <w:color w:val="FF0000"/>
        </w:rPr>
        <w:t>委员会请该缔约国在下次定期报告中提供更多的资料和数据，说明农村妇女的状况。委员会建议该缔约国制订综合政策和方案，以期提高农村妇女的经济实力，确保她们获得培训、生产资源和资本，并享有保健服务和社会保障</w:t>
      </w:r>
      <w:r>
        <w:rPr>
          <w:rFonts w:hint="eastAsia"/>
        </w:rPr>
        <w:t>。</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少数民族妇女</w:t>
      </w:r>
    </w:p>
    <w:p w:rsidR="00A7115D" w:rsidRDefault="00A7115D" w:rsidP="00EA01CD">
      <w:pPr>
        <w:pStyle w:val="SingleTxt"/>
        <w:spacing w:line="322" w:lineRule="exact"/>
        <w:rPr>
          <w:rFonts w:hint="eastAsia"/>
        </w:rPr>
      </w:pPr>
      <w:r>
        <w:rPr>
          <w:rFonts w:hint="eastAsia"/>
        </w:rPr>
        <w:t>44.</w:t>
      </w:r>
      <w:r>
        <w:rPr>
          <w:rFonts w:hint="eastAsia"/>
        </w:rPr>
        <w:tab/>
        <w:t>委员会感到遗憾的是，有关该缔约国土著妇女和非裔妇女状况的资料不足，这些妇女受贫困的影响格外严重，并且遭受性别和人种歧视。委员会还感到遗憾的是，没有积极主动地采取措施促进少数民族妇女的权益。</w:t>
      </w:r>
    </w:p>
    <w:p w:rsidR="00A7115D" w:rsidRDefault="00A7115D" w:rsidP="00EA01CD">
      <w:pPr>
        <w:pStyle w:val="SingleTxt"/>
        <w:rPr>
          <w:rFonts w:hint="eastAsia"/>
        </w:rPr>
      </w:pPr>
      <w:r>
        <w:rPr>
          <w:rFonts w:hint="eastAsia"/>
        </w:rPr>
        <w:t>45.</w:t>
      </w:r>
      <w:r>
        <w:rPr>
          <w:rFonts w:hint="eastAsia"/>
        </w:rPr>
        <w:tab/>
      </w:r>
      <w:r w:rsidRPr="00DE47F3">
        <w:rPr>
          <w:rFonts w:ascii="SimHei" w:eastAsia="SimHei" w:hint="eastAsia"/>
          <w:color w:val="FF0000"/>
        </w:rPr>
        <w:t>委员会敦促该缔约国采取有效措施，包括暂行特别措施，消除针对少数民族妇女的歧视。委员会吁请该缔约国通过收集按性别分列的农村生产数据，认识少数民族妇女对经济的贡献，并确保将两性平等的观念纳入所有发展方案，同时特别关注农村少数民族妇女。委员会重申其以前的请求(A/57/38，第一部分，第209段)，请该缔约国在下次定期报告中说明少数民族妇女的状况等</w:t>
      </w:r>
      <w:r>
        <w:rPr>
          <w:rFonts w:hint="eastAsia"/>
        </w:rPr>
        <w:t>。</w:t>
      </w:r>
    </w:p>
    <w:p w:rsidR="00A7115D" w:rsidRPr="00DB05A2" w:rsidRDefault="00A7115D" w:rsidP="00EA01CD">
      <w:pPr>
        <w:pStyle w:val="SingleTxt"/>
        <w:spacing w:line="324" w:lineRule="exact"/>
        <w:rPr>
          <w:rFonts w:ascii="SimHei" w:eastAsia="SimHei" w:hint="eastAsia"/>
          <w:color w:val="FF0000"/>
        </w:rPr>
      </w:pPr>
      <w:r w:rsidRPr="00DB05A2">
        <w:rPr>
          <w:rFonts w:ascii="SimHei" w:eastAsia="SimHei" w:hint="eastAsia"/>
          <w:color w:val="FF0000"/>
        </w:rPr>
        <w:t>家庭关系</w:t>
      </w:r>
    </w:p>
    <w:p w:rsidR="00A7115D" w:rsidRDefault="00A7115D" w:rsidP="00EA01CD">
      <w:pPr>
        <w:pStyle w:val="SingleTxt"/>
        <w:spacing w:line="324" w:lineRule="exact"/>
        <w:rPr>
          <w:rFonts w:hint="eastAsia"/>
        </w:rPr>
      </w:pPr>
      <w:r>
        <w:rPr>
          <w:rFonts w:hint="eastAsia"/>
        </w:rPr>
        <w:t>46.</w:t>
      </w:r>
      <w:r>
        <w:rPr>
          <w:rFonts w:hint="eastAsia"/>
        </w:rPr>
        <w:tab/>
        <w:t>委员会感到严重关切的是，《民法》仍载有家庭和婚姻方面歧视妇女的规定，特别是设立最低结婚年龄、丧偶或离婚妇女在丈夫死亡或离婚之日300天内不得再婚、以及不向“生活不检点”妇女支付赡养费等规定。委员会感到遗憾的是，《儿童和青少年法》没有修订非常低的结婚年龄，仍规定女孩为12岁，男孩为14岁，从而违反了《公约》第16条第2款。</w:t>
      </w:r>
    </w:p>
    <w:p w:rsidR="00A7115D" w:rsidRDefault="00A7115D" w:rsidP="00EA01CD">
      <w:pPr>
        <w:pStyle w:val="SingleTxt"/>
        <w:spacing w:line="324" w:lineRule="exact"/>
        <w:rPr>
          <w:rFonts w:hint="eastAsia"/>
        </w:rPr>
      </w:pPr>
      <w:r>
        <w:rPr>
          <w:rFonts w:hint="eastAsia"/>
        </w:rPr>
        <w:t>47.</w:t>
      </w:r>
      <w:r>
        <w:rPr>
          <w:rFonts w:hint="eastAsia"/>
        </w:rPr>
        <w:tab/>
      </w:r>
      <w:r w:rsidRPr="00DE47F3">
        <w:rPr>
          <w:rFonts w:ascii="SimHei" w:eastAsia="SimHei" w:hint="eastAsia"/>
          <w:color w:val="FF0000"/>
        </w:rPr>
        <w:t>按照委员会以前的建议(A/57/38，第一部分，第205段)和儿童权利委员会的建议(CRC/C/URY/CO/2，第26段)，吁请该缔约国废除有关家庭和婚姻事项的歧视性法律规定，以便使该国立法符合《公约》。特别是，缔约国应按照《公约》第16条第2款、委员会一般性建议21以及《儿童权利公约》第14条，将男女最低结婚年龄提高到18岁</w:t>
      </w:r>
      <w:r>
        <w:rPr>
          <w:rFonts w:hint="eastAsia"/>
        </w:rPr>
        <w:t>。</w:t>
      </w:r>
    </w:p>
    <w:p w:rsidR="00A7115D" w:rsidRDefault="00A7115D" w:rsidP="00EA01CD">
      <w:pPr>
        <w:pStyle w:val="SingleTxt"/>
        <w:spacing w:line="324" w:lineRule="exact"/>
        <w:rPr>
          <w:rFonts w:hint="eastAsia"/>
        </w:rPr>
      </w:pPr>
      <w:r>
        <w:rPr>
          <w:rFonts w:hint="eastAsia"/>
        </w:rPr>
        <w:t>48.</w:t>
      </w:r>
      <w:r>
        <w:rPr>
          <w:rFonts w:hint="eastAsia"/>
        </w:rPr>
        <w:tab/>
        <w:t>委员会对通过《儿童和青少年法》表示欢迎，该法载有若干反对歧视的规定，但委员会感到关切的是，该法仍保留了对婚外子女的区别待遇和轻蔑。</w:t>
      </w:r>
    </w:p>
    <w:p w:rsidR="00A7115D" w:rsidRDefault="00A7115D" w:rsidP="00EA01CD">
      <w:pPr>
        <w:pStyle w:val="SingleTxt"/>
        <w:spacing w:line="324" w:lineRule="exact"/>
        <w:rPr>
          <w:rFonts w:hint="eastAsia"/>
        </w:rPr>
      </w:pPr>
      <w:r>
        <w:rPr>
          <w:rFonts w:hint="eastAsia"/>
        </w:rPr>
        <w:t>49.</w:t>
      </w:r>
      <w:r>
        <w:rPr>
          <w:rFonts w:hint="eastAsia"/>
        </w:rPr>
        <w:tab/>
      </w:r>
      <w:r w:rsidRPr="00DE47F3">
        <w:rPr>
          <w:rFonts w:ascii="SimHei" w:eastAsia="SimHei" w:hint="eastAsia"/>
          <w:color w:val="FF0000"/>
        </w:rPr>
        <w:t>在儿童权利委员会的建议(CRC/C/URY/CO/2，第28段)基础上，委员会还鼓励该缔约国立即消除对婚外子女的歧视。委员会鼓励该缔约国在下次报告中说明有婚外子女的单亲母亲的状况，以及为确保保护其权益而采取的措施</w:t>
      </w:r>
      <w:r>
        <w:rPr>
          <w:rFonts w:hint="eastAsia"/>
        </w:rPr>
        <w:t>。</w:t>
      </w:r>
    </w:p>
    <w:p w:rsidR="00A7115D" w:rsidRPr="00DB05A2" w:rsidRDefault="00A7115D" w:rsidP="00EA01CD">
      <w:pPr>
        <w:pStyle w:val="SingleTxt"/>
        <w:spacing w:line="324" w:lineRule="exact"/>
        <w:rPr>
          <w:rFonts w:ascii="SimHei" w:eastAsia="SimHei" w:hint="eastAsia"/>
          <w:color w:val="FF0000"/>
        </w:rPr>
      </w:pPr>
      <w:r w:rsidRPr="00DB05A2">
        <w:rPr>
          <w:rFonts w:ascii="SimHei" w:eastAsia="SimHei" w:hint="eastAsia"/>
          <w:color w:val="FF0000"/>
        </w:rPr>
        <w:t>数据收集和分析</w:t>
      </w:r>
    </w:p>
    <w:p w:rsidR="00A7115D" w:rsidRDefault="00A7115D" w:rsidP="00EA01CD">
      <w:pPr>
        <w:pStyle w:val="SingleTxt"/>
        <w:spacing w:line="324" w:lineRule="exact"/>
        <w:rPr>
          <w:rFonts w:hint="eastAsia"/>
        </w:rPr>
      </w:pPr>
      <w:r>
        <w:rPr>
          <w:rFonts w:hint="eastAsia"/>
        </w:rPr>
        <w:t>50.</w:t>
      </w:r>
      <w:r>
        <w:rPr>
          <w:rFonts w:hint="eastAsia"/>
        </w:rPr>
        <w:tab/>
        <w:t>委员会注意到报告附件载有大量资料，但对报告中按性别分列的统计数据不足表示关切。</w:t>
      </w:r>
    </w:p>
    <w:p w:rsidR="00A7115D" w:rsidRDefault="00A7115D" w:rsidP="00EA01CD">
      <w:pPr>
        <w:pStyle w:val="SingleTxt"/>
        <w:spacing w:line="324" w:lineRule="exact"/>
        <w:rPr>
          <w:rFonts w:hint="eastAsia"/>
        </w:rPr>
      </w:pPr>
      <w:r>
        <w:t>5</w:t>
      </w:r>
      <w:r>
        <w:rPr>
          <w:rFonts w:hint="eastAsia"/>
        </w:rPr>
        <w:t>1.</w:t>
      </w:r>
      <w:r>
        <w:rPr>
          <w:rFonts w:hint="eastAsia"/>
        </w:rPr>
        <w:tab/>
      </w:r>
      <w:r w:rsidRPr="00DE47F3">
        <w:rPr>
          <w:rFonts w:ascii="SimHei" w:eastAsia="SimHei" w:hint="eastAsia"/>
          <w:color w:val="FF0000"/>
        </w:rPr>
        <w:t>委员会建议该缔约国全面汇编和分析按性别分列的数据，并敦促该缔约国将此类统计资料和数据纳入下一次报告的正文，而非报告的附件中</w:t>
      </w:r>
      <w:r>
        <w:rPr>
          <w:rFonts w:hint="eastAsia"/>
        </w:rPr>
        <w:t>。</w:t>
      </w:r>
    </w:p>
    <w:p w:rsidR="00A7115D" w:rsidRPr="00DB05A2" w:rsidRDefault="00A7115D" w:rsidP="00EA01CD">
      <w:pPr>
        <w:pStyle w:val="SingleTxt"/>
        <w:spacing w:line="324" w:lineRule="exact"/>
        <w:rPr>
          <w:rFonts w:ascii="SimHei" w:eastAsia="SimHei" w:hint="eastAsia"/>
          <w:color w:val="FF0000"/>
        </w:rPr>
      </w:pPr>
      <w:r w:rsidRPr="00DB05A2">
        <w:rPr>
          <w:rFonts w:ascii="SimHei" w:eastAsia="SimHei" w:hint="eastAsia"/>
          <w:color w:val="FF0000"/>
        </w:rPr>
        <w:t>《北京宣言和行动纲要》的后续行动</w:t>
      </w:r>
    </w:p>
    <w:p w:rsidR="00A7115D" w:rsidRDefault="00A7115D" w:rsidP="00EA01CD">
      <w:pPr>
        <w:pStyle w:val="SingleTxt"/>
        <w:spacing w:line="324" w:lineRule="exact"/>
        <w:rPr>
          <w:rFonts w:hint="eastAsia"/>
        </w:rPr>
      </w:pPr>
      <w:r>
        <w:rPr>
          <w:rFonts w:hint="eastAsia"/>
        </w:rPr>
        <w:t>52.</w:t>
      </w:r>
      <w:r w:rsidRPr="00DE47F3">
        <w:rPr>
          <w:rFonts w:ascii="SimHei" w:eastAsia="SimHei" w:hint="eastAsia"/>
          <w:color w:val="FF0000"/>
        </w:rPr>
        <w:tab/>
        <w:t>委员会敦促该缔约国在履行《公约》规定的义务时，充分利用强化《公约》各项规定的《北京宣言和行动纲要》，并请该缔约国在下一次定期报告中列入有关资料</w:t>
      </w:r>
      <w:r>
        <w:rPr>
          <w:rFonts w:hint="eastAsia"/>
        </w:rPr>
        <w:t>。</w:t>
      </w:r>
    </w:p>
    <w:p w:rsidR="00A7115D" w:rsidRPr="00DB05A2" w:rsidRDefault="00A7115D" w:rsidP="00EA01CD">
      <w:pPr>
        <w:pStyle w:val="SingleTxt"/>
        <w:spacing w:line="324" w:lineRule="exact"/>
        <w:rPr>
          <w:rFonts w:ascii="SimHei" w:eastAsia="SimHei" w:hint="eastAsia"/>
          <w:color w:val="FF0000"/>
        </w:rPr>
      </w:pPr>
      <w:r w:rsidRPr="00DB05A2">
        <w:rPr>
          <w:rFonts w:ascii="SimHei" w:eastAsia="SimHei" w:hint="eastAsia"/>
          <w:color w:val="FF0000"/>
        </w:rPr>
        <w:t>千年发展目标</w:t>
      </w:r>
    </w:p>
    <w:p w:rsidR="00A7115D" w:rsidRPr="00EA01CD" w:rsidRDefault="00A7115D" w:rsidP="00EA01CD">
      <w:pPr>
        <w:pStyle w:val="SingleTxt"/>
        <w:spacing w:line="324" w:lineRule="exact"/>
        <w:rPr>
          <w:rFonts w:hint="eastAsia"/>
        </w:rPr>
      </w:pPr>
      <w:r w:rsidRPr="00EA01CD">
        <w:rPr>
          <w:rFonts w:hint="eastAsia"/>
        </w:rPr>
        <w:t>53.</w:t>
      </w:r>
      <w:r w:rsidRPr="00EA01CD">
        <w:rPr>
          <w:rFonts w:hint="eastAsia"/>
        </w:rPr>
        <w:tab/>
      </w:r>
      <w:r w:rsidRPr="00EA01CD">
        <w:rPr>
          <w:rFonts w:ascii="SimHei" w:eastAsia="SimHei" w:hint="eastAsia"/>
          <w:color w:val="FF0000"/>
        </w:rPr>
        <w:t>委员会还强调，全面和切实执行《公约》是实现千年发展目标的必要条件。委员会要求在所有旨在实现千年发展目标的努力中纳入两性平等观点，明确体现《公约》的各项规定，并请该缔约国在下一次定期报告中列入有关资料</w:t>
      </w:r>
      <w:r w:rsidRPr="00EA01CD">
        <w:rPr>
          <w:rFonts w:hint="eastAsia"/>
        </w:rPr>
        <w:t>。</w:t>
      </w:r>
    </w:p>
    <w:p w:rsidR="00A7115D" w:rsidRPr="00DB05A2" w:rsidRDefault="00A7115D" w:rsidP="00EA01CD">
      <w:pPr>
        <w:pStyle w:val="SingleTxt"/>
        <w:spacing w:line="322" w:lineRule="exact"/>
        <w:rPr>
          <w:rFonts w:ascii="SimHei" w:eastAsia="SimHei" w:hint="eastAsia"/>
          <w:color w:val="FF0000"/>
        </w:rPr>
      </w:pPr>
      <w:r>
        <w:rPr>
          <w:rFonts w:ascii="SimHei" w:eastAsia="SimHei" w:hint="eastAsia"/>
          <w:color w:val="FF0000"/>
        </w:rPr>
        <w:t>结论意见的</w:t>
      </w:r>
      <w:r w:rsidRPr="00DB05A2">
        <w:rPr>
          <w:rFonts w:ascii="SimHei" w:eastAsia="SimHei" w:hint="eastAsia"/>
          <w:color w:val="FF0000"/>
        </w:rPr>
        <w:t>传播</w:t>
      </w:r>
    </w:p>
    <w:p w:rsidR="00A7115D" w:rsidRPr="00BC1A6C" w:rsidRDefault="00A7115D" w:rsidP="00EA01CD">
      <w:pPr>
        <w:pStyle w:val="SingleTxt"/>
        <w:spacing w:line="322" w:lineRule="exact"/>
        <w:rPr>
          <w:rFonts w:hint="eastAsia"/>
          <w:spacing w:val="4"/>
        </w:rPr>
      </w:pPr>
      <w:r w:rsidRPr="00BC1A6C">
        <w:rPr>
          <w:rFonts w:hint="eastAsia"/>
          <w:spacing w:val="4"/>
        </w:rPr>
        <w:t>5</w:t>
      </w:r>
      <w:r>
        <w:rPr>
          <w:rFonts w:hint="eastAsia"/>
          <w:spacing w:val="4"/>
        </w:rPr>
        <w:t>4</w:t>
      </w:r>
      <w:r w:rsidRPr="00BC1A6C">
        <w:rPr>
          <w:rFonts w:hint="eastAsia"/>
          <w:spacing w:val="4"/>
        </w:rPr>
        <w:t>.</w:t>
      </w:r>
      <w:r w:rsidRPr="00BC1A6C">
        <w:rPr>
          <w:rFonts w:hint="eastAsia"/>
          <w:spacing w:val="4"/>
        </w:rPr>
        <w:tab/>
      </w:r>
      <w:r w:rsidRPr="00BC1A6C">
        <w:rPr>
          <w:rFonts w:ascii="SimHei" w:eastAsia="SimHei" w:hint="eastAsia"/>
          <w:color w:val="FF0000"/>
          <w:spacing w:val="4"/>
        </w:rPr>
        <w:t>委员会要求在乌拉圭广泛传播本结论意见，使人民，包括联邦一级、各省和地方各级的政府官员、政治人物、议员及妇女和人权组织，都能了解为确保妇女在法律上和事实上平等而采取的措施，以及在这方面需要采取的进一步步骤。委员会请该缔约国继续加大宣传力度，尤其向妇女和人权组织宣传《公约》及其任择议定书、委员会的一般性建议、《北京宣言和行动纲要》以及题为“2000年妇女：二十一世纪两性平等、发展与和平”的大会第二十三届特别会议的成果文件</w:t>
      </w:r>
      <w:r w:rsidRPr="00BC1A6C">
        <w:rPr>
          <w:rFonts w:hint="eastAsia"/>
          <w:spacing w:val="4"/>
        </w:rPr>
        <w:t>。</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其他条约的批准</w:t>
      </w:r>
    </w:p>
    <w:p w:rsidR="00A7115D" w:rsidRDefault="00A7115D" w:rsidP="00EA01CD">
      <w:pPr>
        <w:pStyle w:val="SingleTxt"/>
        <w:spacing w:line="322" w:lineRule="exact"/>
        <w:rPr>
          <w:rFonts w:hint="eastAsia"/>
        </w:rPr>
      </w:pPr>
      <w:r>
        <w:rPr>
          <w:rFonts w:hint="eastAsia"/>
        </w:rPr>
        <w:t>55</w:t>
      </w:r>
      <w:r>
        <w:t>.</w:t>
      </w:r>
      <w:r>
        <w:tab/>
      </w:r>
      <w:r w:rsidRPr="00DE47F3">
        <w:rPr>
          <w:rFonts w:ascii="SimHei" w:eastAsia="SimHei" w:hint="eastAsia"/>
          <w:color w:val="FF0000"/>
        </w:rPr>
        <w:t>委员会注意到，乌拉圭加入</w:t>
      </w:r>
      <w:r>
        <w:rPr>
          <w:rFonts w:ascii="SimHei" w:eastAsia="SimHei" w:hint="eastAsia"/>
          <w:color w:val="FF0000"/>
        </w:rPr>
        <w:t>9</w:t>
      </w:r>
      <w:r w:rsidRPr="00DE47F3">
        <w:rPr>
          <w:rFonts w:ascii="SimHei" w:eastAsia="SimHei" w:hint="eastAsia"/>
          <w:color w:val="FF0000"/>
        </w:rPr>
        <w:t>项主要国际人权文书</w:t>
      </w:r>
      <w:r w:rsidRPr="006E3510">
        <w:rPr>
          <w:rStyle w:val="FootnoteReference"/>
          <w:rFonts w:ascii="SimHei" w:eastAsia="SimHei"/>
          <w:color w:val="FF0000"/>
        </w:rPr>
        <w:footnoteReference w:id="1"/>
      </w:r>
      <w:r w:rsidRPr="00DE47F3">
        <w:rPr>
          <w:rFonts w:ascii="SimHei" w:eastAsia="SimHei"/>
          <w:color w:val="FF0000"/>
        </w:rPr>
        <w:t xml:space="preserve"> </w:t>
      </w:r>
      <w:r w:rsidRPr="00DE47F3">
        <w:rPr>
          <w:rFonts w:ascii="SimHei" w:eastAsia="SimHei" w:hint="eastAsia"/>
          <w:color w:val="FF0000"/>
        </w:rPr>
        <w:t>有助于妇女在其生活各个方面享有人权和基本自由。因此，委员会鼓</w:t>
      </w:r>
      <w:r>
        <w:rPr>
          <w:rFonts w:ascii="SimHei" w:eastAsia="SimHei" w:hint="eastAsia"/>
          <w:color w:val="FF0000"/>
        </w:rPr>
        <w:t>励乌拉圭政府批准其尚未成为加入的各项条约，即《残疾人权利公约》</w:t>
      </w:r>
      <w:r w:rsidRPr="00DE47F3">
        <w:rPr>
          <w:rFonts w:ascii="SimHei" w:eastAsia="SimHei" w:hint="eastAsia"/>
          <w:color w:val="FF0000"/>
        </w:rPr>
        <w:t>和《保护所有人免遭强迫失踪国际公约》</w:t>
      </w:r>
      <w:r>
        <w:rPr>
          <w:rFonts w:hint="eastAsia"/>
        </w:rPr>
        <w:t>。</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第20条第1款</w:t>
      </w:r>
    </w:p>
    <w:p w:rsidR="00A7115D" w:rsidRDefault="00A7115D" w:rsidP="00EA01CD">
      <w:pPr>
        <w:pStyle w:val="SingleTxt"/>
        <w:spacing w:line="322" w:lineRule="exact"/>
        <w:rPr>
          <w:rFonts w:hint="eastAsia"/>
        </w:rPr>
      </w:pPr>
      <w:r>
        <w:rPr>
          <w:rFonts w:hint="eastAsia"/>
        </w:rPr>
        <w:t>56.</w:t>
      </w:r>
      <w:r>
        <w:rPr>
          <w:rFonts w:hint="eastAsia"/>
        </w:rPr>
        <w:tab/>
      </w:r>
      <w:r w:rsidRPr="00DE47F3">
        <w:rPr>
          <w:rFonts w:ascii="SimHei" w:eastAsia="SimHei" w:hint="eastAsia"/>
          <w:color w:val="FF0000"/>
        </w:rPr>
        <w:t>委员会鼓励该缔约国尽快接受对《公约》中关于委员会会期的第20条第1款的修正</w:t>
      </w:r>
      <w:r>
        <w:rPr>
          <w:rFonts w:hint="eastAsia"/>
        </w:rPr>
        <w:t>。</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结论意见的后续行动</w:t>
      </w:r>
    </w:p>
    <w:p w:rsidR="00A7115D" w:rsidRDefault="00A7115D" w:rsidP="00EA01CD">
      <w:pPr>
        <w:pStyle w:val="SingleTxt"/>
        <w:spacing w:line="322" w:lineRule="exact"/>
        <w:rPr>
          <w:rFonts w:hint="eastAsia"/>
        </w:rPr>
      </w:pPr>
      <w:r>
        <w:rPr>
          <w:rFonts w:hint="eastAsia"/>
        </w:rPr>
        <w:t>5</w:t>
      </w:r>
      <w:r>
        <w:t>7</w:t>
      </w:r>
      <w:r>
        <w:rPr>
          <w:rFonts w:hint="eastAsia"/>
        </w:rPr>
        <w:t>.</w:t>
      </w:r>
      <w:r>
        <w:rPr>
          <w:rFonts w:hint="eastAsia"/>
        </w:rPr>
        <w:tab/>
      </w:r>
      <w:r w:rsidRPr="00DE47F3">
        <w:rPr>
          <w:rFonts w:ascii="SimHei" w:eastAsia="SimHei" w:hint="eastAsia"/>
          <w:color w:val="FF0000"/>
        </w:rPr>
        <w:t>委员会请缔约国在</w:t>
      </w:r>
      <w:r>
        <w:rPr>
          <w:rFonts w:ascii="SimHei" w:eastAsia="SimHei" w:hint="eastAsia"/>
          <w:color w:val="FF0000"/>
        </w:rPr>
        <w:t>两</w:t>
      </w:r>
      <w:r w:rsidRPr="00DE47F3">
        <w:rPr>
          <w:rFonts w:ascii="SimHei" w:eastAsia="SimHei" w:hint="eastAsia"/>
          <w:color w:val="FF0000"/>
        </w:rPr>
        <w:t>年之内提供书面资料，说明为执行</w:t>
      </w:r>
      <w:r>
        <w:rPr>
          <w:rFonts w:ascii="SimHei" w:eastAsia="SimHei" w:hint="eastAsia"/>
          <w:color w:val="FF0000"/>
        </w:rPr>
        <w:t>上文</w:t>
      </w:r>
      <w:r w:rsidRPr="00DE47F3">
        <w:rPr>
          <w:rFonts w:ascii="SimHei" w:eastAsia="SimHei" w:hint="eastAsia"/>
          <w:color w:val="FF0000"/>
        </w:rPr>
        <w:t>第1</w:t>
      </w:r>
      <w:r>
        <w:rPr>
          <w:rFonts w:ascii="SimHei" w:eastAsia="SimHei" w:hint="eastAsia"/>
          <w:color w:val="FF0000"/>
        </w:rPr>
        <w:t>5</w:t>
      </w:r>
      <w:r w:rsidRPr="00DE47F3">
        <w:rPr>
          <w:rFonts w:ascii="SimHei" w:eastAsia="SimHei" w:hint="eastAsia"/>
          <w:color w:val="FF0000"/>
        </w:rPr>
        <w:t>段和第</w:t>
      </w:r>
      <w:r>
        <w:rPr>
          <w:rFonts w:ascii="SimHei" w:eastAsia="SimHei" w:hint="eastAsia"/>
          <w:color w:val="FF0000"/>
        </w:rPr>
        <w:t>29</w:t>
      </w:r>
      <w:r w:rsidRPr="00DE47F3">
        <w:rPr>
          <w:rFonts w:ascii="SimHei" w:eastAsia="SimHei" w:hint="eastAsia"/>
          <w:color w:val="FF0000"/>
        </w:rPr>
        <w:t>段所载建议而采取的步骤。委员会还请该缔约国考虑在必要时，酌情为执行上述建议寻求技术合作和援助，包括咨询服务</w:t>
      </w:r>
      <w:r>
        <w:rPr>
          <w:rFonts w:hint="eastAsia"/>
        </w:rPr>
        <w:t>。</w:t>
      </w:r>
    </w:p>
    <w:p w:rsidR="00A7115D" w:rsidRPr="00DB05A2" w:rsidRDefault="00A7115D" w:rsidP="00EA01CD">
      <w:pPr>
        <w:pStyle w:val="SingleTxt"/>
        <w:spacing w:line="322" w:lineRule="exact"/>
        <w:rPr>
          <w:rFonts w:ascii="SimHei" w:eastAsia="SimHei" w:hint="eastAsia"/>
          <w:color w:val="FF0000"/>
        </w:rPr>
      </w:pPr>
      <w:r w:rsidRPr="00DB05A2">
        <w:rPr>
          <w:rFonts w:ascii="SimHei" w:eastAsia="SimHei" w:hint="eastAsia"/>
          <w:color w:val="FF0000"/>
        </w:rPr>
        <w:t>下一次报告的日期</w:t>
      </w:r>
    </w:p>
    <w:p w:rsidR="00EA31C3" w:rsidRDefault="00A7115D" w:rsidP="00EA01CD">
      <w:pPr>
        <w:pStyle w:val="SingleTxt"/>
        <w:spacing w:line="322" w:lineRule="exact"/>
        <w:rPr>
          <w:rFonts w:hint="eastAsia"/>
        </w:rPr>
      </w:pPr>
      <w:r>
        <w:rPr>
          <w:rFonts w:hint="eastAsia"/>
        </w:rPr>
        <w:t>5</w:t>
      </w:r>
      <w:r>
        <w:t>8</w:t>
      </w:r>
      <w:r>
        <w:rPr>
          <w:rFonts w:hint="eastAsia"/>
        </w:rPr>
        <w:t>.</w:t>
      </w:r>
      <w:r>
        <w:rPr>
          <w:rFonts w:hint="eastAsia"/>
        </w:rPr>
        <w:tab/>
      </w:r>
      <w:r w:rsidRPr="00DE47F3">
        <w:rPr>
          <w:rFonts w:ascii="SimHei" w:eastAsia="SimHei" w:hint="eastAsia"/>
          <w:color w:val="FF0000"/>
        </w:rPr>
        <w:t>委员会请该缔约国依照《公约》第18条，在下一次定期报告中答复本结论意见表达的关切。委员会邀请该缔约国2014年以合并报告方式提交应于2010年</w:t>
      </w:r>
      <w:r w:rsidR="0004214A">
        <w:rPr>
          <w:rFonts w:ascii="SimHei" w:eastAsia="SimHei" w:hint="eastAsia"/>
          <w:color w:val="FF0000"/>
        </w:rPr>
        <w:t>1</w:t>
      </w:r>
      <w:r w:rsidRPr="00DE47F3">
        <w:rPr>
          <w:rFonts w:ascii="SimHei" w:eastAsia="SimHei" w:hint="eastAsia"/>
          <w:color w:val="FF0000"/>
        </w:rPr>
        <w:t>1月提交的第八次定期报告和应于2014年11月提交的第九次定期报告</w:t>
      </w:r>
      <w:r>
        <w:rPr>
          <w:rFonts w:hint="eastAsia"/>
        </w:rPr>
        <w:t>。</w:t>
      </w:r>
    </w:p>
    <w:p w:rsidR="00A7115D" w:rsidRPr="006E3510" w:rsidRDefault="006E3510" w:rsidP="006E351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A7115D" w:rsidRPr="006E3510" w:rsidSect="005D6EA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1T11:12:00Z" w:initials="Start">
    <w:p w:rsidR="0004214A" w:rsidRDefault="0004214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NO&gt;&gt;N0860324C&lt;&lt;ODS JOB NO&gt;&gt;</w:t>
      </w:r>
    </w:p>
    <w:p w:rsidR="0004214A" w:rsidRDefault="0004214A">
      <w:pPr>
        <w:pStyle w:val="CommentText"/>
      </w:pPr>
      <w:r>
        <w:t>&lt;&lt;ODS DOC SYMBOL1&gt;&gt;CEDAW/C/URY/CO/7&lt;&lt;ODS DOC SYMBOL1&gt;&gt;</w:t>
      </w:r>
    </w:p>
    <w:p w:rsidR="0004214A" w:rsidRDefault="000421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CB2" w:rsidRDefault="00480CB2">
      <w:r>
        <w:separator/>
      </w:r>
    </w:p>
  </w:endnote>
  <w:endnote w:type="continuationSeparator" w:id="0">
    <w:p w:rsidR="00480CB2" w:rsidRDefault="00480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214A" w:rsidTr="005D6EA3">
      <w:tblPrEx>
        <w:tblCellMar>
          <w:top w:w="0" w:type="dxa"/>
          <w:bottom w:w="0" w:type="dxa"/>
        </w:tblCellMar>
      </w:tblPrEx>
      <w:tc>
        <w:tcPr>
          <w:tcW w:w="5033" w:type="dxa"/>
          <w:shd w:val="clear" w:color="auto" w:fill="auto"/>
        </w:tcPr>
        <w:p w:rsidR="0004214A" w:rsidRPr="005D6EA3" w:rsidRDefault="0004214A" w:rsidP="005D6E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08-60324 (C)</w:t>
          </w:r>
          <w:r>
            <w:rPr>
              <w:b w:val="0"/>
              <w:w w:val="103"/>
              <w:sz w:val="14"/>
            </w:rPr>
            <w:fldChar w:fldCharType="end"/>
          </w:r>
        </w:p>
      </w:tc>
      <w:tc>
        <w:tcPr>
          <w:tcW w:w="5033" w:type="dxa"/>
          <w:shd w:val="clear" w:color="auto" w:fill="auto"/>
        </w:tcPr>
        <w:p w:rsidR="0004214A" w:rsidRPr="005D6EA3" w:rsidRDefault="0004214A" w:rsidP="005D6EA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165A1">
            <w:rPr>
              <w:w w:val="103"/>
              <w:sz w:val="17"/>
            </w:rPr>
            <w:t>8</w:t>
          </w:r>
          <w:r>
            <w:rPr>
              <w:w w:val="103"/>
              <w:sz w:val="17"/>
            </w:rPr>
            <w:fldChar w:fldCharType="end"/>
          </w:r>
        </w:p>
      </w:tc>
    </w:tr>
  </w:tbl>
  <w:p w:rsidR="0004214A" w:rsidRPr="005D6EA3" w:rsidRDefault="0004214A" w:rsidP="005D6E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214A" w:rsidTr="005D6EA3">
      <w:tblPrEx>
        <w:tblCellMar>
          <w:top w:w="0" w:type="dxa"/>
          <w:bottom w:w="0" w:type="dxa"/>
        </w:tblCellMar>
      </w:tblPrEx>
      <w:tc>
        <w:tcPr>
          <w:tcW w:w="5033" w:type="dxa"/>
          <w:shd w:val="clear" w:color="auto" w:fill="auto"/>
        </w:tcPr>
        <w:p w:rsidR="0004214A" w:rsidRPr="005D6EA3" w:rsidRDefault="0004214A" w:rsidP="005D6EA3">
          <w:pPr>
            <w:pStyle w:val="Footer"/>
            <w:jc w:val="right"/>
          </w:pPr>
          <w:r>
            <w:fldChar w:fldCharType="begin"/>
          </w:r>
          <w:r>
            <w:instrText xml:space="preserve"> PAGE  \* MERGEFORMAT </w:instrText>
          </w:r>
          <w:r>
            <w:fldChar w:fldCharType="separate"/>
          </w:r>
          <w:r w:rsidR="008165A1">
            <w:t>7</w:t>
          </w:r>
          <w:r>
            <w:fldChar w:fldCharType="end"/>
          </w:r>
        </w:p>
      </w:tc>
      <w:tc>
        <w:tcPr>
          <w:tcW w:w="5033" w:type="dxa"/>
          <w:shd w:val="clear" w:color="auto" w:fill="auto"/>
        </w:tcPr>
        <w:p w:rsidR="0004214A" w:rsidRPr="005D6EA3" w:rsidRDefault="0004214A" w:rsidP="005D6EA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08-60324 (C)</w:t>
          </w:r>
          <w:r>
            <w:rPr>
              <w:b w:val="0"/>
              <w:w w:val="103"/>
              <w:sz w:val="14"/>
            </w:rPr>
            <w:fldChar w:fldCharType="end"/>
          </w:r>
        </w:p>
      </w:tc>
    </w:tr>
  </w:tbl>
  <w:p w:rsidR="0004214A" w:rsidRPr="005D6EA3" w:rsidRDefault="0004214A" w:rsidP="005D6E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14A" w:rsidRDefault="0004214A" w:rsidP="005D6EA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08-60324 (C)</w:t>
    </w:r>
    <w:r>
      <w:rPr>
        <w:b w:val="0"/>
        <w:sz w:val="21"/>
      </w:rPr>
      <w:fldChar w:fldCharType="end"/>
    </w:r>
    <w:r>
      <w:rPr>
        <w:b w:val="0"/>
        <w:sz w:val="21"/>
      </w:rPr>
      <w:t xml:space="preserve">    211108    211108</w:t>
    </w:r>
  </w:p>
  <w:p w:rsidR="0004214A" w:rsidRPr="005D6EA3" w:rsidRDefault="0004214A" w:rsidP="005D6EA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*0860324*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CB2" w:rsidRPr="006E3510" w:rsidRDefault="00480CB2" w:rsidP="006E3510">
      <w:pPr>
        <w:pStyle w:val="Footer"/>
        <w:spacing w:after="80"/>
        <w:ind w:left="792"/>
        <w:rPr>
          <w:sz w:val="16"/>
        </w:rPr>
      </w:pPr>
      <w:r w:rsidRPr="006E3510">
        <w:rPr>
          <w:sz w:val="16"/>
        </w:rPr>
        <w:t>__________________</w:t>
      </w:r>
    </w:p>
  </w:footnote>
  <w:footnote w:type="continuationSeparator" w:id="0">
    <w:p w:rsidR="00480CB2" w:rsidRPr="006E3510" w:rsidRDefault="00480CB2" w:rsidP="006E3510">
      <w:pPr>
        <w:pStyle w:val="Footer"/>
        <w:spacing w:after="80"/>
        <w:ind w:left="792"/>
        <w:rPr>
          <w:sz w:val="16"/>
        </w:rPr>
      </w:pPr>
      <w:r w:rsidRPr="006E3510">
        <w:rPr>
          <w:sz w:val="16"/>
        </w:rPr>
        <w:t>__________________</w:t>
      </w:r>
    </w:p>
  </w:footnote>
  <w:footnote w:id="1">
    <w:p w:rsidR="0004214A" w:rsidRPr="00276660" w:rsidRDefault="0004214A" w:rsidP="006E3510">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76660">
        <w:rPr>
          <w:rFonts w:hint="eastAsia"/>
        </w:rPr>
        <w:t>《经济、社会、文化权利国际公约》、《公民及政治权利国际公约》、《公民及政治权利国际公约第一任择议定书》、《公民及政治权利国际公约第二任择议定书》、《消除一切形式种族歧视国际公约》、《消除对妇女一切形式歧视公</w:t>
      </w:r>
      <w:r>
        <w:rPr>
          <w:rFonts w:hint="eastAsia"/>
        </w:rPr>
        <w:t>约》、《禁止酷刑和其他残忍、不人道或有辱人格的待遇或处罚公约》</w:t>
      </w:r>
      <w:r w:rsidRPr="00276660">
        <w:rPr>
          <w:rFonts w:hint="eastAsia"/>
        </w:rPr>
        <w:t>、《儿童权利公约》</w:t>
      </w:r>
      <w:r>
        <w:rPr>
          <w:rFonts w:hint="eastAsia"/>
        </w:rPr>
        <w:t>和</w:t>
      </w:r>
      <w:r w:rsidRPr="00276660">
        <w:rPr>
          <w:rFonts w:hint="eastAsia"/>
        </w:rPr>
        <w:t>《保护所有移徙工人及其家庭成员权利国际公约》。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214A" w:rsidTr="005D6EA3">
      <w:tblPrEx>
        <w:tblCellMar>
          <w:top w:w="0" w:type="dxa"/>
          <w:bottom w:w="0" w:type="dxa"/>
        </w:tblCellMar>
      </w:tblPrEx>
      <w:trPr>
        <w:trHeight w:hRule="exact" w:val="864"/>
      </w:trPr>
      <w:tc>
        <w:tcPr>
          <w:tcW w:w="4838" w:type="dxa"/>
          <w:shd w:val="clear" w:color="auto" w:fill="auto"/>
          <w:vAlign w:val="bottom"/>
        </w:tcPr>
        <w:p w:rsidR="0004214A" w:rsidRPr="005D6EA3" w:rsidRDefault="0004214A" w:rsidP="005D6EA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CEDAW/C/URY/CO/7</w:t>
          </w:r>
          <w:r>
            <w:rPr>
              <w:b/>
              <w:sz w:val="17"/>
            </w:rPr>
            <w:fldChar w:fldCharType="end"/>
          </w:r>
        </w:p>
      </w:tc>
      <w:tc>
        <w:tcPr>
          <w:tcW w:w="5033" w:type="dxa"/>
          <w:shd w:val="clear" w:color="auto" w:fill="auto"/>
          <w:vAlign w:val="bottom"/>
        </w:tcPr>
        <w:p w:rsidR="0004214A" w:rsidRDefault="0004214A" w:rsidP="005D6EA3">
          <w:pPr>
            <w:pStyle w:val="Header"/>
          </w:pPr>
        </w:p>
      </w:tc>
    </w:tr>
  </w:tbl>
  <w:p w:rsidR="0004214A" w:rsidRPr="005D6EA3" w:rsidRDefault="0004214A" w:rsidP="005D6E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214A" w:rsidTr="005D6EA3">
      <w:tblPrEx>
        <w:tblCellMar>
          <w:top w:w="0" w:type="dxa"/>
          <w:bottom w:w="0" w:type="dxa"/>
        </w:tblCellMar>
      </w:tblPrEx>
      <w:trPr>
        <w:trHeight w:hRule="exact" w:val="864"/>
      </w:trPr>
      <w:tc>
        <w:tcPr>
          <w:tcW w:w="4838" w:type="dxa"/>
          <w:shd w:val="clear" w:color="auto" w:fill="auto"/>
          <w:vAlign w:val="bottom"/>
        </w:tcPr>
        <w:p w:rsidR="0004214A" w:rsidRDefault="0004214A" w:rsidP="005D6EA3">
          <w:pPr>
            <w:pStyle w:val="Header"/>
          </w:pPr>
        </w:p>
      </w:tc>
      <w:tc>
        <w:tcPr>
          <w:tcW w:w="5033" w:type="dxa"/>
          <w:shd w:val="clear" w:color="auto" w:fill="auto"/>
          <w:vAlign w:val="bottom"/>
        </w:tcPr>
        <w:p w:rsidR="0004214A" w:rsidRPr="005D6EA3" w:rsidRDefault="0004214A" w:rsidP="005D6EA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CEDAW/C/URY/CO/7</w:t>
          </w:r>
          <w:r>
            <w:rPr>
              <w:b/>
              <w:sz w:val="17"/>
            </w:rPr>
            <w:fldChar w:fldCharType="end"/>
          </w:r>
        </w:p>
      </w:tc>
    </w:tr>
  </w:tbl>
  <w:p w:rsidR="0004214A" w:rsidRPr="005D6EA3" w:rsidRDefault="0004214A" w:rsidP="005D6E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4214A" w:rsidTr="005D6E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214A" w:rsidRDefault="0004214A" w:rsidP="005D6EA3">
          <w:pPr>
            <w:pStyle w:val="Header"/>
            <w:spacing w:after="120"/>
          </w:pPr>
        </w:p>
      </w:tc>
      <w:tc>
        <w:tcPr>
          <w:tcW w:w="1872" w:type="dxa"/>
          <w:tcBorders>
            <w:bottom w:val="single" w:sz="4" w:space="0" w:color="auto"/>
          </w:tcBorders>
          <w:shd w:val="clear" w:color="auto" w:fill="auto"/>
          <w:vAlign w:val="bottom"/>
        </w:tcPr>
        <w:p w:rsidR="0004214A" w:rsidRPr="005D6EA3" w:rsidRDefault="0004214A" w:rsidP="005D6EA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4214A" w:rsidRDefault="0004214A" w:rsidP="005D6EA3">
          <w:pPr>
            <w:pStyle w:val="Header"/>
            <w:spacing w:after="120"/>
          </w:pPr>
        </w:p>
      </w:tc>
      <w:tc>
        <w:tcPr>
          <w:tcW w:w="6523" w:type="dxa"/>
          <w:gridSpan w:val="3"/>
          <w:tcBorders>
            <w:bottom w:val="single" w:sz="4" w:space="0" w:color="auto"/>
          </w:tcBorders>
          <w:shd w:val="clear" w:color="auto" w:fill="auto"/>
          <w:vAlign w:val="bottom"/>
        </w:tcPr>
        <w:p w:rsidR="0004214A" w:rsidRPr="005D6EA3" w:rsidRDefault="0004214A" w:rsidP="005D6EA3">
          <w:pPr>
            <w:spacing w:after="80" w:line="240" w:lineRule="auto"/>
            <w:jc w:val="right"/>
            <w:rPr>
              <w:rFonts w:ascii="Times New Roman"/>
              <w:position w:val="-4"/>
            </w:rPr>
          </w:pPr>
          <w:r>
            <w:rPr>
              <w:rFonts w:ascii="Times New Roman"/>
              <w:position w:val="-4"/>
              <w:sz w:val="40"/>
            </w:rPr>
            <w:t>CEDAW</w:t>
          </w:r>
          <w:r>
            <w:rPr>
              <w:rFonts w:ascii="Times New Roman"/>
              <w:position w:val="-4"/>
            </w:rPr>
            <w:t>/C/URY/CO/7</w:t>
          </w:r>
        </w:p>
      </w:tc>
    </w:tr>
    <w:tr w:rsidR="0004214A" w:rsidRPr="005D6EA3" w:rsidTr="005D6E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214A" w:rsidRDefault="0004214A" w:rsidP="005D6EA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4214A" w:rsidRPr="005D6EA3" w:rsidRDefault="0004214A" w:rsidP="005D6EA3">
          <w:pPr>
            <w:pStyle w:val="Header"/>
            <w:spacing w:before="109"/>
            <w:ind w:left="-72"/>
          </w:pPr>
        </w:p>
      </w:tc>
      <w:tc>
        <w:tcPr>
          <w:tcW w:w="5227" w:type="dxa"/>
          <w:gridSpan w:val="3"/>
          <w:tcBorders>
            <w:top w:val="single" w:sz="4" w:space="0" w:color="auto"/>
            <w:bottom w:val="single" w:sz="12" w:space="0" w:color="auto"/>
          </w:tcBorders>
          <w:shd w:val="clear" w:color="auto" w:fill="auto"/>
        </w:tcPr>
        <w:p w:rsidR="0004214A" w:rsidRPr="005D6EA3" w:rsidRDefault="0004214A" w:rsidP="005D6EA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4214A" w:rsidRPr="005D6EA3" w:rsidRDefault="0004214A" w:rsidP="005D6EA3">
          <w:pPr>
            <w:pStyle w:val="Header"/>
            <w:spacing w:before="109"/>
          </w:pPr>
        </w:p>
      </w:tc>
      <w:tc>
        <w:tcPr>
          <w:tcW w:w="3180" w:type="dxa"/>
          <w:gridSpan w:val="2"/>
          <w:tcBorders>
            <w:top w:val="single" w:sz="4" w:space="0" w:color="auto"/>
            <w:bottom w:val="single" w:sz="12" w:space="0" w:color="auto"/>
          </w:tcBorders>
          <w:shd w:val="clear" w:color="auto" w:fill="auto"/>
        </w:tcPr>
        <w:p w:rsidR="0004214A" w:rsidRDefault="0004214A" w:rsidP="005D6EA3">
          <w:pPr>
            <w:spacing w:before="240" w:line="240" w:lineRule="exact"/>
            <w:rPr>
              <w:rFonts w:ascii="Times New Roman"/>
            </w:rPr>
          </w:pPr>
          <w:r>
            <w:rPr>
              <w:rFonts w:ascii="Times New Roman"/>
            </w:rPr>
            <w:t>Distr.: General</w:t>
          </w:r>
        </w:p>
        <w:p w:rsidR="0004214A" w:rsidRDefault="0004214A" w:rsidP="005D6EA3">
          <w:pPr>
            <w:spacing w:line="240" w:lineRule="exact"/>
            <w:rPr>
              <w:rFonts w:ascii="Times New Roman"/>
            </w:rPr>
          </w:pPr>
          <w:r>
            <w:rPr>
              <w:rFonts w:ascii="Times New Roman"/>
            </w:rPr>
            <w:t>14 November 2008</w:t>
          </w:r>
        </w:p>
        <w:p w:rsidR="0004214A" w:rsidRDefault="0004214A" w:rsidP="005D6EA3">
          <w:pPr>
            <w:spacing w:line="240" w:lineRule="exact"/>
            <w:rPr>
              <w:rFonts w:ascii="Times New Roman"/>
            </w:rPr>
          </w:pPr>
          <w:r>
            <w:rPr>
              <w:rFonts w:ascii="Times New Roman"/>
            </w:rPr>
            <w:t>Chinese</w:t>
          </w:r>
        </w:p>
        <w:p w:rsidR="0004214A" w:rsidRPr="005D6EA3" w:rsidRDefault="0004214A" w:rsidP="005D6EA3">
          <w:pPr>
            <w:spacing w:line="240" w:lineRule="exact"/>
            <w:rPr>
              <w:rFonts w:ascii="Times New Roman"/>
            </w:rPr>
          </w:pPr>
          <w:r>
            <w:rPr>
              <w:rFonts w:ascii="Times New Roman"/>
            </w:rPr>
            <w:t>Original: English</w:t>
          </w:r>
        </w:p>
      </w:tc>
    </w:tr>
  </w:tbl>
  <w:p w:rsidR="0004214A" w:rsidRPr="005D6EA3" w:rsidRDefault="0004214A" w:rsidP="005D6EA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24*"/>
    <w:docVar w:name="CreationDt" w:val="21/11/2008 10:24:56"/>
    <w:docVar w:name="DocCategory" w:val="Doc"/>
    <w:docVar w:name="DocType" w:val="Final"/>
    <w:docVar w:name="FooterJN" w:val="08-60324 (C)"/>
    <w:docVar w:name="jobn" w:val="08-60324 (C)"/>
    <w:docVar w:name="jobnDT" w:val="08-60324 (C)   211108"/>
    <w:docVar w:name="jobnDTDT" w:val="08-60324 (C)   211108   211108"/>
    <w:docVar w:name="JobNo" w:val="0860324C"/>
    <w:docVar w:name="OandT" w:val="du"/>
    <w:docVar w:name="sss1" w:val="CEDAW/C/URY/CO/7"/>
    <w:docVar w:name="sss2" w:val="-"/>
    <w:docVar w:name="Symbol1" w:val="CEDAW/C/URY/CO/7"/>
    <w:docVar w:name="Symbol2" w:val="-"/>
  </w:docVars>
  <w:rsids>
    <w:rsidRoot w:val="00A5594F"/>
    <w:rsid w:val="0000347C"/>
    <w:rsid w:val="000125BC"/>
    <w:rsid w:val="00021A2B"/>
    <w:rsid w:val="00037B39"/>
    <w:rsid w:val="0004214A"/>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0CB2"/>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D6EA3"/>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C40CD"/>
    <w:rsid w:val="006E2924"/>
    <w:rsid w:val="006E3510"/>
    <w:rsid w:val="006E7A26"/>
    <w:rsid w:val="006F2B3D"/>
    <w:rsid w:val="007052CC"/>
    <w:rsid w:val="007319E0"/>
    <w:rsid w:val="00737B00"/>
    <w:rsid w:val="0075155C"/>
    <w:rsid w:val="00753A05"/>
    <w:rsid w:val="00757193"/>
    <w:rsid w:val="00761190"/>
    <w:rsid w:val="00776537"/>
    <w:rsid w:val="00783A25"/>
    <w:rsid w:val="007877F4"/>
    <w:rsid w:val="007E1B5E"/>
    <w:rsid w:val="007E5E92"/>
    <w:rsid w:val="007E6253"/>
    <w:rsid w:val="007F2278"/>
    <w:rsid w:val="00805783"/>
    <w:rsid w:val="00806F57"/>
    <w:rsid w:val="00806F90"/>
    <w:rsid w:val="008165A1"/>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5594F"/>
    <w:rsid w:val="00A7115D"/>
    <w:rsid w:val="00A72E47"/>
    <w:rsid w:val="00A95404"/>
    <w:rsid w:val="00A968C5"/>
    <w:rsid w:val="00AA3C28"/>
    <w:rsid w:val="00AA759D"/>
    <w:rsid w:val="00AB2786"/>
    <w:rsid w:val="00AD4308"/>
    <w:rsid w:val="00AF2A33"/>
    <w:rsid w:val="00B03414"/>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01CD"/>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179</TotalTime>
  <Pages>1</Pages>
  <Words>3409</Words>
  <Characters>3614</Characters>
  <Application>Microsoft Office Word</Application>
  <DocSecurity>4</DocSecurity>
  <Lines>133</Lines>
  <Paragraphs>91</Paragraphs>
  <ScaleCrop>false</ScaleCrop>
  <Company>United Nations</Company>
  <LinksUpToDate>false</LinksUpToDate>
  <CharactersWithSpaces>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7</cp:revision>
  <cp:lastPrinted>2008-11-21T09:12:00Z</cp:lastPrinted>
  <dcterms:created xsi:type="dcterms:W3CDTF">2008-11-21T08:24:00Z</dcterms:created>
  <dcterms:modified xsi:type="dcterms:W3CDTF">2008-11-21T11:25:00Z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0860324</vt:lpwstr>
  </property>
  <property fmtid="{D5CDD505-2E9C-101B-9397-08002B2CF9AE}" pid="3" name="Symbol1">
    <vt:lpwstr>CEDAW/C/URY/CO/7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vt:lpwstr>
  </property>
</Properties>
</file>