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 w:type="dxa"/>
        <w:tblLayout w:type="fixed"/>
        <w:tblCellMar>
          <w:left w:w="0" w:type="dxa"/>
          <w:right w:w="0" w:type="dxa"/>
        </w:tblCellMar>
        <w:tblLook w:val="0000" w:firstRow="0" w:lastRow="0" w:firstColumn="0" w:lastColumn="0" w:noHBand="0" w:noVBand="0"/>
      </w:tblPr>
      <w:tblGrid>
        <w:gridCol w:w="1568"/>
        <w:gridCol w:w="5528"/>
        <w:gridCol w:w="2693"/>
      </w:tblGrid>
      <w:tr w:rsidR="00000000">
        <w:tblPrEx>
          <w:tblCellMar>
            <w:top w:w="0" w:type="dxa"/>
            <w:left w:w="0" w:type="dxa"/>
            <w:bottom w:w="0" w:type="dxa"/>
            <w:right w:w="0" w:type="dxa"/>
          </w:tblCellMar>
        </w:tblPrEx>
        <w:tc>
          <w:tcPr>
            <w:tcW w:w="7096" w:type="dxa"/>
            <w:gridSpan w:val="2"/>
            <w:tcBorders>
              <w:bottom w:val="single" w:sz="12" w:space="0" w:color="auto"/>
            </w:tcBorders>
            <w:vAlign w:val="bottom"/>
          </w:tcPr>
          <w:p w:rsidR="00000000" w:rsidRDefault="00000000">
            <w:pPr>
              <w:pStyle w:val="Heading8"/>
              <w:rPr>
                <w:sz w:val="24"/>
              </w:rPr>
            </w:pPr>
            <w:r>
              <w:t>Организация Объединенных Наций</w:t>
            </w:r>
          </w:p>
        </w:tc>
        <w:tc>
          <w:tcPr>
            <w:tcW w:w="2693" w:type="dxa"/>
            <w:tcBorders>
              <w:bottom w:val="single" w:sz="12" w:space="0" w:color="auto"/>
            </w:tcBorders>
          </w:tcPr>
          <w:p w:rsidR="00000000" w:rsidRDefault="00000000">
            <w:pPr>
              <w:tabs>
                <w:tab w:val="left" w:pos="680"/>
                <w:tab w:val="left" w:pos="1134"/>
              </w:tabs>
              <w:spacing w:before="120" w:after="60"/>
              <w:rPr>
                <w:b/>
                <w:sz w:val="24"/>
              </w:rPr>
            </w:pPr>
            <w:r>
              <w:rPr>
                <w:b/>
                <w:sz w:val="40"/>
              </w:rPr>
              <w:t>CEDAW</w:t>
            </w:r>
            <w:r>
              <w:t>/C/</w:t>
            </w:r>
            <w:r>
              <w:rPr>
                <w:lang w:val="en-US"/>
              </w:rPr>
              <w:t>NAM</w:t>
            </w:r>
            <w:r>
              <w:t>/</w:t>
            </w:r>
            <w:r>
              <w:rPr>
                <w:lang w:val="en-US"/>
              </w:rPr>
              <w:t>2</w:t>
            </w:r>
            <w:r>
              <w:t>-3</w:t>
            </w:r>
          </w:p>
        </w:tc>
      </w:tr>
      <w:tr w:rsidR="00000000">
        <w:tblPrEx>
          <w:tblCellMar>
            <w:top w:w="0" w:type="dxa"/>
            <w:left w:w="0" w:type="dxa"/>
            <w:bottom w:w="0" w:type="dxa"/>
            <w:right w:w="0" w:type="dxa"/>
          </w:tblCellMar>
        </w:tblPrEx>
        <w:tc>
          <w:tcPr>
            <w:tcW w:w="1568" w:type="dxa"/>
            <w:tcBorders>
              <w:top w:val="single" w:sz="12" w:space="0" w:color="auto"/>
            </w:tcBorders>
          </w:tcPr>
          <w:p w:rsidR="00000000" w:rsidRDefault="00000000">
            <w:pPr>
              <w:tabs>
                <w:tab w:val="left" w:pos="680"/>
                <w:tab w:val="left" w:pos="1134"/>
              </w:tabs>
              <w:rPr>
                <w:b/>
                <w:sz w:val="24"/>
              </w:rPr>
            </w:pPr>
          </w:p>
        </w:tc>
        <w:tc>
          <w:tcPr>
            <w:tcW w:w="5528" w:type="dxa"/>
            <w:tcBorders>
              <w:top w:val="single" w:sz="12" w:space="0" w:color="auto"/>
            </w:tcBorders>
          </w:tcPr>
          <w:p w:rsidR="00000000" w:rsidRDefault="00000000">
            <w:pPr>
              <w:tabs>
                <w:tab w:val="left" w:pos="680"/>
                <w:tab w:val="left" w:pos="1134"/>
              </w:tabs>
              <w:rPr>
                <w:b/>
                <w:sz w:val="24"/>
              </w:rPr>
            </w:pPr>
          </w:p>
        </w:tc>
        <w:tc>
          <w:tcPr>
            <w:tcW w:w="2693" w:type="dxa"/>
            <w:tcBorders>
              <w:top w:val="single" w:sz="12" w:space="0" w:color="auto"/>
            </w:tcBorders>
          </w:tcPr>
          <w:p w:rsidR="00000000" w:rsidRDefault="00000000">
            <w:pPr>
              <w:tabs>
                <w:tab w:val="left" w:pos="680"/>
                <w:tab w:val="left" w:pos="1134"/>
              </w:tabs>
              <w:rPr>
                <w:b/>
                <w:sz w:val="24"/>
              </w:rPr>
            </w:pPr>
          </w:p>
        </w:tc>
      </w:tr>
      <w:tr w:rsidR="00000000">
        <w:tblPrEx>
          <w:tblCellMar>
            <w:top w:w="0" w:type="dxa"/>
            <w:left w:w="0" w:type="dxa"/>
            <w:bottom w:w="0" w:type="dxa"/>
            <w:right w:w="0" w:type="dxa"/>
          </w:tblCellMar>
        </w:tblPrEx>
        <w:tc>
          <w:tcPr>
            <w:tcW w:w="1568" w:type="dxa"/>
            <w:tcBorders>
              <w:bottom w:val="single" w:sz="12" w:space="0" w:color="auto"/>
            </w:tcBorders>
          </w:tcPr>
          <w:p w:rsidR="00000000" w:rsidRDefault="00000000">
            <w:pPr>
              <w:tabs>
                <w:tab w:val="left" w:pos="680"/>
                <w:tab w:val="left" w:pos="1134"/>
              </w:tabs>
              <w:rPr>
                <w:b/>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7" o:title="_unlogo"/>
                </v:shape>
              </w:pict>
            </w:r>
          </w:p>
        </w:tc>
        <w:tc>
          <w:tcPr>
            <w:tcW w:w="5528" w:type="dxa"/>
            <w:tcBorders>
              <w:bottom w:val="single" w:sz="12" w:space="0" w:color="auto"/>
            </w:tcBorders>
          </w:tcPr>
          <w:p w:rsidR="00000000" w:rsidRDefault="00000000">
            <w:pPr>
              <w:tabs>
                <w:tab w:val="left" w:pos="680"/>
                <w:tab w:val="left" w:pos="1134"/>
              </w:tabs>
              <w:rPr>
                <w:b/>
                <w:sz w:val="24"/>
              </w:rPr>
            </w:pPr>
            <w:r>
              <w:rPr>
                <w:b/>
                <w:sz w:val="32"/>
              </w:rPr>
              <w:t xml:space="preserve">Конвенция о ликвидации </w:t>
            </w:r>
            <w:r>
              <w:rPr>
                <w:b/>
                <w:sz w:val="32"/>
              </w:rPr>
              <w:br/>
              <w:t xml:space="preserve">всех форм дискриминации </w:t>
            </w:r>
            <w:r>
              <w:rPr>
                <w:b/>
                <w:sz w:val="32"/>
              </w:rPr>
              <w:br/>
              <w:t>в отношении женщин</w:t>
            </w:r>
          </w:p>
        </w:tc>
        <w:tc>
          <w:tcPr>
            <w:tcW w:w="2693" w:type="dxa"/>
            <w:tcBorders>
              <w:bottom w:val="single" w:sz="12" w:space="0" w:color="auto"/>
            </w:tcBorders>
          </w:tcPr>
          <w:p w:rsidR="00000000" w:rsidRDefault="00000000">
            <w:pPr>
              <w:tabs>
                <w:tab w:val="left" w:pos="680"/>
                <w:tab w:val="left" w:pos="1134"/>
              </w:tabs>
            </w:pPr>
            <w:r>
              <w:t>Distr.: General</w:t>
            </w:r>
          </w:p>
          <w:p w:rsidR="00000000" w:rsidRDefault="00000000">
            <w:pPr>
              <w:pStyle w:val="Header"/>
              <w:tabs>
                <w:tab w:val="left" w:pos="680"/>
                <w:tab w:val="left" w:pos="1134"/>
              </w:tabs>
              <w:spacing w:after="120"/>
            </w:pPr>
            <w:r>
              <w:rPr>
                <w:lang w:val="en-US"/>
              </w:rPr>
              <w:t>2</w:t>
            </w:r>
            <w:r>
              <w:t xml:space="preserve"> </w:t>
            </w:r>
            <w:r>
              <w:rPr>
                <w:lang w:val="en-US"/>
              </w:rPr>
              <w:t>September</w:t>
            </w:r>
            <w:r>
              <w:t xml:space="preserve"> 2005</w:t>
            </w:r>
          </w:p>
          <w:p w:rsidR="00000000" w:rsidRDefault="00000000">
            <w:pPr>
              <w:pStyle w:val="Heading9"/>
              <w:tabs>
                <w:tab w:val="left" w:pos="680"/>
                <w:tab w:val="left" w:pos="1134"/>
              </w:tabs>
              <w:spacing w:before="0" w:after="0"/>
              <w:jc w:val="both"/>
              <w:rPr>
                <w:rFonts w:ascii="Times New Roman" w:hAnsi="Times New Roman"/>
                <w:sz w:val="20"/>
                <w:lang w:val="ru-RU"/>
              </w:rPr>
            </w:pPr>
            <w:r>
              <w:rPr>
                <w:rFonts w:ascii="Times New Roman" w:hAnsi="Times New Roman"/>
                <w:sz w:val="20"/>
                <w:lang w:val="en-US"/>
              </w:rPr>
              <w:t>Russian</w:t>
            </w:r>
          </w:p>
          <w:p w:rsidR="00000000" w:rsidRDefault="00000000">
            <w:pPr>
              <w:pStyle w:val="Heading9"/>
              <w:tabs>
                <w:tab w:val="left" w:pos="680"/>
                <w:tab w:val="left" w:pos="1134"/>
              </w:tabs>
              <w:spacing w:before="0" w:after="0"/>
              <w:jc w:val="both"/>
              <w:rPr>
                <w:rFonts w:ascii="Times New Roman" w:hAnsi="Times New Roman"/>
                <w:sz w:val="20"/>
                <w:lang w:val="ru-RU"/>
              </w:rPr>
            </w:pPr>
            <w:r>
              <w:rPr>
                <w:rFonts w:ascii="Times New Roman" w:hAnsi="Times New Roman"/>
                <w:sz w:val="20"/>
                <w:lang w:val="en-US"/>
              </w:rPr>
              <w:t>Original</w:t>
            </w:r>
            <w:r>
              <w:rPr>
                <w:rFonts w:ascii="Times New Roman" w:hAnsi="Times New Roman"/>
                <w:sz w:val="20"/>
                <w:lang w:val="ru-RU"/>
              </w:rPr>
              <w:t xml:space="preserve">: </w:t>
            </w:r>
            <w:r>
              <w:rPr>
                <w:rFonts w:ascii="Times New Roman" w:hAnsi="Times New Roman"/>
                <w:sz w:val="20"/>
                <w:lang w:val="en-US"/>
              </w:rPr>
              <w:t>English</w:t>
            </w:r>
          </w:p>
          <w:p w:rsidR="00000000" w:rsidRDefault="00000000">
            <w:pPr>
              <w:tabs>
                <w:tab w:val="left" w:pos="680"/>
                <w:tab w:val="left" w:pos="1134"/>
              </w:tabs>
            </w:pPr>
          </w:p>
          <w:p w:rsidR="00000000" w:rsidRDefault="00000000">
            <w:pPr>
              <w:tabs>
                <w:tab w:val="left" w:pos="680"/>
                <w:tab w:val="left" w:pos="1134"/>
              </w:tabs>
            </w:pPr>
          </w:p>
          <w:p w:rsidR="00000000" w:rsidRDefault="00000000">
            <w:pPr>
              <w:tabs>
                <w:tab w:val="left" w:pos="680"/>
                <w:tab w:val="left" w:pos="1134"/>
              </w:tabs>
            </w:pPr>
          </w:p>
          <w:p w:rsidR="00000000" w:rsidRDefault="00000000">
            <w:pPr>
              <w:tabs>
                <w:tab w:val="left" w:pos="680"/>
                <w:tab w:val="left" w:pos="1134"/>
              </w:tabs>
            </w:pPr>
          </w:p>
          <w:p w:rsidR="00000000" w:rsidRDefault="00000000">
            <w:pPr>
              <w:tabs>
                <w:tab w:val="left" w:pos="680"/>
                <w:tab w:val="left" w:pos="1134"/>
              </w:tabs>
              <w:rPr>
                <w:b/>
                <w:sz w:val="24"/>
              </w:rPr>
            </w:pPr>
          </w:p>
        </w:tc>
      </w:tr>
    </w:tbl>
    <w:p w:rsidR="00000000" w:rsidRDefault="00000000">
      <w:pPr>
        <w:pStyle w:val="BodyTextIndent3"/>
      </w:pPr>
      <w:r>
        <w:rPr>
          <w:rStyle w:val="CommentReference"/>
          <w:vanish/>
        </w:rPr>
        <w:commentReference w:id="0"/>
      </w:r>
      <w:r>
        <w:t xml:space="preserve">Комитет по ликвидации дискриминации </w:t>
      </w:r>
      <w:r>
        <w:br/>
        <w:t>в отношении женщин</w:t>
      </w:r>
    </w:p>
    <w:p w:rsidR="00000000" w:rsidRDefault="00000000">
      <w:pPr>
        <w:spacing w:before="240"/>
        <w:jc w:val="center"/>
        <w:rPr>
          <w:b/>
          <w:sz w:val="28"/>
        </w:rPr>
      </w:pPr>
      <w:r>
        <w:rPr>
          <w:b/>
          <w:sz w:val="28"/>
        </w:rPr>
        <w:t xml:space="preserve">Рассмотрение докладов, представленных государствами-участниками </w:t>
      </w:r>
      <w:r>
        <w:rPr>
          <w:b/>
          <w:sz w:val="28"/>
          <w:lang w:val="en-US"/>
        </w:rPr>
        <w:br/>
      </w:r>
      <w:r>
        <w:rPr>
          <w:b/>
          <w:sz w:val="28"/>
        </w:rPr>
        <w:t xml:space="preserve">в соответствии со статьей 18 Конвенции о ликвидации </w:t>
      </w:r>
      <w:r>
        <w:rPr>
          <w:b/>
          <w:sz w:val="28"/>
        </w:rPr>
        <w:br/>
        <w:t>всех форм дискриминации в отношении женщин</w:t>
      </w:r>
    </w:p>
    <w:p w:rsidR="00000000" w:rsidRDefault="00000000">
      <w:pPr>
        <w:rPr>
          <w:sz w:val="24"/>
          <w:lang w:val="en-US"/>
        </w:rPr>
      </w:pPr>
    </w:p>
    <w:p w:rsidR="00000000" w:rsidRDefault="00000000">
      <w:pPr>
        <w:rPr>
          <w:sz w:val="24"/>
          <w:lang w:val="en-US"/>
        </w:rPr>
      </w:pPr>
    </w:p>
    <w:p w:rsidR="00000000" w:rsidRDefault="00000000">
      <w:pPr>
        <w:rPr>
          <w:sz w:val="24"/>
        </w:rPr>
      </w:pPr>
    </w:p>
    <w:p w:rsidR="00000000" w:rsidRDefault="00000000">
      <w:pPr>
        <w:pStyle w:val="BodyText"/>
        <w:jc w:val="center"/>
        <w:rPr>
          <w:sz w:val="24"/>
          <w:u w:val="none"/>
        </w:rPr>
      </w:pPr>
      <w:r>
        <w:rPr>
          <w:sz w:val="24"/>
          <w:u w:val="none"/>
        </w:rPr>
        <w:t>Объединенные второй и третий периодические доклады государств-участников</w:t>
      </w:r>
    </w:p>
    <w:p w:rsidR="00000000" w:rsidRDefault="00000000">
      <w:pPr>
        <w:rPr>
          <w:sz w:val="24"/>
          <w:u w:val="single"/>
        </w:rPr>
      </w:pPr>
    </w:p>
    <w:p w:rsidR="00000000" w:rsidRDefault="00000000">
      <w:pPr>
        <w:rPr>
          <w:sz w:val="24"/>
          <w:u w:val="single"/>
          <w:lang w:val="en-US"/>
        </w:rPr>
      </w:pPr>
    </w:p>
    <w:p w:rsidR="00000000" w:rsidRDefault="00000000">
      <w:pPr>
        <w:rPr>
          <w:sz w:val="24"/>
          <w:u w:val="single"/>
          <w:lang w:val="en-US"/>
        </w:rPr>
      </w:pPr>
    </w:p>
    <w:p w:rsidR="00000000" w:rsidRDefault="00000000">
      <w:pPr>
        <w:rPr>
          <w:sz w:val="24"/>
          <w:u w:val="single"/>
          <w:lang w:val="en-US"/>
        </w:rPr>
      </w:pPr>
    </w:p>
    <w:p w:rsidR="00000000" w:rsidRDefault="00000000">
      <w:pPr>
        <w:pStyle w:val="Heading1"/>
        <w:jc w:val="center"/>
        <w:rPr>
          <w:rStyle w:val="FootnoteReference"/>
          <w:b/>
        </w:rPr>
        <w:sectPr w:rsidR="00000000">
          <w:headerReference w:type="even" r:id="rId9"/>
          <w:footerReference w:type="even" r:id="rId10"/>
          <w:footerReference w:type="default" r:id="rId11"/>
          <w:type w:val="continuous"/>
          <w:pgSz w:w="12242" w:h="15842" w:code="1"/>
          <w:pgMar w:top="1134" w:right="1202" w:bottom="1134" w:left="1202" w:header="0" w:footer="624" w:gutter="0"/>
          <w:pgNumType w:start="1"/>
          <w:cols w:space="720"/>
        </w:sectPr>
      </w:pPr>
      <w:r>
        <w:rPr>
          <w:b/>
        </w:rPr>
        <w:t>Намибия</w:t>
      </w:r>
      <w:r>
        <w:rPr>
          <w:rStyle w:val="FootnoteReference"/>
          <w:b/>
        </w:rPr>
        <w:footnoteReference w:customMarkFollows="1" w:id="1"/>
        <w:t>*</w:t>
      </w:r>
    </w:p>
    <w:p w:rsidR="00000000" w:rsidRDefault="00000000">
      <w:pPr>
        <w:pStyle w:val="Heading1"/>
        <w:jc w:val="center"/>
        <w:rPr>
          <w:b/>
          <w:caps/>
          <w:sz w:val="22"/>
        </w:rPr>
      </w:pPr>
      <w:r>
        <w:rPr>
          <w:b/>
          <w:caps/>
          <w:sz w:val="22"/>
        </w:rPr>
        <w:t>Общая численность населения с разбивкой по полу и районам, Намибия, перепись 2001 года</w:t>
      </w:r>
    </w:p>
    <w:p w:rsidR="00000000" w:rsidRDefault="00000000">
      <w:pPr>
        <w:rPr>
          <w:b/>
          <w:sz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0"/>
        <w:gridCol w:w="1738"/>
        <w:gridCol w:w="1984"/>
        <w:gridCol w:w="1843"/>
        <w:gridCol w:w="1701"/>
      </w:tblGrid>
      <w:tr w:rsidR="00000000">
        <w:tblPrEx>
          <w:tblCellMar>
            <w:top w:w="0" w:type="dxa"/>
            <w:bottom w:w="0" w:type="dxa"/>
          </w:tblCellMar>
        </w:tblPrEx>
        <w:trPr>
          <w:cantSplit/>
        </w:trPr>
        <w:tc>
          <w:tcPr>
            <w:tcW w:w="2090" w:type="dxa"/>
          </w:tcPr>
          <w:p w:rsidR="00000000" w:rsidRDefault="00000000">
            <w:pPr>
              <w:spacing w:before="40" w:after="40"/>
              <w:jc w:val="center"/>
              <w:rPr>
                <w:b/>
                <w:caps/>
                <w:sz w:val="22"/>
              </w:rPr>
            </w:pPr>
            <w:r>
              <w:rPr>
                <w:b/>
                <w:caps/>
                <w:sz w:val="22"/>
              </w:rPr>
              <w:t>Район</w:t>
            </w:r>
          </w:p>
        </w:tc>
        <w:tc>
          <w:tcPr>
            <w:tcW w:w="5565" w:type="dxa"/>
            <w:gridSpan w:val="3"/>
          </w:tcPr>
          <w:p w:rsidR="00000000" w:rsidRDefault="00000000">
            <w:pPr>
              <w:spacing w:before="40" w:after="40"/>
              <w:jc w:val="center"/>
              <w:rPr>
                <w:b/>
                <w:sz w:val="22"/>
              </w:rPr>
            </w:pPr>
            <w:r>
              <w:rPr>
                <w:b/>
                <w:caps/>
                <w:sz w:val="22"/>
              </w:rPr>
              <w:t>Население</w:t>
            </w:r>
          </w:p>
        </w:tc>
        <w:tc>
          <w:tcPr>
            <w:tcW w:w="1701" w:type="dxa"/>
          </w:tcPr>
          <w:p w:rsidR="00000000" w:rsidRDefault="00000000">
            <w:pPr>
              <w:spacing w:before="40" w:after="40"/>
              <w:jc w:val="center"/>
              <w:rPr>
                <w:b/>
                <w:sz w:val="22"/>
              </w:rPr>
            </w:pPr>
            <w:r>
              <w:rPr>
                <w:b/>
                <w:caps/>
                <w:sz w:val="22"/>
              </w:rPr>
              <w:t>Процент</w:t>
            </w:r>
          </w:p>
        </w:tc>
      </w:tr>
      <w:tr w:rsidR="00000000">
        <w:tblPrEx>
          <w:tblCellMar>
            <w:top w:w="0" w:type="dxa"/>
            <w:bottom w:w="0" w:type="dxa"/>
          </w:tblCellMar>
        </w:tblPrEx>
        <w:tc>
          <w:tcPr>
            <w:tcW w:w="2090" w:type="dxa"/>
          </w:tcPr>
          <w:p w:rsidR="00000000" w:rsidRDefault="00000000">
            <w:pPr>
              <w:spacing w:before="40" w:after="40"/>
              <w:rPr>
                <w:b/>
                <w:caps/>
                <w:sz w:val="22"/>
              </w:rPr>
            </w:pPr>
          </w:p>
        </w:tc>
        <w:tc>
          <w:tcPr>
            <w:tcW w:w="1738" w:type="dxa"/>
          </w:tcPr>
          <w:p w:rsidR="00000000" w:rsidRDefault="00000000">
            <w:pPr>
              <w:spacing w:before="40" w:after="40"/>
              <w:jc w:val="center"/>
              <w:rPr>
                <w:b/>
                <w:sz w:val="22"/>
              </w:rPr>
            </w:pPr>
            <w:r>
              <w:rPr>
                <w:b/>
                <w:caps/>
                <w:sz w:val="22"/>
              </w:rPr>
              <w:t>Всего</w:t>
            </w:r>
          </w:p>
        </w:tc>
        <w:tc>
          <w:tcPr>
            <w:tcW w:w="1984" w:type="dxa"/>
          </w:tcPr>
          <w:p w:rsidR="00000000" w:rsidRDefault="00000000">
            <w:pPr>
              <w:spacing w:before="40" w:after="40"/>
              <w:jc w:val="center"/>
              <w:rPr>
                <w:b/>
                <w:sz w:val="22"/>
              </w:rPr>
            </w:pPr>
            <w:r>
              <w:rPr>
                <w:b/>
                <w:caps/>
                <w:sz w:val="22"/>
              </w:rPr>
              <w:t>Женщины</w:t>
            </w:r>
          </w:p>
        </w:tc>
        <w:tc>
          <w:tcPr>
            <w:tcW w:w="1843" w:type="dxa"/>
          </w:tcPr>
          <w:p w:rsidR="00000000" w:rsidRDefault="00000000">
            <w:pPr>
              <w:spacing w:before="40" w:after="40"/>
              <w:jc w:val="center"/>
              <w:rPr>
                <w:b/>
                <w:sz w:val="22"/>
              </w:rPr>
            </w:pPr>
            <w:r>
              <w:rPr>
                <w:b/>
                <w:caps/>
                <w:sz w:val="22"/>
              </w:rPr>
              <w:t>Мужчины</w:t>
            </w:r>
          </w:p>
        </w:tc>
        <w:tc>
          <w:tcPr>
            <w:tcW w:w="1701" w:type="dxa"/>
          </w:tcPr>
          <w:p w:rsidR="00000000" w:rsidRDefault="00000000">
            <w:pPr>
              <w:spacing w:before="40" w:after="40"/>
              <w:jc w:val="right"/>
              <w:rPr>
                <w:b/>
                <w:sz w:val="22"/>
              </w:rPr>
            </w:pP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Каприви</w:t>
            </w:r>
          </w:p>
        </w:tc>
        <w:tc>
          <w:tcPr>
            <w:tcW w:w="1738" w:type="dxa"/>
          </w:tcPr>
          <w:p w:rsidR="00000000" w:rsidRDefault="00000000">
            <w:pPr>
              <w:spacing w:before="20" w:after="20"/>
              <w:ind w:right="340"/>
              <w:jc w:val="right"/>
              <w:rPr>
                <w:sz w:val="22"/>
              </w:rPr>
            </w:pPr>
            <w:r>
              <w:rPr>
                <w:sz w:val="22"/>
              </w:rPr>
              <w:t>79 826</w:t>
            </w:r>
          </w:p>
        </w:tc>
        <w:tc>
          <w:tcPr>
            <w:tcW w:w="1984" w:type="dxa"/>
          </w:tcPr>
          <w:p w:rsidR="00000000" w:rsidRDefault="00000000">
            <w:pPr>
              <w:spacing w:before="20" w:after="20"/>
              <w:ind w:right="510"/>
              <w:jc w:val="right"/>
              <w:rPr>
                <w:sz w:val="22"/>
              </w:rPr>
            </w:pPr>
            <w:r>
              <w:rPr>
                <w:sz w:val="22"/>
              </w:rPr>
              <w:t>40 749</w:t>
            </w:r>
          </w:p>
        </w:tc>
        <w:tc>
          <w:tcPr>
            <w:tcW w:w="1843" w:type="dxa"/>
          </w:tcPr>
          <w:p w:rsidR="00000000" w:rsidRDefault="00000000">
            <w:pPr>
              <w:spacing w:before="20" w:after="20"/>
              <w:ind w:right="454"/>
              <w:jc w:val="right"/>
              <w:rPr>
                <w:sz w:val="22"/>
              </w:rPr>
            </w:pPr>
            <w:r>
              <w:rPr>
                <w:sz w:val="22"/>
              </w:rPr>
              <w:t>39 077</w:t>
            </w:r>
          </w:p>
        </w:tc>
        <w:tc>
          <w:tcPr>
            <w:tcW w:w="1701" w:type="dxa"/>
          </w:tcPr>
          <w:p w:rsidR="00000000" w:rsidRDefault="00000000">
            <w:pPr>
              <w:spacing w:before="20" w:after="20"/>
              <w:ind w:right="454"/>
              <w:jc w:val="right"/>
              <w:rPr>
                <w:sz w:val="22"/>
              </w:rPr>
            </w:pPr>
            <w:r>
              <w:rPr>
                <w:sz w:val="22"/>
              </w:rPr>
              <w:t>4,4</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Эронго</w:t>
            </w:r>
          </w:p>
        </w:tc>
        <w:tc>
          <w:tcPr>
            <w:tcW w:w="1738" w:type="dxa"/>
          </w:tcPr>
          <w:p w:rsidR="00000000" w:rsidRDefault="00000000">
            <w:pPr>
              <w:spacing w:before="20" w:after="20"/>
              <w:ind w:right="340"/>
              <w:jc w:val="right"/>
              <w:rPr>
                <w:sz w:val="22"/>
              </w:rPr>
            </w:pPr>
            <w:r>
              <w:rPr>
                <w:sz w:val="22"/>
              </w:rPr>
              <w:t>107 663</w:t>
            </w:r>
          </w:p>
        </w:tc>
        <w:tc>
          <w:tcPr>
            <w:tcW w:w="1984" w:type="dxa"/>
          </w:tcPr>
          <w:p w:rsidR="00000000" w:rsidRDefault="00000000">
            <w:pPr>
              <w:spacing w:before="20" w:after="20"/>
              <w:ind w:right="510"/>
              <w:jc w:val="right"/>
              <w:rPr>
                <w:sz w:val="22"/>
              </w:rPr>
            </w:pPr>
            <w:r>
              <w:rPr>
                <w:sz w:val="22"/>
              </w:rPr>
              <w:t>50 040</w:t>
            </w:r>
          </w:p>
        </w:tc>
        <w:tc>
          <w:tcPr>
            <w:tcW w:w="1843" w:type="dxa"/>
          </w:tcPr>
          <w:p w:rsidR="00000000" w:rsidRDefault="00000000">
            <w:pPr>
              <w:spacing w:before="20" w:after="20"/>
              <w:ind w:right="454"/>
              <w:jc w:val="right"/>
              <w:rPr>
                <w:sz w:val="22"/>
              </w:rPr>
            </w:pPr>
            <w:r>
              <w:rPr>
                <w:sz w:val="22"/>
              </w:rPr>
              <w:t>57 616</w:t>
            </w:r>
          </w:p>
        </w:tc>
        <w:tc>
          <w:tcPr>
            <w:tcW w:w="1701" w:type="dxa"/>
          </w:tcPr>
          <w:p w:rsidR="00000000" w:rsidRDefault="00000000">
            <w:pPr>
              <w:spacing w:before="20" w:after="20"/>
              <w:ind w:right="454"/>
              <w:jc w:val="right"/>
              <w:rPr>
                <w:sz w:val="22"/>
              </w:rPr>
            </w:pPr>
            <w:r>
              <w:rPr>
                <w:sz w:val="22"/>
              </w:rPr>
              <w:t>5,9</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Хардап</w:t>
            </w:r>
          </w:p>
        </w:tc>
        <w:tc>
          <w:tcPr>
            <w:tcW w:w="1738" w:type="dxa"/>
          </w:tcPr>
          <w:p w:rsidR="00000000" w:rsidRDefault="00000000">
            <w:pPr>
              <w:spacing w:before="20" w:after="20"/>
              <w:ind w:right="340"/>
              <w:jc w:val="right"/>
              <w:rPr>
                <w:sz w:val="22"/>
              </w:rPr>
            </w:pPr>
            <w:r>
              <w:rPr>
                <w:sz w:val="22"/>
              </w:rPr>
              <w:t>68 249</w:t>
            </w:r>
          </w:p>
        </w:tc>
        <w:tc>
          <w:tcPr>
            <w:tcW w:w="1984" w:type="dxa"/>
          </w:tcPr>
          <w:p w:rsidR="00000000" w:rsidRDefault="00000000">
            <w:pPr>
              <w:spacing w:before="20" w:after="20"/>
              <w:ind w:right="510"/>
              <w:jc w:val="right"/>
              <w:rPr>
                <w:sz w:val="22"/>
              </w:rPr>
            </w:pPr>
            <w:r>
              <w:rPr>
                <w:sz w:val="22"/>
              </w:rPr>
              <w:t>33 665</w:t>
            </w:r>
          </w:p>
        </w:tc>
        <w:tc>
          <w:tcPr>
            <w:tcW w:w="1843" w:type="dxa"/>
          </w:tcPr>
          <w:p w:rsidR="00000000" w:rsidRDefault="00000000">
            <w:pPr>
              <w:spacing w:before="20" w:after="20"/>
              <w:ind w:right="454"/>
              <w:jc w:val="right"/>
              <w:rPr>
                <w:sz w:val="22"/>
              </w:rPr>
            </w:pPr>
            <w:r>
              <w:rPr>
                <w:sz w:val="22"/>
              </w:rPr>
              <w:t>34 579</w:t>
            </w:r>
          </w:p>
        </w:tc>
        <w:tc>
          <w:tcPr>
            <w:tcW w:w="1701" w:type="dxa"/>
          </w:tcPr>
          <w:p w:rsidR="00000000" w:rsidRDefault="00000000">
            <w:pPr>
              <w:spacing w:before="20" w:after="20"/>
              <w:ind w:right="454"/>
              <w:jc w:val="right"/>
              <w:rPr>
                <w:sz w:val="22"/>
              </w:rPr>
            </w:pPr>
            <w:r>
              <w:rPr>
                <w:sz w:val="22"/>
              </w:rPr>
              <w:t>3,7</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Карас</w:t>
            </w:r>
          </w:p>
        </w:tc>
        <w:tc>
          <w:tcPr>
            <w:tcW w:w="1738" w:type="dxa"/>
          </w:tcPr>
          <w:p w:rsidR="00000000" w:rsidRDefault="00000000">
            <w:pPr>
              <w:spacing w:before="20" w:after="20"/>
              <w:ind w:right="340"/>
              <w:jc w:val="right"/>
              <w:rPr>
                <w:sz w:val="22"/>
              </w:rPr>
            </w:pPr>
            <w:r>
              <w:rPr>
                <w:sz w:val="22"/>
              </w:rPr>
              <w:t>69 329</w:t>
            </w:r>
          </w:p>
        </w:tc>
        <w:tc>
          <w:tcPr>
            <w:tcW w:w="1984" w:type="dxa"/>
          </w:tcPr>
          <w:p w:rsidR="00000000" w:rsidRDefault="00000000">
            <w:pPr>
              <w:spacing w:before="20" w:after="20"/>
              <w:ind w:right="510"/>
              <w:jc w:val="right"/>
              <w:rPr>
                <w:sz w:val="22"/>
              </w:rPr>
            </w:pPr>
            <w:r>
              <w:rPr>
                <w:sz w:val="22"/>
              </w:rPr>
              <w:t>32 346</w:t>
            </w:r>
          </w:p>
        </w:tc>
        <w:tc>
          <w:tcPr>
            <w:tcW w:w="1843" w:type="dxa"/>
          </w:tcPr>
          <w:p w:rsidR="00000000" w:rsidRDefault="00000000">
            <w:pPr>
              <w:spacing w:before="20" w:after="20"/>
              <w:ind w:right="454"/>
              <w:jc w:val="right"/>
              <w:rPr>
                <w:sz w:val="22"/>
              </w:rPr>
            </w:pPr>
            <w:r>
              <w:rPr>
                <w:sz w:val="22"/>
              </w:rPr>
              <w:t>36 976</w:t>
            </w:r>
          </w:p>
        </w:tc>
        <w:tc>
          <w:tcPr>
            <w:tcW w:w="1701" w:type="dxa"/>
          </w:tcPr>
          <w:p w:rsidR="00000000" w:rsidRDefault="00000000">
            <w:pPr>
              <w:spacing w:before="20" w:after="20"/>
              <w:ind w:right="454"/>
              <w:jc w:val="right"/>
              <w:rPr>
                <w:sz w:val="22"/>
              </w:rPr>
            </w:pPr>
            <w:r>
              <w:rPr>
                <w:sz w:val="22"/>
              </w:rPr>
              <w:t>3,8</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Каванго</w:t>
            </w:r>
          </w:p>
        </w:tc>
        <w:tc>
          <w:tcPr>
            <w:tcW w:w="1738" w:type="dxa"/>
          </w:tcPr>
          <w:p w:rsidR="00000000" w:rsidRDefault="00000000">
            <w:pPr>
              <w:spacing w:before="20" w:after="20"/>
              <w:ind w:right="340"/>
              <w:jc w:val="right"/>
              <w:rPr>
                <w:sz w:val="22"/>
              </w:rPr>
            </w:pPr>
            <w:r>
              <w:rPr>
                <w:sz w:val="22"/>
              </w:rPr>
              <w:t>202 694</w:t>
            </w:r>
          </w:p>
        </w:tc>
        <w:tc>
          <w:tcPr>
            <w:tcW w:w="1984" w:type="dxa"/>
          </w:tcPr>
          <w:p w:rsidR="00000000" w:rsidRDefault="00000000">
            <w:pPr>
              <w:spacing w:before="20" w:after="20"/>
              <w:ind w:right="510"/>
              <w:jc w:val="right"/>
              <w:rPr>
                <w:sz w:val="22"/>
              </w:rPr>
            </w:pPr>
            <w:r>
              <w:rPr>
                <w:sz w:val="22"/>
              </w:rPr>
              <w:t>106 176</w:t>
            </w:r>
          </w:p>
        </w:tc>
        <w:tc>
          <w:tcPr>
            <w:tcW w:w="1843" w:type="dxa"/>
          </w:tcPr>
          <w:p w:rsidR="00000000" w:rsidRDefault="00000000">
            <w:pPr>
              <w:spacing w:before="20" w:after="20"/>
              <w:ind w:right="454"/>
              <w:jc w:val="right"/>
              <w:rPr>
                <w:sz w:val="22"/>
              </w:rPr>
            </w:pPr>
            <w:r>
              <w:rPr>
                <w:sz w:val="22"/>
              </w:rPr>
              <w:t>96 515</w:t>
            </w:r>
          </w:p>
        </w:tc>
        <w:tc>
          <w:tcPr>
            <w:tcW w:w="1701" w:type="dxa"/>
          </w:tcPr>
          <w:p w:rsidR="00000000" w:rsidRDefault="00000000">
            <w:pPr>
              <w:spacing w:before="20" w:after="20"/>
              <w:ind w:right="454"/>
              <w:jc w:val="right"/>
              <w:rPr>
                <w:sz w:val="22"/>
              </w:rPr>
            </w:pPr>
            <w:r>
              <w:rPr>
                <w:sz w:val="22"/>
              </w:rPr>
              <w:t>11,1</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Комас</w:t>
            </w:r>
          </w:p>
        </w:tc>
        <w:tc>
          <w:tcPr>
            <w:tcW w:w="1738" w:type="dxa"/>
          </w:tcPr>
          <w:p w:rsidR="00000000" w:rsidRDefault="00000000">
            <w:pPr>
              <w:spacing w:before="20" w:after="20"/>
              <w:ind w:right="340"/>
              <w:jc w:val="right"/>
              <w:rPr>
                <w:sz w:val="22"/>
              </w:rPr>
            </w:pPr>
            <w:r>
              <w:rPr>
                <w:sz w:val="22"/>
              </w:rPr>
              <w:t>250 262</w:t>
            </w:r>
          </w:p>
        </w:tc>
        <w:tc>
          <w:tcPr>
            <w:tcW w:w="1984" w:type="dxa"/>
          </w:tcPr>
          <w:p w:rsidR="00000000" w:rsidRDefault="00000000">
            <w:pPr>
              <w:spacing w:before="20" w:after="20"/>
              <w:ind w:right="510"/>
              <w:jc w:val="right"/>
              <w:rPr>
                <w:sz w:val="22"/>
              </w:rPr>
            </w:pPr>
            <w:r>
              <w:rPr>
                <w:sz w:val="22"/>
              </w:rPr>
              <w:t>123 613</w:t>
            </w:r>
          </w:p>
        </w:tc>
        <w:tc>
          <w:tcPr>
            <w:tcW w:w="1843" w:type="dxa"/>
          </w:tcPr>
          <w:p w:rsidR="00000000" w:rsidRDefault="00000000">
            <w:pPr>
              <w:spacing w:before="20" w:after="20"/>
              <w:ind w:right="454"/>
              <w:jc w:val="right"/>
              <w:rPr>
                <w:sz w:val="22"/>
              </w:rPr>
            </w:pPr>
            <w:r>
              <w:rPr>
                <w:sz w:val="22"/>
              </w:rPr>
              <w:t>126 648</w:t>
            </w:r>
          </w:p>
        </w:tc>
        <w:tc>
          <w:tcPr>
            <w:tcW w:w="1701" w:type="dxa"/>
          </w:tcPr>
          <w:p w:rsidR="00000000" w:rsidRDefault="00000000">
            <w:pPr>
              <w:spacing w:before="20" w:after="20"/>
              <w:ind w:right="454"/>
              <w:jc w:val="right"/>
              <w:rPr>
                <w:sz w:val="22"/>
              </w:rPr>
            </w:pPr>
            <w:r>
              <w:rPr>
                <w:sz w:val="22"/>
              </w:rPr>
              <w:t>13,7</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Кунене</w:t>
            </w:r>
          </w:p>
        </w:tc>
        <w:tc>
          <w:tcPr>
            <w:tcW w:w="1738" w:type="dxa"/>
          </w:tcPr>
          <w:p w:rsidR="00000000" w:rsidRDefault="00000000">
            <w:pPr>
              <w:spacing w:before="20" w:after="20"/>
              <w:ind w:right="340"/>
              <w:jc w:val="right"/>
              <w:rPr>
                <w:sz w:val="22"/>
              </w:rPr>
            </w:pPr>
            <w:r>
              <w:rPr>
                <w:sz w:val="22"/>
              </w:rPr>
              <w:t>68 735</w:t>
            </w:r>
          </w:p>
        </w:tc>
        <w:tc>
          <w:tcPr>
            <w:tcW w:w="1984" w:type="dxa"/>
          </w:tcPr>
          <w:p w:rsidR="00000000" w:rsidRDefault="00000000">
            <w:pPr>
              <w:spacing w:before="20" w:after="20"/>
              <w:ind w:right="510"/>
              <w:jc w:val="right"/>
              <w:rPr>
                <w:sz w:val="22"/>
              </w:rPr>
            </w:pPr>
            <w:r>
              <w:rPr>
                <w:sz w:val="22"/>
              </w:rPr>
              <w:t>34 237</w:t>
            </w:r>
          </w:p>
        </w:tc>
        <w:tc>
          <w:tcPr>
            <w:tcW w:w="1843" w:type="dxa"/>
          </w:tcPr>
          <w:p w:rsidR="00000000" w:rsidRDefault="00000000">
            <w:pPr>
              <w:spacing w:before="20" w:after="20"/>
              <w:ind w:right="454"/>
              <w:jc w:val="right"/>
              <w:rPr>
                <w:sz w:val="22"/>
              </w:rPr>
            </w:pPr>
            <w:r>
              <w:rPr>
                <w:sz w:val="22"/>
              </w:rPr>
              <w:t>34 487</w:t>
            </w:r>
          </w:p>
        </w:tc>
        <w:tc>
          <w:tcPr>
            <w:tcW w:w="1701" w:type="dxa"/>
          </w:tcPr>
          <w:p w:rsidR="00000000" w:rsidRDefault="00000000">
            <w:pPr>
              <w:spacing w:before="20" w:after="20"/>
              <w:ind w:right="454"/>
              <w:jc w:val="right"/>
              <w:rPr>
                <w:sz w:val="22"/>
              </w:rPr>
            </w:pPr>
            <w:r>
              <w:rPr>
                <w:sz w:val="22"/>
              </w:rPr>
              <w:t>3,8</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Охангвена</w:t>
            </w:r>
          </w:p>
        </w:tc>
        <w:tc>
          <w:tcPr>
            <w:tcW w:w="1738" w:type="dxa"/>
          </w:tcPr>
          <w:p w:rsidR="00000000" w:rsidRDefault="00000000">
            <w:pPr>
              <w:spacing w:before="20" w:after="20"/>
              <w:ind w:right="340"/>
              <w:jc w:val="right"/>
              <w:rPr>
                <w:sz w:val="22"/>
              </w:rPr>
            </w:pPr>
            <w:r>
              <w:rPr>
                <w:sz w:val="22"/>
              </w:rPr>
              <w:t>228 384</w:t>
            </w:r>
          </w:p>
        </w:tc>
        <w:tc>
          <w:tcPr>
            <w:tcW w:w="1984" w:type="dxa"/>
          </w:tcPr>
          <w:p w:rsidR="00000000" w:rsidRDefault="00000000">
            <w:pPr>
              <w:spacing w:before="20" w:after="20"/>
              <w:ind w:right="510"/>
              <w:jc w:val="right"/>
              <w:rPr>
                <w:sz w:val="22"/>
              </w:rPr>
            </w:pPr>
            <w:r>
              <w:rPr>
                <w:sz w:val="22"/>
              </w:rPr>
              <w:t>124 828</w:t>
            </w:r>
          </w:p>
        </w:tc>
        <w:tc>
          <w:tcPr>
            <w:tcW w:w="1843" w:type="dxa"/>
          </w:tcPr>
          <w:p w:rsidR="00000000" w:rsidRDefault="00000000">
            <w:pPr>
              <w:spacing w:before="20" w:after="20"/>
              <w:ind w:right="454"/>
              <w:jc w:val="right"/>
              <w:rPr>
                <w:sz w:val="22"/>
              </w:rPr>
            </w:pPr>
            <w:r>
              <w:rPr>
                <w:sz w:val="22"/>
              </w:rPr>
              <w:t>103 556</w:t>
            </w:r>
          </w:p>
        </w:tc>
        <w:tc>
          <w:tcPr>
            <w:tcW w:w="1701" w:type="dxa"/>
          </w:tcPr>
          <w:p w:rsidR="00000000" w:rsidRDefault="00000000">
            <w:pPr>
              <w:spacing w:before="20" w:after="20"/>
              <w:ind w:right="454"/>
              <w:jc w:val="right"/>
              <w:rPr>
                <w:sz w:val="22"/>
              </w:rPr>
            </w:pPr>
            <w:r>
              <w:rPr>
                <w:sz w:val="22"/>
              </w:rPr>
              <w:t>12,5</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ОмаХеке</w:t>
            </w:r>
          </w:p>
        </w:tc>
        <w:tc>
          <w:tcPr>
            <w:tcW w:w="1738" w:type="dxa"/>
          </w:tcPr>
          <w:p w:rsidR="00000000" w:rsidRDefault="00000000">
            <w:pPr>
              <w:spacing w:before="20" w:after="20"/>
              <w:ind w:right="340"/>
              <w:jc w:val="right"/>
              <w:rPr>
                <w:sz w:val="22"/>
              </w:rPr>
            </w:pPr>
            <w:r>
              <w:rPr>
                <w:sz w:val="22"/>
              </w:rPr>
              <w:t>68 039</w:t>
            </w:r>
          </w:p>
        </w:tc>
        <w:tc>
          <w:tcPr>
            <w:tcW w:w="1984" w:type="dxa"/>
          </w:tcPr>
          <w:p w:rsidR="00000000" w:rsidRDefault="00000000">
            <w:pPr>
              <w:spacing w:before="20" w:after="20"/>
              <w:ind w:right="510"/>
              <w:jc w:val="right"/>
              <w:rPr>
                <w:sz w:val="22"/>
              </w:rPr>
            </w:pPr>
            <w:r>
              <w:rPr>
                <w:sz w:val="22"/>
              </w:rPr>
              <w:t>32 484</w:t>
            </w:r>
          </w:p>
        </w:tc>
        <w:tc>
          <w:tcPr>
            <w:tcW w:w="1843" w:type="dxa"/>
          </w:tcPr>
          <w:p w:rsidR="00000000" w:rsidRDefault="00000000">
            <w:pPr>
              <w:spacing w:before="20" w:after="20"/>
              <w:ind w:right="454"/>
              <w:jc w:val="right"/>
              <w:rPr>
                <w:sz w:val="22"/>
              </w:rPr>
            </w:pPr>
            <w:r>
              <w:rPr>
                <w:sz w:val="22"/>
              </w:rPr>
              <w:t>35 554</w:t>
            </w:r>
          </w:p>
        </w:tc>
        <w:tc>
          <w:tcPr>
            <w:tcW w:w="1701" w:type="dxa"/>
          </w:tcPr>
          <w:p w:rsidR="00000000" w:rsidRDefault="00000000">
            <w:pPr>
              <w:spacing w:before="20" w:after="20"/>
              <w:ind w:right="454"/>
              <w:jc w:val="right"/>
              <w:rPr>
                <w:sz w:val="22"/>
              </w:rPr>
            </w:pPr>
            <w:r>
              <w:rPr>
                <w:sz w:val="22"/>
              </w:rPr>
              <w:t>3,7</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Омусати</w:t>
            </w:r>
          </w:p>
        </w:tc>
        <w:tc>
          <w:tcPr>
            <w:tcW w:w="1738" w:type="dxa"/>
          </w:tcPr>
          <w:p w:rsidR="00000000" w:rsidRDefault="00000000">
            <w:pPr>
              <w:spacing w:before="20" w:after="20"/>
              <w:ind w:right="340"/>
              <w:jc w:val="right"/>
              <w:rPr>
                <w:sz w:val="22"/>
              </w:rPr>
            </w:pPr>
            <w:r>
              <w:rPr>
                <w:sz w:val="22"/>
              </w:rPr>
              <w:t>228 842</w:t>
            </w:r>
          </w:p>
        </w:tc>
        <w:tc>
          <w:tcPr>
            <w:tcW w:w="1984" w:type="dxa"/>
          </w:tcPr>
          <w:p w:rsidR="00000000" w:rsidRDefault="00000000">
            <w:pPr>
              <w:spacing w:before="20" w:after="20"/>
              <w:ind w:right="510"/>
              <w:jc w:val="right"/>
              <w:rPr>
                <w:sz w:val="22"/>
              </w:rPr>
            </w:pPr>
            <w:r>
              <w:rPr>
                <w:sz w:val="22"/>
              </w:rPr>
              <w:t>126 368</w:t>
            </w:r>
          </w:p>
        </w:tc>
        <w:tc>
          <w:tcPr>
            <w:tcW w:w="1843" w:type="dxa"/>
          </w:tcPr>
          <w:p w:rsidR="00000000" w:rsidRDefault="00000000">
            <w:pPr>
              <w:spacing w:before="20" w:after="20"/>
              <w:ind w:right="454"/>
              <w:jc w:val="right"/>
              <w:rPr>
                <w:sz w:val="22"/>
              </w:rPr>
            </w:pPr>
            <w:r>
              <w:rPr>
                <w:sz w:val="22"/>
              </w:rPr>
              <w:t>102 473</w:t>
            </w:r>
          </w:p>
        </w:tc>
        <w:tc>
          <w:tcPr>
            <w:tcW w:w="1701" w:type="dxa"/>
          </w:tcPr>
          <w:p w:rsidR="00000000" w:rsidRDefault="00000000">
            <w:pPr>
              <w:spacing w:before="20" w:after="20"/>
              <w:ind w:right="454"/>
              <w:jc w:val="right"/>
              <w:rPr>
                <w:sz w:val="22"/>
              </w:rPr>
            </w:pPr>
            <w:r>
              <w:rPr>
                <w:sz w:val="22"/>
              </w:rPr>
              <w:t>12,5</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Ошана</w:t>
            </w:r>
          </w:p>
        </w:tc>
        <w:tc>
          <w:tcPr>
            <w:tcW w:w="1738" w:type="dxa"/>
          </w:tcPr>
          <w:p w:rsidR="00000000" w:rsidRDefault="00000000">
            <w:pPr>
              <w:spacing w:before="20" w:after="20"/>
              <w:ind w:right="340"/>
              <w:jc w:val="right"/>
              <w:rPr>
                <w:sz w:val="22"/>
              </w:rPr>
            </w:pPr>
            <w:r>
              <w:rPr>
                <w:sz w:val="22"/>
              </w:rPr>
              <w:t>161 916</w:t>
            </w:r>
          </w:p>
        </w:tc>
        <w:tc>
          <w:tcPr>
            <w:tcW w:w="1984" w:type="dxa"/>
          </w:tcPr>
          <w:p w:rsidR="00000000" w:rsidRDefault="00000000">
            <w:pPr>
              <w:spacing w:before="20" w:after="20"/>
              <w:ind w:right="510"/>
              <w:jc w:val="right"/>
              <w:rPr>
                <w:sz w:val="22"/>
              </w:rPr>
            </w:pPr>
            <w:r>
              <w:rPr>
                <w:sz w:val="22"/>
              </w:rPr>
              <w:t>87 958</w:t>
            </w:r>
          </w:p>
        </w:tc>
        <w:tc>
          <w:tcPr>
            <w:tcW w:w="1843" w:type="dxa"/>
          </w:tcPr>
          <w:p w:rsidR="00000000" w:rsidRDefault="00000000">
            <w:pPr>
              <w:spacing w:before="20" w:after="20"/>
              <w:ind w:right="454"/>
              <w:jc w:val="right"/>
              <w:rPr>
                <w:sz w:val="22"/>
              </w:rPr>
            </w:pPr>
            <w:r>
              <w:rPr>
                <w:sz w:val="22"/>
              </w:rPr>
              <w:t>73 957</w:t>
            </w:r>
          </w:p>
        </w:tc>
        <w:tc>
          <w:tcPr>
            <w:tcW w:w="1701" w:type="dxa"/>
          </w:tcPr>
          <w:p w:rsidR="00000000" w:rsidRDefault="00000000">
            <w:pPr>
              <w:spacing w:before="20" w:after="20"/>
              <w:ind w:right="454"/>
              <w:jc w:val="right"/>
              <w:rPr>
                <w:sz w:val="22"/>
              </w:rPr>
            </w:pPr>
            <w:r>
              <w:rPr>
                <w:sz w:val="22"/>
              </w:rPr>
              <w:t>8,8</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Ошикото</w:t>
            </w:r>
          </w:p>
        </w:tc>
        <w:tc>
          <w:tcPr>
            <w:tcW w:w="1738" w:type="dxa"/>
          </w:tcPr>
          <w:p w:rsidR="00000000" w:rsidRDefault="00000000">
            <w:pPr>
              <w:spacing w:before="20" w:after="20"/>
              <w:ind w:right="340"/>
              <w:jc w:val="right"/>
              <w:rPr>
                <w:sz w:val="22"/>
              </w:rPr>
            </w:pPr>
            <w:r>
              <w:rPr>
                <w:sz w:val="22"/>
              </w:rPr>
              <w:t>161 007</w:t>
            </w:r>
          </w:p>
        </w:tc>
        <w:tc>
          <w:tcPr>
            <w:tcW w:w="1984" w:type="dxa"/>
          </w:tcPr>
          <w:p w:rsidR="00000000" w:rsidRDefault="00000000">
            <w:pPr>
              <w:spacing w:before="20" w:after="20"/>
              <w:ind w:right="510"/>
              <w:jc w:val="right"/>
              <w:rPr>
                <w:sz w:val="22"/>
              </w:rPr>
            </w:pPr>
            <w:r>
              <w:rPr>
                <w:sz w:val="22"/>
              </w:rPr>
              <w:t>84 620</w:t>
            </w:r>
          </w:p>
        </w:tc>
        <w:tc>
          <w:tcPr>
            <w:tcW w:w="1843" w:type="dxa"/>
          </w:tcPr>
          <w:p w:rsidR="00000000" w:rsidRDefault="00000000">
            <w:pPr>
              <w:spacing w:before="20" w:after="20"/>
              <w:ind w:right="454"/>
              <w:jc w:val="right"/>
              <w:rPr>
                <w:sz w:val="22"/>
              </w:rPr>
            </w:pPr>
            <w:r>
              <w:rPr>
                <w:sz w:val="22"/>
              </w:rPr>
              <w:t>76 387</w:t>
            </w:r>
          </w:p>
        </w:tc>
        <w:tc>
          <w:tcPr>
            <w:tcW w:w="1701" w:type="dxa"/>
          </w:tcPr>
          <w:p w:rsidR="00000000" w:rsidRDefault="00000000">
            <w:pPr>
              <w:spacing w:before="20" w:after="20"/>
              <w:ind w:right="454"/>
              <w:jc w:val="right"/>
              <w:rPr>
                <w:sz w:val="22"/>
              </w:rPr>
            </w:pPr>
            <w:r>
              <w:rPr>
                <w:sz w:val="22"/>
              </w:rPr>
              <w:t>8,8</w:t>
            </w:r>
          </w:p>
        </w:tc>
      </w:tr>
      <w:tr w:rsidR="00000000">
        <w:tblPrEx>
          <w:tblCellMar>
            <w:top w:w="0" w:type="dxa"/>
            <w:bottom w:w="0" w:type="dxa"/>
          </w:tblCellMar>
        </w:tblPrEx>
        <w:tc>
          <w:tcPr>
            <w:tcW w:w="2090" w:type="dxa"/>
          </w:tcPr>
          <w:p w:rsidR="00000000" w:rsidRDefault="00000000">
            <w:pPr>
              <w:spacing w:before="20" w:after="20"/>
              <w:rPr>
                <w:caps/>
                <w:sz w:val="22"/>
              </w:rPr>
            </w:pPr>
            <w:r>
              <w:rPr>
                <w:caps/>
                <w:sz w:val="22"/>
              </w:rPr>
              <w:t>Отжозонжупа</w:t>
            </w:r>
          </w:p>
        </w:tc>
        <w:tc>
          <w:tcPr>
            <w:tcW w:w="1738" w:type="dxa"/>
          </w:tcPr>
          <w:p w:rsidR="00000000" w:rsidRDefault="00000000">
            <w:pPr>
              <w:spacing w:before="20" w:after="20"/>
              <w:ind w:right="340"/>
              <w:jc w:val="right"/>
              <w:rPr>
                <w:sz w:val="22"/>
              </w:rPr>
            </w:pPr>
            <w:r>
              <w:rPr>
                <w:sz w:val="22"/>
              </w:rPr>
              <w:t>135 384</w:t>
            </w:r>
          </w:p>
        </w:tc>
        <w:tc>
          <w:tcPr>
            <w:tcW w:w="1984" w:type="dxa"/>
          </w:tcPr>
          <w:p w:rsidR="00000000" w:rsidRDefault="00000000">
            <w:pPr>
              <w:spacing w:before="20" w:after="20"/>
              <w:ind w:right="510"/>
              <w:jc w:val="right"/>
              <w:rPr>
                <w:sz w:val="22"/>
              </w:rPr>
            </w:pPr>
            <w:r>
              <w:rPr>
                <w:sz w:val="22"/>
              </w:rPr>
              <w:t>65 488</w:t>
            </w:r>
          </w:p>
        </w:tc>
        <w:tc>
          <w:tcPr>
            <w:tcW w:w="1843" w:type="dxa"/>
          </w:tcPr>
          <w:p w:rsidR="00000000" w:rsidRDefault="00000000">
            <w:pPr>
              <w:spacing w:before="20" w:after="20"/>
              <w:ind w:right="454"/>
              <w:jc w:val="right"/>
              <w:rPr>
                <w:sz w:val="22"/>
              </w:rPr>
            </w:pPr>
            <w:r>
              <w:rPr>
                <w:sz w:val="22"/>
              </w:rPr>
              <w:t>69 896</w:t>
            </w:r>
          </w:p>
        </w:tc>
        <w:tc>
          <w:tcPr>
            <w:tcW w:w="1701" w:type="dxa"/>
          </w:tcPr>
          <w:p w:rsidR="00000000" w:rsidRDefault="00000000">
            <w:pPr>
              <w:spacing w:before="20" w:after="20"/>
              <w:ind w:right="454"/>
              <w:jc w:val="right"/>
              <w:rPr>
                <w:sz w:val="22"/>
              </w:rPr>
            </w:pPr>
            <w:r>
              <w:rPr>
                <w:sz w:val="22"/>
              </w:rPr>
              <w:t>7,4</w:t>
            </w:r>
          </w:p>
        </w:tc>
      </w:tr>
      <w:tr w:rsidR="00000000">
        <w:tblPrEx>
          <w:tblCellMar>
            <w:top w:w="0" w:type="dxa"/>
            <w:bottom w:w="0" w:type="dxa"/>
          </w:tblCellMar>
        </w:tblPrEx>
        <w:tc>
          <w:tcPr>
            <w:tcW w:w="2090" w:type="dxa"/>
          </w:tcPr>
          <w:p w:rsidR="00000000" w:rsidRDefault="00000000">
            <w:pPr>
              <w:spacing w:before="20" w:after="20"/>
              <w:rPr>
                <w:b/>
                <w:caps/>
                <w:sz w:val="22"/>
              </w:rPr>
            </w:pPr>
            <w:r>
              <w:rPr>
                <w:b/>
                <w:caps/>
                <w:sz w:val="22"/>
              </w:rPr>
              <w:t>Всего</w:t>
            </w:r>
          </w:p>
        </w:tc>
        <w:tc>
          <w:tcPr>
            <w:tcW w:w="1738" w:type="dxa"/>
          </w:tcPr>
          <w:p w:rsidR="00000000" w:rsidRDefault="00000000">
            <w:pPr>
              <w:spacing w:before="20" w:after="20"/>
              <w:ind w:right="340"/>
              <w:jc w:val="right"/>
              <w:rPr>
                <w:b/>
                <w:sz w:val="22"/>
              </w:rPr>
            </w:pPr>
            <w:r>
              <w:rPr>
                <w:b/>
                <w:sz w:val="22"/>
              </w:rPr>
              <w:t>1 830 330</w:t>
            </w:r>
          </w:p>
        </w:tc>
        <w:tc>
          <w:tcPr>
            <w:tcW w:w="1984" w:type="dxa"/>
          </w:tcPr>
          <w:p w:rsidR="00000000" w:rsidRDefault="00000000">
            <w:pPr>
              <w:spacing w:before="20" w:after="20"/>
              <w:ind w:right="510"/>
              <w:jc w:val="right"/>
              <w:rPr>
                <w:b/>
                <w:sz w:val="22"/>
              </w:rPr>
            </w:pPr>
            <w:r>
              <w:rPr>
                <w:b/>
                <w:sz w:val="22"/>
              </w:rPr>
              <w:t>942 572</w:t>
            </w:r>
          </w:p>
        </w:tc>
        <w:tc>
          <w:tcPr>
            <w:tcW w:w="1843" w:type="dxa"/>
          </w:tcPr>
          <w:p w:rsidR="00000000" w:rsidRDefault="00000000">
            <w:pPr>
              <w:spacing w:before="20" w:after="20"/>
              <w:ind w:right="454"/>
              <w:jc w:val="right"/>
              <w:rPr>
                <w:b/>
                <w:sz w:val="22"/>
              </w:rPr>
            </w:pPr>
            <w:r>
              <w:rPr>
                <w:b/>
                <w:sz w:val="22"/>
              </w:rPr>
              <w:t>887 721</w:t>
            </w:r>
          </w:p>
        </w:tc>
        <w:tc>
          <w:tcPr>
            <w:tcW w:w="1701" w:type="dxa"/>
          </w:tcPr>
          <w:p w:rsidR="00000000" w:rsidRDefault="00000000">
            <w:pPr>
              <w:spacing w:before="20" w:after="20"/>
              <w:ind w:right="454"/>
              <w:jc w:val="right"/>
              <w:rPr>
                <w:b/>
                <w:sz w:val="22"/>
              </w:rPr>
            </w:pPr>
            <w:r>
              <w:rPr>
                <w:b/>
                <w:sz w:val="22"/>
              </w:rPr>
              <w:t>100,0</w:t>
            </w:r>
          </w:p>
        </w:tc>
      </w:tr>
    </w:tbl>
    <w:p w:rsidR="00000000" w:rsidRDefault="00000000">
      <w:pPr>
        <w:rPr>
          <w:b/>
        </w:rPr>
      </w:pPr>
    </w:p>
    <w:p w:rsidR="00000000" w:rsidRDefault="00000000">
      <w:pPr>
        <w:pStyle w:val="BodyText2"/>
        <w:tabs>
          <w:tab w:val="left" w:pos="680"/>
          <w:tab w:val="left" w:pos="1361"/>
        </w:tabs>
        <w:spacing w:before="240"/>
        <w:jc w:val="center"/>
        <w:rPr>
          <w:caps/>
          <w:sz w:val="22"/>
          <w:lang w:val="en-US"/>
        </w:rPr>
      </w:pPr>
    </w:p>
    <w:p w:rsidR="00000000" w:rsidRDefault="00000000">
      <w:pPr>
        <w:pStyle w:val="BodyText2"/>
        <w:tabs>
          <w:tab w:val="left" w:pos="680"/>
          <w:tab w:val="left" w:pos="1361"/>
        </w:tabs>
        <w:spacing w:before="240"/>
        <w:jc w:val="center"/>
        <w:rPr>
          <w:caps/>
          <w:sz w:val="22"/>
          <w:lang w:val="en-US"/>
        </w:rPr>
      </w:pPr>
    </w:p>
    <w:p w:rsidR="00000000" w:rsidRDefault="00000000">
      <w:pPr>
        <w:pStyle w:val="BodyText2"/>
        <w:tabs>
          <w:tab w:val="left" w:pos="680"/>
          <w:tab w:val="left" w:pos="1361"/>
        </w:tabs>
        <w:spacing w:before="240"/>
        <w:jc w:val="center"/>
        <w:rPr>
          <w:caps/>
          <w:sz w:val="22"/>
          <w:lang w:val="en-US"/>
        </w:rPr>
      </w:pPr>
    </w:p>
    <w:p w:rsidR="00000000" w:rsidRDefault="00000000">
      <w:pPr>
        <w:pStyle w:val="BodyText2"/>
        <w:tabs>
          <w:tab w:val="left" w:pos="680"/>
          <w:tab w:val="left" w:pos="1361"/>
        </w:tabs>
        <w:spacing w:before="240"/>
        <w:jc w:val="center"/>
        <w:rPr>
          <w:caps/>
          <w:sz w:val="22"/>
        </w:rPr>
      </w:pPr>
      <w:r>
        <w:rPr>
          <w:caps/>
          <w:sz w:val="22"/>
        </w:rPr>
        <w:t xml:space="preserve">Выражение признательности со стороны Министерства </w:t>
      </w:r>
      <w:r>
        <w:rPr>
          <w:caps/>
          <w:sz w:val="22"/>
          <w:lang w:val="en-US"/>
        </w:rPr>
        <w:br/>
      </w:r>
      <w:r>
        <w:rPr>
          <w:caps/>
          <w:sz w:val="22"/>
        </w:rPr>
        <w:t>по делам женщин и охране детства</w:t>
      </w:r>
    </w:p>
    <w:p w:rsidR="00000000" w:rsidRDefault="00000000">
      <w:pPr>
        <w:pStyle w:val="BodyText3"/>
        <w:tabs>
          <w:tab w:val="left" w:pos="680"/>
          <w:tab w:val="left" w:pos="1361"/>
        </w:tabs>
        <w:spacing w:before="240"/>
        <w:jc w:val="both"/>
        <w:rPr>
          <w:sz w:val="22"/>
        </w:rPr>
      </w:pPr>
      <w:r>
        <w:rPr>
          <w:sz w:val="22"/>
        </w:rPr>
        <w:t>Министр и руководство Министерства по делам женщин и охране детства от имени Республики Намибия хотели бы выразить искреннюю благодарность всем лицам, принявшим активное участие в подготовке проекта настоящего доклада.</w:t>
      </w:r>
    </w:p>
    <w:p w:rsidR="00000000" w:rsidRDefault="00000000">
      <w:pPr>
        <w:tabs>
          <w:tab w:val="left" w:pos="680"/>
          <w:tab w:val="left" w:pos="1361"/>
        </w:tabs>
        <w:spacing w:before="240"/>
        <w:jc w:val="both"/>
        <w:rPr>
          <w:sz w:val="22"/>
        </w:rPr>
      </w:pPr>
      <w:r>
        <w:rPr>
          <w:sz w:val="22"/>
        </w:rPr>
        <w:t>Подготовка окончательного варианта доклада по КЛДЖ стала возможной благодаря эффективному сотрудничеству государственных учреждений, неправительственных организаций (НПО) и частных организаций.</w:t>
      </w:r>
    </w:p>
    <w:p w:rsidR="00000000" w:rsidRDefault="00000000">
      <w:pPr>
        <w:tabs>
          <w:tab w:val="left" w:pos="680"/>
          <w:tab w:val="left" w:pos="1361"/>
        </w:tabs>
        <w:spacing w:before="240"/>
        <w:jc w:val="both"/>
        <w:rPr>
          <w:sz w:val="22"/>
        </w:rPr>
      </w:pPr>
      <w:r>
        <w:rPr>
          <w:sz w:val="22"/>
        </w:rPr>
        <w:t>Выражаем особую благодарность Детскому Фонду Организации Объединенных Наций (ЮНИСЕФ) за помощь в опубликовании этого доклада.</w:t>
      </w:r>
    </w:p>
    <w:p w:rsidR="00000000" w:rsidRDefault="00000000">
      <w:pPr>
        <w:pStyle w:val="Heading5"/>
        <w:tabs>
          <w:tab w:val="left" w:pos="680"/>
          <w:tab w:val="left" w:pos="1361"/>
        </w:tabs>
        <w:rPr>
          <w:b/>
          <w:caps w:val="0"/>
        </w:rPr>
      </w:pPr>
      <w:r>
        <w:rPr>
          <w:caps w:val="0"/>
          <w:sz w:val="22"/>
        </w:rPr>
        <w:br w:type="page"/>
      </w:r>
      <w:r>
        <w:rPr>
          <w:b/>
          <w:caps w:val="0"/>
        </w:rPr>
        <w:t>Содержание</w:t>
      </w:r>
    </w:p>
    <w:p w:rsidR="00000000" w:rsidRDefault="00000000">
      <w:pPr>
        <w:tabs>
          <w:tab w:val="left" w:pos="340"/>
          <w:tab w:val="left" w:pos="680"/>
          <w:tab w:val="left" w:pos="1361"/>
          <w:tab w:val="right" w:leader="dot" w:pos="8505"/>
          <w:tab w:val="right" w:pos="9356"/>
        </w:tabs>
        <w:spacing w:before="240"/>
        <w:jc w:val="both"/>
        <w:rPr>
          <w:sz w:val="22"/>
          <w:lang w:val="en-US"/>
        </w:rPr>
      </w:pPr>
      <w:r>
        <w:rPr>
          <w:sz w:val="22"/>
        </w:rPr>
        <w:t>Общая численность населения с разбивкой по полу и районам</w:t>
      </w:r>
      <w:r>
        <w:rPr>
          <w:sz w:val="22"/>
        </w:rPr>
        <w:tab/>
      </w:r>
      <w:r>
        <w:rPr>
          <w:sz w:val="22"/>
        </w:rPr>
        <w:tab/>
        <w:t>2</w:t>
      </w:r>
    </w:p>
    <w:p w:rsidR="00000000" w:rsidRDefault="00000000">
      <w:pPr>
        <w:tabs>
          <w:tab w:val="left" w:pos="340"/>
          <w:tab w:val="left" w:pos="680"/>
          <w:tab w:val="left" w:pos="1361"/>
          <w:tab w:val="right" w:leader="dot" w:pos="8505"/>
          <w:tab w:val="right" w:pos="9356"/>
        </w:tabs>
        <w:spacing w:before="160"/>
        <w:jc w:val="both"/>
        <w:rPr>
          <w:sz w:val="22"/>
        </w:rPr>
      </w:pPr>
      <w:r>
        <w:rPr>
          <w:sz w:val="22"/>
        </w:rPr>
        <w:t>Выражение признательности</w:t>
      </w:r>
      <w:r>
        <w:rPr>
          <w:sz w:val="22"/>
        </w:rPr>
        <w:tab/>
      </w:r>
      <w:r>
        <w:rPr>
          <w:sz w:val="22"/>
          <w:lang w:val="en-US"/>
        </w:rPr>
        <w:tab/>
      </w:r>
      <w:r>
        <w:rPr>
          <w:sz w:val="22"/>
        </w:rPr>
        <w:t>2</w:t>
      </w:r>
    </w:p>
    <w:p w:rsidR="00000000" w:rsidRDefault="00000000">
      <w:pPr>
        <w:tabs>
          <w:tab w:val="left" w:pos="340"/>
          <w:tab w:val="left" w:pos="680"/>
          <w:tab w:val="left" w:pos="1361"/>
          <w:tab w:val="right" w:leader="dot" w:pos="8505"/>
          <w:tab w:val="right" w:pos="9356"/>
        </w:tabs>
        <w:spacing w:before="160"/>
        <w:jc w:val="both"/>
        <w:rPr>
          <w:sz w:val="22"/>
        </w:rPr>
      </w:pPr>
      <w:r>
        <w:rPr>
          <w:sz w:val="22"/>
        </w:rPr>
        <w:t>Список сокращений</w:t>
      </w:r>
      <w:r>
        <w:rPr>
          <w:sz w:val="22"/>
        </w:rPr>
        <w:tab/>
      </w:r>
      <w:r>
        <w:rPr>
          <w:sz w:val="22"/>
          <w:lang w:val="en-US"/>
        </w:rPr>
        <w:tab/>
      </w:r>
      <w:r>
        <w:rPr>
          <w:sz w:val="22"/>
        </w:rPr>
        <w:t>7</w:t>
      </w:r>
    </w:p>
    <w:p w:rsidR="00000000" w:rsidRDefault="00000000">
      <w:pPr>
        <w:pStyle w:val="Heading6"/>
        <w:tabs>
          <w:tab w:val="clear" w:pos="709"/>
          <w:tab w:val="clear" w:pos="1276"/>
          <w:tab w:val="clear" w:pos="1559"/>
          <w:tab w:val="clear" w:pos="9072"/>
          <w:tab w:val="left" w:pos="340"/>
          <w:tab w:val="right" w:leader="dot" w:pos="8505"/>
          <w:tab w:val="right" w:pos="9356"/>
        </w:tabs>
        <w:spacing w:before="160" w:line="240" w:lineRule="auto"/>
        <w:rPr>
          <w:sz w:val="22"/>
        </w:rPr>
      </w:pPr>
      <w:r>
        <w:rPr>
          <w:sz w:val="22"/>
        </w:rPr>
        <w:t xml:space="preserve">РЕЗЮМЕ </w:t>
      </w:r>
      <w:r>
        <w:rPr>
          <w:sz w:val="22"/>
        </w:rPr>
        <w:tab/>
      </w:r>
      <w:r>
        <w:rPr>
          <w:sz w:val="22"/>
        </w:rPr>
        <w:tab/>
        <w:t>8</w:t>
      </w:r>
    </w:p>
    <w:p w:rsidR="00000000" w:rsidRDefault="00000000">
      <w:pPr>
        <w:tabs>
          <w:tab w:val="left" w:pos="340"/>
          <w:tab w:val="left" w:pos="680"/>
          <w:tab w:val="left" w:pos="1361"/>
          <w:tab w:val="right" w:leader="dot" w:pos="8505"/>
          <w:tab w:val="right" w:pos="9356"/>
        </w:tabs>
        <w:spacing w:before="240"/>
        <w:jc w:val="both"/>
        <w:rPr>
          <w:sz w:val="22"/>
        </w:rPr>
      </w:pPr>
      <w:r>
        <w:rPr>
          <w:sz w:val="22"/>
        </w:rPr>
        <w:t>Часть 1:</w:t>
      </w:r>
      <w:r>
        <w:rPr>
          <w:sz w:val="22"/>
        </w:rPr>
        <w:tab/>
        <w:t>ВСТУПИТЕЛЬНЫЙ РАЗДЕЛ</w:t>
      </w:r>
      <w:r>
        <w:rPr>
          <w:sz w:val="22"/>
        </w:rPr>
        <w:tab/>
      </w:r>
      <w:r>
        <w:rPr>
          <w:sz w:val="22"/>
          <w:lang w:val="en-US"/>
        </w:rPr>
        <w:tab/>
      </w:r>
      <w:r>
        <w:rPr>
          <w:sz w:val="22"/>
        </w:rPr>
        <w:t>8</w:t>
      </w:r>
    </w:p>
    <w:p w:rsidR="00000000" w:rsidRDefault="00000000">
      <w:pPr>
        <w:pStyle w:val="Heading6"/>
        <w:tabs>
          <w:tab w:val="clear" w:pos="709"/>
          <w:tab w:val="clear" w:pos="1276"/>
          <w:tab w:val="clear" w:pos="1559"/>
          <w:tab w:val="clear" w:pos="9072"/>
          <w:tab w:val="left" w:pos="340"/>
          <w:tab w:val="left" w:pos="680"/>
          <w:tab w:val="left" w:pos="1361"/>
          <w:tab w:val="right" w:leader="dot" w:pos="8505"/>
          <w:tab w:val="right" w:pos="9356"/>
        </w:tabs>
        <w:spacing w:before="240" w:line="240" w:lineRule="auto"/>
        <w:rPr>
          <w:sz w:val="22"/>
        </w:rPr>
      </w:pPr>
      <w:r>
        <w:rPr>
          <w:sz w:val="22"/>
        </w:rPr>
        <w:t>Часть 2:</w:t>
      </w:r>
      <w:r>
        <w:rPr>
          <w:sz w:val="22"/>
        </w:rPr>
        <w:tab/>
        <w:t>ОСУЩЕСТВЛЕНИЕ КОНВЕНЦИИ В НАМИБИИ</w:t>
      </w:r>
      <w:r>
        <w:rPr>
          <w:sz w:val="22"/>
        </w:rPr>
        <w:tab/>
      </w:r>
      <w:r>
        <w:rPr>
          <w:sz w:val="22"/>
          <w:lang w:val="en-US"/>
        </w:rPr>
        <w:tab/>
      </w:r>
      <w:r>
        <w:rPr>
          <w:sz w:val="22"/>
        </w:rPr>
        <w:t>8</w:t>
      </w:r>
    </w:p>
    <w:p w:rsidR="00000000" w:rsidRDefault="00000000">
      <w:pPr>
        <w:pStyle w:val="Heading7"/>
        <w:tabs>
          <w:tab w:val="clear" w:pos="709"/>
          <w:tab w:val="clear" w:pos="1276"/>
          <w:tab w:val="clear" w:pos="1559"/>
          <w:tab w:val="clear" w:pos="2268"/>
          <w:tab w:val="clear" w:pos="9072"/>
          <w:tab w:val="left" w:pos="454"/>
          <w:tab w:val="left" w:pos="680"/>
          <w:tab w:val="left" w:pos="1701"/>
          <w:tab w:val="right" w:leader="dot" w:pos="8505"/>
          <w:tab w:val="right" w:pos="9356"/>
        </w:tabs>
        <w:spacing w:before="200" w:line="240" w:lineRule="auto"/>
        <w:jc w:val="both"/>
        <w:rPr>
          <w:sz w:val="22"/>
        </w:rPr>
      </w:pPr>
      <w:r>
        <w:rPr>
          <w:sz w:val="22"/>
        </w:rPr>
        <w:tab/>
        <w:t>СТАТЬЯ 1:</w:t>
      </w:r>
      <w:r>
        <w:rPr>
          <w:sz w:val="22"/>
        </w:rPr>
        <w:tab/>
        <w:t>Определение дискриминации</w:t>
      </w:r>
      <w:r>
        <w:rPr>
          <w:sz w:val="22"/>
        </w:rPr>
        <w:tab/>
      </w:r>
      <w:r>
        <w:rPr>
          <w:sz w:val="22"/>
          <w:lang w:val="en-US"/>
        </w:rPr>
        <w:tab/>
      </w:r>
      <w:r>
        <w:rPr>
          <w:sz w:val="22"/>
        </w:rPr>
        <w:t>8</w:t>
      </w:r>
    </w:p>
    <w:p w:rsidR="00000000" w:rsidRDefault="00000000">
      <w:pPr>
        <w:pStyle w:val="BodyTextIndent"/>
        <w:tabs>
          <w:tab w:val="clear" w:pos="709"/>
          <w:tab w:val="clear" w:pos="1276"/>
          <w:tab w:val="clear" w:pos="1559"/>
          <w:tab w:val="clear" w:pos="2268"/>
          <w:tab w:val="clear" w:pos="9072"/>
          <w:tab w:val="left" w:pos="454"/>
          <w:tab w:val="left" w:pos="680"/>
          <w:tab w:val="left" w:pos="1701"/>
          <w:tab w:val="right" w:leader="dot" w:pos="8505"/>
          <w:tab w:val="right" w:pos="9356"/>
        </w:tabs>
        <w:spacing w:before="200" w:line="240" w:lineRule="auto"/>
        <w:ind w:left="0" w:firstLine="0"/>
        <w:jc w:val="both"/>
        <w:rPr>
          <w:sz w:val="22"/>
        </w:rPr>
      </w:pPr>
      <w:r>
        <w:rPr>
          <w:sz w:val="22"/>
        </w:rPr>
        <w:tab/>
        <w:t>СТАТЬЯ 2:</w:t>
      </w:r>
      <w:r>
        <w:rPr>
          <w:sz w:val="22"/>
        </w:rPr>
        <w:tab/>
        <w:t>Политические меры по ликвидации дискриминации по признаку пола</w:t>
      </w:r>
      <w:r>
        <w:rPr>
          <w:sz w:val="22"/>
        </w:rPr>
        <w:tab/>
      </w:r>
      <w:r>
        <w:rPr>
          <w:sz w:val="22"/>
        </w:rPr>
        <w:tab/>
        <w:t>8</w:t>
      </w:r>
    </w:p>
    <w:p w:rsidR="00000000" w:rsidRDefault="00000000">
      <w:pPr>
        <w:tabs>
          <w:tab w:val="left" w:pos="454"/>
          <w:tab w:val="left" w:pos="680"/>
          <w:tab w:val="left" w:pos="1701"/>
          <w:tab w:val="right" w:leader="dot" w:pos="8505"/>
          <w:tab w:val="right" w:pos="9356"/>
        </w:tabs>
        <w:spacing w:before="200"/>
        <w:jc w:val="both"/>
        <w:rPr>
          <w:sz w:val="22"/>
        </w:rPr>
      </w:pPr>
      <w:r>
        <w:rPr>
          <w:sz w:val="22"/>
        </w:rPr>
        <w:tab/>
        <w:t>СТАТЬЯ 3:</w:t>
      </w:r>
      <w:r>
        <w:rPr>
          <w:sz w:val="22"/>
        </w:rPr>
        <w:tab/>
        <w:t>Общее обеспечение равноправия и основных свобод</w:t>
      </w:r>
      <w:r>
        <w:rPr>
          <w:sz w:val="22"/>
        </w:rPr>
        <w:tab/>
      </w:r>
      <w:r>
        <w:rPr>
          <w:sz w:val="22"/>
          <w:lang w:val="en-US"/>
        </w:rPr>
        <w:tab/>
      </w:r>
      <w:r>
        <w:rPr>
          <w:sz w:val="22"/>
        </w:rPr>
        <w:t>9</w:t>
      </w:r>
    </w:p>
    <w:p w:rsidR="00000000" w:rsidRDefault="00000000">
      <w:pPr>
        <w:tabs>
          <w:tab w:val="left" w:pos="454"/>
          <w:tab w:val="left" w:pos="680"/>
          <w:tab w:val="left" w:pos="1701"/>
          <w:tab w:val="right" w:leader="dot" w:pos="8505"/>
          <w:tab w:val="right" w:pos="9356"/>
        </w:tabs>
        <w:spacing w:before="200"/>
        <w:jc w:val="both"/>
        <w:rPr>
          <w:sz w:val="22"/>
        </w:rPr>
      </w:pPr>
      <w:r>
        <w:rPr>
          <w:sz w:val="22"/>
        </w:rPr>
        <w:tab/>
        <w:t>СТАТЬЯ 4:</w:t>
      </w:r>
      <w:r>
        <w:rPr>
          <w:sz w:val="22"/>
        </w:rPr>
        <w:tab/>
        <w:t>Позитивные действия</w:t>
      </w:r>
      <w:r>
        <w:rPr>
          <w:sz w:val="22"/>
        </w:rPr>
        <w:tab/>
      </w:r>
      <w:r>
        <w:rPr>
          <w:sz w:val="22"/>
          <w:lang w:val="en-US"/>
        </w:rPr>
        <w:tab/>
      </w:r>
      <w:r>
        <w:rPr>
          <w:sz w:val="22"/>
        </w:rPr>
        <w:t>9</w:t>
      </w:r>
    </w:p>
    <w:p w:rsidR="00000000" w:rsidRDefault="00000000">
      <w:pPr>
        <w:tabs>
          <w:tab w:val="left" w:pos="454"/>
          <w:tab w:val="left" w:pos="680"/>
          <w:tab w:val="left" w:pos="1701"/>
          <w:tab w:val="right" w:leader="dot" w:pos="8505"/>
          <w:tab w:val="right" w:pos="9356"/>
        </w:tabs>
        <w:spacing w:before="200"/>
        <w:jc w:val="both"/>
        <w:rPr>
          <w:sz w:val="22"/>
        </w:rPr>
      </w:pPr>
      <w:r>
        <w:rPr>
          <w:sz w:val="22"/>
        </w:rPr>
        <w:tab/>
        <w:t>СТАТЬЯ 5:</w:t>
      </w:r>
      <w:r>
        <w:rPr>
          <w:sz w:val="22"/>
        </w:rPr>
        <w:tab/>
        <w:t>Стереотипное представление о роли полов</w:t>
      </w:r>
      <w:r>
        <w:rPr>
          <w:sz w:val="22"/>
        </w:rPr>
        <w:tab/>
      </w:r>
      <w:r>
        <w:rPr>
          <w:sz w:val="22"/>
          <w:lang w:val="en-US"/>
        </w:rPr>
        <w:tab/>
      </w:r>
      <w:r>
        <w:rPr>
          <w:sz w:val="22"/>
        </w:rPr>
        <w:t>9</w:t>
      </w:r>
    </w:p>
    <w:p w:rsidR="00000000" w:rsidRDefault="00000000">
      <w:pPr>
        <w:tabs>
          <w:tab w:val="left" w:pos="454"/>
          <w:tab w:val="left" w:pos="680"/>
          <w:tab w:val="left" w:pos="1701"/>
          <w:tab w:val="right" w:leader="dot" w:pos="8505"/>
          <w:tab w:val="right" w:pos="9356"/>
        </w:tabs>
        <w:spacing w:before="200"/>
        <w:jc w:val="both"/>
        <w:rPr>
          <w:sz w:val="22"/>
        </w:rPr>
      </w:pPr>
      <w:r>
        <w:rPr>
          <w:sz w:val="22"/>
        </w:rPr>
        <w:tab/>
        <w:t>СТАТЬЯ 6:</w:t>
      </w:r>
      <w:r>
        <w:rPr>
          <w:sz w:val="22"/>
        </w:rPr>
        <w:tab/>
        <w:t>Проституция и торговля женщинами</w:t>
      </w:r>
      <w:r>
        <w:rPr>
          <w:sz w:val="22"/>
        </w:rPr>
        <w:tab/>
      </w:r>
      <w:r>
        <w:rPr>
          <w:sz w:val="22"/>
          <w:lang w:val="en-US"/>
        </w:rPr>
        <w:tab/>
      </w:r>
      <w:r>
        <w:rPr>
          <w:sz w:val="22"/>
        </w:rPr>
        <w:t>10</w:t>
      </w:r>
    </w:p>
    <w:p w:rsidR="00000000" w:rsidRDefault="00000000">
      <w:pPr>
        <w:tabs>
          <w:tab w:val="left" w:pos="454"/>
          <w:tab w:val="left" w:pos="680"/>
          <w:tab w:val="left" w:pos="1701"/>
          <w:tab w:val="right" w:leader="dot" w:pos="8505"/>
          <w:tab w:val="right" w:pos="9356"/>
        </w:tabs>
        <w:spacing w:before="200"/>
        <w:jc w:val="both"/>
        <w:rPr>
          <w:sz w:val="22"/>
          <w:lang w:val="en-US"/>
        </w:rPr>
      </w:pPr>
      <w:r>
        <w:rPr>
          <w:sz w:val="22"/>
        </w:rPr>
        <w:tab/>
        <w:t>СТАТЬЯ 7:</w:t>
      </w:r>
      <w:r>
        <w:rPr>
          <w:sz w:val="22"/>
        </w:rPr>
        <w:tab/>
        <w:t>Женщины в политической и общественной жизни</w:t>
      </w:r>
      <w:r>
        <w:rPr>
          <w:sz w:val="22"/>
        </w:rPr>
        <w:tab/>
      </w:r>
      <w:r>
        <w:rPr>
          <w:sz w:val="22"/>
          <w:lang w:val="en-US"/>
        </w:rPr>
        <w:tab/>
      </w:r>
      <w:r>
        <w:rPr>
          <w:sz w:val="22"/>
        </w:rPr>
        <w:t>10</w:t>
      </w:r>
    </w:p>
    <w:p w:rsidR="00000000" w:rsidRDefault="00000000">
      <w:pPr>
        <w:tabs>
          <w:tab w:val="left" w:pos="454"/>
          <w:tab w:val="left" w:pos="680"/>
          <w:tab w:val="left" w:pos="1701"/>
          <w:tab w:val="right" w:leader="dot" w:pos="8505"/>
          <w:tab w:val="right" w:pos="9356"/>
        </w:tabs>
        <w:spacing w:before="200"/>
        <w:jc w:val="both"/>
        <w:rPr>
          <w:sz w:val="22"/>
          <w:lang w:val="en-US"/>
        </w:rPr>
      </w:pPr>
      <w:r>
        <w:rPr>
          <w:sz w:val="22"/>
        </w:rPr>
        <w:tab/>
        <w:t>СТАТЬЯ 8:</w:t>
      </w:r>
      <w:r>
        <w:rPr>
          <w:sz w:val="22"/>
        </w:rPr>
        <w:tab/>
        <w:t>Представительство в зарубежных миссиях</w:t>
      </w:r>
      <w:r>
        <w:rPr>
          <w:sz w:val="22"/>
        </w:rPr>
        <w:tab/>
      </w:r>
      <w:r>
        <w:rPr>
          <w:sz w:val="22"/>
          <w:lang w:val="en-US"/>
        </w:rPr>
        <w:tab/>
      </w:r>
      <w:r>
        <w:rPr>
          <w:sz w:val="22"/>
        </w:rPr>
        <w:t>10</w:t>
      </w:r>
    </w:p>
    <w:p w:rsidR="00000000" w:rsidRDefault="00000000">
      <w:pPr>
        <w:tabs>
          <w:tab w:val="left" w:pos="454"/>
          <w:tab w:val="left" w:pos="680"/>
          <w:tab w:val="left" w:pos="1701"/>
          <w:tab w:val="right" w:leader="dot" w:pos="8505"/>
          <w:tab w:val="right" w:pos="9356"/>
        </w:tabs>
        <w:spacing w:before="200"/>
        <w:jc w:val="both"/>
        <w:rPr>
          <w:sz w:val="22"/>
          <w:lang w:val="en-US"/>
        </w:rPr>
      </w:pPr>
      <w:r>
        <w:rPr>
          <w:sz w:val="22"/>
        </w:rPr>
        <w:tab/>
        <w:t>СТАТЬЯ 9:</w:t>
      </w:r>
      <w:r>
        <w:rPr>
          <w:sz w:val="22"/>
        </w:rPr>
        <w:tab/>
        <w:t>Гражданство</w:t>
      </w:r>
      <w:r>
        <w:rPr>
          <w:sz w:val="22"/>
        </w:rPr>
        <w:tab/>
      </w:r>
      <w:r>
        <w:rPr>
          <w:sz w:val="22"/>
          <w:lang w:val="en-US"/>
        </w:rPr>
        <w:tab/>
      </w:r>
      <w:r>
        <w:rPr>
          <w:sz w:val="22"/>
        </w:rPr>
        <w:t>11</w:t>
      </w:r>
    </w:p>
    <w:p w:rsidR="00000000" w:rsidRDefault="00000000">
      <w:pPr>
        <w:pStyle w:val="Heading6"/>
        <w:tabs>
          <w:tab w:val="clear" w:pos="709"/>
          <w:tab w:val="clear" w:pos="1276"/>
          <w:tab w:val="clear" w:pos="1559"/>
          <w:tab w:val="clear" w:pos="9072"/>
          <w:tab w:val="left" w:pos="454"/>
          <w:tab w:val="left" w:pos="680"/>
          <w:tab w:val="left" w:pos="1701"/>
          <w:tab w:val="right" w:leader="dot" w:pos="8505"/>
          <w:tab w:val="right" w:pos="9356"/>
        </w:tabs>
        <w:spacing w:before="200" w:line="240" w:lineRule="auto"/>
        <w:rPr>
          <w:sz w:val="22"/>
          <w:lang w:val="en-US"/>
        </w:rPr>
      </w:pPr>
      <w:r>
        <w:rPr>
          <w:sz w:val="22"/>
        </w:rPr>
        <w:tab/>
        <w:t>СТАТЬЯ 10:</w:t>
      </w:r>
      <w:r>
        <w:rPr>
          <w:sz w:val="22"/>
        </w:rPr>
        <w:tab/>
        <w:t>Образование и профессиональная подготовка</w:t>
      </w:r>
      <w:r>
        <w:rPr>
          <w:sz w:val="22"/>
        </w:rPr>
        <w:tab/>
      </w:r>
      <w:r>
        <w:rPr>
          <w:sz w:val="22"/>
          <w:lang w:val="en-US"/>
        </w:rPr>
        <w:tab/>
      </w:r>
      <w:r>
        <w:rPr>
          <w:sz w:val="22"/>
        </w:rPr>
        <w:t>11</w:t>
      </w:r>
    </w:p>
    <w:p w:rsidR="00000000" w:rsidRDefault="00000000">
      <w:pPr>
        <w:tabs>
          <w:tab w:val="left" w:pos="454"/>
          <w:tab w:val="left" w:pos="680"/>
          <w:tab w:val="left" w:pos="1701"/>
          <w:tab w:val="right" w:leader="dot" w:pos="8505"/>
          <w:tab w:val="right" w:pos="9356"/>
        </w:tabs>
        <w:spacing w:before="200"/>
        <w:jc w:val="both"/>
        <w:rPr>
          <w:sz w:val="22"/>
        </w:rPr>
      </w:pPr>
      <w:r>
        <w:rPr>
          <w:sz w:val="22"/>
        </w:rPr>
        <w:tab/>
        <w:t>СТАТЬЯ 11:</w:t>
      </w:r>
      <w:r>
        <w:rPr>
          <w:sz w:val="22"/>
        </w:rPr>
        <w:tab/>
        <w:t>Положение в области занятости</w:t>
      </w:r>
      <w:r>
        <w:rPr>
          <w:sz w:val="22"/>
        </w:rPr>
        <w:tab/>
      </w:r>
      <w:r>
        <w:rPr>
          <w:sz w:val="22"/>
          <w:lang w:val="en-US"/>
        </w:rPr>
        <w:tab/>
      </w:r>
      <w:r>
        <w:rPr>
          <w:sz w:val="22"/>
        </w:rPr>
        <w:t>11</w:t>
      </w:r>
    </w:p>
    <w:p w:rsidR="00000000" w:rsidRDefault="00000000">
      <w:pPr>
        <w:tabs>
          <w:tab w:val="left" w:pos="454"/>
          <w:tab w:val="left" w:pos="680"/>
          <w:tab w:val="left" w:pos="1701"/>
          <w:tab w:val="right" w:leader="dot" w:pos="8505"/>
          <w:tab w:val="right" w:pos="9356"/>
        </w:tabs>
        <w:spacing w:before="200"/>
        <w:jc w:val="both"/>
        <w:rPr>
          <w:sz w:val="22"/>
          <w:lang w:val="en-US"/>
        </w:rPr>
      </w:pPr>
      <w:r>
        <w:rPr>
          <w:sz w:val="22"/>
        </w:rPr>
        <w:tab/>
        <w:t>СТАТЬЯ 12:</w:t>
      </w:r>
      <w:r>
        <w:rPr>
          <w:sz w:val="22"/>
        </w:rPr>
        <w:tab/>
        <w:t>Здравоохранение</w:t>
      </w:r>
      <w:r>
        <w:rPr>
          <w:sz w:val="22"/>
        </w:rPr>
        <w:tab/>
      </w:r>
      <w:r>
        <w:rPr>
          <w:sz w:val="22"/>
          <w:lang w:val="en-US"/>
        </w:rPr>
        <w:tab/>
      </w:r>
      <w:r>
        <w:rPr>
          <w:sz w:val="22"/>
        </w:rPr>
        <w:t>11</w:t>
      </w:r>
    </w:p>
    <w:p w:rsidR="00000000" w:rsidRDefault="00000000">
      <w:pPr>
        <w:tabs>
          <w:tab w:val="left" w:pos="454"/>
          <w:tab w:val="left" w:pos="680"/>
          <w:tab w:val="left" w:pos="1701"/>
          <w:tab w:val="right" w:leader="dot" w:pos="8505"/>
          <w:tab w:val="right" w:pos="9356"/>
        </w:tabs>
        <w:spacing w:before="200"/>
        <w:jc w:val="both"/>
        <w:rPr>
          <w:sz w:val="22"/>
          <w:lang w:val="en-US"/>
        </w:rPr>
      </w:pPr>
      <w:r>
        <w:rPr>
          <w:sz w:val="22"/>
        </w:rPr>
        <w:tab/>
        <w:t>СТАТЬЯ 13:</w:t>
      </w:r>
      <w:r>
        <w:rPr>
          <w:sz w:val="22"/>
        </w:rPr>
        <w:tab/>
        <w:t>Экономическая и социальная жизнь</w:t>
      </w:r>
      <w:r>
        <w:rPr>
          <w:sz w:val="22"/>
        </w:rPr>
        <w:tab/>
      </w:r>
      <w:r>
        <w:rPr>
          <w:sz w:val="22"/>
          <w:lang w:val="en-US"/>
        </w:rPr>
        <w:tab/>
      </w:r>
      <w:r>
        <w:rPr>
          <w:sz w:val="22"/>
        </w:rPr>
        <w:t>11</w:t>
      </w:r>
    </w:p>
    <w:p w:rsidR="00000000" w:rsidRDefault="00000000">
      <w:pPr>
        <w:tabs>
          <w:tab w:val="left" w:pos="454"/>
          <w:tab w:val="left" w:pos="680"/>
          <w:tab w:val="left" w:pos="1701"/>
          <w:tab w:val="right" w:leader="dot" w:pos="8505"/>
          <w:tab w:val="right" w:pos="9356"/>
        </w:tabs>
        <w:spacing w:before="200"/>
        <w:jc w:val="both"/>
        <w:rPr>
          <w:sz w:val="22"/>
        </w:rPr>
      </w:pPr>
      <w:r>
        <w:rPr>
          <w:sz w:val="22"/>
        </w:rPr>
        <w:tab/>
        <w:t>СТАТЬЯ 14:</w:t>
      </w:r>
      <w:r>
        <w:rPr>
          <w:sz w:val="22"/>
        </w:rPr>
        <w:tab/>
        <w:t>Сельские женщины</w:t>
      </w:r>
      <w:r>
        <w:rPr>
          <w:sz w:val="22"/>
        </w:rPr>
        <w:tab/>
      </w:r>
      <w:r>
        <w:rPr>
          <w:sz w:val="22"/>
          <w:lang w:val="en-US"/>
        </w:rPr>
        <w:tab/>
      </w:r>
      <w:r>
        <w:rPr>
          <w:sz w:val="22"/>
        </w:rPr>
        <w:t>12</w:t>
      </w:r>
    </w:p>
    <w:p w:rsidR="00000000" w:rsidRDefault="00000000">
      <w:pPr>
        <w:tabs>
          <w:tab w:val="left" w:pos="454"/>
          <w:tab w:val="left" w:pos="680"/>
          <w:tab w:val="left" w:pos="1701"/>
          <w:tab w:val="right" w:leader="dot" w:pos="8505"/>
          <w:tab w:val="right" w:pos="9356"/>
        </w:tabs>
        <w:spacing w:before="200"/>
        <w:jc w:val="both"/>
        <w:rPr>
          <w:sz w:val="22"/>
        </w:rPr>
      </w:pPr>
      <w:r>
        <w:rPr>
          <w:sz w:val="22"/>
        </w:rPr>
        <w:tab/>
        <w:t>СТАТЬЯ 15:</w:t>
      </w:r>
      <w:r>
        <w:rPr>
          <w:sz w:val="22"/>
        </w:rPr>
        <w:tab/>
        <w:t>Право- и дееспособность и домициль</w:t>
      </w:r>
      <w:r>
        <w:rPr>
          <w:sz w:val="22"/>
        </w:rPr>
        <w:tab/>
      </w:r>
      <w:r>
        <w:rPr>
          <w:sz w:val="22"/>
        </w:rPr>
        <w:tab/>
        <w:t>12</w:t>
      </w:r>
    </w:p>
    <w:p w:rsidR="00000000" w:rsidRDefault="00000000">
      <w:pPr>
        <w:tabs>
          <w:tab w:val="left" w:pos="340"/>
          <w:tab w:val="left" w:pos="680"/>
          <w:tab w:val="left" w:pos="1134"/>
          <w:tab w:val="right" w:leader="dot" w:pos="8505"/>
          <w:tab w:val="right" w:pos="9356"/>
        </w:tabs>
        <w:spacing w:before="240"/>
        <w:ind w:right="851"/>
        <w:jc w:val="both"/>
        <w:rPr>
          <w:sz w:val="22"/>
        </w:rPr>
      </w:pPr>
      <w:r>
        <w:rPr>
          <w:sz w:val="22"/>
        </w:rPr>
        <w:t>Часть 1:</w:t>
      </w:r>
      <w:r>
        <w:rPr>
          <w:sz w:val="22"/>
        </w:rPr>
        <w:tab/>
        <w:t>ВСТУПИТЕЛЬНЫЕ РАЗДЕЛЫ</w:t>
      </w:r>
      <w:r>
        <w:rPr>
          <w:sz w:val="22"/>
        </w:rPr>
        <w:tab/>
      </w:r>
      <w:r>
        <w:rPr>
          <w:sz w:val="22"/>
          <w:lang w:val="en-US"/>
        </w:rPr>
        <w:tab/>
      </w:r>
      <w:r>
        <w:rPr>
          <w:sz w:val="22"/>
        </w:rPr>
        <w:t>13</w:t>
      </w:r>
    </w:p>
    <w:p w:rsidR="00000000" w:rsidRDefault="00000000">
      <w:pPr>
        <w:tabs>
          <w:tab w:val="left" w:pos="454"/>
          <w:tab w:val="left" w:pos="851"/>
          <w:tab w:val="left" w:pos="1134"/>
          <w:tab w:val="left" w:pos="1361"/>
          <w:tab w:val="left" w:pos="1701"/>
          <w:tab w:val="right" w:leader="dot" w:pos="8505"/>
          <w:tab w:val="right" w:pos="9356"/>
        </w:tabs>
        <w:spacing w:before="240"/>
        <w:ind w:left="851" w:right="851" w:hanging="851"/>
        <w:rPr>
          <w:sz w:val="22"/>
        </w:rPr>
      </w:pPr>
      <w:r>
        <w:rPr>
          <w:sz w:val="22"/>
          <w:lang w:val="en-US"/>
        </w:rPr>
        <w:t>1.0</w:t>
      </w:r>
      <w:r>
        <w:rPr>
          <w:sz w:val="22"/>
          <w:lang w:val="en-US"/>
        </w:rPr>
        <w:tab/>
      </w:r>
      <w:r>
        <w:rPr>
          <w:sz w:val="22"/>
        </w:rPr>
        <w:t>ОБЩИЙ ОБЗОР, СОЦИАЛЬНО-ЭКОНОМИЧЕСКИЕ И ПРАВОВЫЕ СТРУКТУРЫ</w:t>
      </w:r>
      <w:r>
        <w:rPr>
          <w:sz w:val="22"/>
        </w:rPr>
        <w:tab/>
      </w:r>
      <w:r>
        <w:rPr>
          <w:sz w:val="22"/>
          <w:lang w:val="en-US"/>
        </w:rPr>
        <w:tab/>
      </w:r>
      <w:r>
        <w:rPr>
          <w:sz w:val="22"/>
        </w:rPr>
        <w:t>13</w:t>
      </w:r>
    </w:p>
    <w:p w:rsidR="00000000" w:rsidRDefault="00000000">
      <w:pPr>
        <w:tabs>
          <w:tab w:val="left" w:pos="454"/>
          <w:tab w:val="left" w:pos="680"/>
          <w:tab w:val="left" w:pos="851"/>
          <w:tab w:val="left" w:pos="1134"/>
          <w:tab w:val="left" w:pos="1701"/>
          <w:tab w:val="right" w:leader="dot" w:pos="8505"/>
          <w:tab w:val="right" w:pos="9356"/>
        </w:tabs>
        <w:spacing w:before="120"/>
        <w:ind w:right="851"/>
        <w:jc w:val="both"/>
        <w:rPr>
          <w:sz w:val="22"/>
          <w:lang w:val="en-US"/>
        </w:rPr>
      </w:pPr>
      <w:r>
        <w:rPr>
          <w:sz w:val="22"/>
          <w:lang w:val="en-US"/>
        </w:rPr>
        <w:tab/>
      </w:r>
      <w:r>
        <w:rPr>
          <w:sz w:val="22"/>
        </w:rPr>
        <w:t>1.1</w:t>
      </w:r>
      <w:r>
        <w:rPr>
          <w:sz w:val="22"/>
        </w:rPr>
        <w:tab/>
        <w:t>Общий обзор</w:t>
      </w:r>
      <w:r>
        <w:rPr>
          <w:sz w:val="22"/>
        </w:rPr>
        <w:tab/>
      </w:r>
      <w:r>
        <w:rPr>
          <w:sz w:val="22"/>
          <w:lang w:val="en-US"/>
        </w:rPr>
        <w:tab/>
      </w:r>
      <w:r>
        <w:rPr>
          <w:sz w:val="22"/>
        </w:rPr>
        <w:t>13</w:t>
      </w:r>
    </w:p>
    <w:p w:rsidR="00000000" w:rsidRDefault="00000000">
      <w:pPr>
        <w:tabs>
          <w:tab w:val="left" w:pos="454"/>
          <w:tab w:val="left" w:pos="680"/>
          <w:tab w:val="left" w:pos="851"/>
          <w:tab w:val="left" w:pos="1134"/>
          <w:tab w:val="left" w:pos="1701"/>
          <w:tab w:val="right" w:leader="dot" w:pos="8505"/>
          <w:tab w:val="right" w:pos="9356"/>
        </w:tabs>
        <w:spacing w:before="120"/>
        <w:ind w:right="851"/>
        <w:jc w:val="both"/>
        <w:rPr>
          <w:sz w:val="22"/>
        </w:rPr>
      </w:pPr>
      <w:r>
        <w:rPr>
          <w:sz w:val="22"/>
          <w:lang w:val="en-US"/>
        </w:rPr>
        <w:tab/>
      </w:r>
      <w:r>
        <w:rPr>
          <w:sz w:val="22"/>
        </w:rPr>
        <w:t>1.2</w:t>
      </w:r>
      <w:r>
        <w:rPr>
          <w:sz w:val="22"/>
        </w:rPr>
        <w:tab/>
        <w:t>Социальные структуры</w:t>
      </w:r>
      <w:r>
        <w:rPr>
          <w:sz w:val="22"/>
        </w:rPr>
        <w:tab/>
      </w:r>
      <w:r>
        <w:rPr>
          <w:sz w:val="22"/>
          <w:lang w:val="en-US"/>
        </w:rPr>
        <w:tab/>
      </w:r>
      <w:r>
        <w:rPr>
          <w:sz w:val="22"/>
        </w:rPr>
        <w:t>14</w:t>
      </w:r>
    </w:p>
    <w:p w:rsidR="00000000" w:rsidRDefault="00000000">
      <w:pPr>
        <w:tabs>
          <w:tab w:val="left" w:pos="454"/>
          <w:tab w:val="left" w:pos="680"/>
          <w:tab w:val="left" w:pos="851"/>
          <w:tab w:val="left" w:pos="1134"/>
          <w:tab w:val="left" w:pos="1701"/>
          <w:tab w:val="right" w:leader="dot" w:pos="8505"/>
          <w:tab w:val="right" w:pos="9356"/>
        </w:tabs>
        <w:spacing w:before="120"/>
        <w:ind w:right="851"/>
        <w:jc w:val="both"/>
        <w:rPr>
          <w:sz w:val="22"/>
        </w:rPr>
      </w:pPr>
      <w:r>
        <w:rPr>
          <w:sz w:val="22"/>
        </w:rPr>
        <w:tab/>
        <w:t>1.3</w:t>
      </w:r>
      <w:r>
        <w:rPr>
          <w:sz w:val="22"/>
        </w:rPr>
        <w:tab/>
        <w:t>Экономические структуры</w:t>
      </w:r>
      <w:r>
        <w:rPr>
          <w:sz w:val="22"/>
        </w:rPr>
        <w:tab/>
      </w:r>
      <w:r>
        <w:rPr>
          <w:sz w:val="22"/>
        </w:rPr>
        <w:tab/>
        <w:t>14</w:t>
      </w:r>
    </w:p>
    <w:p w:rsidR="00000000" w:rsidRDefault="00000000">
      <w:pPr>
        <w:tabs>
          <w:tab w:val="left" w:pos="454"/>
          <w:tab w:val="left" w:pos="680"/>
          <w:tab w:val="left" w:pos="851"/>
          <w:tab w:val="left" w:pos="1134"/>
          <w:tab w:val="left" w:pos="1701"/>
          <w:tab w:val="right" w:leader="dot" w:pos="8505"/>
          <w:tab w:val="right" w:pos="9356"/>
        </w:tabs>
        <w:spacing w:before="120"/>
        <w:ind w:right="851"/>
        <w:jc w:val="both"/>
        <w:rPr>
          <w:sz w:val="22"/>
        </w:rPr>
      </w:pPr>
      <w:r>
        <w:rPr>
          <w:sz w:val="22"/>
          <w:lang w:val="en-US"/>
        </w:rPr>
        <w:tab/>
      </w:r>
      <w:r>
        <w:rPr>
          <w:sz w:val="22"/>
        </w:rPr>
        <w:t>1.4</w:t>
      </w:r>
      <w:r>
        <w:rPr>
          <w:sz w:val="22"/>
        </w:rPr>
        <w:tab/>
        <w:t>Политические структуры</w:t>
      </w:r>
      <w:r>
        <w:rPr>
          <w:sz w:val="22"/>
        </w:rPr>
        <w:tab/>
      </w:r>
      <w:r>
        <w:rPr>
          <w:sz w:val="22"/>
          <w:lang w:val="en-US"/>
        </w:rPr>
        <w:tab/>
      </w:r>
      <w:r>
        <w:rPr>
          <w:sz w:val="22"/>
        </w:rPr>
        <w:t>16</w:t>
      </w:r>
    </w:p>
    <w:p w:rsidR="00000000" w:rsidRDefault="00000000">
      <w:pPr>
        <w:tabs>
          <w:tab w:val="left" w:pos="454"/>
          <w:tab w:val="left" w:pos="680"/>
          <w:tab w:val="left" w:pos="851"/>
          <w:tab w:val="left" w:pos="1134"/>
          <w:tab w:val="left" w:pos="1701"/>
          <w:tab w:val="right" w:leader="dot" w:pos="8505"/>
          <w:tab w:val="right" w:pos="9356"/>
        </w:tabs>
        <w:spacing w:before="120"/>
        <w:ind w:right="851"/>
        <w:jc w:val="both"/>
        <w:rPr>
          <w:sz w:val="22"/>
        </w:rPr>
      </w:pPr>
      <w:r>
        <w:rPr>
          <w:sz w:val="22"/>
          <w:lang w:val="en-US"/>
        </w:rPr>
        <w:tab/>
        <w:t>1.5</w:t>
      </w:r>
      <w:r>
        <w:rPr>
          <w:sz w:val="22"/>
          <w:lang w:val="en-US"/>
        </w:rPr>
        <w:tab/>
      </w:r>
      <w:r>
        <w:rPr>
          <w:sz w:val="22"/>
        </w:rPr>
        <w:t>Правовые структуры</w:t>
      </w:r>
      <w:r>
        <w:rPr>
          <w:sz w:val="22"/>
        </w:rPr>
        <w:tab/>
      </w:r>
      <w:r>
        <w:rPr>
          <w:sz w:val="22"/>
          <w:lang w:val="en-US"/>
        </w:rPr>
        <w:tab/>
      </w:r>
      <w:r>
        <w:rPr>
          <w:sz w:val="22"/>
        </w:rPr>
        <w:t>16</w:t>
      </w:r>
    </w:p>
    <w:p w:rsidR="00000000" w:rsidRDefault="00000000">
      <w:pPr>
        <w:tabs>
          <w:tab w:val="left" w:pos="454"/>
          <w:tab w:val="left" w:pos="851"/>
          <w:tab w:val="left" w:pos="1134"/>
          <w:tab w:val="left" w:pos="1361"/>
          <w:tab w:val="left" w:pos="1701"/>
          <w:tab w:val="right" w:leader="dot" w:pos="8505"/>
          <w:tab w:val="right" w:pos="9356"/>
        </w:tabs>
        <w:spacing w:before="240"/>
        <w:ind w:left="454" w:right="851" w:hanging="454"/>
        <w:rPr>
          <w:sz w:val="22"/>
        </w:rPr>
      </w:pPr>
      <w:r>
        <w:rPr>
          <w:sz w:val="22"/>
          <w:lang w:val="en-US"/>
        </w:rPr>
        <w:t>2.0</w:t>
      </w:r>
      <w:r>
        <w:rPr>
          <w:sz w:val="22"/>
          <w:lang w:val="en-US"/>
        </w:rPr>
        <w:tab/>
      </w:r>
      <w:r>
        <w:rPr>
          <w:sz w:val="22"/>
        </w:rPr>
        <w:t>ОСУЩЕСТВЛЕНИЕ КОНВЕНЦИИ О ЛИКВИДАЦИИ ВСЕХ ФОРМ ДИСКРИМИНАЦИИ В ОТНОШЕНИИ ЖЕНЩИН</w:t>
      </w:r>
      <w:r>
        <w:rPr>
          <w:sz w:val="22"/>
        </w:rPr>
        <w:tab/>
      </w:r>
      <w:r>
        <w:rPr>
          <w:sz w:val="22"/>
          <w:lang w:val="en-US"/>
        </w:rPr>
        <w:tab/>
      </w:r>
      <w:r>
        <w:rPr>
          <w:sz w:val="22"/>
        </w:rPr>
        <w:t>17</w:t>
      </w:r>
    </w:p>
    <w:p w:rsidR="00000000" w:rsidRDefault="00000000">
      <w:pPr>
        <w:tabs>
          <w:tab w:val="left" w:pos="340"/>
          <w:tab w:val="left" w:pos="680"/>
          <w:tab w:val="left" w:pos="851"/>
          <w:tab w:val="left" w:pos="1134"/>
          <w:tab w:val="left" w:pos="1361"/>
          <w:tab w:val="left" w:pos="1701"/>
          <w:tab w:val="right" w:leader="dot" w:pos="8505"/>
          <w:tab w:val="right" w:pos="9356"/>
        </w:tabs>
        <w:spacing w:before="240"/>
        <w:ind w:right="851"/>
        <w:jc w:val="both"/>
        <w:rPr>
          <w:sz w:val="22"/>
        </w:rPr>
      </w:pPr>
      <w:r>
        <w:rPr>
          <w:sz w:val="22"/>
        </w:rPr>
        <w:t xml:space="preserve">Часть 2: </w:t>
      </w:r>
      <w:r>
        <w:rPr>
          <w:sz w:val="22"/>
          <w:lang w:val="en-US"/>
        </w:rPr>
        <w:tab/>
      </w:r>
      <w:r>
        <w:rPr>
          <w:sz w:val="22"/>
          <w:lang w:val="en-US"/>
        </w:rPr>
        <w:tab/>
      </w:r>
      <w:r>
        <w:rPr>
          <w:sz w:val="22"/>
        </w:rPr>
        <w:t>ОСУЩЕСТВЛЕНИЕ КОНВЕНЦИИ В НАМИБИИ</w:t>
      </w:r>
      <w:r>
        <w:rPr>
          <w:sz w:val="22"/>
        </w:rPr>
        <w:tab/>
      </w:r>
      <w:r>
        <w:rPr>
          <w:sz w:val="22"/>
          <w:lang w:val="en-US"/>
        </w:rPr>
        <w:tab/>
      </w:r>
      <w:r>
        <w:rPr>
          <w:sz w:val="22"/>
        </w:rPr>
        <w:t>19</w:t>
      </w:r>
    </w:p>
    <w:p w:rsidR="00000000" w:rsidRDefault="00000000">
      <w:pPr>
        <w:pStyle w:val="Heading7"/>
        <w:tabs>
          <w:tab w:val="clear" w:pos="709"/>
          <w:tab w:val="clear" w:pos="1276"/>
          <w:tab w:val="clear" w:pos="1559"/>
          <w:tab w:val="clear" w:pos="2268"/>
          <w:tab w:val="clear" w:pos="9072"/>
          <w:tab w:val="left" w:pos="340"/>
          <w:tab w:val="left" w:pos="680"/>
          <w:tab w:val="left" w:pos="851"/>
          <w:tab w:val="left" w:pos="1134"/>
          <w:tab w:val="left" w:pos="1361"/>
          <w:tab w:val="left" w:pos="1701"/>
          <w:tab w:val="right" w:leader="dot" w:pos="8505"/>
          <w:tab w:val="right" w:pos="9356"/>
        </w:tabs>
        <w:spacing w:before="240" w:line="240" w:lineRule="auto"/>
        <w:ind w:right="851"/>
        <w:jc w:val="both"/>
        <w:rPr>
          <w:sz w:val="22"/>
        </w:rPr>
      </w:pPr>
      <w:r>
        <w:rPr>
          <w:sz w:val="22"/>
        </w:rPr>
        <w:tab/>
        <w:t>СТАТЬЯ 1:</w:t>
      </w:r>
      <w:r>
        <w:rPr>
          <w:sz w:val="22"/>
        </w:rPr>
        <w:tab/>
        <w:t>Положения Конституции, касающиеся женщин</w:t>
      </w:r>
      <w:r>
        <w:rPr>
          <w:sz w:val="22"/>
        </w:rPr>
        <w:tab/>
      </w:r>
      <w:r>
        <w:rPr>
          <w:sz w:val="22"/>
        </w:rPr>
        <w:tab/>
        <w:t>19</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1.1</w:t>
      </w:r>
      <w:r>
        <w:rPr>
          <w:sz w:val="22"/>
        </w:rPr>
        <w:tab/>
        <w:t>Апартеид и позитивные действия</w:t>
      </w:r>
      <w:r>
        <w:rPr>
          <w:sz w:val="22"/>
        </w:rPr>
        <w:tab/>
      </w:r>
      <w:r>
        <w:rPr>
          <w:sz w:val="22"/>
        </w:rPr>
        <w:tab/>
        <w:t>19</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1.2</w:t>
      </w:r>
      <w:r>
        <w:rPr>
          <w:sz w:val="22"/>
        </w:rPr>
        <w:tab/>
        <w:t>Семья</w:t>
      </w:r>
      <w:r>
        <w:rPr>
          <w:sz w:val="22"/>
        </w:rPr>
        <w:tab/>
      </w:r>
      <w:r>
        <w:rPr>
          <w:sz w:val="22"/>
        </w:rPr>
        <w:tab/>
        <w:t>19</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1.3</w:t>
      </w:r>
      <w:r>
        <w:rPr>
          <w:sz w:val="22"/>
        </w:rPr>
        <w:tab/>
        <w:t>Сфера дискриминации</w:t>
      </w:r>
      <w:r>
        <w:rPr>
          <w:sz w:val="22"/>
        </w:rPr>
        <w:tab/>
      </w:r>
      <w:r>
        <w:rPr>
          <w:sz w:val="22"/>
        </w:rPr>
        <w:tab/>
        <w:t>20</w:t>
      </w:r>
    </w:p>
    <w:p w:rsidR="00000000" w:rsidRDefault="00000000">
      <w:pPr>
        <w:pStyle w:val="BodyTextIndent"/>
        <w:tabs>
          <w:tab w:val="clear" w:pos="709"/>
          <w:tab w:val="clear" w:pos="1276"/>
          <w:tab w:val="clear" w:pos="1559"/>
          <w:tab w:val="clear" w:pos="2268"/>
          <w:tab w:val="clear" w:pos="9072"/>
          <w:tab w:val="left" w:pos="340"/>
          <w:tab w:val="left" w:pos="680"/>
          <w:tab w:val="left" w:pos="851"/>
          <w:tab w:val="left" w:pos="1134"/>
          <w:tab w:val="left" w:pos="1361"/>
          <w:tab w:val="left" w:pos="1701"/>
          <w:tab w:val="right" w:leader="dot" w:pos="8505"/>
          <w:tab w:val="right" w:pos="9356"/>
        </w:tabs>
        <w:spacing w:before="240" w:line="240" w:lineRule="auto"/>
        <w:ind w:left="0" w:right="851" w:firstLine="0"/>
        <w:jc w:val="both"/>
        <w:rPr>
          <w:sz w:val="22"/>
        </w:rPr>
      </w:pPr>
      <w:r>
        <w:rPr>
          <w:sz w:val="22"/>
        </w:rPr>
        <w:tab/>
        <w:t>СТАТЬЯ 2:</w:t>
      </w:r>
      <w:r>
        <w:rPr>
          <w:sz w:val="22"/>
        </w:rPr>
        <w:tab/>
        <w:t>Политические меры по ликвидации дискриминации по признаку пола</w:t>
      </w:r>
      <w:r>
        <w:rPr>
          <w:sz w:val="22"/>
        </w:rPr>
        <w:tab/>
      </w:r>
      <w:r>
        <w:rPr>
          <w:sz w:val="22"/>
        </w:rPr>
        <w:tab/>
        <w:t>21</w:t>
      </w:r>
    </w:p>
    <w:p w:rsidR="00000000" w:rsidRDefault="00000000">
      <w:pPr>
        <w:pStyle w:val="BodyTextIndent"/>
        <w:tabs>
          <w:tab w:val="clear" w:pos="709"/>
          <w:tab w:val="clear" w:pos="1276"/>
          <w:tab w:val="clear" w:pos="1559"/>
          <w:tab w:val="clear" w:pos="2268"/>
          <w:tab w:val="clear" w:pos="9072"/>
          <w:tab w:val="left" w:pos="340"/>
          <w:tab w:val="left" w:pos="680"/>
          <w:tab w:val="left" w:pos="851"/>
          <w:tab w:val="left" w:pos="1134"/>
          <w:tab w:val="left" w:pos="1361"/>
          <w:tab w:val="left" w:pos="1701"/>
          <w:tab w:val="right" w:leader="dot" w:pos="8505"/>
          <w:tab w:val="right" w:pos="9356"/>
        </w:tabs>
        <w:spacing w:before="120" w:line="240" w:lineRule="auto"/>
        <w:ind w:left="1134" w:right="851" w:hanging="1134"/>
        <w:jc w:val="both"/>
        <w:rPr>
          <w:sz w:val="22"/>
        </w:rPr>
      </w:pPr>
      <w:r>
        <w:rPr>
          <w:sz w:val="22"/>
        </w:rPr>
        <w:tab/>
      </w:r>
      <w:r>
        <w:rPr>
          <w:sz w:val="22"/>
        </w:rPr>
        <w:tab/>
        <w:t>2.1</w:t>
      </w:r>
      <w:r>
        <w:rPr>
          <w:sz w:val="22"/>
        </w:rPr>
        <w:tab/>
        <w:t>Принцип равноправия мужчин и женщин и запрещение дискриминации по признаку пола</w:t>
      </w:r>
      <w:r>
        <w:rPr>
          <w:sz w:val="22"/>
        </w:rPr>
        <w:tab/>
      </w:r>
      <w:r>
        <w:rPr>
          <w:sz w:val="22"/>
        </w:rPr>
        <w:tab/>
        <w:t>21</w:t>
      </w:r>
    </w:p>
    <w:p w:rsidR="00000000" w:rsidRDefault="00000000">
      <w:pPr>
        <w:pStyle w:val="BodyTextIndent"/>
        <w:tabs>
          <w:tab w:val="clear" w:pos="709"/>
          <w:tab w:val="clear" w:pos="1276"/>
          <w:tab w:val="clear" w:pos="1559"/>
          <w:tab w:val="clear" w:pos="2268"/>
          <w:tab w:val="clear" w:pos="9072"/>
          <w:tab w:val="left" w:pos="340"/>
          <w:tab w:val="left" w:pos="680"/>
          <w:tab w:val="left" w:pos="851"/>
          <w:tab w:val="left" w:pos="1134"/>
          <w:tab w:val="left" w:pos="1361"/>
          <w:tab w:val="left" w:pos="1701"/>
          <w:tab w:val="right" w:leader="dot" w:pos="8505"/>
          <w:tab w:val="right" w:pos="9356"/>
        </w:tabs>
        <w:spacing w:before="120" w:line="240" w:lineRule="auto"/>
        <w:ind w:left="0" w:right="851" w:firstLine="0"/>
        <w:jc w:val="both"/>
        <w:rPr>
          <w:sz w:val="22"/>
        </w:rPr>
      </w:pPr>
      <w:r>
        <w:rPr>
          <w:sz w:val="22"/>
        </w:rPr>
        <w:tab/>
      </w:r>
      <w:r>
        <w:rPr>
          <w:sz w:val="22"/>
        </w:rPr>
        <w:tab/>
        <w:t>2.2</w:t>
      </w:r>
      <w:r>
        <w:rPr>
          <w:sz w:val="22"/>
        </w:rPr>
        <w:tab/>
        <w:t>Защита женщин от актов дискриминации</w:t>
      </w:r>
      <w:r>
        <w:rPr>
          <w:sz w:val="22"/>
        </w:rPr>
        <w:tab/>
      </w:r>
      <w:r>
        <w:rPr>
          <w:sz w:val="22"/>
        </w:rPr>
        <w:tab/>
        <w:t>22</w:t>
      </w:r>
    </w:p>
    <w:p w:rsidR="00000000" w:rsidRDefault="00000000">
      <w:pPr>
        <w:pStyle w:val="BodyTextIndent"/>
        <w:tabs>
          <w:tab w:val="clear" w:pos="709"/>
          <w:tab w:val="clear" w:pos="1276"/>
          <w:tab w:val="clear" w:pos="1559"/>
          <w:tab w:val="clear" w:pos="2268"/>
          <w:tab w:val="clear" w:pos="9072"/>
          <w:tab w:val="left" w:pos="340"/>
          <w:tab w:val="left" w:pos="680"/>
          <w:tab w:val="left" w:pos="851"/>
          <w:tab w:val="left" w:pos="1134"/>
          <w:tab w:val="left" w:pos="1701"/>
          <w:tab w:val="right" w:leader="dot" w:pos="8505"/>
          <w:tab w:val="right" w:pos="9356"/>
        </w:tabs>
        <w:spacing w:before="60" w:line="240" w:lineRule="auto"/>
        <w:ind w:left="0" w:right="851" w:firstLine="0"/>
        <w:jc w:val="both"/>
        <w:rPr>
          <w:sz w:val="22"/>
        </w:rPr>
      </w:pPr>
      <w:r>
        <w:rPr>
          <w:sz w:val="22"/>
        </w:rPr>
        <w:tab/>
      </w:r>
      <w:r>
        <w:rPr>
          <w:sz w:val="22"/>
        </w:rPr>
        <w:tab/>
      </w:r>
      <w:r>
        <w:rPr>
          <w:sz w:val="22"/>
        </w:rPr>
        <w:tab/>
      </w:r>
      <w:r>
        <w:rPr>
          <w:sz w:val="22"/>
        </w:rPr>
        <w:tab/>
        <w:t>2.2.1</w:t>
      </w:r>
      <w:r>
        <w:rPr>
          <w:sz w:val="22"/>
        </w:rPr>
        <w:tab/>
        <w:t>Национальная гендерная политика</w:t>
      </w:r>
      <w:r>
        <w:rPr>
          <w:sz w:val="22"/>
        </w:rPr>
        <w:tab/>
      </w:r>
      <w:r>
        <w:rPr>
          <w:sz w:val="22"/>
        </w:rPr>
        <w:tab/>
        <w:t>22</w:t>
      </w:r>
    </w:p>
    <w:p w:rsidR="00000000" w:rsidRDefault="00000000">
      <w:pPr>
        <w:pStyle w:val="BodyTextIndent"/>
        <w:tabs>
          <w:tab w:val="clear" w:pos="709"/>
          <w:tab w:val="clear" w:pos="1276"/>
          <w:tab w:val="clear" w:pos="1559"/>
          <w:tab w:val="clear" w:pos="2268"/>
          <w:tab w:val="clear" w:pos="9072"/>
          <w:tab w:val="left" w:pos="340"/>
          <w:tab w:val="left" w:pos="680"/>
          <w:tab w:val="left" w:pos="851"/>
          <w:tab w:val="left" w:pos="1134"/>
          <w:tab w:val="left" w:pos="1701"/>
          <w:tab w:val="right" w:leader="dot" w:pos="8505"/>
          <w:tab w:val="right" w:pos="9356"/>
        </w:tabs>
        <w:spacing w:before="60" w:line="240" w:lineRule="auto"/>
        <w:ind w:left="0" w:right="851" w:firstLine="0"/>
        <w:jc w:val="both"/>
        <w:rPr>
          <w:sz w:val="22"/>
        </w:rPr>
      </w:pPr>
      <w:r>
        <w:rPr>
          <w:sz w:val="22"/>
        </w:rPr>
        <w:tab/>
      </w:r>
      <w:r>
        <w:rPr>
          <w:sz w:val="22"/>
        </w:rPr>
        <w:tab/>
      </w:r>
      <w:r>
        <w:rPr>
          <w:sz w:val="22"/>
        </w:rPr>
        <w:tab/>
      </w:r>
      <w:r>
        <w:rPr>
          <w:sz w:val="22"/>
        </w:rPr>
        <w:tab/>
        <w:t>2.2.2</w:t>
      </w:r>
      <w:r>
        <w:rPr>
          <w:sz w:val="22"/>
        </w:rPr>
        <w:tab/>
        <w:t>Механизмы мониторинга национальной гендерной политики</w:t>
      </w:r>
      <w:r>
        <w:rPr>
          <w:sz w:val="22"/>
        </w:rPr>
        <w:tab/>
      </w:r>
      <w:r>
        <w:rPr>
          <w:sz w:val="22"/>
        </w:rPr>
        <w:tab/>
        <w:t>24</w:t>
      </w:r>
    </w:p>
    <w:p w:rsidR="00000000" w:rsidRDefault="00000000">
      <w:pPr>
        <w:tabs>
          <w:tab w:val="left" w:pos="340"/>
          <w:tab w:val="left" w:pos="680"/>
          <w:tab w:val="left" w:pos="851"/>
          <w:tab w:val="left" w:pos="1134"/>
          <w:tab w:val="left" w:pos="1701"/>
          <w:tab w:val="right" w:leader="dot" w:pos="8505"/>
          <w:tab w:val="right" w:pos="9356"/>
        </w:tabs>
        <w:spacing w:before="60"/>
        <w:ind w:right="851"/>
        <w:jc w:val="both"/>
        <w:rPr>
          <w:sz w:val="22"/>
        </w:rPr>
      </w:pPr>
      <w:r>
        <w:rPr>
          <w:sz w:val="22"/>
        </w:rPr>
        <w:tab/>
      </w:r>
      <w:r>
        <w:rPr>
          <w:sz w:val="22"/>
        </w:rPr>
        <w:tab/>
      </w:r>
      <w:r>
        <w:rPr>
          <w:sz w:val="22"/>
        </w:rPr>
        <w:tab/>
      </w:r>
      <w:r>
        <w:rPr>
          <w:sz w:val="22"/>
        </w:rPr>
        <w:tab/>
        <w:t>2.2.3</w:t>
      </w:r>
      <w:r>
        <w:rPr>
          <w:sz w:val="22"/>
        </w:rPr>
        <w:tab/>
        <w:t>Национальный план действий по гендерным вопросам</w:t>
      </w:r>
      <w:r>
        <w:rPr>
          <w:sz w:val="22"/>
        </w:rPr>
        <w:tab/>
      </w:r>
      <w:r>
        <w:rPr>
          <w:sz w:val="22"/>
        </w:rPr>
        <w:tab/>
        <w:t>24</w:t>
      </w:r>
    </w:p>
    <w:p w:rsidR="00000000" w:rsidRDefault="00000000">
      <w:pPr>
        <w:tabs>
          <w:tab w:val="left" w:pos="340"/>
          <w:tab w:val="left" w:pos="680"/>
          <w:tab w:val="left" w:pos="851"/>
          <w:tab w:val="left" w:pos="1134"/>
          <w:tab w:val="left" w:pos="1701"/>
          <w:tab w:val="right" w:leader="dot" w:pos="8505"/>
          <w:tab w:val="right" w:pos="9356"/>
        </w:tabs>
        <w:spacing w:before="60"/>
        <w:ind w:right="851"/>
        <w:jc w:val="both"/>
        <w:rPr>
          <w:sz w:val="22"/>
        </w:rPr>
      </w:pPr>
      <w:r>
        <w:rPr>
          <w:sz w:val="22"/>
        </w:rPr>
        <w:tab/>
      </w:r>
      <w:r>
        <w:rPr>
          <w:sz w:val="22"/>
        </w:rPr>
        <w:tab/>
      </w:r>
      <w:r>
        <w:rPr>
          <w:sz w:val="22"/>
        </w:rPr>
        <w:tab/>
      </w:r>
      <w:r>
        <w:rPr>
          <w:sz w:val="22"/>
        </w:rPr>
        <w:tab/>
        <w:t>2.2.4</w:t>
      </w:r>
      <w:r>
        <w:rPr>
          <w:sz w:val="22"/>
        </w:rPr>
        <w:tab/>
        <w:t>Осуществление национальной гендерной политики</w:t>
      </w:r>
      <w:r>
        <w:rPr>
          <w:sz w:val="22"/>
        </w:rPr>
        <w:tab/>
      </w:r>
      <w:r>
        <w:rPr>
          <w:sz w:val="22"/>
        </w:rPr>
        <w:tab/>
        <w:t>24</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2.3</w:t>
      </w:r>
      <w:r>
        <w:rPr>
          <w:sz w:val="22"/>
        </w:rPr>
        <w:tab/>
        <w:t>Дискриминация со стороны государственных властей и учреждений</w:t>
      </w:r>
      <w:r>
        <w:rPr>
          <w:sz w:val="22"/>
        </w:rPr>
        <w:tab/>
      </w:r>
      <w:r>
        <w:rPr>
          <w:sz w:val="22"/>
        </w:rPr>
        <w:tab/>
        <w:t>26</w:t>
      </w:r>
    </w:p>
    <w:p w:rsidR="00000000" w:rsidRDefault="00000000">
      <w:pPr>
        <w:pStyle w:val="BodyTextIndent2"/>
        <w:tabs>
          <w:tab w:val="clear" w:pos="709"/>
          <w:tab w:val="clear" w:pos="1276"/>
          <w:tab w:val="clear" w:pos="1560"/>
          <w:tab w:val="clear" w:pos="9072"/>
          <w:tab w:val="left" w:pos="340"/>
          <w:tab w:val="left" w:pos="680"/>
          <w:tab w:val="left" w:pos="851"/>
          <w:tab w:val="left" w:pos="1134"/>
          <w:tab w:val="left" w:pos="1361"/>
          <w:tab w:val="left" w:pos="1701"/>
          <w:tab w:val="right" w:leader="dot" w:pos="8505"/>
          <w:tab w:val="right" w:pos="9356"/>
        </w:tabs>
        <w:spacing w:before="120" w:line="240" w:lineRule="auto"/>
        <w:ind w:left="1134" w:right="851" w:hanging="1134"/>
        <w:rPr>
          <w:sz w:val="22"/>
        </w:rPr>
      </w:pPr>
      <w:r>
        <w:rPr>
          <w:sz w:val="22"/>
        </w:rPr>
        <w:tab/>
      </w:r>
      <w:r>
        <w:rPr>
          <w:sz w:val="22"/>
        </w:rPr>
        <w:tab/>
        <w:t>2.4</w:t>
      </w:r>
      <w:r>
        <w:rPr>
          <w:sz w:val="22"/>
        </w:rPr>
        <w:tab/>
        <w:t>Меры по ликвидации дискриминации в отношении женщин со стороны любого лица, организации или предприятия</w:t>
      </w:r>
      <w:r>
        <w:rPr>
          <w:sz w:val="22"/>
        </w:rPr>
        <w:tab/>
      </w:r>
      <w:r>
        <w:rPr>
          <w:sz w:val="22"/>
        </w:rPr>
        <w:tab/>
        <w:t>27</w:t>
      </w:r>
    </w:p>
    <w:p w:rsidR="00000000" w:rsidRDefault="00000000">
      <w:pPr>
        <w:pStyle w:val="BodyTextIndent2"/>
        <w:tabs>
          <w:tab w:val="clear" w:pos="709"/>
          <w:tab w:val="clear" w:pos="1276"/>
          <w:tab w:val="clear" w:pos="1560"/>
          <w:tab w:val="clear" w:pos="9072"/>
          <w:tab w:val="left" w:pos="340"/>
          <w:tab w:val="left" w:pos="680"/>
          <w:tab w:val="left" w:pos="851"/>
          <w:tab w:val="left" w:pos="1134"/>
          <w:tab w:val="left" w:pos="1361"/>
          <w:tab w:val="left" w:pos="1701"/>
          <w:tab w:val="right" w:leader="dot" w:pos="8505"/>
          <w:tab w:val="right" w:pos="9356"/>
        </w:tabs>
        <w:spacing w:before="120" w:line="240" w:lineRule="auto"/>
        <w:ind w:left="1134" w:right="851" w:hanging="1134"/>
        <w:rPr>
          <w:sz w:val="22"/>
        </w:rPr>
      </w:pPr>
      <w:r>
        <w:rPr>
          <w:sz w:val="22"/>
        </w:rPr>
        <w:tab/>
      </w:r>
      <w:r>
        <w:rPr>
          <w:sz w:val="22"/>
        </w:rPr>
        <w:tab/>
        <w:t>2.5</w:t>
      </w:r>
      <w:r>
        <w:rPr>
          <w:sz w:val="22"/>
        </w:rPr>
        <w:tab/>
        <w:t>Отмена положений внутреннего уголовного законодательства, которые являются дискриминационными в отношении женщин</w:t>
      </w:r>
      <w:r>
        <w:rPr>
          <w:sz w:val="22"/>
        </w:rPr>
        <w:tab/>
      </w:r>
      <w:r>
        <w:rPr>
          <w:sz w:val="22"/>
        </w:rPr>
        <w:tab/>
        <w:t>27</w:t>
      </w:r>
    </w:p>
    <w:p w:rsidR="00000000" w:rsidRDefault="00000000">
      <w:pPr>
        <w:tabs>
          <w:tab w:val="left" w:pos="340"/>
          <w:tab w:val="left" w:pos="680"/>
          <w:tab w:val="left" w:pos="851"/>
          <w:tab w:val="left" w:pos="1134"/>
          <w:tab w:val="left" w:pos="1701"/>
          <w:tab w:val="right" w:leader="dot" w:pos="8505"/>
          <w:tab w:val="right" w:pos="9356"/>
        </w:tabs>
        <w:spacing w:before="60"/>
        <w:ind w:right="851"/>
        <w:jc w:val="both"/>
        <w:rPr>
          <w:sz w:val="22"/>
        </w:rPr>
      </w:pPr>
      <w:r>
        <w:rPr>
          <w:sz w:val="22"/>
        </w:rPr>
        <w:tab/>
      </w:r>
      <w:r>
        <w:rPr>
          <w:sz w:val="22"/>
        </w:rPr>
        <w:tab/>
      </w:r>
      <w:r>
        <w:rPr>
          <w:sz w:val="22"/>
        </w:rPr>
        <w:tab/>
      </w:r>
      <w:r>
        <w:rPr>
          <w:sz w:val="22"/>
        </w:rPr>
        <w:tab/>
        <w:t>2.5.1</w:t>
      </w:r>
      <w:r>
        <w:rPr>
          <w:sz w:val="22"/>
        </w:rPr>
        <w:tab/>
        <w:t>Детоубийство</w:t>
      </w:r>
      <w:r>
        <w:rPr>
          <w:sz w:val="22"/>
        </w:rPr>
        <w:tab/>
      </w:r>
      <w:r>
        <w:rPr>
          <w:sz w:val="22"/>
        </w:rPr>
        <w:tab/>
        <w:t>27</w:t>
      </w:r>
    </w:p>
    <w:p w:rsidR="00000000" w:rsidRDefault="00000000">
      <w:pPr>
        <w:tabs>
          <w:tab w:val="left" w:pos="340"/>
          <w:tab w:val="left" w:pos="680"/>
          <w:tab w:val="left" w:pos="851"/>
          <w:tab w:val="left" w:pos="1134"/>
          <w:tab w:val="left" w:pos="1361"/>
          <w:tab w:val="left" w:pos="1701"/>
          <w:tab w:val="right" w:leader="dot" w:pos="8505"/>
          <w:tab w:val="right" w:pos="9356"/>
        </w:tabs>
        <w:spacing w:before="60"/>
        <w:ind w:right="851"/>
        <w:jc w:val="both"/>
        <w:rPr>
          <w:sz w:val="22"/>
        </w:rPr>
      </w:pPr>
      <w:r>
        <w:rPr>
          <w:sz w:val="22"/>
        </w:rPr>
        <w:tab/>
      </w:r>
      <w:r>
        <w:rPr>
          <w:sz w:val="22"/>
        </w:rPr>
        <w:tab/>
      </w:r>
      <w:r>
        <w:rPr>
          <w:sz w:val="22"/>
        </w:rPr>
        <w:tab/>
      </w:r>
      <w:r>
        <w:rPr>
          <w:sz w:val="22"/>
        </w:rPr>
        <w:tab/>
        <w:t>2.5.2</w:t>
      </w:r>
      <w:r>
        <w:rPr>
          <w:sz w:val="22"/>
        </w:rPr>
        <w:tab/>
        <w:t>Аборт</w:t>
      </w:r>
      <w:r>
        <w:rPr>
          <w:sz w:val="22"/>
        </w:rPr>
        <w:tab/>
      </w:r>
      <w:r>
        <w:rPr>
          <w:sz w:val="22"/>
        </w:rPr>
        <w:tab/>
        <w:t>27</w:t>
      </w:r>
    </w:p>
    <w:p w:rsidR="00000000" w:rsidRDefault="00000000">
      <w:pPr>
        <w:tabs>
          <w:tab w:val="left" w:pos="340"/>
          <w:tab w:val="left" w:pos="680"/>
          <w:tab w:val="left" w:pos="851"/>
          <w:tab w:val="left" w:pos="1134"/>
          <w:tab w:val="left" w:pos="1361"/>
          <w:tab w:val="left" w:pos="1701"/>
          <w:tab w:val="right" w:leader="dot" w:pos="8505"/>
          <w:tab w:val="right" w:pos="9356"/>
        </w:tabs>
        <w:spacing w:before="60"/>
        <w:ind w:right="851"/>
        <w:jc w:val="both"/>
        <w:rPr>
          <w:sz w:val="22"/>
        </w:rPr>
      </w:pPr>
      <w:r>
        <w:rPr>
          <w:sz w:val="22"/>
        </w:rPr>
        <w:tab/>
      </w:r>
      <w:r>
        <w:rPr>
          <w:sz w:val="22"/>
        </w:rPr>
        <w:tab/>
      </w:r>
      <w:r>
        <w:rPr>
          <w:sz w:val="22"/>
        </w:rPr>
        <w:tab/>
      </w:r>
      <w:r>
        <w:rPr>
          <w:sz w:val="22"/>
        </w:rPr>
        <w:tab/>
        <w:t>2.5.3</w:t>
      </w:r>
      <w:r>
        <w:rPr>
          <w:sz w:val="22"/>
        </w:rPr>
        <w:tab/>
        <w:t>Женщины-заключенные</w:t>
      </w:r>
      <w:r>
        <w:rPr>
          <w:sz w:val="22"/>
        </w:rPr>
        <w:tab/>
      </w:r>
      <w:r>
        <w:rPr>
          <w:sz w:val="22"/>
        </w:rPr>
        <w:tab/>
        <w:t>28</w:t>
      </w:r>
    </w:p>
    <w:p w:rsidR="00000000" w:rsidRDefault="00000000">
      <w:pPr>
        <w:tabs>
          <w:tab w:val="left" w:pos="340"/>
          <w:tab w:val="left" w:pos="680"/>
          <w:tab w:val="left" w:pos="851"/>
          <w:tab w:val="left" w:pos="1134"/>
          <w:tab w:val="left" w:pos="1361"/>
          <w:tab w:val="left" w:pos="1701"/>
          <w:tab w:val="right" w:leader="dot" w:pos="8505"/>
          <w:tab w:val="right" w:pos="9356"/>
        </w:tabs>
        <w:spacing w:before="240"/>
        <w:ind w:right="851"/>
        <w:jc w:val="both"/>
        <w:rPr>
          <w:sz w:val="22"/>
        </w:rPr>
      </w:pPr>
      <w:r>
        <w:rPr>
          <w:sz w:val="22"/>
        </w:rPr>
        <w:tab/>
        <w:t>СТАТЬЯ 3:</w:t>
      </w:r>
      <w:r>
        <w:rPr>
          <w:sz w:val="22"/>
        </w:rPr>
        <w:tab/>
        <w:t>Общее обеспечение равноправия и основных свобод</w:t>
      </w:r>
      <w:r>
        <w:rPr>
          <w:sz w:val="22"/>
        </w:rPr>
        <w:tab/>
      </w:r>
      <w:r>
        <w:rPr>
          <w:sz w:val="22"/>
        </w:rPr>
        <w:tab/>
        <w:t>28</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3.1</w:t>
      </w:r>
      <w:r>
        <w:rPr>
          <w:sz w:val="22"/>
        </w:rPr>
        <w:tab/>
        <w:t>Изнасилование</w:t>
      </w:r>
      <w:r>
        <w:rPr>
          <w:sz w:val="22"/>
        </w:rPr>
        <w:tab/>
      </w:r>
      <w:r>
        <w:rPr>
          <w:sz w:val="22"/>
        </w:rPr>
        <w:tab/>
        <w:t>28</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3.2</w:t>
      </w:r>
      <w:r>
        <w:rPr>
          <w:sz w:val="22"/>
        </w:rPr>
        <w:tab/>
        <w:t>Бытовое насилие</w:t>
      </w:r>
      <w:r>
        <w:rPr>
          <w:sz w:val="22"/>
        </w:rPr>
        <w:tab/>
      </w:r>
      <w:r>
        <w:rPr>
          <w:sz w:val="22"/>
        </w:rPr>
        <w:tab/>
        <w:t>31</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3.3</w:t>
      </w:r>
      <w:r>
        <w:rPr>
          <w:sz w:val="22"/>
        </w:rPr>
        <w:tab/>
        <w:t>Жестокое обращение с детьми</w:t>
      </w:r>
      <w:r>
        <w:rPr>
          <w:sz w:val="22"/>
        </w:rPr>
        <w:tab/>
      </w:r>
      <w:r>
        <w:rPr>
          <w:sz w:val="22"/>
        </w:rPr>
        <w:tab/>
        <w:t>33</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3.4</w:t>
      </w:r>
      <w:r>
        <w:rPr>
          <w:sz w:val="22"/>
        </w:rPr>
        <w:tab/>
        <w:t>Насилие в отношении женщин и ВИЧ/СПИД</w:t>
      </w:r>
      <w:r>
        <w:rPr>
          <w:sz w:val="22"/>
        </w:rPr>
        <w:tab/>
      </w:r>
      <w:r>
        <w:rPr>
          <w:sz w:val="22"/>
        </w:rPr>
        <w:tab/>
        <w:t>33</w:t>
      </w:r>
    </w:p>
    <w:p w:rsidR="00000000" w:rsidRDefault="00000000">
      <w:pPr>
        <w:tabs>
          <w:tab w:val="left" w:pos="340"/>
          <w:tab w:val="left" w:pos="680"/>
          <w:tab w:val="left" w:pos="851"/>
          <w:tab w:val="left" w:pos="1134"/>
          <w:tab w:val="left" w:pos="1361"/>
          <w:tab w:val="left" w:pos="1701"/>
          <w:tab w:val="right" w:leader="dot" w:pos="8505"/>
          <w:tab w:val="right" w:pos="9356"/>
        </w:tabs>
        <w:spacing w:before="240"/>
        <w:ind w:right="851"/>
        <w:jc w:val="both"/>
        <w:rPr>
          <w:sz w:val="22"/>
        </w:rPr>
      </w:pPr>
      <w:r>
        <w:rPr>
          <w:sz w:val="22"/>
        </w:rPr>
        <w:tab/>
        <w:t xml:space="preserve">СТАТЬЯ 4: </w:t>
      </w:r>
      <w:r>
        <w:rPr>
          <w:sz w:val="22"/>
        </w:rPr>
        <w:tab/>
        <w:t>Позитивные действия</w:t>
      </w:r>
      <w:r>
        <w:rPr>
          <w:sz w:val="22"/>
        </w:rPr>
        <w:tab/>
      </w:r>
      <w:r>
        <w:rPr>
          <w:sz w:val="22"/>
        </w:rPr>
        <w:tab/>
        <w:t>34</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4.1</w:t>
      </w:r>
      <w:r>
        <w:rPr>
          <w:sz w:val="22"/>
        </w:rPr>
        <w:tab/>
        <w:t>Положения Конституции, предусматривающие позитивные действия</w:t>
      </w:r>
      <w:r>
        <w:rPr>
          <w:sz w:val="22"/>
        </w:rPr>
        <w:tab/>
      </w:r>
      <w:r>
        <w:rPr>
          <w:sz w:val="22"/>
        </w:rPr>
        <w:tab/>
        <w:t>34</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4.2</w:t>
      </w:r>
      <w:r>
        <w:rPr>
          <w:sz w:val="22"/>
        </w:rPr>
        <w:tab/>
        <w:t>Закон о позитивных действиях (в области занятости)</w:t>
      </w:r>
      <w:r>
        <w:rPr>
          <w:sz w:val="22"/>
        </w:rPr>
        <w:tab/>
      </w:r>
      <w:r>
        <w:rPr>
          <w:sz w:val="22"/>
        </w:rPr>
        <w:tab/>
        <w:t>34</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4.3</w:t>
      </w:r>
      <w:r>
        <w:rPr>
          <w:sz w:val="22"/>
        </w:rPr>
        <w:tab/>
        <w:t>Национальная политика в области расселения</w:t>
      </w:r>
      <w:r>
        <w:rPr>
          <w:sz w:val="22"/>
        </w:rPr>
        <w:tab/>
      </w:r>
      <w:r>
        <w:rPr>
          <w:sz w:val="22"/>
        </w:rPr>
        <w:tab/>
        <w:t>35</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4.4</w:t>
      </w:r>
      <w:r>
        <w:rPr>
          <w:sz w:val="22"/>
        </w:rPr>
        <w:tab/>
        <w:t>Другие законы о позитивных действиях</w:t>
      </w:r>
      <w:r>
        <w:rPr>
          <w:sz w:val="22"/>
        </w:rPr>
        <w:tab/>
      </w:r>
      <w:r>
        <w:rPr>
          <w:sz w:val="22"/>
        </w:rPr>
        <w:tab/>
        <w:t>36</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4.5</w:t>
      </w:r>
      <w:r>
        <w:rPr>
          <w:sz w:val="22"/>
        </w:rPr>
        <w:tab/>
        <w:t>Осуществление позитивных действий в области занятости</w:t>
      </w:r>
      <w:r>
        <w:rPr>
          <w:sz w:val="22"/>
        </w:rPr>
        <w:tab/>
      </w:r>
      <w:r>
        <w:rPr>
          <w:sz w:val="22"/>
        </w:rPr>
        <w:tab/>
        <w:t>36</w:t>
      </w:r>
    </w:p>
    <w:p w:rsidR="00000000" w:rsidRDefault="00000000">
      <w:pPr>
        <w:tabs>
          <w:tab w:val="left" w:pos="340"/>
          <w:tab w:val="left" w:pos="680"/>
          <w:tab w:val="left" w:pos="851"/>
          <w:tab w:val="left" w:pos="1134"/>
          <w:tab w:val="left" w:pos="1361"/>
          <w:tab w:val="left" w:pos="1701"/>
          <w:tab w:val="right" w:leader="dot" w:pos="8505"/>
          <w:tab w:val="right" w:pos="9356"/>
        </w:tabs>
        <w:spacing w:before="240"/>
        <w:ind w:right="851"/>
        <w:jc w:val="both"/>
        <w:rPr>
          <w:sz w:val="22"/>
        </w:rPr>
      </w:pPr>
      <w:r>
        <w:rPr>
          <w:sz w:val="22"/>
        </w:rPr>
        <w:tab/>
        <w:t>СТАТЬЯ 5:</w:t>
      </w:r>
      <w:r>
        <w:rPr>
          <w:sz w:val="22"/>
        </w:rPr>
        <w:tab/>
        <w:t>Стереотипное представление о роли полов</w:t>
      </w:r>
      <w:r>
        <w:rPr>
          <w:sz w:val="22"/>
        </w:rPr>
        <w:tab/>
      </w:r>
      <w:r>
        <w:rPr>
          <w:sz w:val="22"/>
        </w:rPr>
        <w:tab/>
        <w:t>38</w:t>
      </w:r>
    </w:p>
    <w:p w:rsidR="00000000" w:rsidRDefault="00000000">
      <w:pPr>
        <w:tabs>
          <w:tab w:val="left" w:pos="340"/>
          <w:tab w:val="left" w:pos="680"/>
          <w:tab w:val="left" w:pos="851"/>
          <w:tab w:val="left" w:pos="1134"/>
          <w:tab w:val="left" w:pos="1361"/>
          <w:tab w:val="left" w:pos="1701"/>
          <w:tab w:val="right" w:leader="dot" w:pos="8505"/>
          <w:tab w:val="right" w:pos="9356"/>
        </w:tabs>
        <w:spacing w:before="240"/>
        <w:ind w:right="851"/>
        <w:jc w:val="both"/>
        <w:rPr>
          <w:sz w:val="22"/>
        </w:rPr>
      </w:pPr>
      <w:r>
        <w:rPr>
          <w:sz w:val="22"/>
        </w:rPr>
        <w:tab/>
        <w:t xml:space="preserve">СТАТЬЯ 6: </w:t>
      </w:r>
      <w:r>
        <w:rPr>
          <w:sz w:val="22"/>
        </w:rPr>
        <w:tab/>
        <w:t>Проституция и торговля женщинами</w:t>
      </w:r>
      <w:r>
        <w:rPr>
          <w:sz w:val="22"/>
        </w:rPr>
        <w:tab/>
      </w:r>
      <w:r>
        <w:rPr>
          <w:sz w:val="22"/>
        </w:rPr>
        <w:tab/>
        <w:t>39</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6.1</w:t>
      </w:r>
      <w:r>
        <w:rPr>
          <w:sz w:val="22"/>
        </w:rPr>
        <w:tab/>
        <w:t>Проституция</w:t>
      </w:r>
      <w:r>
        <w:rPr>
          <w:sz w:val="22"/>
        </w:rPr>
        <w:tab/>
      </w:r>
      <w:r>
        <w:rPr>
          <w:sz w:val="22"/>
        </w:rPr>
        <w:tab/>
        <w:t>39</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6.2</w:t>
      </w:r>
      <w:r>
        <w:rPr>
          <w:sz w:val="22"/>
        </w:rPr>
        <w:tab/>
        <w:t>Торговля женщинами</w:t>
      </w:r>
      <w:r>
        <w:rPr>
          <w:sz w:val="22"/>
        </w:rPr>
        <w:tab/>
      </w:r>
      <w:r>
        <w:rPr>
          <w:sz w:val="22"/>
        </w:rPr>
        <w:tab/>
        <w:t>41</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6.3</w:t>
      </w:r>
      <w:r>
        <w:rPr>
          <w:sz w:val="22"/>
        </w:rPr>
        <w:tab/>
        <w:t>Усыновление детей в другой стране</w:t>
      </w:r>
      <w:r>
        <w:rPr>
          <w:sz w:val="22"/>
        </w:rPr>
        <w:tab/>
      </w:r>
      <w:r>
        <w:rPr>
          <w:sz w:val="22"/>
        </w:rPr>
        <w:tab/>
        <w:t>41</w:t>
      </w:r>
    </w:p>
    <w:p w:rsidR="00000000" w:rsidRDefault="00000000">
      <w:pPr>
        <w:tabs>
          <w:tab w:val="left" w:pos="340"/>
          <w:tab w:val="left" w:pos="680"/>
          <w:tab w:val="left" w:pos="851"/>
          <w:tab w:val="left" w:pos="1134"/>
          <w:tab w:val="left" w:pos="1361"/>
          <w:tab w:val="left" w:pos="1701"/>
          <w:tab w:val="right" w:leader="dot" w:pos="8505"/>
          <w:tab w:val="right" w:pos="9356"/>
        </w:tabs>
        <w:spacing w:before="240"/>
        <w:ind w:right="851"/>
        <w:jc w:val="both"/>
        <w:rPr>
          <w:sz w:val="22"/>
        </w:rPr>
      </w:pPr>
      <w:r>
        <w:rPr>
          <w:sz w:val="22"/>
        </w:rPr>
        <w:tab/>
        <w:t xml:space="preserve">СТАТЬЯ 7: </w:t>
      </w:r>
      <w:r>
        <w:rPr>
          <w:sz w:val="22"/>
        </w:rPr>
        <w:tab/>
        <w:t>Женщины в политической и общественной жизни</w:t>
      </w:r>
      <w:r>
        <w:rPr>
          <w:sz w:val="22"/>
        </w:rPr>
        <w:tab/>
      </w:r>
      <w:r>
        <w:rPr>
          <w:sz w:val="22"/>
        </w:rPr>
        <w:tab/>
        <w:t>41</w:t>
      </w:r>
    </w:p>
    <w:p w:rsidR="00000000" w:rsidRDefault="00000000">
      <w:pPr>
        <w:pStyle w:val="BodyTextIndent2"/>
        <w:tabs>
          <w:tab w:val="clear" w:pos="709"/>
          <w:tab w:val="clear" w:pos="1276"/>
          <w:tab w:val="clear" w:pos="1560"/>
          <w:tab w:val="clear" w:pos="9072"/>
          <w:tab w:val="left" w:pos="340"/>
          <w:tab w:val="left" w:pos="680"/>
          <w:tab w:val="left" w:pos="851"/>
          <w:tab w:val="left" w:pos="1134"/>
          <w:tab w:val="left" w:pos="1361"/>
          <w:tab w:val="left" w:pos="1701"/>
          <w:tab w:val="right" w:leader="dot" w:pos="8505"/>
          <w:tab w:val="right" w:pos="9356"/>
        </w:tabs>
        <w:spacing w:before="120" w:line="240" w:lineRule="auto"/>
        <w:ind w:left="1134" w:right="851" w:hanging="1134"/>
        <w:jc w:val="both"/>
        <w:rPr>
          <w:sz w:val="22"/>
        </w:rPr>
      </w:pPr>
      <w:r>
        <w:rPr>
          <w:sz w:val="22"/>
        </w:rPr>
        <w:tab/>
      </w:r>
      <w:r>
        <w:rPr>
          <w:sz w:val="22"/>
        </w:rPr>
        <w:tab/>
        <w:t>7.1</w:t>
      </w:r>
      <w:r>
        <w:rPr>
          <w:sz w:val="22"/>
        </w:rPr>
        <w:tab/>
        <w:t>Равное право голосовать, занимать государственные должности и участвовать в НПО и ассоциациях</w:t>
      </w:r>
      <w:r>
        <w:rPr>
          <w:sz w:val="22"/>
        </w:rPr>
        <w:tab/>
      </w:r>
      <w:r>
        <w:rPr>
          <w:sz w:val="22"/>
        </w:rPr>
        <w:tab/>
        <w:t>41</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7.2</w:t>
      </w:r>
      <w:r>
        <w:rPr>
          <w:sz w:val="22"/>
        </w:rPr>
        <w:tab/>
        <w:t>Женщины в парламенте</w:t>
      </w:r>
      <w:r>
        <w:rPr>
          <w:sz w:val="22"/>
        </w:rPr>
        <w:tab/>
      </w:r>
      <w:r>
        <w:rPr>
          <w:sz w:val="22"/>
        </w:rPr>
        <w:tab/>
        <w:t>42</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7.3</w:t>
      </w:r>
      <w:r>
        <w:rPr>
          <w:sz w:val="22"/>
        </w:rPr>
        <w:tab/>
        <w:t>Женщины в кабинете министров, региональных и местных советах</w:t>
      </w:r>
      <w:r>
        <w:rPr>
          <w:sz w:val="22"/>
        </w:rPr>
        <w:tab/>
      </w:r>
      <w:r>
        <w:rPr>
          <w:sz w:val="22"/>
        </w:rPr>
        <w:tab/>
        <w:t>42</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7.4</w:t>
      </w:r>
      <w:r>
        <w:rPr>
          <w:sz w:val="22"/>
        </w:rPr>
        <w:tab/>
        <w:t>Женщины на государственной службе</w:t>
      </w:r>
      <w:r>
        <w:rPr>
          <w:sz w:val="22"/>
        </w:rPr>
        <w:tab/>
      </w:r>
      <w:r>
        <w:rPr>
          <w:sz w:val="22"/>
        </w:rPr>
        <w:tab/>
        <w:t>43</w:t>
      </w:r>
    </w:p>
    <w:p w:rsidR="00000000" w:rsidRDefault="00000000">
      <w:pPr>
        <w:pStyle w:val="BodyTextIndent2"/>
        <w:tabs>
          <w:tab w:val="clear" w:pos="709"/>
          <w:tab w:val="clear" w:pos="1276"/>
          <w:tab w:val="clear" w:pos="1560"/>
          <w:tab w:val="clear" w:pos="9072"/>
          <w:tab w:val="left" w:pos="340"/>
          <w:tab w:val="left" w:pos="680"/>
          <w:tab w:val="left" w:pos="851"/>
          <w:tab w:val="left" w:pos="1134"/>
          <w:tab w:val="left" w:pos="1361"/>
          <w:tab w:val="left" w:pos="1701"/>
          <w:tab w:val="right" w:leader="dot" w:pos="8505"/>
          <w:tab w:val="right" w:pos="9356"/>
        </w:tabs>
        <w:spacing w:before="120" w:line="240" w:lineRule="auto"/>
        <w:ind w:left="1134" w:right="851" w:hanging="1134"/>
        <w:rPr>
          <w:sz w:val="22"/>
        </w:rPr>
      </w:pPr>
      <w:r>
        <w:rPr>
          <w:sz w:val="22"/>
        </w:rPr>
        <w:tab/>
      </w:r>
      <w:r>
        <w:rPr>
          <w:sz w:val="22"/>
        </w:rPr>
        <w:tab/>
        <w:t>7.5</w:t>
      </w:r>
      <w:r>
        <w:rPr>
          <w:sz w:val="22"/>
        </w:rPr>
        <w:tab/>
        <w:t>Женщины в правоохранительных органах и в области отправления правосудия</w:t>
      </w:r>
      <w:r>
        <w:rPr>
          <w:sz w:val="22"/>
        </w:rPr>
        <w:tab/>
      </w:r>
      <w:r>
        <w:rPr>
          <w:sz w:val="22"/>
        </w:rPr>
        <w:tab/>
        <w:t>43</w:t>
      </w:r>
    </w:p>
    <w:p w:rsidR="00000000" w:rsidRDefault="00000000">
      <w:pPr>
        <w:pStyle w:val="BodyTextIndent2"/>
        <w:tabs>
          <w:tab w:val="clear" w:pos="709"/>
          <w:tab w:val="clear" w:pos="1276"/>
          <w:tab w:val="clear" w:pos="1560"/>
          <w:tab w:val="clear" w:pos="9072"/>
          <w:tab w:val="left" w:pos="340"/>
          <w:tab w:val="left" w:pos="680"/>
          <w:tab w:val="left" w:pos="851"/>
          <w:tab w:val="left" w:pos="1134"/>
          <w:tab w:val="left" w:pos="1361"/>
          <w:tab w:val="left" w:pos="1701"/>
          <w:tab w:val="right" w:leader="dot" w:pos="8505"/>
          <w:tab w:val="right" w:pos="9356"/>
        </w:tabs>
        <w:spacing w:before="120" w:line="240" w:lineRule="auto"/>
        <w:ind w:left="0" w:right="851" w:firstLine="0"/>
        <w:jc w:val="both"/>
        <w:rPr>
          <w:sz w:val="22"/>
        </w:rPr>
      </w:pPr>
      <w:r>
        <w:rPr>
          <w:sz w:val="22"/>
        </w:rPr>
        <w:tab/>
      </w:r>
      <w:r>
        <w:rPr>
          <w:sz w:val="22"/>
        </w:rPr>
        <w:tab/>
        <w:t>7.6</w:t>
      </w:r>
      <w:r>
        <w:rPr>
          <w:sz w:val="22"/>
        </w:rPr>
        <w:tab/>
        <w:t>Женщины в традиционных органах власти</w:t>
      </w:r>
      <w:r>
        <w:rPr>
          <w:sz w:val="22"/>
        </w:rPr>
        <w:tab/>
      </w:r>
      <w:r>
        <w:rPr>
          <w:sz w:val="22"/>
        </w:rPr>
        <w:tab/>
        <w:t>44</w:t>
      </w:r>
    </w:p>
    <w:p w:rsidR="00000000" w:rsidRDefault="00000000">
      <w:pPr>
        <w:pStyle w:val="BodyTextIndent2"/>
        <w:tabs>
          <w:tab w:val="clear" w:pos="709"/>
          <w:tab w:val="clear" w:pos="1276"/>
          <w:tab w:val="clear" w:pos="1560"/>
          <w:tab w:val="clear" w:pos="9072"/>
          <w:tab w:val="left" w:pos="340"/>
          <w:tab w:val="left" w:pos="680"/>
          <w:tab w:val="left" w:pos="851"/>
          <w:tab w:val="left" w:pos="1134"/>
          <w:tab w:val="left" w:pos="1361"/>
          <w:tab w:val="left" w:pos="1701"/>
          <w:tab w:val="right" w:leader="dot" w:pos="8505"/>
          <w:tab w:val="right" w:pos="9356"/>
        </w:tabs>
        <w:spacing w:before="120" w:line="240" w:lineRule="auto"/>
        <w:ind w:left="0" w:right="851" w:firstLine="0"/>
        <w:jc w:val="both"/>
        <w:rPr>
          <w:sz w:val="22"/>
        </w:rPr>
      </w:pPr>
      <w:r>
        <w:rPr>
          <w:sz w:val="22"/>
        </w:rPr>
        <w:tab/>
      </w:r>
      <w:r>
        <w:rPr>
          <w:sz w:val="22"/>
        </w:rPr>
        <w:tab/>
        <w:t>7.7</w:t>
      </w:r>
      <w:r>
        <w:rPr>
          <w:sz w:val="22"/>
        </w:rPr>
        <w:tab/>
        <w:t>Женщины в местных органах власти</w:t>
      </w:r>
      <w:r>
        <w:rPr>
          <w:sz w:val="22"/>
        </w:rPr>
        <w:tab/>
      </w:r>
      <w:r>
        <w:rPr>
          <w:sz w:val="22"/>
        </w:rPr>
        <w:tab/>
        <w:t>44</w:t>
      </w:r>
    </w:p>
    <w:p w:rsidR="00000000" w:rsidRDefault="00000000">
      <w:pPr>
        <w:pStyle w:val="BodyTextIndent2"/>
        <w:tabs>
          <w:tab w:val="clear" w:pos="709"/>
          <w:tab w:val="clear" w:pos="1276"/>
          <w:tab w:val="clear" w:pos="1560"/>
          <w:tab w:val="clear" w:pos="9072"/>
          <w:tab w:val="left" w:pos="340"/>
          <w:tab w:val="left" w:pos="680"/>
          <w:tab w:val="left" w:pos="851"/>
          <w:tab w:val="left" w:pos="1134"/>
          <w:tab w:val="left" w:pos="1361"/>
          <w:tab w:val="left" w:pos="1701"/>
          <w:tab w:val="right" w:leader="dot" w:pos="8505"/>
          <w:tab w:val="right" w:pos="9356"/>
        </w:tabs>
        <w:spacing w:before="120" w:line="240" w:lineRule="auto"/>
        <w:ind w:left="0" w:right="851" w:firstLine="0"/>
        <w:jc w:val="both"/>
        <w:rPr>
          <w:sz w:val="22"/>
        </w:rPr>
      </w:pPr>
      <w:r>
        <w:rPr>
          <w:sz w:val="22"/>
        </w:rPr>
        <w:tab/>
      </w:r>
      <w:r>
        <w:rPr>
          <w:sz w:val="22"/>
        </w:rPr>
        <w:tab/>
        <w:t>7.8</w:t>
      </w:r>
      <w:r>
        <w:rPr>
          <w:sz w:val="22"/>
        </w:rPr>
        <w:tab/>
        <w:t>Женщины в средствах массовой информации</w:t>
      </w:r>
      <w:r>
        <w:rPr>
          <w:sz w:val="22"/>
        </w:rPr>
        <w:tab/>
      </w:r>
      <w:r>
        <w:rPr>
          <w:sz w:val="22"/>
        </w:rPr>
        <w:tab/>
        <w:t>44</w:t>
      </w:r>
    </w:p>
    <w:p w:rsidR="00000000" w:rsidRDefault="00000000">
      <w:pPr>
        <w:tabs>
          <w:tab w:val="left" w:pos="340"/>
          <w:tab w:val="left" w:pos="680"/>
          <w:tab w:val="left" w:pos="851"/>
          <w:tab w:val="left" w:pos="1134"/>
          <w:tab w:val="left" w:pos="1361"/>
          <w:tab w:val="left" w:pos="1701"/>
          <w:tab w:val="right" w:leader="dot" w:pos="8505"/>
          <w:tab w:val="right" w:pos="9356"/>
        </w:tabs>
        <w:spacing w:before="240"/>
        <w:ind w:right="851"/>
        <w:jc w:val="both"/>
        <w:rPr>
          <w:sz w:val="22"/>
        </w:rPr>
      </w:pPr>
      <w:r>
        <w:rPr>
          <w:sz w:val="22"/>
        </w:rPr>
        <w:tab/>
        <w:t>СТАТЬЯ 8:</w:t>
      </w:r>
      <w:r>
        <w:rPr>
          <w:sz w:val="22"/>
        </w:rPr>
        <w:tab/>
        <w:t>Международное представительство</w:t>
      </w:r>
      <w:r>
        <w:rPr>
          <w:sz w:val="22"/>
        </w:rPr>
        <w:tab/>
      </w:r>
      <w:r>
        <w:rPr>
          <w:sz w:val="22"/>
        </w:rPr>
        <w:tab/>
        <w:t>44</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8.1</w:t>
      </w:r>
      <w:r>
        <w:rPr>
          <w:sz w:val="22"/>
        </w:rPr>
        <w:tab/>
        <w:t>Представительство в зарубежных миссиях с разбивкой по полу</w:t>
      </w:r>
      <w:r>
        <w:rPr>
          <w:sz w:val="22"/>
        </w:rPr>
        <w:tab/>
      </w:r>
      <w:r>
        <w:rPr>
          <w:sz w:val="22"/>
        </w:rPr>
        <w:tab/>
        <w:t>44</w:t>
      </w:r>
    </w:p>
    <w:p w:rsidR="00000000" w:rsidRDefault="00000000">
      <w:pPr>
        <w:tabs>
          <w:tab w:val="left" w:pos="340"/>
          <w:tab w:val="left" w:pos="680"/>
          <w:tab w:val="left" w:pos="851"/>
          <w:tab w:val="left" w:pos="1134"/>
          <w:tab w:val="left" w:pos="1361"/>
          <w:tab w:val="left" w:pos="1701"/>
          <w:tab w:val="right" w:leader="dot" w:pos="8505"/>
          <w:tab w:val="right" w:pos="9356"/>
        </w:tabs>
        <w:spacing w:before="240"/>
        <w:ind w:right="851"/>
        <w:jc w:val="both"/>
        <w:rPr>
          <w:sz w:val="22"/>
        </w:rPr>
      </w:pPr>
      <w:r>
        <w:rPr>
          <w:sz w:val="22"/>
        </w:rPr>
        <w:tab/>
        <w:t>СТАТЬЯ 9:</w:t>
      </w:r>
      <w:r>
        <w:rPr>
          <w:sz w:val="22"/>
        </w:rPr>
        <w:tab/>
        <w:t>Гражданство</w:t>
      </w:r>
      <w:r>
        <w:rPr>
          <w:sz w:val="22"/>
        </w:rPr>
        <w:tab/>
      </w:r>
      <w:r>
        <w:rPr>
          <w:sz w:val="22"/>
        </w:rPr>
        <w:tab/>
        <w:t>48</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9.1</w:t>
      </w:r>
      <w:r>
        <w:rPr>
          <w:sz w:val="22"/>
        </w:rPr>
        <w:tab/>
        <w:t>Приобретение и утрата намибийского гражданства</w:t>
      </w:r>
      <w:r>
        <w:rPr>
          <w:sz w:val="22"/>
        </w:rPr>
        <w:tab/>
      </w:r>
      <w:r>
        <w:rPr>
          <w:sz w:val="22"/>
        </w:rPr>
        <w:tab/>
        <w:t>48</w:t>
      </w:r>
    </w:p>
    <w:p w:rsidR="00000000" w:rsidRDefault="00000000">
      <w:pPr>
        <w:tabs>
          <w:tab w:val="left" w:pos="340"/>
          <w:tab w:val="left" w:pos="680"/>
          <w:tab w:val="left" w:pos="851"/>
          <w:tab w:val="left" w:pos="1134"/>
          <w:tab w:val="left" w:pos="1361"/>
          <w:tab w:val="left" w:pos="1701"/>
          <w:tab w:val="right" w:leader="dot" w:pos="8505"/>
          <w:tab w:val="right" w:pos="9356"/>
        </w:tabs>
        <w:spacing w:before="120"/>
        <w:ind w:right="851"/>
        <w:jc w:val="both"/>
        <w:rPr>
          <w:sz w:val="22"/>
        </w:rPr>
      </w:pPr>
      <w:r>
        <w:rPr>
          <w:sz w:val="22"/>
        </w:rPr>
        <w:tab/>
      </w:r>
      <w:r>
        <w:rPr>
          <w:sz w:val="22"/>
        </w:rPr>
        <w:tab/>
        <w:t>9.2</w:t>
      </w:r>
      <w:r>
        <w:rPr>
          <w:sz w:val="22"/>
        </w:rPr>
        <w:tab/>
        <w:t>Женщины, ищущие убежища</w:t>
      </w:r>
      <w:r>
        <w:rPr>
          <w:sz w:val="22"/>
        </w:rPr>
        <w:tab/>
      </w:r>
      <w:r>
        <w:rPr>
          <w:sz w:val="22"/>
        </w:rPr>
        <w:tab/>
        <w:t>48</w:t>
      </w:r>
    </w:p>
    <w:p w:rsidR="00000000" w:rsidRDefault="00000000">
      <w:pPr>
        <w:tabs>
          <w:tab w:val="left" w:pos="340"/>
          <w:tab w:val="left" w:pos="680"/>
          <w:tab w:val="left" w:pos="851"/>
          <w:tab w:val="left" w:pos="1134"/>
          <w:tab w:val="left" w:pos="1361"/>
          <w:tab w:val="left" w:pos="1701"/>
          <w:tab w:val="right" w:leader="dot" w:pos="8505"/>
          <w:tab w:val="right" w:pos="9356"/>
        </w:tabs>
        <w:spacing w:before="240"/>
        <w:ind w:right="851"/>
        <w:jc w:val="both"/>
        <w:rPr>
          <w:sz w:val="22"/>
        </w:rPr>
      </w:pPr>
      <w:r>
        <w:rPr>
          <w:sz w:val="22"/>
        </w:rPr>
        <w:tab/>
        <w:t>СТАТЬЯ 10:</w:t>
      </w:r>
      <w:r>
        <w:rPr>
          <w:sz w:val="22"/>
        </w:rPr>
        <w:tab/>
        <w:t>Образование</w:t>
      </w:r>
      <w:r>
        <w:rPr>
          <w:sz w:val="22"/>
        </w:rPr>
        <w:tab/>
      </w:r>
      <w:r>
        <w:rPr>
          <w:sz w:val="22"/>
        </w:rPr>
        <w:tab/>
        <w:t>48</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10.1</w:t>
      </w:r>
      <w:r>
        <w:rPr>
          <w:sz w:val="22"/>
        </w:rPr>
        <w:tab/>
        <w:t>Положения Конституции, касающиеся образования</w:t>
      </w:r>
      <w:r>
        <w:rPr>
          <w:sz w:val="22"/>
        </w:rPr>
        <w:tab/>
      </w:r>
      <w:r>
        <w:rPr>
          <w:sz w:val="22"/>
        </w:rPr>
        <w:tab/>
        <w:t>48</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10.2</w:t>
      </w:r>
      <w:r>
        <w:rPr>
          <w:sz w:val="22"/>
        </w:rPr>
        <w:tab/>
        <w:t>Численность учащихся в школах</w:t>
      </w:r>
      <w:r>
        <w:rPr>
          <w:sz w:val="22"/>
        </w:rPr>
        <w:tab/>
      </w:r>
      <w:r>
        <w:rPr>
          <w:sz w:val="22"/>
        </w:rPr>
        <w:tab/>
        <w:t>48</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10.3</w:t>
      </w:r>
      <w:r>
        <w:rPr>
          <w:sz w:val="22"/>
        </w:rPr>
        <w:tab/>
        <w:t>Национальная программа ликвидации неграмотности</w:t>
      </w:r>
      <w:r>
        <w:rPr>
          <w:sz w:val="22"/>
        </w:rPr>
        <w:tab/>
      </w:r>
      <w:r>
        <w:rPr>
          <w:sz w:val="22"/>
        </w:rPr>
        <w:tab/>
        <w:t>50</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10.4</w:t>
      </w:r>
      <w:r>
        <w:rPr>
          <w:sz w:val="22"/>
        </w:rPr>
        <w:tab/>
        <w:t>Беременность среди учащихся-подростков</w:t>
      </w:r>
      <w:r>
        <w:rPr>
          <w:sz w:val="22"/>
        </w:rPr>
        <w:tab/>
      </w:r>
      <w:r>
        <w:rPr>
          <w:sz w:val="22"/>
        </w:rPr>
        <w:tab/>
        <w:t>50</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10.5</w:t>
      </w:r>
      <w:r>
        <w:rPr>
          <w:sz w:val="22"/>
        </w:rPr>
        <w:tab/>
        <w:t>Просвещение по вопросам демографии и семейной жизни</w:t>
      </w:r>
      <w:r>
        <w:rPr>
          <w:sz w:val="22"/>
        </w:rPr>
        <w:tab/>
      </w:r>
      <w:r>
        <w:rPr>
          <w:sz w:val="22"/>
        </w:rPr>
        <w:tab/>
        <w:t>52</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10.6</w:t>
      </w:r>
      <w:r>
        <w:rPr>
          <w:sz w:val="22"/>
        </w:rPr>
        <w:tab/>
        <w:t>Подготовка преподавателей до поступлением на работу</w:t>
      </w:r>
      <w:r>
        <w:rPr>
          <w:sz w:val="22"/>
        </w:rPr>
        <w:tab/>
      </w:r>
      <w:r>
        <w:rPr>
          <w:sz w:val="22"/>
        </w:rPr>
        <w:tab/>
        <w:t>53</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10.7</w:t>
      </w:r>
      <w:r>
        <w:rPr>
          <w:sz w:val="22"/>
        </w:rPr>
        <w:tab/>
        <w:t>Повышение квалификации практикующих учителей без отрыва от работы</w:t>
      </w:r>
      <w:r>
        <w:rPr>
          <w:sz w:val="22"/>
        </w:rPr>
        <w:tab/>
      </w:r>
      <w:r>
        <w:rPr>
          <w:sz w:val="22"/>
        </w:rPr>
        <w:tab/>
        <w:t>54</w:t>
      </w:r>
    </w:p>
    <w:p w:rsidR="00000000" w:rsidRDefault="00000000">
      <w:pPr>
        <w:tabs>
          <w:tab w:val="left" w:pos="340"/>
          <w:tab w:val="left" w:pos="680"/>
          <w:tab w:val="left" w:pos="851"/>
          <w:tab w:val="left" w:pos="1134"/>
          <w:tab w:val="left" w:pos="1361"/>
          <w:tab w:val="left" w:pos="1701"/>
          <w:tab w:val="right" w:leader="dot" w:pos="8505"/>
          <w:tab w:val="right" w:pos="9356"/>
        </w:tabs>
        <w:spacing w:before="240"/>
        <w:ind w:right="851"/>
        <w:jc w:val="both"/>
        <w:rPr>
          <w:sz w:val="22"/>
        </w:rPr>
      </w:pPr>
      <w:r>
        <w:rPr>
          <w:sz w:val="22"/>
        </w:rPr>
        <w:tab/>
        <w:t>СТАТЬЯ 11:</w:t>
      </w:r>
      <w:r>
        <w:rPr>
          <w:sz w:val="22"/>
        </w:rPr>
        <w:tab/>
        <w:t>Положение в области занятости</w:t>
      </w:r>
      <w:r>
        <w:rPr>
          <w:sz w:val="22"/>
        </w:rPr>
        <w:tab/>
      </w:r>
      <w:r>
        <w:rPr>
          <w:sz w:val="22"/>
        </w:rPr>
        <w:tab/>
        <w:t>54</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11.1</w:t>
      </w:r>
      <w:r>
        <w:rPr>
          <w:sz w:val="22"/>
        </w:rPr>
        <w:tab/>
        <w:t>Численность рабочей силы</w:t>
      </w:r>
      <w:r>
        <w:rPr>
          <w:sz w:val="22"/>
        </w:rPr>
        <w:tab/>
      </w:r>
      <w:r>
        <w:rPr>
          <w:sz w:val="22"/>
        </w:rPr>
        <w:tab/>
        <w:t>54</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11.2</w:t>
      </w:r>
      <w:r>
        <w:rPr>
          <w:sz w:val="22"/>
        </w:rPr>
        <w:tab/>
        <w:t>Уровень безработицы с разбивкой по районам, областям и полу</w:t>
      </w:r>
      <w:r>
        <w:rPr>
          <w:sz w:val="22"/>
        </w:rPr>
        <w:tab/>
      </w:r>
      <w:r>
        <w:rPr>
          <w:sz w:val="22"/>
        </w:rPr>
        <w:tab/>
        <w:t>55</w:t>
      </w:r>
    </w:p>
    <w:p w:rsidR="00000000" w:rsidRDefault="00000000">
      <w:pPr>
        <w:tabs>
          <w:tab w:val="left" w:pos="340"/>
          <w:tab w:val="left" w:pos="680"/>
          <w:tab w:val="left" w:pos="851"/>
          <w:tab w:val="left" w:pos="1247"/>
          <w:tab w:val="left" w:pos="1701"/>
          <w:tab w:val="right" w:leader="dot" w:pos="8505"/>
          <w:tab w:val="right" w:pos="9356"/>
        </w:tabs>
        <w:spacing w:before="240"/>
        <w:ind w:right="851"/>
        <w:jc w:val="both"/>
        <w:rPr>
          <w:sz w:val="22"/>
        </w:rPr>
      </w:pPr>
      <w:r>
        <w:rPr>
          <w:sz w:val="22"/>
        </w:rPr>
        <w:tab/>
        <w:t>СТАТЬЯ 12:</w:t>
      </w:r>
      <w:r>
        <w:rPr>
          <w:sz w:val="22"/>
        </w:rPr>
        <w:tab/>
        <w:t xml:space="preserve">Здравоохранение </w:t>
      </w:r>
      <w:r>
        <w:rPr>
          <w:sz w:val="22"/>
        </w:rPr>
        <w:tab/>
      </w:r>
      <w:r>
        <w:rPr>
          <w:sz w:val="22"/>
        </w:rPr>
        <w:tab/>
        <w:t>56</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12.1</w:t>
      </w:r>
      <w:r>
        <w:rPr>
          <w:sz w:val="22"/>
        </w:rPr>
        <w:tab/>
        <w:t xml:space="preserve">Политика и системы в области здравоохранения </w:t>
      </w:r>
      <w:r>
        <w:rPr>
          <w:sz w:val="22"/>
        </w:rPr>
        <w:tab/>
      </w:r>
      <w:r>
        <w:rPr>
          <w:sz w:val="22"/>
        </w:rPr>
        <w:tab/>
        <w:t>56</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12.2</w:t>
      </w:r>
      <w:r>
        <w:rPr>
          <w:sz w:val="22"/>
        </w:rPr>
        <w:tab/>
        <w:t xml:space="preserve">Наличие и расположение учреждений </w:t>
      </w:r>
      <w:r>
        <w:rPr>
          <w:sz w:val="22"/>
        </w:rPr>
        <w:tab/>
      </w:r>
      <w:r>
        <w:rPr>
          <w:sz w:val="22"/>
        </w:rPr>
        <w:tab/>
        <w:t>57</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12.3</w:t>
      </w:r>
      <w:r>
        <w:rPr>
          <w:sz w:val="22"/>
        </w:rPr>
        <w:tab/>
        <w:t>Безопасные источники питьевой воды</w:t>
      </w:r>
      <w:r>
        <w:rPr>
          <w:sz w:val="22"/>
        </w:rPr>
        <w:tab/>
      </w:r>
      <w:r>
        <w:rPr>
          <w:sz w:val="22"/>
        </w:rPr>
        <w:tab/>
        <w:t>58</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12.4</w:t>
      </w:r>
      <w:r>
        <w:rPr>
          <w:sz w:val="22"/>
        </w:rPr>
        <w:tab/>
        <w:t>Санитарно-технические сооружения</w:t>
      </w:r>
      <w:r>
        <w:rPr>
          <w:sz w:val="22"/>
        </w:rPr>
        <w:tab/>
      </w:r>
      <w:r>
        <w:rPr>
          <w:sz w:val="22"/>
        </w:rPr>
        <w:tab/>
        <w:t>58</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12.5</w:t>
      </w:r>
      <w:r>
        <w:rPr>
          <w:sz w:val="22"/>
        </w:rPr>
        <w:tab/>
        <w:t>Рождаемость</w:t>
      </w:r>
      <w:r>
        <w:rPr>
          <w:sz w:val="22"/>
        </w:rPr>
        <w:tab/>
      </w:r>
      <w:r>
        <w:rPr>
          <w:sz w:val="22"/>
        </w:rPr>
        <w:tab/>
        <w:t>58</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12.6</w:t>
      </w:r>
      <w:r>
        <w:rPr>
          <w:sz w:val="22"/>
        </w:rPr>
        <w:tab/>
        <w:t>Планирование размеров семьи</w:t>
      </w:r>
      <w:r>
        <w:rPr>
          <w:sz w:val="22"/>
        </w:rPr>
        <w:tab/>
      </w:r>
      <w:r>
        <w:rPr>
          <w:sz w:val="22"/>
        </w:rPr>
        <w:tab/>
        <w:t>59</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12.7</w:t>
      </w:r>
      <w:r>
        <w:rPr>
          <w:sz w:val="22"/>
        </w:rPr>
        <w:tab/>
        <w:t>Охрана здоровья матерей</w:t>
      </w:r>
      <w:r>
        <w:rPr>
          <w:sz w:val="22"/>
        </w:rPr>
        <w:tab/>
      </w:r>
      <w:r>
        <w:rPr>
          <w:sz w:val="22"/>
        </w:rPr>
        <w:tab/>
        <w:t>60</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12.8</w:t>
      </w:r>
      <w:r>
        <w:rPr>
          <w:sz w:val="22"/>
        </w:rPr>
        <w:tab/>
        <w:t>ВИЧ/ СПИД в Намибии</w:t>
      </w:r>
      <w:r>
        <w:rPr>
          <w:sz w:val="22"/>
        </w:rPr>
        <w:tab/>
      </w:r>
      <w:r>
        <w:rPr>
          <w:sz w:val="22"/>
        </w:rPr>
        <w:tab/>
        <w:t>61</w:t>
      </w:r>
    </w:p>
    <w:p w:rsidR="00000000" w:rsidRDefault="00000000">
      <w:pPr>
        <w:tabs>
          <w:tab w:val="left" w:pos="340"/>
          <w:tab w:val="left" w:pos="680"/>
          <w:tab w:val="left" w:pos="851"/>
          <w:tab w:val="left" w:pos="1247"/>
          <w:tab w:val="left" w:pos="1701"/>
          <w:tab w:val="right" w:leader="dot" w:pos="8505"/>
          <w:tab w:val="right" w:pos="9356"/>
        </w:tabs>
        <w:spacing w:before="240"/>
        <w:ind w:right="851"/>
        <w:jc w:val="both"/>
        <w:rPr>
          <w:sz w:val="22"/>
        </w:rPr>
      </w:pPr>
      <w:r>
        <w:rPr>
          <w:sz w:val="22"/>
        </w:rPr>
        <w:tab/>
        <w:t>СТАТЬЯ 13:</w:t>
      </w:r>
      <w:r>
        <w:rPr>
          <w:sz w:val="22"/>
        </w:rPr>
        <w:tab/>
        <w:t>Экономическая и социальная жизнь</w:t>
      </w:r>
      <w:r>
        <w:rPr>
          <w:sz w:val="22"/>
        </w:rPr>
        <w:tab/>
      </w:r>
      <w:r>
        <w:rPr>
          <w:sz w:val="22"/>
        </w:rPr>
        <w:tab/>
        <w:t>64</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13.0</w:t>
      </w:r>
      <w:r>
        <w:rPr>
          <w:sz w:val="22"/>
        </w:rPr>
        <w:tab/>
        <w:t>Семейные пособия</w:t>
      </w:r>
      <w:r>
        <w:rPr>
          <w:sz w:val="22"/>
        </w:rPr>
        <w:tab/>
      </w:r>
      <w:r>
        <w:rPr>
          <w:sz w:val="22"/>
        </w:rPr>
        <w:tab/>
        <w:t>64</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13.1</w:t>
      </w:r>
      <w:r>
        <w:rPr>
          <w:sz w:val="22"/>
        </w:rPr>
        <w:tab/>
        <w:t>Пенсии по старости</w:t>
      </w:r>
      <w:r>
        <w:rPr>
          <w:sz w:val="22"/>
        </w:rPr>
        <w:tab/>
      </w:r>
      <w:r>
        <w:rPr>
          <w:sz w:val="22"/>
        </w:rPr>
        <w:tab/>
        <w:t>64</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13.2</w:t>
      </w:r>
      <w:r>
        <w:rPr>
          <w:sz w:val="22"/>
        </w:rPr>
        <w:tab/>
        <w:t>Пособия на содержание детей</w:t>
      </w:r>
      <w:r>
        <w:rPr>
          <w:sz w:val="22"/>
        </w:rPr>
        <w:tab/>
      </w:r>
      <w:r>
        <w:rPr>
          <w:sz w:val="22"/>
        </w:rPr>
        <w:tab/>
        <w:t>64</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13.3</w:t>
      </w:r>
      <w:r>
        <w:rPr>
          <w:sz w:val="22"/>
        </w:rPr>
        <w:tab/>
        <w:t xml:space="preserve">Алименты </w:t>
      </w:r>
      <w:r>
        <w:rPr>
          <w:sz w:val="22"/>
        </w:rPr>
        <w:tab/>
      </w:r>
      <w:r>
        <w:rPr>
          <w:sz w:val="22"/>
        </w:rPr>
        <w:tab/>
        <w:t>65</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13.4</w:t>
      </w:r>
      <w:r>
        <w:rPr>
          <w:sz w:val="22"/>
        </w:rPr>
        <w:tab/>
        <w:t>Финансовый кредит</w:t>
      </w:r>
      <w:r>
        <w:rPr>
          <w:sz w:val="22"/>
        </w:rPr>
        <w:tab/>
      </w:r>
      <w:r>
        <w:rPr>
          <w:sz w:val="22"/>
        </w:rPr>
        <w:tab/>
        <w:t>65</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13.5</w:t>
      </w:r>
      <w:r>
        <w:rPr>
          <w:sz w:val="22"/>
        </w:rPr>
        <w:tab/>
        <w:t>Спорт</w:t>
      </w:r>
      <w:r>
        <w:rPr>
          <w:sz w:val="22"/>
        </w:rPr>
        <w:tab/>
      </w:r>
      <w:r>
        <w:rPr>
          <w:sz w:val="22"/>
        </w:rPr>
        <w:tab/>
        <w:t>66</w:t>
      </w:r>
    </w:p>
    <w:p w:rsidR="00000000" w:rsidRDefault="00000000">
      <w:pPr>
        <w:tabs>
          <w:tab w:val="left" w:pos="340"/>
          <w:tab w:val="left" w:pos="680"/>
          <w:tab w:val="left" w:pos="851"/>
          <w:tab w:val="left" w:pos="1247"/>
          <w:tab w:val="left" w:pos="1701"/>
          <w:tab w:val="right" w:leader="dot" w:pos="8505"/>
          <w:tab w:val="right" w:pos="9356"/>
        </w:tabs>
        <w:spacing w:before="240"/>
        <w:ind w:right="851"/>
        <w:jc w:val="both"/>
        <w:rPr>
          <w:sz w:val="22"/>
        </w:rPr>
      </w:pPr>
      <w:r>
        <w:rPr>
          <w:sz w:val="22"/>
        </w:rPr>
        <w:tab/>
        <w:t>СТАТЬЯ 14:</w:t>
      </w:r>
      <w:r>
        <w:rPr>
          <w:sz w:val="22"/>
        </w:rPr>
        <w:tab/>
        <w:t>Сельские женщины</w:t>
      </w:r>
      <w:r>
        <w:rPr>
          <w:sz w:val="22"/>
        </w:rPr>
        <w:tab/>
      </w:r>
      <w:r>
        <w:rPr>
          <w:sz w:val="22"/>
        </w:rPr>
        <w:tab/>
        <w:t>66</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14.1</w:t>
      </w:r>
      <w:r>
        <w:rPr>
          <w:sz w:val="22"/>
        </w:rPr>
        <w:tab/>
        <w:t>Положение сельских женщин</w:t>
      </w:r>
      <w:r>
        <w:rPr>
          <w:sz w:val="22"/>
        </w:rPr>
        <w:tab/>
      </w:r>
      <w:r>
        <w:rPr>
          <w:sz w:val="22"/>
        </w:rPr>
        <w:tab/>
      </w:r>
    </w:p>
    <w:p w:rsidR="00000000" w:rsidRDefault="00000000">
      <w:pPr>
        <w:pStyle w:val="BodyTextIndent2"/>
        <w:tabs>
          <w:tab w:val="clear" w:pos="709"/>
          <w:tab w:val="clear" w:pos="1276"/>
          <w:tab w:val="clear" w:pos="1560"/>
          <w:tab w:val="clear" w:pos="9072"/>
          <w:tab w:val="left" w:pos="340"/>
          <w:tab w:val="left" w:pos="680"/>
          <w:tab w:val="left" w:pos="851"/>
          <w:tab w:val="left" w:pos="1247"/>
          <w:tab w:val="left" w:pos="1701"/>
          <w:tab w:val="right" w:leader="dot" w:pos="8505"/>
          <w:tab w:val="right" w:pos="9356"/>
        </w:tabs>
        <w:spacing w:before="120" w:line="240" w:lineRule="auto"/>
        <w:ind w:left="1247" w:right="851" w:hanging="1247"/>
        <w:rPr>
          <w:sz w:val="22"/>
        </w:rPr>
      </w:pPr>
      <w:r>
        <w:rPr>
          <w:sz w:val="22"/>
        </w:rPr>
        <w:tab/>
      </w:r>
      <w:r>
        <w:rPr>
          <w:sz w:val="22"/>
        </w:rPr>
        <w:tab/>
        <w:t>14.2</w:t>
      </w:r>
      <w:r>
        <w:rPr>
          <w:sz w:val="22"/>
        </w:rPr>
        <w:tab/>
        <w:t>Правительственная политика в отношении сельского хозяйства и развития сельских районов</w:t>
      </w:r>
      <w:r>
        <w:rPr>
          <w:sz w:val="22"/>
        </w:rPr>
        <w:tab/>
      </w:r>
      <w:r>
        <w:rPr>
          <w:sz w:val="22"/>
        </w:rPr>
        <w:tab/>
        <w:t>66</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14.3</w:t>
      </w:r>
      <w:r>
        <w:rPr>
          <w:sz w:val="22"/>
        </w:rPr>
        <w:tab/>
        <w:t>Программы по обеспечению улучшения положения сельских женщин</w:t>
      </w:r>
      <w:r>
        <w:rPr>
          <w:sz w:val="22"/>
        </w:rPr>
        <w:tab/>
      </w:r>
      <w:r>
        <w:rPr>
          <w:sz w:val="22"/>
        </w:rPr>
        <w:tab/>
        <w:t>67</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14.4</w:t>
      </w:r>
      <w:r>
        <w:rPr>
          <w:sz w:val="22"/>
        </w:rPr>
        <w:tab/>
        <w:t>Законы, непосредственно касающиеся сельских женщин</w:t>
      </w:r>
      <w:r>
        <w:rPr>
          <w:sz w:val="22"/>
        </w:rPr>
        <w:tab/>
      </w:r>
      <w:r>
        <w:rPr>
          <w:sz w:val="22"/>
        </w:rPr>
        <w:tab/>
        <w:t>67</w:t>
      </w:r>
    </w:p>
    <w:p w:rsidR="00000000" w:rsidRDefault="00000000">
      <w:pPr>
        <w:tabs>
          <w:tab w:val="left" w:pos="340"/>
          <w:tab w:val="left" w:pos="680"/>
          <w:tab w:val="left" w:pos="851"/>
          <w:tab w:val="left" w:pos="1247"/>
          <w:tab w:val="left" w:pos="1701"/>
          <w:tab w:val="right" w:leader="dot" w:pos="8505"/>
          <w:tab w:val="right" w:pos="9356"/>
        </w:tabs>
        <w:spacing w:before="240"/>
        <w:ind w:right="851"/>
        <w:jc w:val="both"/>
        <w:rPr>
          <w:sz w:val="22"/>
        </w:rPr>
      </w:pPr>
      <w:r>
        <w:rPr>
          <w:sz w:val="22"/>
        </w:rPr>
        <w:tab/>
        <w:t>СТАТЬЯ 15:</w:t>
      </w:r>
      <w:r>
        <w:rPr>
          <w:sz w:val="22"/>
        </w:rPr>
        <w:tab/>
        <w:t>Право- и дееспособность и домициль</w:t>
      </w:r>
      <w:r>
        <w:rPr>
          <w:sz w:val="22"/>
        </w:rPr>
        <w:tab/>
      </w:r>
      <w:r>
        <w:rPr>
          <w:sz w:val="22"/>
        </w:rPr>
        <w:tab/>
        <w:t>68</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15.1</w:t>
      </w:r>
      <w:r>
        <w:rPr>
          <w:sz w:val="22"/>
        </w:rPr>
        <w:tab/>
        <w:t>Браки, заключенные в соответствии с гражданским правом</w:t>
      </w:r>
      <w:r>
        <w:rPr>
          <w:sz w:val="22"/>
        </w:rPr>
        <w:tab/>
      </w:r>
      <w:r>
        <w:rPr>
          <w:sz w:val="22"/>
        </w:rPr>
        <w:tab/>
        <w:t>68</w:t>
      </w:r>
    </w:p>
    <w:p w:rsidR="00000000" w:rsidRDefault="00000000">
      <w:pPr>
        <w:tabs>
          <w:tab w:val="left" w:pos="340"/>
          <w:tab w:val="left" w:pos="680"/>
          <w:tab w:val="left" w:pos="851"/>
          <w:tab w:val="left" w:pos="1247"/>
          <w:tab w:val="left" w:pos="1701"/>
          <w:tab w:val="right" w:leader="dot" w:pos="8505"/>
          <w:tab w:val="right" w:pos="9356"/>
        </w:tabs>
        <w:spacing w:before="120"/>
        <w:ind w:right="851"/>
        <w:jc w:val="both"/>
        <w:rPr>
          <w:sz w:val="22"/>
        </w:rPr>
      </w:pPr>
      <w:r>
        <w:rPr>
          <w:sz w:val="22"/>
        </w:rPr>
        <w:tab/>
      </w:r>
      <w:r>
        <w:rPr>
          <w:sz w:val="22"/>
        </w:rPr>
        <w:tab/>
        <w:t>15.2</w:t>
      </w:r>
      <w:r>
        <w:rPr>
          <w:sz w:val="22"/>
        </w:rPr>
        <w:tab/>
        <w:t>Браки, заключенные в соответствии с обычным правом</w:t>
      </w:r>
      <w:r>
        <w:rPr>
          <w:sz w:val="22"/>
        </w:rPr>
        <w:tab/>
      </w:r>
      <w:r>
        <w:rPr>
          <w:sz w:val="22"/>
        </w:rPr>
        <w:tab/>
        <w:t>68</w:t>
      </w:r>
    </w:p>
    <w:p w:rsidR="00000000" w:rsidRDefault="00000000">
      <w:pPr>
        <w:tabs>
          <w:tab w:val="left" w:pos="851"/>
          <w:tab w:val="right" w:leader="dot" w:pos="8505"/>
          <w:tab w:val="right" w:pos="9356"/>
        </w:tabs>
        <w:spacing w:before="240"/>
        <w:ind w:right="851"/>
        <w:jc w:val="both"/>
        <w:rPr>
          <w:sz w:val="22"/>
        </w:rPr>
      </w:pPr>
      <w:r>
        <w:rPr>
          <w:sz w:val="22"/>
        </w:rPr>
        <w:t>Выводы</w:t>
      </w:r>
      <w:r>
        <w:rPr>
          <w:sz w:val="22"/>
        </w:rPr>
        <w:tab/>
      </w:r>
      <w:r>
        <w:rPr>
          <w:sz w:val="22"/>
        </w:rPr>
        <w:tab/>
      </w:r>
      <w:r>
        <w:rPr>
          <w:sz w:val="22"/>
        </w:rPr>
        <w:tab/>
        <w:t>68</w:t>
      </w:r>
      <w:r>
        <w:rPr>
          <w:sz w:val="22"/>
        </w:rPr>
        <w:tab/>
      </w:r>
    </w:p>
    <w:p w:rsidR="00000000" w:rsidRDefault="00000000">
      <w:pPr>
        <w:tabs>
          <w:tab w:val="right" w:leader="dot" w:pos="8505"/>
          <w:tab w:val="right" w:pos="9356"/>
        </w:tabs>
        <w:spacing w:before="240"/>
        <w:ind w:right="851"/>
        <w:jc w:val="both"/>
        <w:rPr>
          <w:sz w:val="22"/>
        </w:rPr>
      </w:pPr>
      <w:r>
        <w:rPr>
          <w:sz w:val="22"/>
        </w:rPr>
        <w:t xml:space="preserve">ССЫЛКИ </w:t>
      </w:r>
      <w:r>
        <w:rPr>
          <w:sz w:val="22"/>
        </w:rPr>
        <w:tab/>
      </w:r>
      <w:r>
        <w:rPr>
          <w:sz w:val="22"/>
        </w:rPr>
        <w:tab/>
        <w:t>70</w:t>
      </w:r>
      <w:r>
        <w:rPr>
          <w:sz w:val="22"/>
        </w:rPr>
        <w:tab/>
      </w:r>
    </w:p>
    <w:p w:rsidR="00000000" w:rsidRDefault="00000000">
      <w:pPr>
        <w:tabs>
          <w:tab w:val="left" w:pos="680"/>
          <w:tab w:val="left" w:pos="1361"/>
        </w:tabs>
        <w:spacing w:after="240"/>
        <w:jc w:val="center"/>
        <w:rPr>
          <w:b/>
          <w:sz w:val="22"/>
        </w:rPr>
      </w:pPr>
      <w:r>
        <w:rPr>
          <w:sz w:val="22"/>
        </w:rPr>
        <w:br w:type="page"/>
      </w:r>
      <w:r>
        <w:rPr>
          <w:b/>
          <w:sz w:val="22"/>
        </w:rPr>
        <w:t>Список сокращений</w:t>
      </w:r>
    </w:p>
    <w:tbl>
      <w:tblPr>
        <w:tblW w:w="0" w:type="auto"/>
        <w:tblInd w:w="-106" w:type="dxa"/>
        <w:tblLayout w:type="fixed"/>
        <w:tblLook w:val="0000" w:firstRow="0" w:lastRow="0" w:firstColumn="0" w:lastColumn="0" w:noHBand="0" w:noVBand="0"/>
      </w:tblPr>
      <w:tblGrid>
        <w:gridCol w:w="1526"/>
        <w:gridCol w:w="8096"/>
      </w:tblGrid>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ВВП</w:t>
            </w:r>
          </w:p>
        </w:tc>
        <w:tc>
          <w:tcPr>
            <w:tcW w:w="8096" w:type="dxa"/>
          </w:tcPr>
          <w:p w:rsidR="00000000" w:rsidRDefault="00000000">
            <w:pPr>
              <w:tabs>
                <w:tab w:val="left" w:pos="680"/>
                <w:tab w:val="left" w:pos="1361"/>
              </w:tabs>
              <w:spacing w:before="60"/>
              <w:rPr>
                <w:sz w:val="22"/>
              </w:rPr>
            </w:pPr>
            <w:r>
              <w:rPr>
                <w:sz w:val="22"/>
              </w:rPr>
              <w:t>Валовой внутренний продукт</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ДТА</w:t>
            </w:r>
          </w:p>
        </w:tc>
        <w:tc>
          <w:tcPr>
            <w:tcW w:w="8096" w:type="dxa"/>
          </w:tcPr>
          <w:p w:rsidR="00000000" w:rsidRDefault="00000000">
            <w:pPr>
              <w:tabs>
                <w:tab w:val="left" w:pos="680"/>
                <w:tab w:val="left" w:pos="1361"/>
              </w:tabs>
              <w:spacing w:before="60"/>
              <w:rPr>
                <w:sz w:val="22"/>
              </w:rPr>
            </w:pPr>
            <w:r>
              <w:rPr>
                <w:sz w:val="22"/>
              </w:rPr>
              <w:t>Демократический альянс Турнхалле</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ИППП</w:t>
            </w:r>
          </w:p>
        </w:tc>
        <w:tc>
          <w:tcPr>
            <w:tcW w:w="8096" w:type="dxa"/>
          </w:tcPr>
          <w:p w:rsidR="00000000" w:rsidRDefault="00000000">
            <w:pPr>
              <w:tabs>
                <w:tab w:val="left" w:pos="680"/>
                <w:tab w:val="left" w:pos="1361"/>
              </w:tabs>
              <w:spacing w:before="60"/>
              <w:rPr>
                <w:sz w:val="22"/>
              </w:rPr>
            </w:pPr>
            <w:r>
              <w:rPr>
                <w:sz w:val="22"/>
              </w:rPr>
              <w:t>Инфекции, передаваемые половым путем</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КАМР</w:t>
            </w:r>
          </w:p>
        </w:tc>
        <w:tc>
          <w:tcPr>
            <w:tcW w:w="8096" w:type="dxa"/>
          </w:tcPr>
          <w:p w:rsidR="00000000" w:rsidRDefault="00000000">
            <w:pPr>
              <w:tabs>
                <w:tab w:val="left" w:pos="680"/>
                <w:tab w:val="left" w:pos="1361"/>
              </w:tabs>
              <w:spacing w:before="60"/>
              <w:rPr>
                <w:sz w:val="22"/>
              </w:rPr>
            </w:pPr>
            <w:r>
              <w:rPr>
                <w:sz w:val="22"/>
              </w:rPr>
              <w:t>Канадское агентство международного развития</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КД</w:t>
            </w:r>
          </w:p>
        </w:tc>
        <w:tc>
          <w:tcPr>
            <w:tcW w:w="8096" w:type="dxa"/>
          </w:tcPr>
          <w:p w:rsidR="00000000" w:rsidRDefault="00000000">
            <w:pPr>
              <w:tabs>
                <w:tab w:val="left" w:pos="680"/>
                <w:tab w:val="left" w:pos="1361"/>
              </w:tabs>
              <w:spacing w:before="60"/>
              <w:rPr>
                <w:sz w:val="22"/>
              </w:rPr>
            </w:pPr>
            <w:r>
              <w:rPr>
                <w:sz w:val="22"/>
              </w:rPr>
              <w:t>Конгресс демократов</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КЛДЖ</w:t>
            </w:r>
          </w:p>
        </w:tc>
        <w:tc>
          <w:tcPr>
            <w:tcW w:w="8096" w:type="dxa"/>
          </w:tcPr>
          <w:p w:rsidR="00000000" w:rsidRDefault="00000000">
            <w:pPr>
              <w:tabs>
                <w:tab w:val="left" w:pos="680"/>
                <w:tab w:val="left" w:pos="1361"/>
              </w:tabs>
              <w:spacing w:before="60"/>
              <w:rPr>
                <w:sz w:val="22"/>
              </w:rPr>
            </w:pPr>
            <w:r>
              <w:rPr>
                <w:sz w:val="22"/>
              </w:rPr>
              <w:t>Конвенция о ликвидации всех форм дискриминации в отношении женщин</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НПО</w:t>
            </w:r>
          </w:p>
        </w:tc>
        <w:tc>
          <w:tcPr>
            <w:tcW w:w="8096" w:type="dxa"/>
          </w:tcPr>
          <w:p w:rsidR="00000000" w:rsidRDefault="00000000">
            <w:pPr>
              <w:tabs>
                <w:tab w:val="left" w:pos="680"/>
                <w:tab w:val="left" w:pos="1361"/>
              </w:tabs>
              <w:spacing w:before="60"/>
              <w:rPr>
                <w:sz w:val="22"/>
              </w:rPr>
            </w:pPr>
            <w:r>
              <w:rPr>
                <w:sz w:val="22"/>
              </w:rPr>
              <w:t>Неправительственные организации</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НПР</w:t>
            </w:r>
          </w:p>
        </w:tc>
        <w:tc>
          <w:tcPr>
            <w:tcW w:w="8096" w:type="dxa"/>
          </w:tcPr>
          <w:p w:rsidR="00000000" w:rsidRDefault="00000000">
            <w:pPr>
              <w:tabs>
                <w:tab w:val="left" w:pos="680"/>
                <w:tab w:val="left" w:pos="1361"/>
              </w:tabs>
              <w:spacing w:before="60"/>
              <w:rPr>
                <w:sz w:val="22"/>
              </w:rPr>
            </w:pPr>
            <w:r>
              <w:rPr>
                <w:sz w:val="22"/>
              </w:rPr>
              <w:t>Национальный план развития</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ОДЗН</w:t>
            </w:r>
          </w:p>
        </w:tc>
        <w:tc>
          <w:tcPr>
            <w:tcW w:w="8096" w:type="dxa"/>
          </w:tcPr>
          <w:p w:rsidR="00000000" w:rsidRDefault="00000000">
            <w:pPr>
              <w:tabs>
                <w:tab w:val="left" w:pos="680"/>
                <w:tab w:val="left" w:pos="1361"/>
              </w:tabs>
              <w:spacing w:before="60"/>
              <w:rPr>
                <w:sz w:val="22"/>
              </w:rPr>
            </w:pPr>
            <w:r>
              <w:rPr>
                <w:sz w:val="22"/>
              </w:rPr>
              <w:t>Обзор ситуации в области демографии и здравоохранения в Намибии</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ОДФ</w:t>
            </w:r>
          </w:p>
        </w:tc>
        <w:tc>
          <w:tcPr>
            <w:tcW w:w="8096" w:type="dxa"/>
          </w:tcPr>
          <w:p w:rsidR="00000000" w:rsidRDefault="00000000">
            <w:pPr>
              <w:tabs>
                <w:tab w:val="left" w:pos="680"/>
                <w:tab w:val="left" w:pos="1361"/>
              </w:tabs>
              <w:spacing w:before="60"/>
              <w:rPr>
                <w:sz w:val="22"/>
              </w:rPr>
            </w:pPr>
            <w:r>
              <w:rPr>
                <w:sz w:val="22"/>
              </w:rPr>
              <w:t>Объединенный демократический фронт</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СВАПО</w:t>
            </w:r>
          </w:p>
        </w:tc>
        <w:tc>
          <w:tcPr>
            <w:tcW w:w="8096" w:type="dxa"/>
          </w:tcPr>
          <w:p w:rsidR="00000000" w:rsidRDefault="00000000">
            <w:pPr>
              <w:tabs>
                <w:tab w:val="left" w:pos="680"/>
                <w:tab w:val="left" w:pos="1361"/>
              </w:tabs>
              <w:spacing w:before="60"/>
              <w:rPr>
                <w:sz w:val="22"/>
              </w:rPr>
            </w:pPr>
            <w:r>
              <w:rPr>
                <w:sz w:val="22"/>
              </w:rPr>
              <w:t>Народная организация Юго-Западной Африки</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УВКБ ООН</w:t>
            </w:r>
          </w:p>
        </w:tc>
        <w:tc>
          <w:tcPr>
            <w:tcW w:w="8096" w:type="dxa"/>
          </w:tcPr>
          <w:p w:rsidR="00000000" w:rsidRDefault="00000000">
            <w:pPr>
              <w:tabs>
                <w:tab w:val="left" w:pos="680"/>
                <w:tab w:val="left" w:pos="1361"/>
              </w:tabs>
              <w:spacing w:before="60"/>
              <w:rPr>
                <w:sz w:val="22"/>
              </w:rPr>
            </w:pPr>
            <w:r>
              <w:rPr>
                <w:sz w:val="22"/>
              </w:rPr>
              <w:t>Управление Верховного комиссара Организации Объединенных Наций по делам беженцев</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ЦПП</w:t>
            </w:r>
          </w:p>
        </w:tc>
        <w:tc>
          <w:tcPr>
            <w:tcW w:w="8096" w:type="dxa"/>
          </w:tcPr>
          <w:p w:rsidR="00000000" w:rsidRDefault="00000000">
            <w:pPr>
              <w:tabs>
                <w:tab w:val="left" w:pos="680"/>
                <w:tab w:val="left" w:pos="1361"/>
              </w:tabs>
              <w:spacing w:before="60"/>
              <w:rPr>
                <w:sz w:val="22"/>
              </w:rPr>
            </w:pPr>
            <w:r>
              <w:rPr>
                <w:sz w:val="22"/>
              </w:rPr>
              <w:t>Центр правовой помощи</w:t>
            </w:r>
          </w:p>
        </w:tc>
      </w:tr>
      <w:tr w:rsidR="00000000">
        <w:tblPrEx>
          <w:tblCellMar>
            <w:top w:w="0" w:type="dxa"/>
            <w:bottom w:w="0" w:type="dxa"/>
          </w:tblCellMar>
        </w:tblPrEx>
        <w:tc>
          <w:tcPr>
            <w:tcW w:w="1526" w:type="dxa"/>
          </w:tcPr>
          <w:p w:rsidR="00000000" w:rsidRDefault="00000000">
            <w:pPr>
              <w:pStyle w:val="Heading3"/>
              <w:tabs>
                <w:tab w:val="left" w:pos="680"/>
                <w:tab w:val="left" w:pos="1361"/>
              </w:tabs>
              <w:spacing w:before="60"/>
              <w:ind w:left="0"/>
              <w:jc w:val="left"/>
              <w:rPr>
                <w:sz w:val="22"/>
              </w:rPr>
            </w:pPr>
            <w:r>
              <w:rPr>
                <w:sz w:val="22"/>
              </w:rPr>
              <w:t>ЦСБ</w:t>
            </w:r>
          </w:p>
        </w:tc>
        <w:tc>
          <w:tcPr>
            <w:tcW w:w="8096" w:type="dxa"/>
          </w:tcPr>
          <w:p w:rsidR="00000000" w:rsidRDefault="00000000">
            <w:pPr>
              <w:pStyle w:val="Heading3"/>
              <w:tabs>
                <w:tab w:val="left" w:pos="680"/>
                <w:tab w:val="left" w:pos="1361"/>
              </w:tabs>
              <w:spacing w:before="60"/>
              <w:ind w:left="0"/>
              <w:jc w:val="left"/>
              <w:rPr>
                <w:sz w:val="22"/>
              </w:rPr>
            </w:pPr>
            <w:r>
              <w:rPr>
                <w:sz w:val="22"/>
              </w:rPr>
              <w:t>Центральное статистическое бюро</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ЭКАООН</w:t>
            </w:r>
          </w:p>
        </w:tc>
        <w:tc>
          <w:tcPr>
            <w:tcW w:w="8096" w:type="dxa"/>
          </w:tcPr>
          <w:p w:rsidR="00000000" w:rsidRDefault="00000000">
            <w:pPr>
              <w:tabs>
                <w:tab w:val="left" w:pos="680"/>
                <w:tab w:val="left" w:pos="1361"/>
              </w:tabs>
              <w:spacing w:before="60"/>
              <w:rPr>
                <w:sz w:val="22"/>
              </w:rPr>
            </w:pPr>
            <w:r>
              <w:rPr>
                <w:sz w:val="22"/>
              </w:rPr>
              <w:t>Экономическая комиссия Организации Объединенных Наций для Африки</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lang w:val="en-US"/>
              </w:rPr>
              <w:t>FAWENA</w:t>
            </w:r>
          </w:p>
        </w:tc>
        <w:tc>
          <w:tcPr>
            <w:tcW w:w="8096" w:type="dxa"/>
          </w:tcPr>
          <w:p w:rsidR="00000000" w:rsidRDefault="00000000">
            <w:pPr>
              <w:tabs>
                <w:tab w:val="left" w:pos="680"/>
                <w:tab w:val="left" w:pos="1361"/>
              </w:tabs>
              <w:spacing w:before="60"/>
              <w:rPr>
                <w:sz w:val="22"/>
              </w:rPr>
            </w:pPr>
            <w:r>
              <w:rPr>
                <w:sz w:val="22"/>
              </w:rPr>
              <w:t>Форум африканских женщин-педагогов в Намибии</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rPr>
              <w:t>MAWRD</w:t>
            </w:r>
          </w:p>
        </w:tc>
        <w:tc>
          <w:tcPr>
            <w:tcW w:w="8096" w:type="dxa"/>
          </w:tcPr>
          <w:p w:rsidR="00000000" w:rsidRDefault="00000000">
            <w:pPr>
              <w:tabs>
                <w:tab w:val="left" w:pos="680"/>
                <w:tab w:val="left" w:pos="1361"/>
              </w:tabs>
              <w:spacing w:before="60"/>
              <w:rPr>
                <w:sz w:val="22"/>
              </w:rPr>
            </w:pPr>
            <w:r>
              <w:rPr>
                <w:sz w:val="22"/>
              </w:rPr>
              <w:t>Министерство сельского хозяйства, водных ресурсов и  развития сельских районов</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lang w:val="en-US"/>
              </w:rPr>
              <w:t>MBESC</w:t>
            </w:r>
          </w:p>
        </w:tc>
        <w:tc>
          <w:tcPr>
            <w:tcW w:w="8096" w:type="dxa"/>
          </w:tcPr>
          <w:p w:rsidR="00000000" w:rsidRDefault="00000000">
            <w:pPr>
              <w:tabs>
                <w:tab w:val="left" w:pos="680"/>
                <w:tab w:val="left" w:pos="1361"/>
              </w:tabs>
              <w:spacing w:before="60"/>
              <w:rPr>
                <w:sz w:val="22"/>
              </w:rPr>
            </w:pPr>
            <w:r>
              <w:rPr>
                <w:sz w:val="22"/>
              </w:rPr>
              <w:t>Министерство базового образования, спорта и  культуры</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lang w:val="en-US"/>
              </w:rPr>
              <w:t>MHETEC</w:t>
            </w:r>
          </w:p>
        </w:tc>
        <w:tc>
          <w:tcPr>
            <w:tcW w:w="8096" w:type="dxa"/>
          </w:tcPr>
          <w:p w:rsidR="00000000" w:rsidRDefault="00000000">
            <w:pPr>
              <w:tabs>
                <w:tab w:val="left" w:pos="680"/>
                <w:tab w:val="left" w:pos="1361"/>
              </w:tabs>
              <w:spacing w:before="60"/>
              <w:rPr>
                <w:sz w:val="22"/>
              </w:rPr>
            </w:pPr>
            <w:r>
              <w:rPr>
                <w:sz w:val="22"/>
              </w:rPr>
              <w:t>Министерство высшего образования, профессиональной подготовки и создания рабочих мест</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lang w:val="en-US"/>
              </w:rPr>
              <w:t>MMC</w:t>
            </w:r>
          </w:p>
        </w:tc>
        <w:tc>
          <w:tcPr>
            <w:tcW w:w="8096" w:type="dxa"/>
          </w:tcPr>
          <w:p w:rsidR="00000000" w:rsidRDefault="00000000">
            <w:pPr>
              <w:tabs>
                <w:tab w:val="left" w:pos="680"/>
                <w:tab w:val="left" w:pos="1361"/>
              </w:tabs>
              <w:spacing w:before="60"/>
              <w:rPr>
                <w:sz w:val="22"/>
              </w:rPr>
            </w:pPr>
            <w:r>
              <w:rPr>
                <w:sz w:val="22"/>
              </w:rPr>
              <w:t>Кампания в средствах массовой информации против насилия в отношении женщин и детей</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lang w:val="en-US"/>
              </w:rPr>
              <w:t>MOHSS</w:t>
            </w:r>
          </w:p>
        </w:tc>
        <w:tc>
          <w:tcPr>
            <w:tcW w:w="8096" w:type="dxa"/>
          </w:tcPr>
          <w:p w:rsidR="00000000" w:rsidRDefault="00000000">
            <w:pPr>
              <w:tabs>
                <w:tab w:val="left" w:pos="680"/>
                <w:tab w:val="left" w:pos="1361"/>
              </w:tabs>
              <w:spacing w:before="60"/>
              <w:rPr>
                <w:sz w:val="22"/>
              </w:rPr>
            </w:pPr>
            <w:r>
              <w:rPr>
                <w:sz w:val="22"/>
              </w:rPr>
              <w:t>Министерство здравоохранения и социального обеспечения</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lang w:val="en-US"/>
              </w:rPr>
              <w:t>NAPPA</w:t>
            </w:r>
          </w:p>
        </w:tc>
        <w:tc>
          <w:tcPr>
            <w:tcW w:w="8096" w:type="dxa"/>
          </w:tcPr>
          <w:p w:rsidR="00000000" w:rsidRDefault="00000000">
            <w:pPr>
              <w:tabs>
                <w:tab w:val="left" w:pos="680"/>
                <w:tab w:val="left" w:pos="1361"/>
              </w:tabs>
              <w:spacing w:before="60"/>
              <w:rPr>
                <w:sz w:val="22"/>
              </w:rPr>
            </w:pPr>
            <w:r>
              <w:rPr>
                <w:sz w:val="22"/>
              </w:rPr>
              <w:t>Намибийская ассоциация по планируемому родительству</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lang w:val="en-US"/>
              </w:rPr>
              <w:t>NLFS</w:t>
            </w:r>
          </w:p>
        </w:tc>
        <w:tc>
          <w:tcPr>
            <w:tcW w:w="8096" w:type="dxa"/>
          </w:tcPr>
          <w:p w:rsidR="00000000" w:rsidRDefault="00000000">
            <w:pPr>
              <w:tabs>
                <w:tab w:val="left" w:pos="680"/>
                <w:tab w:val="left" w:pos="1361"/>
              </w:tabs>
              <w:spacing w:before="60"/>
              <w:rPr>
                <w:sz w:val="22"/>
              </w:rPr>
            </w:pPr>
            <w:r>
              <w:rPr>
                <w:sz w:val="22"/>
              </w:rPr>
              <w:t>Обследование трудовых ресурсов в Намибии</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lang w:val="en-US"/>
              </w:rPr>
            </w:pPr>
            <w:r>
              <w:rPr>
                <w:sz w:val="22"/>
                <w:lang w:val="en-US"/>
              </w:rPr>
              <w:t>NPC</w:t>
            </w:r>
          </w:p>
        </w:tc>
        <w:tc>
          <w:tcPr>
            <w:tcW w:w="8096" w:type="dxa"/>
          </w:tcPr>
          <w:p w:rsidR="00000000" w:rsidRDefault="00000000">
            <w:pPr>
              <w:tabs>
                <w:tab w:val="left" w:pos="680"/>
                <w:tab w:val="left" w:pos="1361"/>
              </w:tabs>
              <w:spacing w:before="60"/>
              <w:rPr>
                <w:sz w:val="22"/>
              </w:rPr>
            </w:pPr>
            <w:r>
              <w:rPr>
                <w:sz w:val="22"/>
              </w:rPr>
              <w:t>Национальная плановая комиссия</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lang w:val="en-US"/>
              </w:rPr>
              <w:t>SIAPAC</w:t>
            </w:r>
          </w:p>
        </w:tc>
        <w:tc>
          <w:tcPr>
            <w:tcW w:w="8096" w:type="dxa"/>
          </w:tcPr>
          <w:p w:rsidR="00000000" w:rsidRDefault="00000000">
            <w:pPr>
              <w:tabs>
                <w:tab w:val="left" w:pos="680"/>
                <w:tab w:val="left" w:pos="1361"/>
              </w:tabs>
              <w:spacing w:before="60"/>
              <w:rPr>
                <w:sz w:val="22"/>
              </w:rPr>
            </w:pPr>
            <w:r>
              <w:rPr>
                <w:sz w:val="22"/>
              </w:rPr>
              <w:t>Корпорация по проведению оценки воздействия на общество и анализу проводимой политики</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lang w:val="en-US"/>
              </w:rPr>
              <w:t>UNAM</w:t>
            </w:r>
          </w:p>
        </w:tc>
        <w:tc>
          <w:tcPr>
            <w:tcW w:w="8096" w:type="dxa"/>
          </w:tcPr>
          <w:p w:rsidR="00000000" w:rsidRDefault="00000000">
            <w:pPr>
              <w:tabs>
                <w:tab w:val="left" w:pos="680"/>
                <w:tab w:val="left" w:pos="1361"/>
              </w:tabs>
              <w:spacing w:before="60"/>
              <w:rPr>
                <w:sz w:val="22"/>
              </w:rPr>
            </w:pPr>
            <w:r>
              <w:rPr>
                <w:sz w:val="22"/>
              </w:rPr>
              <w:t>Университет Намибии</w:t>
            </w:r>
          </w:p>
        </w:tc>
      </w:tr>
      <w:tr w:rsidR="00000000">
        <w:tblPrEx>
          <w:tblCellMar>
            <w:top w:w="0" w:type="dxa"/>
            <w:bottom w:w="0" w:type="dxa"/>
          </w:tblCellMar>
        </w:tblPrEx>
        <w:tc>
          <w:tcPr>
            <w:tcW w:w="1526" w:type="dxa"/>
          </w:tcPr>
          <w:p w:rsidR="00000000" w:rsidRDefault="00000000">
            <w:pPr>
              <w:tabs>
                <w:tab w:val="left" w:pos="680"/>
                <w:tab w:val="left" w:pos="1361"/>
              </w:tabs>
              <w:spacing w:before="60"/>
              <w:rPr>
                <w:sz w:val="22"/>
              </w:rPr>
            </w:pPr>
            <w:r>
              <w:rPr>
                <w:sz w:val="22"/>
                <w:lang w:val="en-US"/>
              </w:rPr>
              <w:t>WCPU</w:t>
            </w:r>
          </w:p>
        </w:tc>
        <w:tc>
          <w:tcPr>
            <w:tcW w:w="8096" w:type="dxa"/>
          </w:tcPr>
          <w:p w:rsidR="00000000" w:rsidRDefault="00000000">
            <w:pPr>
              <w:tabs>
                <w:tab w:val="left" w:pos="680"/>
                <w:tab w:val="left" w:pos="1361"/>
              </w:tabs>
              <w:spacing w:before="60"/>
              <w:rPr>
                <w:sz w:val="22"/>
              </w:rPr>
            </w:pPr>
            <w:r>
              <w:rPr>
                <w:sz w:val="22"/>
              </w:rPr>
              <w:t>Группа по защите женщин и детей</w:t>
            </w:r>
          </w:p>
        </w:tc>
      </w:tr>
    </w:tbl>
    <w:p w:rsidR="00000000" w:rsidRDefault="00000000">
      <w:pPr>
        <w:tabs>
          <w:tab w:val="left" w:pos="680"/>
          <w:tab w:val="left" w:pos="1361"/>
        </w:tabs>
        <w:spacing w:before="240"/>
        <w:rPr>
          <w:sz w:val="22"/>
        </w:rPr>
      </w:pPr>
    </w:p>
    <w:p w:rsidR="00000000" w:rsidRDefault="00000000">
      <w:pPr>
        <w:tabs>
          <w:tab w:val="left" w:pos="680"/>
          <w:tab w:val="left" w:pos="1361"/>
        </w:tabs>
        <w:jc w:val="both"/>
        <w:rPr>
          <w:b/>
          <w:sz w:val="24"/>
        </w:rPr>
      </w:pPr>
      <w:r>
        <w:rPr>
          <w:sz w:val="22"/>
        </w:rPr>
        <w:br w:type="page"/>
      </w:r>
      <w:r>
        <w:rPr>
          <w:b/>
          <w:sz w:val="24"/>
        </w:rPr>
        <w:t>РЕЗЮМЕ</w:t>
      </w:r>
    </w:p>
    <w:p w:rsidR="00000000" w:rsidRDefault="00000000">
      <w:pPr>
        <w:tabs>
          <w:tab w:val="left" w:pos="680"/>
          <w:tab w:val="left" w:pos="1361"/>
        </w:tabs>
        <w:spacing w:before="360"/>
        <w:jc w:val="both"/>
        <w:rPr>
          <w:b/>
          <w:sz w:val="22"/>
        </w:rPr>
      </w:pPr>
      <w:r>
        <w:rPr>
          <w:b/>
          <w:sz w:val="22"/>
        </w:rPr>
        <w:t xml:space="preserve">Часть 1: </w:t>
      </w:r>
      <w:r>
        <w:rPr>
          <w:b/>
          <w:sz w:val="22"/>
          <w:lang w:val="en-US"/>
        </w:rPr>
        <w:t xml:space="preserve"> </w:t>
      </w:r>
      <w:r>
        <w:rPr>
          <w:b/>
          <w:sz w:val="22"/>
        </w:rPr>
        <w:t>ВСТУПИТЕЛЬНЫЙ РАЗДЕЛ</w:t>
      </w:r>
    </w:p>
    <w:p w:rsidR="00000000" w:rsidRDefault="00000000">
      <w:pPr>
        <w:tabs>
          <w:tab w:val="left" w:pos="680"/>
          <w:tab w:val="left" w:pos="1361"/>
        </w:tabs>
        <w:spacing w:before="240"/>
        <w:ind w:left="680" w:hanging="680"/>
        <w:jc w:val="both"/>
        <w:rPr>
          <w:sz w:val="22"/>
        </w:rPr>
      </w:pPr>
      <w:r>
        <w:rPr>
          <w:sz w:val="22"/>
        </w:rPr>
        <w:t>А.</w:t>
      </w:r>
      <w:r>
        <w:rPr>
          <w:sz w:val="22"/>
        </w:rPr>
        <w:tab/>
        <w:t>Во вступительных разделах настоящего доклада приводится базовая информация об общих, социальных, экономических, политических и правовых структурах Намибии, в первую очередь для тех читателей, которые, возможно, не очень хорошо знакомы с этой страной.</w:t>
      </w:r>
    </w:p>
    <w:p w:rsidR="00000000" w:rsidRDefault="00000000">
      <w:pPr>
        <w:tabs>
          <w:tab w:val="left" w:pos="680"/>
          <w:tab w:val="left" w:pos="1361"/>
        </w:tabs>
        <w:spacing w:before="240"/>
        <w:ind w:left="680" w:hanging="680"/>
        <w:jc w:val="both"/>
        <w:rPr>
          <w:sz w:val="22"/>
        </w:rPr>
      </w:pPr>
      <w:r>
        <w:rPr>
          <w:sz w:val="22"/>
        </w:rPr>
        <w:t>В.</w:t>
      </w:r>
      <w:r>
        <w:rPr>
          <w:sz w:val="22"/>
        </w:rPr>
        <w:tab/>
        <w:t xml:space="preserve">Вторая часть посвящена ходу осуществления Конвенции о ликвидации всех форм дискриминации в отношении женщин (КЛДЖ) в Намибии после представления </w:t>
      </w:r>
      <w:r>
        <w:rPr>
          <w:sz w:val="22"/>
        </w:rPr>
        <w:br/>
        <w:t>в Комитет первого доклада.</w:t>
      </w:r>
    </w:p>
    <w:p w:rsidR="00000000" w:rsidRDefault="00000000">
      <w:pPr>
        <w:tabs>
          <w:tab w:val="left" w:pos="680"/>
          <w:tab w:val="left" w:pos="1361"/>
        </w:tabs>
        <w:spacing w:before="360"/>
        <w:jc w:val="both"/>
        <w:rPr>
          <w:b/>
          <w:sz w:val="22"/>
        </w:rPr>
      </w:pPr>
      <w:r>
        <w:rPr>
          <w:b/>
          <w:sz w:val="22"/>
        </w:rPr>
        <w:t>Часть 2:</w:t>
      </w:r>
      <w:r>
        <w:rPr>
          <w:b/>
          <w:sz w:val="22"/>
          <w:lang w:val="en-US"/>
        </w:rPr>
        <w:t xml:space="preserve"> </w:t>
      </w:r>
      <w:r>
        <w:rPr>
          <w:b/>
          <w:sz w:val="22"/>
        </w:rPr>
        <w:t xml:space="preserve"> ОСУЩЕСТВЛЕНИЕ КОНВЕНЦИИ В НАМИБИИ</w:t>
      </w:r>
    </w:p>
    <w:p w:rsidR="00000000" w:rsidRDefault="00000000">
      <w:pPr>
        <w:tabs>
          <w:tab w:val="left" w:pos="680"/>
          <w:tab w:val="left" w:pos="1361"/>
        </w:tabs>
        <w:spacing w:before="240"/>
        <w:jc w:val="both"/>
        <w:rPr>
          <w:b/>
          <w:sz w:val="22"/>
        </w:rPr>
      </w:pPr>
      <w:r>
        <w:rPr>
          <w:b/>
          <w:sz w:val="22"/>
        </w:rPr>
        <w:t>СТАТЬЯ 1:  Определение дискриминации</w:t>
      </w:r>
    </w:p>
    <w:p w:rsidR="00000000" w:rsidRDefault="00000000">
      <w:pPr>
        <w:tabs>
          <w:tab w:val="left" w:pos="680"/>
          <w:tab w:val="left" w:pos="1361"/>
        </w:tabs>
        <w:spacing w:before="240"/>
        <w:jc w:val="both"/>
        <w:rPr>
          <w:sz w:val="22"/>
        </w:rPr>
      </w:pPr>
      <w:r>
        <w:rPr>
          <w:sz w:val="22"/>
        </w:rPr>
        <w:t>1.1</w:t>
      </w:r>
      <w:r>
        <w:rPr>
          <w:sz w:val="22"/>
        </w:rPr>
        <w:tab/>
        <w:t xml:space="preserve">В этом разделе доклада приводятся положения Конституции, которые в наибольшей степени касаются осуществления КЛДЖ: статьи 10 (Равенство и свобода от дискриминации), </w:t>
      </w:r>
      <w:r>
        <w:rPr>
          <w:sz w:val="22"/>
        </w:rPr>
        <w:br/>
        <w:t>14 (Семья) и 23 (Апартеид и позитивные действия), а также некоторые части статьи 95 (Повышение благосостояния народа).</w:t>
      </w:r>
    </w:p>
    <w:p w:rsidR="00000000" w:rsidRDefault="00000000">
      <w:pPr>
        <w:tabs>
          <w:tab w:val="left" w:pos="680"/>
          <w:tab w:val="left" w:pos="1361"/>
        </w:tabs>
        <w:spacing w:before="240"/>
        <w:jc w:val="both"/>
        <w:rPr>
          <w:sz w:val="22"/>
        </w:rPr>
      </w:pPr>
      <w:r>
        <w:rPr>
          <w:sz w:val="22"/>
        </w:rPr>
        <w:t>1.2</w:t>
      </w:r>
      <w:r>
        <w:rPr>
          <w:sz w:val="22"/>
        </w:rPr>
        <w:tab/>
        <w:t>В Конституции Намибии содержится прямой запрет на дискриминацию по признаку пола (статья 10).</w:t>
      </w:r>
    </w:p>
    <w:p w:rsidR="00000000" w:rsidRDefault="00000000">
      <w:pPr>
        <w:tabs>
          <w:tab w:val="left" w:pos="680"/>
          <w:tab w:val="left" w:pos="1361"/>
        </w:tabs>
        <w:spacing w:before="240"/>
        <w:jc w:val="both"/>
        <w:rPr>
          <w:sz w:val="22"/>
        </w:rPr>
      </w:pPr>
      <w:r>
        <w:rPr>
          <w:sz w:val="22"/>
        </w:rPr>
        <w:t xml:space="preserve">Толкование статьи 10 Конституции, запрещающей дискриминацию по признаку пола, дается Высоким судом в решении по делу </w:t>
      </w:r>
      <w:r>
        <w:rPr>
          <w:i/>
          <w:sz w:val="22"/>
        </w:rPr>
        <w:t>Майбург против Коммерческого банка Намибии.</w:t>
      </w:r>
      <w:r>
        <w:rPr>
          <w:sz w:val="22"/>
        </w:rPr>
        <w:t xml:space="preserve"> При рассмотрении этого дела г-жа Майбург призналась, что взяла денежную ссуду в банке, но, основываясь на общем праве, согласно которому замужние женщины, имеющие общую с мужем собственность, не могут преследоваться по суду, утверждала, что Банк должен предъявить иск ее мужу как распорядителю их собственности и ее опекуну. Следуя статье 10 Конституции, суд пришел к выводу, что данная норма общего права вступила в  противоречие с Конституцией, поэтому Банк может предъявить иск г-же Майбург, и, следовательно, ее апелляция была отклонена.</w:t>
      </w:r>
    </w:p>
    <w:p w:rsidR="00000000" w:rsidRDefault="00000000">
      <w:pPr>
        <w:tabs>
          <w:tab w:val="left" w:pos="680"/>
          <w:tab w:val="left" w:pos="1361"/>
        </w:tabs>
        <w:spacing w:before="240"/>
        <w:jc w:val="both"/>
        <w:rPr>
          <w:b/>
          <w:sz w:val="22"/>
        </w:rPr>
      </w:pPr>
      <w:r>
        <w:rPr>
          <w:b/>
          <w:sz w:val="22"/>
        </w:rPr>
        <w:t>СТАТЬЯ 2:  Политические меры по ликвидации дискриминации по признаку пола</w:t>
      </w:r>
    </w:p>
    <w:p w:rsidR="00000000" w:rsidRDefault="00000000">
      <w:pPr>
        <w:tabs>
          <w:tab w:val="left" w:pos="680"/>
          <w:tab w:val="left" w:pos="1361"/>
        </w:tabs>
        <w:spacing w:before="240"/>
        <w:jc w:val="both"/>
        <w:rPr>
          <w:sz w:val="22"/>
        </w:rPr>
      </w:pPr>
      <w:r>
        <w:rPr>
          <w:sz w:val="22"/>
        </w:rPr>
        <w:t>2.1</w:t>
      </w:r>
      <w:r>
        <w:rPr>
          <w:sz w:val="22"/>
        </w:rPr>
        <w:tab/>
        <w:t xml:space="preserve">Принцип равенства полов четко провозглашен в Конституции Намибии (статья 10). Что касается другого законодательства, Закон о труде (Закон № 6 от 1992 года) запрещает дискриминацию по признаку пола в большинстве аспектов занятости, в результате принятия ряда поправок ликвидированы дискриминационные положения в Законе о подоходном налоге </w:t>
      </w:r>
      <w:r>
        <w:rPr>
          <w:sz w:val="22"/>
        </w:rPr>
        <w:br/>
        <w:t>(Закон № 4 от 1981 года), кроме того, правительство Намибии приняло Закон о равенстве лиц, состоящих в браке (Закон № 1 от 1996 года).</w:t>
      </w:r>
    </w:p>
    <w:p w:rsidR="00000000" w:rsidRDefault="00000000">
      <w:pPr>
        <w:tabs>
          <w:tab w:val="left" w:pos="680"/>
          <w:tab w:val="left" w:pos="1361"/>
        </w:tabs>
        <w:spacing w:before="240"/>
        <w:jc w:val="both"/>
        <w:rPr>
          <w:sz w:val="22"/>
        </w:rPr>
      </w:pPr>
      <w:r>
        <w:rPr>
          <w:sz w:val="22"/>
        </w:rPr>
        <w:t>2.2</w:t>
      </w:r>
      <w:r>
        <w:rPr>
          <w:sz w:val="22"/>
        </w:rPr>
        <w:tab/>
        <w:t>В 1997 году была принята национальная гендерная политика, в которой в общих чертах излагаются принципы осуществления, координации и мониторинга гендерных программ.</w:t>
      </w:r>
    </w:p>
    <w:p w:rsidR="00000000" w:rsidRDefault="00000000">
      <w:pPr>
        <w:tabs>
          <w:tab w:val="left" w:pos="680"/>
          <w:tab w:val="left" w:pos="1361"/>
        </w:tabs>
        <w:jc w:val="both"/>
        <w:rPr>
          <w:b/>
          <w:sz w:val="22"/>
        </w:rPr>
      </w:pPr>
      <w:r>
        <w:rPr>
          <w:b/>
          <w:sz w:val="22"/>
        </w:rPr>
        <w:br w:type="page"/>
        <w:t>СТАТЬЯ 3:  Общее обеспечение равноправия и основных свобод</w:t>
      </w:r>
    </w:p>
    <w:p w:rsidR="00000000" w:rsidRDefault="00000000">
      <w:pPr>
        <w:tabs>
          <w:tab w:val="left" w:pos="680"/>
          <w:tab w:val="left" w:pos="1361"/>
        </w:tabs>
        <w:spacing w:before="240"/>
        <w:jc w:val="both"/>
        <w:rPr>
          <w:sz w:val="22"/>
        </w:rPr>
      </w:pPr>
      <w:r>
        <w:rPr>
          <w:sz w:val="22"/>
        </w:rPr>
        <w:t>3.1</w:t>
      </w:r>
      <w:r>
        <w:rPr>
          <w:sz w:val="22"/>
        </w:rPr>
        <w:tab/>
        <w:t>В этой части доклада основное внимание уделяется вопросам насилия в отношении женщин и детей и рассматриваются такие проблемы, как изнасилование, бытовое насилие, жестокое обращение с детьми, а также ВИЧ/СПИД и насилие. Масштабы насилия в отношении женщин свидетельствуют о том, насколько женщины, по существу, ущемлены в обеспечении гендерного равенства.</w:t>
      </w:r>
    </w:p>
    <w:p w:rsidR="00000000" w:rsidRDefault="00000000">
      <w:pPr>
        <w:tabs>
          <w:tab w:val="left" w:pos="680"/>
          <w:tab w:val="left" w:pos="1361"/>
        </w:tabs>
        <w:spacing w:before="240"/>
        <w:jc w:val="both"/>
        <w:rPr>
          <w:sz w:val="22"/>
        </w:rPr>
      </w:pPr>
      <w:r>
        <w:rPr>
          <w:sz w:val="22"/>
        </w:rPr>
        <w:t>3.2</w:t>
      </w:r>
      <w:r>
        <w:rPr>
          <w:sz w:val="22"/>
        </w:rPr>
        <w:tab/>
        <w:t>Ежегодно в полицию поступают сообщения о примерно 600 случаях изнасилования и 150 случаях попыток изнасилования. В период 1995–1999 годов число известных случаев было относительно постоянным и составляло от 543 до 601 случая в год. В 2000 году эта цифра возросла до 705. В качестве ответной меры на рост случаев изнасилования правительство Намибии приняло в 2000 году Закон о борьбе с изнасилованием (Закон № 8 от 2000 года).</w:t>
      </w:r>
    </w:p>
    <w:p w:rsidR="00000000" w:rsidRDefault="00000000">
      <w:pPr>
        <w:tabs>
          <w:tab w:val="left" w:pos="680"/>
          <w:tab w:val="left" w:pos="1361"/>
        </w:tabs>
        <w:spacing w:before="240"/>
        <w:jc w:val="both"/>
        <w:rPr>
          <w:sz w:val="22"/>
        </w:rPr>
      </w:pPr>
      <w:r>
        <w:rPr>
          <w:sz w:val="22"/>
        </w:rPr>
        <w:t>3.3</w:t>
      </w:r>
      <w:r>
        <w:rPr>
          <w:sz w:val="22"/>
        </w:rPr>
        <w:tab/>
        <w:t>В 2000 году ВИЧ был обнаружен в общей сложности у 70 000 человек, и в том же году, как сообщается, 2868 человек умерло от заболеваний, связанных со СПИДом. При проведении выборочного обследования 3890 женщин у примерно 22,3 процента из них была обнаружена положительная реакция на этот вирус. Тот факт, что большей частью  жертвами бытового насилия, особенно изнасилования, становятся женщины, делает их более уязвимыми к заражению ВИЧ/СПИДом.</w:t>
      </w:r>
    </w:p>
    <w:p w:rsidR="00000000" w:rsidRDefault="00000000">
      <w:pPr>
        <w:tabs>
          <w:tab w:val="left" w:pos="680"/>
          <w:tab w:val="left" w:pos="1361"/>
        </w:tabs>
        <w:spacing w:before="240"/>
        <w:jc w:val="both"/>
        <w:rPr>
          <w:b/>
          <w:sz w:val="22"/>
        </w:rPr>
      </w:pPr>
      <w:r>
        <w:rPr>
          <w:b/>
          <w:sz w:val="22"/>
        </w:rPr>
        <w:t>СТАТЬЯ 4:  Позитивные действия</w:t>
      </w:r>
    </w:p>
    <w:p w:rsidR="00000000" w:rsidRDefault="00000000">
      <w:pPr>
        <w:tabs>
          <w:tab w:val="left" w:pos="680"/>
          <w:tab w:val="left" w:pos="1361"/>
        </w:tabs>
        <w:spacing w:before="240"/>
        <w:jc w:val="both"/>
        <w:rPr>
          <w:sz w:val="22"/>
        </w:rPr>
      </w:pPr>
      <w:r>
        <w:rPr>
          <w:sz w:val="22"/>
        </w:rPr>
        <w:t>4.1</w:t>
      </w:r>
      <w:r>
        <w:rPr>
          <w:sz w:val="22"/>
        </w:rPr>
        <w:tab/>
        <w:t>Закон о позитивных действиях (в области занятости) (Закон № 29 от 1998 года) был опубликован в 1998 году. Согласно закону все работодатели обязаны подготовить планы позитивных действий в отношении чернокожего населения, женщин и инвалидов.</w:t>
      </w:r>
    </w:p>
    <w:p w:rsidR="00000000" w:rsidRDefault="00000000">
      <w:pPr>
        <w:tabs>
          <w:tab w:val="left" w:pos="680"/>
          <w:tab w:val="left" w:pos="1361"/>
        </w:tabs>
        <w:spacing w:before="240"/>
        <w:jc w:val="both"/>
        <w:rPr>
          <w:sz w:val="22"/>
        </w:rPr>
      </w:pPr>
      <w:r>
        <w:rPr>
          <w:sz w:val="22"/>
        </w:rPr>
        <w:t>4.2</w:t>
      </w:r>
      <w:r>
        <w:rPr>
          <w:sz w:val="22"/>
        </w:rPr>
        <w:tab/>
        <w:t>Для обеспечения претворения в жизнь законодательства о позитивных действиях Министерство труда создало независимый орган, известный как Комиссия по вопросам равноправия в области занятости. Комиссия представляет интересы работодателей, наемных работников и членов целевых групп, осуществляет контроль за соблюдением закона и расследует жалобы о случаях дискриминации в сфере занятости. Другие положения о позитивных действиях были также применены к некоторым государственным органам и комитетам, начиная от Комиссии по социальному обеспечению и заканчивая Национальной комиссией по вопросам спорта. Законом о социальном обеспечении (Закон № 34 от 1994 года) предусматривается обязательное участие в Комиссии по социальному обеспечению женщин – представителей органов управления, профсоюзов и организаций работодателей. Закон Намибии о спорте (Закон № 19) требует, чтобы среди 14 членов Национальной комиссии по вопросам спорта было не менее 3 женщин. В недавно обнародованном Законе об общинной земельной реформе (Закон № 5 от 2002 года) предусматривается, что среди 11 возможных членов различных советов общинных земель должны быть 4 женщины. Согласно ежегодному докладу Комиссии по вопросам равноправия в области занятости за 2002 год, из общего числа наемных работников, составляющего 118 174 человека, женщины менее всего представлены в секторах, где традиционно доминируют работники-мужчины, как, например, строительство (7 процентов), горнодобывающая промышленность (12,2 процента), транспорт (14 процентов) и т. д.</w:t>
      </w:r>
    </w:p>
    <w:p w:rsidR="00000000" w:rsidRDefault="00000000">
      <w:pPr>
        <w:tabs>
          <w:tab w:val="left" w:pos="680"/>
          <w:tab w:val="left" w:pos="1361"/>
        </w:tabs>
        <w:spacing w:before="240"/>
        <w:jc w:val="both"/>
        <w:rPr>
          <w:b/>
          <w:sz w:val="22"/>
        </w:rPr>
      </w:pPr>
      <w:r>
        <w:rPr>
          <w:b/>
          <w:sz w:val="22"/>
        </w:rPr>
        <w:t>СТАТЬЯ 5:  Стереотипное представление о роли полов</w:t>
      </w:r>
    </w:p>
    <w:p w:rsidR="00000000" w:rsidRDefault="00000000">
      <w:pPr>
        <w:tabs>
          <w:tab w:val="left" w:pos="680"/>
          <w:tab w:val="left" w:pos="1361"/>
        </w:tabs>
        <w:spacing w:before="240"/>
        <w:jc w:val="both"/>
        <w:rPr>
          <w:sz w:val="22"/>
        </w:rPr>
      </w:pPr>
      <w:r>
        <w:rPr>
          <w:sz w:val="22"/>
        </w:rPr>
        <w:t>Статистических данных о стереотипном представлении о роли полов в Намибии очень мало; для получения более полной информации об изменении роли, которую играют женщины во всех аспектах экономической и социальной жизни, необходимо провести исследования. Общеизвестно, что мужчины по-прежнему доминируют над женщинами и это подкрепляется религиозными убеждениями, культурными традициями и сохраняющимся неравенством согласно общему и обычному праву.</w:t>
      </w:r>
    </w:p>
    <w:p w:rsidR="00000000" w:rsidRDefault="00000000">
      <w:pPr>
        <w:tabs>
          <w:tab w:val="left" w:pos="680"/>
          <w:tab w:val="left" w:pos="1361"/>
        </w:tabs>
        <w:spacing w:before="240"/>
        <w:jc w:val="both"/>
        <w:rPr>
          <w:b/>
          <w:sz w:val="22"/>
        </w:rPr>
      </w:pPr>
      <w:r>
        <w:rPr>
          <w:b/>
          <w:sz w:val="22"/>
        </w:rPr>
        <w:t>СТАТЬЯ 6:  Проституция и торговля женщинами</w:t>
      </w:r>
    </w:p>
    <w:p w:rsidR="00000000" w:rsidRDefault="00000000">
      <w:pPr>
        <w:tabs>
          <w:tab w:val="left" w:pos="680"/>
          <w:tab w:val="left" w:pos="1361"/>
        </w:tabs>
        <w:spacing w:before="240"/>
        <w:jc w:val="both"/>
        <w:rPr>
          <w:sz w:val="22"/>
        </w:rPr>
      </w:pPr>
      <w:r>
        <w:rPr>
          <w:sz w:val="22"/>
        </w:rPr>
        <w:t>6.1</w:t>
      </w:r>
      <w:r>
        <w:rPr>
          <w:sz w:val="22"/>
        </w:rPr>
        <w:tab/>
        <w:t>Проституция в Намибии по-прежнему регулируется Законом о борьбе с аморальным поведением (Закон № 21 от 1980 года). Этот закон запрещает содержание публичных домов, сводничество, предложение проститутками своих услуг, получение доходов от занятия проституцией и порабощение женщин в сексуальных целях.</w:t>
      </w:r>
    </w:p>
    <w:p w:rsidR="00000000" w:rsidRDefault="00000000">
      <w:pPr>
        <w:tabs>
          <w:tab w:val="left" w:pos="680"/>
          <w:tab w:val="left" w:pos="1361"/>
        </w:tabs>
        <w:spacing w:before="240"/>
        <w:jc w:val="both"/>
        <w:rPr>
          <w:sz w:val="22"/>
        </w:rPr>
      </w:pPr>
      <w:r>
        <w:rPr>
          <w:sz w:val="22"/>
        </w:rPr>
        <w:t>Согласно исследованию, проведенному в 2002 году Центром правовой помощи, большинство лиц, оказывающих платные сексуальные услуги, не имеют других источников дохода. Основной причиной занятия этой деятельностью, которую они приводили, было зарабатывание денег на содержание детей или других членов семьи или просто обеспечение себя средствами к существованию.</w:t>
      </w:r>
    </w:p>
    <w:p w:rsidR="00000000" w:rsidRDefault="00000000">
      <w:pPr>
        <w:tabs>
          <w:tab w:val="left" w:pos="680"/>
          <w:tab w:val="left" w:pos="1361"/>
        </w:tabs>
        <w:spacing w:before="240"/>
        <w:jc w:val="both"/>
        <w:rPr>
          <w:sz w:val="22"/>
        </w:rPr>
      </w:pPr>
      <w:r>
        <w:rPr>
          <w:sz w:val="22"/>
        </w:rPr>
        <w:t>Большинство лиц, оказывающих платные сексуальные услуги, выступают за отмену запрещения проституции в Намибии, тогда как широкие слои населения за то, чтобы считать проституцию противозаконной. Хотя данных о том, что в Намибии торговля женщинами является широко распространенным явлением, нет, в 2000 году был зафиксирован по крайней мере один случай, связанный с отправкой молодых намибийских женщин в Южную Африку с целью их сексуальной эксплуатации.</w:t>
      </w:r>
    </w:p>
    <w:p w:rsidR="00000000" w:rsidRDefault="00000000">
      <w:pPr>
        <w:tabs>
          <w:tab w:val="left" w:pos="680"/>
          <w:tab w:val="left" w:pos="1361"/>
        </w:tabs>
        <w:spacing w:before="240"/>
        <w:jc w:val="both"/>
        <w:rPr>
          <w:b/>
          <w:sz w:val="22"/>
        </w:rPr>
      </w:pPr>
      <w:r>
        <w:rPr>
          <w:b/>
          <w:sz w:val="22"/>
        </w:rPr>
        <w:t>СТАТЬЯ 7:  Женщины в политической и общественной жизни</w:t>
      </w:r>
    </w:p>
    <w:p w:rsidR="00000000" w:rsidRDefault="00000000">
      <w:pPr>
        <w:tabs>
          <w:tab w:val="left" w:pos="680"/>
          <w:tab w:val="left" w:pos="1361"/>
        </w:tabs>
        <w:spacing w:before="240"/>
        <w:jc w:val="both"/>
        <w:rPr>
          <w:sz w:val="22"/>
        </w:rPr>
      </w:pPr>
      <w:r>
        <w:rPr>
          <w:sz w:val="22"/>
        </w:rPr>
        <w:t>7.1</w:t>
      </w:r>
      <w:r>
        <w:rPr>
          <w:sz w:val="22"/>
        </w:rPr>
        <w:tab/>
        <w:t>Все граждане Намибии, достигшие 18 лет, независимо от пола, имеют право голосовать. Те, кому исполнился 21 год, имеют право быть избранными на государственную должность.</w:t>
      </w:r>
    </w:p>
    <w:p w:rsidR="00000000" w:rsidRDefault="00000000">
      <w:pPr>
        <w:tabs>
          <w:tab w:val="left" w:pos="680"/>
          <w:tab w:val="left" w:pos="1361"/>
        </w:tabs>
        <w:spacing w:before="240"/>
        <w:jc w:val="both"/>
        <w:rPr>
          <w:sz w:val="22"/>
        </w:rPr>
      </w:pPr>
      <w:r>
        <w:rPr>
          <w:sz w:val="22"/>
        </w:rPr>
        <w:t>7.2</w:t>
      </w:r>
      <w:r>
        <w:rPr>
          <w:sz w:val="22"/>
        </w:rPr>
        <w:tab/>
        <w:t>Из 72 избранных и 6 назначенных членов Национальной ассамблеи 22 процента составляют женщины. Среди 26 членов Национального совета только 2 женщины.</w:t>
      </w:r>
    </w:p>
    <w:p w:rsidR="00000000" w:rsidRDefault="00000000">
      <w:pPr>
        <w:tabs>
          <w:tab w:val="left" w:pos="680"/>
          <w:tab w:val="left" w:pos="1361"/>
        </w:tabs>
        <w:spacing w:before="240"/>
        <w:jc w:val="both"/>
        <w:rPr>
          <w:sz w:val="22"/>
        </w:rPr>
      </w:pPr>
      <w:r>
        <w:rPr>
          <w:sz w:val="22"/>
        </w:rPr>
        <w:t>7.3</w:t>
      </w:r>
      <w:r>
        <w:rPr>
          <w:sz w:val="22"/>
        </w:rPr>
        <w:tab/>
        <w:t>Среди 329 человек, которые заняли места в местных органах власти в результате выборов, состоявшихся в 1998 году, было 136 женщин.</w:t>
      </w:r>
    </w:p>
    <w:p w:rsidR="00000000" w:rsidRDefault="00000000">
      <w:pPr>
        <w:tabs>
          <w:tab w:val="left" w:pos="680"/>
          <w:tab w:val="left" w:pos="1361"/>
        </w:tabs>
        <w:spacing w:before="240"/>
        <w:jc w:val="both"/>
        <w:rPr>
          <w:sz w:val="22"/>
        </w:rPr>
      </w:pPr>
      <w:r>
        <w:rPr>
          <w:sz w:val="22"/>
        </w:rPr>
        <w:t>7.4</w:t>
      </w:r>
      <w:r>
        <w:rPr>
          <w:sz w:val="22"/>
        </w:rPr>
        <w:tab/>
        <w:t>Хотя ситуация с назначением женщин на высокие руководящие посты улучшилась с момента представления предыдущего доклада, они все еще недостаточно представлены на высших должностях. Например, из в общей сложности 449 государственных служащих, занимающих высокие руководящие должности, женщины составляют только 24,1 процента.</w:t>
      </w:r>
    </w:p>
    <w:p w:rsidR="00000000" w:rsidRDefault="00000000">
      <w:pPr>
        <w:tabs>
          <w:tab w:val="left" w:pos="680"/>
          <w:tab w:val="left" w:pos="1361"/>
        </w:tabs>
        <w:spacing w:before="240"/>
        <w:jc w:val="both"/>
        <w:rPr>
          <w:b/>
          <w:sz w:val="22"/>
        </w:rPr>
      </w:pPr>
      <w:r>
        <w:rPr>
          <w:b/>
          <w:sz w:val="22"/>
        </w:rPr>
        <w:t>СТАТЬЯ 8:  Представительство в зарубежных миссиях</w:t>
      </w:r>
    </w:p>
    <w:p w:rsidR="00000000" w:rsidRDefault="00000000">
      <w:pPr>
        <w:tabs>
          <w:tab w:val="left" w:pos="680"/>
          <w:tab w:val="left" w:pos="1361"/>
        </w:tabs>
        <w:spacing w:before="240"/>
        <w:jc w:val="both"/>
        <w:rPr>
          <w:sz w:val="22"/>
        </w:rPr>
      </w:pPr>
      <w:r>
        <w:rPr>
          <w:sz w:val="22"/>
        </w:rPr>
        <w:t>Хотя в настоящее время женщины возглавляют только 5 из 21 зарубежного представительства Намибии, они составляют 49 процентов всех сотрудников зарубежных представительств, что на 14 процентов выше показателя, приведенного в предыдущем докладе.</w:t>
      </w:r>
    </w:p>
    <w:p w:rsidR="00000000" w:rsidRDefault="00000000">
      <w:pPr>
        <w:tabs>
          <w:tab w:val="left" w:pos="680"/>
          <w:tab w:val="left" w:pos="1361"/>
        </w:tabs>
        <w:jc w:val="both"/>
        <w:rPr>
          <w:b/>
          <w:sz w:val="22"/>
        </w:rPr>
      </w:pPr>
      <w:r>
        <w:rPr>
          <w:b/>
          <w:sz w:val="22"/>
        </w:rPr>
        <w:br w:type="page"/>
        <w:t>СТАТЬЯ 9:  Гражданство</w:t>
      </w:r>
    </w:p>
    <w:p w:rsidR="00000000" w:rsidRDefault="00000000">
      <w:pPr>
        <w:tabs>
          <w:tab w:val="left" w:pos="680"/>
          <w:tab w:val="left" w:pos="1361"/>
        </w:tabs>
        <w:spacing w:before="240"/>
        <w:jc w:val="both"/>
        <w:rPr>
          <w:sz w:val="22"/>
        </w:rPr>
      </w:pPr>
      <w:r>
        <w:rPr>
          <w:sz w:val="22"/>
        </w:rPr>
        <w:t>Законодательство Намибии, касающееся вопросов приобретения и утраты гражданства, является нейтральным с гендерной точки зрения.</w:t>
      </w:r>
    </w:p>
    <w:p w:rsidR="00000000" w:rsidRDefault="00000000">
      <w:pPr>
        <w:tabs>
          <w:tab w:val="left" w:pos="680"/>
          <w:tab w:val="left" w:pos="1361"/>
        </w:tabs>
        <w:spacing w:before="240"/>
        <w:jc w:val="both"/>
        <w:rPr>
          <w:b/>
          <w:sz w:val="22"/>
        </w:rPr>
      </w:pPr>
      <w:r>
        <w:rPr>
          <w:b/>
          <w:sz w:val="22"/>
        </w:rPr>
        <w:t>СТАТЬЯ 10:  Образование и профессиональная подготовка</w:t>
      </w:r>
    </w:p>
    <w:p w:rsidR="00000000" w:rsidRDefault="00000000">
      <w:pPr>
        <w:tabs>
          <w:tab w:val="left" w:pos="680"/>
          <w:tab w:val="left" w:pos="1361"/>
        </w:tabs>
        <w:spacing w:before="240"/>
        <w:jc w:val="both"/>
        <w:rPr>
          <w:sz w:val="22"/>
        </w:rPr>
      </w:pPr>
      <w:r>
        <w:rPr>
          <w:sz w:val="22"/>
        </w:rPr>
        <w:t>10.1</w:t>
      </w:r>
      <w:r>
        <w:rPr>
          <w:sz w:val="22"/>
        </w:rPr>
        <w:tab/>
        <w:t>Конституция Намибии гарантирует каждому право на образование и делает его обязательным до достижения 16 лет или до получения начального образования.</w:t>
      </w:r>
    </w:p>
    <w:p w:rsidR="00000000" w:rsidRDefault="00000000">
      <w:pPr>
        <w:tabs>
          <w:tab w:val="left" w:pos="680"/>
          <w:tab w:val="left" w:pos="1361"/>
        </w:tabs>
        <w:spacing w:before="240"/>
        <w:jc w:val="both"/>
        <w:rPr>
          <w:sz w:val="22"/>
        </w:rPr>
      </w:pPr>
      <w:r>
        <w:rPr>
          <w:sz w:val="22"/>
        </w:rPr>
        <w:t>10.2</w:t>
      </w:r>
      <w:r>
        <w:rPr>
          <w:sz w:val="22"/>
        </w:rPr>
        <w:tab/>
        <w:t>В масштабах страны нет каких-либо резких различий между числом учащихся обоих полов в начальной и средней школах. Из общего численности учащихся школ, составлявшей 528 958 человек в 2001 году, на долю девочек приходилось более 50 процентов (268 479). Однако сохранение высокой численности девочек в средней школе и высших учебных заведениях все еще представляет проблему. Что касается учащихся колледжей Намибии, из 2111 учащихся 972, или 46 процентов, в 1999 году составляли девушки.</w:t>
      </w:r>
    </w:p>
    <w:p w:rsidR="00000000" w:rsidRDefault="00000000">
      <w:pPr>
        <w:tabs>
          <w:tab w:val="left" w:pos="680"/>
          <w:tab w:val="left" w:pos="1361"/>
        </w:tabs>
        <w:spacing w:before="240"/>
        <w:jc w:val="both"/>
        <w:rPr>
          <w:b/>
          <w:sz w:val="22"/>
        </w:rPr>
      </w:pPr>
      <w:r>
        <w:rPr>
          <w:b/>
          <w:sz w:val="22"/>
        </w:rPr>
        <w:t>СТАТЬЯ 11:  Положение в области занятости</w:t>
      </w:r>
    </w:p>
    <w:p w:rsidR="00000000" w:rsidRDefault="00000000">
      <w:pPr>
        <w:tabs>
          <w:tab w:val="left" w:pos="680"/>
          <w:tab w:val="left" w:pos="1361"/>
        </w:tabs>
        <w:spacing w:before="240"/>
        <w:jc w:val="both"/>
        <w:rPr>
          <w:sz w:val="22"/>
        </w:rPr>
      </w:pPr>
      <w:r>
        <w:rPr>
          <w:sz w:val="22"/>
        </w:rPr>
        <w:t>Обследование трудовых ресурсов, проведенное в 2000 году, показало, что численность занятого населения составляет 401 203 человека, причем среди работающих преобладают мужчины и сельское население, на долю которых приходится, соответственно, 55 и 56 процентов занятых. Доля безработных, согласно результатам того же обследования, составляет 34,5 процента.</w:t>
      </w:r>
    </w:p>
    <w:p w:rsidR="00000000" w:rsidRDefault="00000000">
      <w:pPr>
        <w:tabs>
          <w:tab w:val="left" w:pos="680"/>
          <w:tab w:val="left" w:pos="1361"/>
        </w:tabs>
        <w:spacing w:before="240"/>
        <w:jc w:val="both"/>
        <w:rPr>
          <w:b/>
          <w:sz w:val="22"/>
        </w:rPr>
      </w:pPr>
      <w:r>
        <w:rPr>
          <w:b/>
          <w:sz w:val="22"/>
        </w:rPr>
        <w:t>СТАТЬЯ 12:  Здравоохранение</w:t>
      </w:r>
    </w:p>
    <w:p w:rsidR="00000000" w:rsidRDefault="00000000">
      <w:pPr>
        <w:tabs>
          <w:tab w:val="left" w:pos="680"/>
          <w:tab w:val="left" w:pos="1361"/>
        </w:tabs>
        <w:spacing w:before="240"/>
        <w:jc w:val="both"/>
        <w:rPr>
          <w:sz w:val="22"/>
        </w:rPr>
      </w:pPr>
      <w:r>
        <w:rPr>
          <w:sz w:val="22"/>
        </w:rPr>
        <w:t>12.1</w:t>
      </w:r>
      <w:r>
        <w:rPr>
          <w:sz w:val="22"/>
        </w:rPr>
        <w:tab/>
        <w:t>Основной целью правительства в области медико-санитарного обслуживания является улучшение состояния здоровья населения Намибии путем предоставления соответствующих профилактических, лечебных и реабилитационных услуг, которые доступны всем намибийцам.</w:t>
      </w:r>
    </w:p>
    <w:p w:rsidR="00000000" w:rsidRDefault="00000000">
      <w:pPr>
        <w:tabs>
          <w:tab w:val="left" w:pos="680"/>
          <w:tab w:val="left" w:pos="1361"/>
        </w:tabs>
        <w:spacing w:before="240"/>
        <w:jc w:val="both"/>
        <w:rPr>
          <w:sz w:val="22"/>
        </w:rPr>
      </w:pPr>
      <w:r>
        <w:rPr>
          <w:sz w:val="22"/>
        </w:rPr>
        <w:t>12.2</w:t>
      </w:r>
      <w:r>
        <w:rPr>
          <w:sz w:val="22"/>
        </w:rPr>
        <w:tab/>
        <w:t>В исследовании демографической ситуации и состояния здравоохранения в Намибии, проведенном в 2000 году, сообщалось, что в стране имеется 264 поликлиники, 37 центров здоровья, 35 больниц и 6756 койко-мест в больницах. Наиболее доступными услугами являются: иммунизация, санитарное просвещение по вопросам ВИЧ/СПИДа, включая использование презервативов, и репродуктивному здоровью. Меньше всего предоставляется услуг, предназначенных исключительно для женщин. Это такие услуги, как массовые обследования с целью выявления рака молочной железы и рака шейки матки.</w:t>
      </w:r>
    </w:p>
    <w:p w:rsidR="00000000" w:rsidRDefault="00000000">
      <w:pPr>
        <w:tabs>
          <w:tab w:val="left" w:pos="680"/>
          <w:tab w:val="left" w:pos="1361"/>
        </w:tabs>
        <w:spacing w:before="240"/>
        <w:jc w:val="both"/>
        <w:rPr>
          <w:sz w:val="22"/>
        </w:rPr>
      </w:pPr>
      <w:r>
        <w:rPr>
          <w:sz w:val="22"/>
        </w:rPr>
        <w:t>Около 77 процентов населения Намибии имеют доступ к безопасным источникам питьевой воды и 41 процент – к сантехническим средствам ассенизации. Свыше 90 процентам матерей, родивших детей в период с 1995 по 2000 год, были предоставлены дородовые услуги врачом или медсестрой. На долю женщин приходится 53 процента всех новых зарегистрированных случаев ВИЧ-инфицирования. В 2002 году распространенность ВИЧ среди беременных женщин составляла 22,0 процента.</w:t>
      </w:r>
    </w:p>
    <w:p w:rsidR="00000000" w:rsidRDefault="00000000">
      <w:pPr>
        <w:tabs>
          <w:tab w:val="left" w:pos="680"/>
          <w:tab w:val="left" w:pos="1361"/>
        </w:tabs>
        <w:spacing w:before="240"/>
        <w:jc w:val="both"/>
        <w:rPr>
          <w:b/>
          <w:sz w:val="22"/>
        </w:rPr>
      </w:pPr>
      <w:r>
        <w:rPr>
          <w:b/>
          <w:sz w:val="22"/>
        </w:rPr>
        <w:t>СТАТЬЯ 13:  Экономическая и социальная жизнь</w:t>
      </w:r>
    </w:p>
    <w:p w:rsidR="00000000" w:rsidRDefault="00000000">
      <w:pPr>
        <w:tabs>
          <w:tab w:val="left" w:pos="680"/>
          <w:tab w:val="left" w:pos="1361"/>
        </w:tabs>
        <w:spacing w:before="240"/>
        <w:jc w:val="both"/>
        <w:rPr>
          <w:sz w:val="22"/>
        </w:rPr>
      </w:pPr>
      <w:r>
        <w:rPr>
          <w:sz w:val="22"/>
        </w:rPr>
        <w:t>13.1</w:t>
      </w:r>
      <w:r>
        <w:rPr>
          <w:sz w:val="22"/>
        </w:rPr>
        <w:tab/>
        <w:t>Пенсии по старости являются одним из важных источников дохода для бедных домохозяйств. Женщины считают, что традиционные подходы к содержанию семьи, существующие в обычном праве, несовершенны. Для обеспечения своего содержания женщины, проживающие как в городских, так и в сельских районах, обращаются в суды по алиментам.</w:t>
      </w:r>
    </w:p>
    <w:p w:rsidR="00000000" w:rsidRDefault="00000000">
      <w:pPr>
        <w:tabs>
          <w:tab w:val="left" w:pos="680"/>
          <w:tab w:val="left" w:pos="1361"/>
        </w:tabs>
        <w:spacing w:before="240"/>
        <w:jc w:val="both"/>
        <w:rPr>
          <w:sz w:val="22"/>
        </w:rPr>
      </w:pPr>
      <w:r>
        <w:rPr>
          <w:sz w:val="22"/>
        </w:rPr>
        <w:t>13.2</w:t>
      </w:r>
      <w:r>
        <w:rPr>
          <w:sz w:val="22"/>
        </w:rPr>
        <w:tab/>
        <w:t>Правительство в сотрудничестве с другими заинтересованными сторонами предоставляет техническую и финансовую помощь отдельным лицам и группам, которые организуют профессиональное обучение и оказывают другие виды помощи женщинам, занимающимся коммерческой деятельностью.</w:t>
      </w:r>
    </w:p>
    <w:p w:rsidR="00000000" w:rsidRDefault="00000000">
      <w:pPr>
        <w:tabs>
          <w:tab w:val="left" w:pos="680"/>
          <w:tab w:val="left" w:pos="1361"/>
        </w:tabs>
        <w:jc w:val="both"/>
        <w:rPr>
          <w:sz w:val="22"/>
        </w:rPr>
      </w:pPr>
    </w:p>
    <w:p w:rsidR="00000000" w:rsidRDefault="00000000">
      <w:pPr>
        <w:tabs>
          <w:tab w:val="left" w:pos="680"/>
          <w:tab w:val="left" w:pos="1361"/>
        </w:tabs>
        <w:jc w:val="both"/>
        <w:rPr>
          <w:b/>
          <w:sz w:val="22"/>
        </w:rPr>
      </w:pPr>
      <w:r>
        <w:rPr>
          <w:b/>
          <w:sz w:val="22"/>
        </w:rPr>
        <w:t>СТАТЬЯ 14:  Сельские женщины</w:t>
      </w:r>
    </w:p>
    <w:p w:rsidR="00000000" w:rsidRDefault="00000000">
      <w:pPr>
        <w:tabs>
          <w:tab w:val="left" w:pos="680"/>
          <w:tab w:val="left" w:pos="1361"/>
        </w:tabs>
        <w:spacing w:before="240"/>
        <w:jc w:val="both"/>
        <w:rPr>
          <w:sz w:val="22"/>
        </w:rPr>
      </w:pPr>
      <w:r>
        <w:rPr>
          <w:sz w:val="22"/>
        </w:rPr>
        <w:t>14.1</w:t>
      </w:r>
      <w:r>
        <w:rPr>
          <w:sz w:val="22"/>
        </w:rPr>
        <w:tab/>
        <w:t>Хотя сельские женщины являются самой большой демографической группой в стране, они находятся в крайне неблагоприятном положении в том, что касается владения землей, получения работы, доступа к услугам в сфере сельского хозяйства, природным ресурсам и занятости.</w:t>
      </w:r>
    </w:p>
    <w:p w:rsidR="00000000" w:rsidRDefault="00000000">
      <w:pPr>
        <w:tabs>
          <w:tab w:val="left" w:pos="680"/>
          <w:tab w:val="left" w:pos="1361"/>
        </w:tabs>
        <w:spacing w:before="240"/>
        <w:jc w:val="both"/>
        <w:rPr>
          <w:sz w:val="22"/>
        </w:rPr>
      </w:pPr>
      <w:r>
        <w:rPr>
          <w:sz w:val="22"/>
        </w:rPr>
        <w:t>14.2</w:t>
      </w:r>
      <w:r>
        <w:rPr>
          <w:sz w:val="22"/>
        </w:rPr>
        <w:tab/>
        <w:t>Министерство сельского хозяйства, водных ресурсов и развития сельских районов в сотрудничестве с учреждениями Организации Объединенных Наций, приступило к принятию мер, направленных на повышение производительности в сельском хозяйстве и охвата общинных фермеров.</w:t>
      </w:r>
    </w:p>
    <w:p w:rsidR="00000000" w:rsidRDefault="00000000">
      <w:pPr>
        <w:tabs>
          <w:tab w:val="left" w:pos="680"/>
          <w:tab w:val="left" w:pos="1361"/>
        </w:tabs>
        <w:spacing w:before="240"/>
        <w:jc w:val="both"/>
        <w:rPr>
          <w:sz w:val="22"/>
        </w:rPr>
      </w:pPr>
      <w:r>
        <w:rPr>
          <w:sz w:val="22"/>
        </w:rPr>
        <w:t>Парламент принял Закон об общинной земельной реформе (Закон № 5 от 2002 года). В соответствии с этим законом мужчины и женщины обладают равными индивидуальными правами на владение общинной землей.</w:t>
      </w:r>
    </w:p>
    <w:p w:rsidR="00000000" w:rsidRDefault="00000000">
      <w:pPr>
        <w:tabs>
          <w:tab w:val="left" w:pos="680"/>
          <w:tab w:val="left" w:pos="1361"/>
        </w:tabs>
        <w:spacing w:before="240"/>
        <w:jc w:val="both"/>
        <w:rPr>
          <w:b/>
          <w:sz w:val="22"/>
        </w:rPr>
      </w:pPr>
      <w:r>
        <w:rPr>
          <w:b/>
          <w:sz w:val="22"/>
        </w:rPr>
        <w:t>СТАТЬЯ 15:  Право- и дееспособность и домициль</w:t>
      </w:r>
    </w:p>
    <w:p w:rsidR="00000000" w:rsidRDefault="00000000">
      <w:pPr>
        <w:tabs>
          <w:tab w:val="left" w:pos="680"/>
          <w:tab w:val="left" w:pos="1361"/>
        </w:tabs>
        <w:spacing w:before="240"/>
        <w:jc w:val="both"/>
        <w:rPr>
          <w:sz w:val="22"/>
        </w:rPr>
      </w:pPr>
      <w:r>
        <w:rPr>
          <w:sz w:val="22"/>
        </w:rPr>
        <w:t>15.1</w:t>
      </w:r>
      <w:r>
        <w:rPr>
          <w:sz w:val="22"/>
        </w:rPr>
        <w:tab/>
        <w:t>Закон о равенстве лиц, состоящих в браке (Закон №1 от 1996 года), отменил супружеские полномочия мужа как главы домохозяйств.</w:t>
      </w:r>
    </w:p>
    <w:p w:rsidR="00000000" w:rsidRDefault="00000000">
      <w:pPr>
        <w:tabs>
          <w:tab w:val="left" w:pos="680"/>
          <w:tab w:val="left" w:pos="1361"/>
        </w:tabs>
        <w:spacing w:before="240"/>
        <w:jc w:val="both"/>
        <w:rPr>
          <w:sz w:val="22"/>
        </w:rPr>
      </w:pPr>
      <w:r>
        <w:rPr>
          <w:sz w:val="22"/>
        </w:rPr>
        <w:t>15.2</w:t>
      </w:r>
      <w:r>
        <w:rPr>
          <w:sz w:val="22"/>
        </w:rPr>
        <w:tab/>
        <w:t>В намибийском законодательстве нет положения о регистрации браков, заключенных в соответствии с обычным правом, и поэтому такие союзы не признаются браком для юридических целей, например при приобретении совместной собственности.</w:t>
      </w:r>
    </w:p>
    <w:p w:rsidR="00000000" w:rsidRDefault="00000000">
      <w:pPr>
        <w:tabs>
          <w:tab w:val="left" w:pos="680"/>
          <w:tab w:val="left" w:pos="1361"/>
        </w:tabs>
        <w:jc w:val="center"/>
        <w:rPr>
          <w:b/>
          <w:sz w:val="24"/>
        </w:rPr>
      </w:pPr>
      <w:r>
        <w:rPr>
          <w:sz w:val="22"/>
        </w:rPr>
        <w:br w:type="page"/>
      </w:r>
      <w:r>
        <w:rPr>
          <w:b/>
          <w:sz w:val="24"/>
        </w:rPr>
        <w:t>Часть 1:  ВСТУПИТЕЛЬНЫЕ РАЗДЕЛЫ</w:t>
      </w:r>
    </w:p>
    <w:p w:rsidR="00000000" w:rsidRDefault="00000000">
      <w:pPr>
        <w:tabs>
          <w:tab w:val="left" w:pos="680"/>
          <w:tab w:val="left" w:pos="1361"/>
        </w:tabs>
        <w:spacing w:before="360"/>
        <w:jc w:val="both"/>
        <w:rPr>
          <w:b/>
          <w:sz w:val="22"/>
        </w:rPr>
      </w:pPr>
      <w:r>
        <w:rPr>
          <w:b/>
          <w:sz w:val="22"/>
        </w:rPr>
        <w:t>1.0</w:t>
      </w:r>
      <w:r>
        <w:rPr>
          <w:b/>
          <w:sz w:val="22"/>
        </w:rPr>
        <w:tab/>
        <w:t>ОБЩИЙ ОБЗОР, СОЦИАЛЬНО-ЭКОНОМИЧЕСКИЕ И ПРАВОВЫЕ СТРУКТУРЫ</w:t>
      </w:r>
    </w:p>
    <w:p w:rsidR="00000000" w:rsidRDefault="00000000">
      <w:pPr>
        <w:tabs>
          <w:tab w:val="left" w:pos="680"/>
          <w:tab w:val="left" w:pos="1361"/>
        </w:tabs>
        <w:spacing w:before="240"/>
        <w:jc w:val="both"/>
        <w:rPr>
          <w:b/>
          <w:sz w:val="22"/>
        </w:rPr>
      </w:pPr>
      <w:r>
        <w:rPr>
          <w:b/>
          <w:sz w:val="22"/>
        </w:rPr>
        <w:t>1.1</w:t>
      </w:r>
      <w:r>
        <w:rPr>
          <w:b/>
          <w:sz w:val="22"/>
        </w:rPr>
        <w:tab/>
        <w:t>Общий обзор</w:t>
      </w:r>
    </w:p>
    <w:p w:rsidR="00000000" w:rsidRDefault="00000000">
      <w:pPr>
        <w:tabs>
          <w:tab w:val="left" w:pos="680"/>
          <w:tab w:val="left" w:pos="1361"/>
        </w:tabs>
        <w:spacing w:before="240"/>
        <w:jc w:val="both"/>
        <w:rPr>
          <w:sz w:val="22"/>
        </w:rPr>
      </w:pPr>
      <w:r>
        <w:rPr>
          <w:sz w:val="22"/>
        </w:rPr>
        <w:t>Намибия находится в юго-западной части Африки; на западе ее омывают воды Атлантического океана, на востоке она граничит с Ботсваной, Замбией и Зимбабве, на юге – с Южной Африкой и на севере – с Анголой. Намибия занимает площадь, составляющую приблизительно 824 295 кв. км. или 317 827 кв. милей, что почти в четыре раза больше площади Соединенного Королевства или немногим более чем вдвое больше площади штата Калифорния.</w:t>
      </w:r>
    </w:p>
    <w:p w:rsidR="00000000" w:rsidRDefault="00000000">
      <w:pPr>
        <w:tabs>
          <w:tab w:val="left" w:pos="680"/>
          <w:tab w:val="left" w:pos="1361"/>
        </w:tabs>
        <w:spacing w:before="240"/>
        <w:jc w:val="both"/>
        <w:rPr>
          <w:sz w:val="22"/>
        </w:rPr>
      </w:pPr>
      <w:r>
        <w:rPr>
          <w:sz w:val="22"/>
        </w:rPr>
        <w:t>Топографически страна делится на три региона: пустыню Намиб, Центральное плато и пустыню Калахари. Пустыня Намиб простирается вдоль всего южно-атлантического побережья страны от границы с Анголой на севере до границы с Южной Африкой на юге. Центральное плато возвышается на 3000–9000 футов над уровнем моря. Для пустыни Калахари на востоке и севере характерны мощные пласты континентальных пород и известняка и крайне редкие осадки. Намибия (называвшаяся до 1990 года Юго-Западной Африкой) была колонизирована Германией в 1884 году. Эта территория оставалась колонией Германии до 1915 года, когда Южно-Африканский союз нанес Германии поражение в Первой мировой войне. В 1920 году Лига Наций передала Намибию в управление Южной Африке по мандату класса С. По условиям этого мандата Южно-Африканский союз должен был " … содействовать политическому, экономическому, социальному и образовательному прогрессу жителей подопечных территорий, а также их последовательному движению к самоуправлению и получению в дальнейшем независимости…"</w:t>
      </w:r>
      <w:r>
        <w:rPr>
          <w:rStyle w:val="FootnoteReference"/>
          <w:sz w:val="22"/>
        </w:rPr>
        <w:footnoteReference w:id="2"/>
      </w:r>
      <w:r>
        <w:rPr>
          <w:sz w:val="22"/>
        </w:rPr>
        <w:t>.</w:t>
      </w:r>
    </w:p>
    <w:p w:rsidR="00000000" w:rsidRDefault="00000000">
      <w:pPr>
        <w:tabs>
          <w:tab w:val="left" w:pos="680"/>
          <w:tab w:val="left" w:pos="1361"/>
        </w:tabs>
        <w:spacing w:before="240"/>
        <w:jc w:val="both"/>
        <w:rPr>
          <w:sz w:val="22"/>
        </w:rPr>
      </w:pPr>
      <w:r>
        <w:rPr>
          <w:sz w:val="22"/>
        </w:rPr>
        <w:t>В 1945 году функции Лиги Наций унаследовала Организация Объединенных Наций, которая потребовала от Южной Африки передать Намибию под ее опеку. Вместо этого Южно- Африканский Союз не только отказался передать Юго-Западную Африку под опеку Организации Объединенных Наций, но и не обеспечил "материальное и моральное благополучие граждан этой территории". Но самое главное, он систематически проводил в стране политику апартеида. Основными направлениями этой политики были продолжение присвоения земли, на которой проживали африканцы, путем их принудительного перемещения для создания белых поселений; заключение африканцев в  небольшие бесплодные резервации, объединенные в построенные по племенному признаку "хоумленды"; отрицание политических прав африканцев и предоставление права на работу в качестве служащих и осуществление профессиональной деятельности лицам преимущественно европейского происхождения</w:t>
      </w:r>
      <w:r>
        <w:rPr>
          <w:rStyle w:val="FootnoteReference"/>
          <w:sz w:val="22"/>
        </w:rPr>
        <w:footnoteReference w:id="3"/>
      </w:r>
      <w:r>
        <w:rPr>
          <w:sz w:val="22"/>
        </w:rPr>
        <w:t>.</w:t>
      </w:r>
    </w:p>
    <w:p w:rsidR="00000000" w:rsidRDefault="00000000">
      <w:pPr>
        <w:tabs>
          <w:tab w:val="left" w:pos="680"/>
          <w:tab w:val="left" w:pos="1361"/>
        </w:tabs>
        <w:spacing w:before="240"/>
        <w:jc w:val="both"/>
        <w:rPr>
          <w:sz w:val="22"/>
        </w:rPr>
      </w:pPr>
      <w:r>
        <w:rPr>
          <w:sz w:val="22"/>
        </w:rPr>
        <w:t>В конце 1950-х – начале 1960-х годов зародившиеся национально-освободительные движения приняли участие в судьбе  угнетенного народа Намибии. Первоначально их усилия были сосредоточены на обращениях в Организацию Объединенных Наций и политической мобилизации народа внутри страны. Но в 1966 году Народная организация Юго-Западной Африки (СВАПО) придала этой борьбе новое измерение, начав вооруженную борьбу внутри страны.</w:t>
      </w:r>
    </w:p>
    <w:p w:rsidR="00000000" w:rsidRDefault="00000000">
      <w:pPr>
        <w:tabs>
          <w:tab w:val="left" w:pos="680"/>
          <w:tab w:val="left" w:pos="1361"/>
        </w:tabs>
        <w:spacing w:before="240"/>
        <w:jc w:val="both"/>
        <w:rPr>
          <w:sz w:val="22"/>
        </w:rPr>
      </w:pPr>
      <w:r>
        <w:rPr>
          <w:sz w:val="22"/>
        </w:rPr>
        <w:t>В результате усиления этой борьбы пять западных государств – членов Совета Безопасности Организации Объединенных Наций начали переговоры между СВАПО и Южной Африкой с целью добиться мирного разрешения намибийской проблемы. 29 сентября 1978 года Совет Безопасности принял резолюцию № 435. Однако из-за имевшего место в то время соперничества между сверхдержавами резолюция № 435 не была выполнена до 1989 года. 21 марта 1990 года после успешного выполнения резолюции № 435 Намибия официально стала независимым государством.</w:t>
      </w:r>
    </w:p>
    <w:p w:rsidR="00000000" w:rsidRDefault="00000000">
      <w:pPr>
        <w:tabs>
          <w:tab w:val="left" w:pos="680"/>
          <w:tab w:val="left" w:pos="1361"/>
        </w:tabs>
        <w:spacing w:before="240"/>
        <w:jc w:val="both"/>
        <w:rPr>
          <w:sz w:val="22"/>
        </w:rPr>
      </w:pPr>
      <w:r>
        <w:rPr>
          <w:sz w:val="22"/>
        </w:rPr>
        <w:t>Намибия – страна с богатой культурой и традициями. Как и во многих африканских странах, в Намибии проживают представители различных этнических групп, включая африкандеров, бастеров, капривийцев, цветных, дамара, англичан, немцев, гереро, каванго, нама, овамбо, сан и цвана. Официальным языком является английский. Девяносто процентов намибийцев – христиане. Среди представителей конфессий – лютеране (48 процентов), католики (32 процента), последователи голландской реформистской церкви (10 процентов), англикане (8 процентов), методисты (1,6 процента) и некоторое количество мусульман (0,1 процента)</w:t>
      </w:r>
      <w:r>
        <w:rPr>
          <w:rStyle w:val="FootnoteReference"/>
          <w:sz w:val="22"/>
        </w:rPr>
        <w:footnoteReference w:id="4"/>
      </w:r>
      <w:r>
        <w:rPr>
          <w:sz w:val="22"/>
        </w:rPr>
        <w:t>.</w:t>
      </w:r>
    </w:p>
    <w:p w:rsidR="00000000" w:rsidRDefault="00000000">
      <w:pPr>
        <w:tabs>
          <w:tab w:val="left" w:pos="680"/>
          <w:tab w:val="left" w:pos="1361"/>
        </w:tabs>
        <w:spacing w:before="240"/>
        <w:jc w:val="both"/>
        <w:rPr>
          <w:b/>
          <w:sz w:val="22"/>
        </w:rPr>
      </w:pPr>
      <w:r>
        <w:rPr>
          <w:b/>
          <w:sz w:val="22"/>
        </w:rPr>
        <w:t>1.2</w:t>
      </w:r>
      <w:r>
        <w:rPr>
          <w:b/>
          <w:sz w:val="22"/>
        </w:rPr>
        <w:tab/>
        <w:t>Социальные структуры</w:t>
      </w:r>
    </w:p>
    <w:p w:rsidR="00000000" w:rsidRDefault="00000000">
      <w:pPr>
        <w:tabs>
          <w:tab w:val="left" w:pos="680"/>
          <w:tab w:val="left" w:pos="1361"/>
        </w:tabs>
        <w:spacing w:before="240"/>
        <w:jc w:val="both"/>
        <w:rPr>
          <w:sz w:val="22"/>
        </w:rPr>
      </w:pPr>
      <w:r>
        <w:rPr>
          <w:sz w:val="22"/>
        </w:rPr>
        <w:t>Согласно предварительным результатам переписи населения и жилого фонда, проведенной в 2001 году, общая численность населения Намибии на 2001 год составила 1 826 854 человека, из них 890 136 мужчин и 926 718 женщин. Средний ежегодный прирост населения составил 2,6 процента, что ниже показателя переписи 1991 года, равного 3,1 процента. По оценкам 1996 года, 35 процентов от общей численности населения Намибии, равной в то время 1,68 млн. человек, проживало в городских районах. Наиболее урбанизированным центром является Виндхук, и в 1991 году в нем проживало около 31 процента всего населения страны. В период с 1991 по 1995 год население Виндхука ежегодно увеличивалось на 5,4 процента, что является самым высоким коэффициентом ежегодного прироста в истории. В 1997 году население Виндхука составляло приблизительно 200 000 человек, что равнялось почти половине всех городских жителей страны. По оценкам, к 2010 году численность населения Виндхука удвоится в результате миграции, приводящей к значительному росту самовольных  поселений</w:t>
      </w:r>
      <w:r>
        <w:rPr>
          <w:rStyle w:val="FootnoteReference"/>
          <w:sz w:val="22"/>
        </w:rPr>
        <w:footnoteReference w:id="5"/>
      </w:r>
      <w:r>
        <w:rPr>
          <w:sz w:val="22"/>
        </w:rPr>
        <w:t>.</w:t>
      </w:r>
    </w:p>
    <w:p w:rsidR="00000000" w:rsidRDefault="00000000">
      <w:pPr>
        <w:tabs>
          <w:tab w:val="left" w:pos="680"/>
          <w:tab w:val="left" w:pos="1361"/>
        </w:tabs>
        <w:spacing w:before="240"/>
        <w:jc w:val="both"/>
        <w:rPr>
          <w:sz w:val="22"/>
        </w:rPr>
      </w:pPr>
      <w:r>
        <w:rPr>
          <w:sz w:val="22"/>
        </w:rPr>
        <w:t>Согласно данным обзора ситуации в области демографии и здравоохранения в Намибии (ОДЗН), проведенного в 2000 году, средний коэффициент фертильности составляет 4,2 ребенка. Эта цифра на 22 процента ниже показателя 1992 года, составлявшего 5,4 детей. Предполагается, что это снижение вызвано повышением доступности образования, особенно для женщин, а также снижением рождаемости вследствие пандемии ВИЧ/СПИДа</w:t>
      </w:r>
      <w:r>
        <w:rPr>
          <w:rStyle w:val="FootnoteReference"/>
          <w:sz w:val="22"/>
        </w:rPr>
        <w:footnoteReference w:id="6"/>
      </w:r>
      <w:r>
        <w:rPr>
          <w:sz w:val="22"/>
        </w:rPr>
        <w:t>.</w:t>
      </w:r>
    </w:p>
    <w:p w:rsidR="00000000" w:rsidRDefault="00000000">
      <w:pPr>
        <w:tabs>
          <w:tab w:val="left" w:pos="680"/>
          <w:tab w:val="left" w:pos="1361"/>
        </w:tabs>
        <w:spacing w:before="240"/>
        <w:jc w:val="both"/>
        <w:rPr>
          <w:sz w:val="22"/>
        </w:rPr>
      </w:pPr>
      <w:r>
        <w:rPr>
          <w:sz w:val="22"/>
        </w:rPr>
        <w:t>Ожидаемая продолжительность предстоящей жизни при рождении, по оценкам, составляла в 1991 году 58 лет для мужчин и 62 года для женщин. В отсутствие данных за 2001 год можно предположить, что ожидаемая продолжительность жизни для мужчин составляет 50,6 лет, а для женщин – 54,1 года. Младенческая смертность снизилась с 57 случаев смерти на 1000 живорождений в период 1988–1992 годов до 38,1 случая на 1000 живорождений в период 1996–2000 годов. Согласно данным ОДЗН, проведенного в 2000 году, в период 1996–2000 годов смертность среди детей в возрасте до 5 лет составила 62 на 1000, что свидетельствует об улучшении этого показателя на одну треть по сравнению с периодом 1988–1992 годов, когда он составлял 91,6 на 1000.</w:t>
      </w:r>
    </w:p>
    <w:p w:rsidR="00000000" w:rsidRDefault="00000000">
      <w:pPr>
        <w:tabs>
          <w:tab w:val="left" w:pos="680"/>
          <w:tab w:val="left" w:pos="1361"/>
        </w:tabs>
        <w:spacing w:before="240"/>
        <w:jc w:val="both"/>
        <w:rPr>
          <w:b/>
          <w:sz w:val="22"/>
        </w:rPr>
      </w:pPr>
      <w:r>
        <w:rPr>
          <w:b/>
          <w:sz w:val="22"/>
        </w:rPr>
        <w:t>1.3</w:t>
      </w:r>
      <w:r>
        <w:rPr>
          <w:b/>
          <w:sz w:val="22"/>
        </w:rPr>
        <w:tab/>
        <w:t>Экономические структуры</w:t>
      </w:r>
    </w:p>
    <w:p w:rsidR="00000000" w:rsidRDefault="00000000">
      <w:pPr>
        <w:tabs>
          <w:tab w:val="left" w:pos="680"/>
          <w:tab w:val="left" w:pos="1361"/>
        </w:tabs>
        <w:spacing w:before="240"/>
        <w:jc w:val="both"/>
        <w:rPr>
          <w:sz w:val="22"/>
        </w:rPr>
      </w:pPr>
      <w:r>
        <w:rPr>
          <w:sz w:val="22"/>
        </w:rPr>
        <w:t xml:space="preserve">На момент обретения Намибией независимости в 1990 году реальный валовой внутренний продукт (ВВП) и реальный национальный доход на душу населения в постоянных ценах 1990 года составляли 6081 млн. намибийских долл.  и 4520 намибийских долл., соответственно. Через 12 лет после обретения независимости и за прошедшее десятилетие с 1990 по 1999 год реальный ВВП увеличился примерно на 39 процентов, с 6081 млн. намибийских долл. до 8453 млн. намибийских долл.; при этом реальный доход на душу населения вырос примерно на 4,8 процента, то есть с </w:t>
      </w:r>
      <w:r>
        <w:rPr>
          <w:sz w:val="22"/>
        </w:rPr>
        <w:br/>
        <w:t>4520 намибийских долл. до 4735 намибийских долл.</w:t>
      </w:r>
      <w:r>
        <w:rPr>
          <w:rStyle w:val="FootnoteReference"/>
          <w:sz w:val="22"/>
        </w:rPr>
        <w:footnoteReference w:id="7"/>
      </w:r>
      <w:r>
        <w:rPr>
          <w:sz w:val="22"/>
        </w:rPr>
        <w:t>.</w:t>
      </w:r>
    </w:p>
    <w:p w:rsidR="00000000" w:rsidRDefault="00000000">
      <w:pPr>
        <w:tabs>
          <w:tab w:val="left" w:pos="680"/>
          <w:tab w:val="left" w:pos="1361"/>
        </w:tabs>
        <w:spacing w:before="240"/>
        <w:jc w:val="both"/>
        <w:rPr>
          <w:sz w:val="22"/>
        </w:rPr>
      </w:pPr>
      <w:r>
        <w:rPr>
          <w:sz w:val="22"/>
        </w:rPr>
        <w:t>Для экономики Намибии характерно преобладание добывающей промышленности. Горнодобывающий сектор играет одну из ведущих ролей в экономике страны, для которой он служит основой, внося вклад не только в ВВП, поступления от экспорта и капиталовложения, но и в доходные статьи государства. Однако вклад этого сектора в ВВП снизился с 21 процент (1983–1989 годы) до 14,6 процента (1990–2000 годы). В 2002 году в этом секторе сохранялась понижательная тенденция как в добыче алмазов, так и в горнодобывающей промышленности, включая открытые выработки. Добыча алмазов снизилась на 5,1 процента. С другой стороны, инвестиции как часть  валового основного капитала оставались примерно на одном и том же уровне и составили 15,3 процента и 14,9 процента в течение этих двух периодов соответственно. Доля этого сектора в поступлениях от экспорта снизилась, соответственно, с 70 процентов до 54 процентов.</w:t>
      </w:r>
    </w:p>
    <w:p w:rsidR="00000000" w:rsidRDefault="00000000">
      <w:pPr>
        <w:tabs>
          <w:tab w:val="left" w:pos="680"/>
          <w:tab w:val="left" w:pos="1361"/>
        </w:tabs>
        <w:spacing w:before="240"/>
        <w:jc w:val="both"/>
        <w:rPr>
          <w:sz w:val="22"/>
        </w:rPr>
      </w:pPr>
      <w:r>
        <w:rPr>
          <w:sz w:val="22"/>
        </w:rPr>
        <w:t>Показатели деятельности в этом секторе в значительной степени зависят от внешних факторов, таких как состояние мировой экономики, и от страновых квот, выделяемых Центральной сбытовой организацией для добычи алмазов корпорацией в Намибии. Спад, сопровождающийся снижением цен на минеральное сырье, приводит к сокращению доли этого сектора, тогда как подъем деловой активности ведет к повышению спроса и росту цен, что идет на пользу горнодобывающему сектору в Намибии</w:t>
      </w:r>
      <w:r>
        <w:rPr>
          <w:rStyle w:val="FootnoteReference"/>
          <w:sz w:val="22"/>
        </w:rPr>
        <w:footnoteReference w:id="8"/>
      </w:r>
      <w:r>
        <w:rPr>
          <w:sz w:val="22"/>
        </w:rPr>
        <w:t>.</w:t>
      </w:r>
    </w:p>
    <w:p w:rsidR="00000000" w:rsidRDefault="00000000">
      <w:pPr>
        <w:tabs>
          <w:tab w:val="left" w:pos="680"/>
          <w:tab w:val="left" w:pos="1361"/>
        </w:tabs>
        <w:spacing w:before="240"/>
        <w:jc w:val="both"/>
        <w:rPr>
          <w:sz w:val="22"/>
        </w:rPr>
      </w:pPr>
      <w:r>
        <w:rPr>
          <w:sz w:val="22"/>
        </w:rPr>
        <w:t>Сельское хозяйство является ключевым сектором экономики Намибии. Основу сельскохозяйственного сектора составляют крупный рогатый скот и овцы;  кукуруза, пшеница и просо выращиваются в  районах с достаточным количеством осадков.  В 1998 году доля сектора в ВВП и поступлениях от экспорта товаров составляла примерно 8 процентов, при этом в секторе было занято 25 процентов всех трудящихся</w:t>
      </w:r>
      <w:r>
        <w:rPr>
          <w:rStyle w:val="FootnoteReference"/>
          <w:sz w:val="22"/>
        </w:rPr>
        <w:footnoteReference w:id="9"/>
      </w:r>
      <w:r>
        <w:rPr>
          <w:sz w:val="22"/>
        </w:rPr>
        <w:t>. В 2001 году в сельскохозяйственном секторе был отмечен спад производства на 11,4 процента, тогда как в 2000 году наблюдался общий  рост производства в отрасли на 4,3 процента. Отрицательный показатель темпов роста объясняется  сохранением постоянного поголовья скота в 2001 году по сравнению с 2000 годом, когда наблюдался его значительный прирост.</w:t>
      </w:r>
    </w:p>
    <w:p w:rsidR="00000000" w:rsidRDefault="00000000">
      <w:pPr>
        <w:tabs>
          <w:tab w:val="left" w:pos="680"/>
          <w:tab w:val="left" w:pos="1361"/>
        </w:tabs>
        <w:spacing w:before="240"/>
        <w:jc w:val="both"/>
        <w:rPr>
          <w:sz w:val="22"/>
        </w:rPr>
      </w:pPr>
      <w:r>
        <w:rPr>
          <w:sz w:val="22"/>
        </w:rPr>
        <w:t>Показатели деятельности в этом секторе в основном определяются климатическими условиями. На объем производства в секторе существенно влияет засуха, приводящая к отрицательным темпам роста. Переход на выращивание более засухоустойчивых культур, таких как табак и хлопок, а также составление более точных прогнозов погоды на сезон дождей может помочь этому сектору меньше зависеть от климатических условий. В последние годы все больше фермеров берутся за выращивание в районах богарного земледелия табака и хлопка вместо кукурузы. Например, продажа хлопка возросла с 1160 тонн в 1997/98 году до 4800 тонн в 1998/99 году. В виде экспериментальных проектов выращивание хлопка, табака и риса  внедряется также на общинных землях</w:t>
      </w:r>
      <w:r>
        <w:rPr>
          <w:rStyle w:val="FootnoteReference"/>
          <w:sz w:val="22"/>
        </w:rPr>
        <w:footnoteReference w:id="10"/>
      </w:r>
      <w:r>
        <w:rPr>
          <w:sz w:val="22"/>
        </w:rPr>
        <w:t>.</w:t>
      </w:r>
    </w:p>
    <w:p w:rsidR="00000000" w:rsidRDefault="00000000">
      <w:pPr>
        <w:tabs>
          <w:tab w:val="left" w:pos="680"/>
          <w:tab w:val="left" w:pos="1361"/>
        </w:tabs>
        <w:spacing w:before="240"/>
        <w:jc w:val="both"/>
        <w:rPr>
          <w:sz w:val="22"/>
        </w:rPr>
      </w:pPr>
      <w:r>
        <w:rPr>
          <w:sz w:val="22"/>
        </w:rPr>
        <w:t>Намибия также успешно начала использовать конкурентные преимущества выращивания винограда по берегам Оранжевой реки. Если на момент обретения независимости площадь возделываемых земель, занятых под виноградники, составляла всего 32 га, то в 1999 году она значительно возросла, достигнув 1028 га, что позволило создать 1400 постоянных и дополнительно 2100 сезонных рабочих мест</w:t>
      </w:r>
      <w:r>
        <w:rPr>
          <w:rStyle w:val="FootnoteReference"/>
          <w:sz w:val="22"/>
        </w:rPr>
        <w:footnoteReference w:id="11"/>
      </w:r>
      <w:r>
        <w:rPr>
          <w:sz w:val="22"/>
        </w:rPr>
        <w:t>.</w:t>
      </w:r>
    </w:p>
    <w:p w:rsidR="00000000" w:rsidRDefault="00000000">
      <w:pPr>
        <w:tabs>
          <w:tab w:val="left" w:pos="680"/>
          <w:tab w:val="left" w:pos="1361"/>
        </w:tabs>
        <w:spacing w:before="240"/>
        <w:jc w:val="both"/>
        <w:rPr>
          <w:sz w:val="22"/>
        </w:rPr>
      </w:pPr>
      <w:r>
        <w:rPr>
          <w:sz w:val="22"/>
        </w:rPr>
        <w:t>С момента обретения независимости существенно расширился сектор рыболовства, составив в 1998 году 10 процентов в ВВП и 29 процентов поступлений от экспорта товаров</w:t>
      </w:r>
      <w:r>
        <w:rPr>
          <w:rStyle w:val="FootnoteReference"/>
          <w:sz w:val="22"/>
        </w:rPr>
        <w:footnoteReference w:id="12"/>
      </w:r>
      <w:r>
        <w:rPr>
          <w:sz w:val="22"/>
        </w:rPr>
        <w:t>. В 2001 году в этом секторе был отмечен спад на 7,7 процента по сравнению с ростом на 2,9 процента в предыдущем году. Спад произошел в результате снижения улова рыбы</w:t>
      </w:r>
      <w:r>
        <w:rPr>
          <w:rStyle w:val="FootnoteReference"/>
          <w:sz w:val="22"/>
        </w:rPr>
        <w:footnoteReference w:id="13"/>
      </w:r>
      <w:r>
        <w:rPr>
          <w:sz w:val="22"/>
        </w:rPr>
        <w:t>. Основными видами вылавливаемой рыбы являются сардина-пильчард, хек, ставрида, лангуст и морской черт. В водах континентального шельфа вдоль побережья встречаются камбала, снук и тунец.</w:t>
      </w:r>
    </w:p>
    <w:p w:rsidR="00000000" w:rsidRDefault="00000000">
      <w:pPr>
        <w:tabs>
          <w:tab w:val="left" w:pos="680"/>
          <w:tab w:val="left" w:pos="1361"/>
        </w:tabs>
        <w:spacing w:before="240"/>
        <w:jc w:val="both"/>
        <w:rPr>
          <w:b/>
          <w:sz w:val="22"/>
        </w:rPr>
      </w:pPr>
      <w:r>
        <w:rPr>
          <w:b/>
          <w:sz w:val="22"/>
        </w:rPr>
        <w:t>1.4</w:t>
      </w:r>
      <w:r>
        <w:rPr>
          <w:b/>
          <w:sz w:val="22"/>
        </w:rPr>
        <w:tab/>
        <w:t>Политические структуры</w:t>
      </w:r>
    </w:p>
    <w:p w:rsidR="00000000" w:rsidRDefault="00000000">
      <w:pPr>
        <w:tabs>
          <w:tab w:val="left" w:pos="680"/>
          <w:tab w:val="left" w:pos="1361"/>
        </w:tabs>
        <w:spacing w:before="240"/>
        <w:jc w:val="both"/>
        <w:rPr>
          <w:sz w:val="22"/>
        </w:rPr>
      </w:pPr>
      <w:r>
        <w:rPr>
          <w:sz w:val="22"/>
        </w:rPr>
        <w:t xml:space="preserve">В Конституции Намибии провозглашаются многопартийная демократия и основные права и свободы. Конституция предусматривает разделение власти между исполнительной, законодательной и судебной системами. Кабинет министров является исполнительной ветвью власти, возглавляемой президентом. Президент избирается прямым народным голосованием и может оставаться на своем посту в течение двух пятилетних сроков. Двухпалатная законодательная ветвь власти состоит из Национальной ассамблеи, в состав которой входят </w:t>
      </w:r>
      <w:r>
        <w:rPr>
          <w:sz w:val="22"/>
        </w:rPr>
        <w:br/>
        <w:t>72 избранных  и 6 назначаемых президентом  на пятилетний срок членов, и Национального совета, в который входят по 2 представителя от каждого из 13 географических районов Намибии</w:t>
      </w:r>
      <w:r>
        <w:rPr>
          <w:rStyle w:val="FootnoteReference"/>
          <w:sz w:val="22"/>
        </w:rPr>
        <w:footnoteReference w:id="14"/>
      </w:r>
      <w:r>
        <w:rPr>
          <w:sz w:val="22"/>
        </w:rPr>
        <w:t>, избираемых на шестилетний срок из числа членов различных региональных советов.</w:t>
      </w:r>
    </w:p>
    <w:p w:rsidR="00000000" w:rsidRDefault="00000000">
      <w:pPr>
        <w:tabs>
          <w:tab w:val="left" w:pos="680"/>
          <w:tab w:val="left" w:pos="1361"/>
        </w:tabs>
        <w:spacing w:before="240"/>
        <w:jc w:val="both"/>
        <w:rPr>
          <w:sz w:val="22"/>
        </w:rPr>
      </w:pPr>
      <w:r>
        <w:rPr>
          <w:sz w:val="22"/>
        </w:rPr>
        <w:t>Национальная ассамблея вносит на рассмотрение законодательные инициативы и имеет право вводить в действие законы несмотря на возражения Национального совета при условии их одобрения двумя третями голосов. Национальный совет рассматривает законопроекты, предложенные Национальной ассамблеей.</w:t>
      </w:r>
    </w:p>
    <w:p w:rsidR="00000000" w:rsidRDefault="00000000">
      <w:pPr>
        <w:tabs>
          <w:tab w:val="left" w:pos="680"/>
          <w:tab w:val="left" w:pos="1361"/>
        </w:tabs>
        <w:spacing w:before="240"/>
        <w:jc w:val="both"/>
        <w:rPr>
          <w:sz w:val="22"/>
        </w:rPr>
      </w:pPr>
      <w:r>
        <w:rPr>
          <w:sz w:val="22"/>
        </w:rPr>
        <w:t>Следующие политические партии участвовали в последних национальных выборах, состоявшихся в декабре 1999 года, и  места в парламенте распределились таким образом: Народная организация Юго-Западной Африки (СВАПО) – 55; Демократический альянс Турнхалле (ДТА) – 7; Конгресс демократов (КД) – 7; Объединенный демократический фронт (ОДФ) – 2 и Группа действия "Монитор" (ГДМ) – 1.</w:t>
      </w:r>
    </w:p>
    <w:p w:rsidR="00000000" w:rsidRDefault="00000000">
      <w:pPr>
        <w:tabs>
          <w:tab w:val="left" w:pos="680"/>
          <w:tab w:val="left" w:pos="1361"/>
        </w:tabs>
        <w:spacing w:before="240"/>
        <w:jc w:val="both"/>
        <w:rPr>
          <w:b/>
          <w:sz w:val="22"/>
        </w:rPr>
      </w:pPr>
      <w:r>
        <w:rPr>
          <w:b/>
          <w:sz w:val="22"/>
        </w:rPr>
        <w:t>1.5</w:t>
      </w:r>
      <w:r>
        <w:rPr>
          <w:b/>
          <w:sz w:val="22"/>
        </w:rPr>
        <w:tab/>
        <w:t>Правовые структуры</w:t>
      </w:r>
    </w:p>
    <w:p w:rsidR="00000000" w:rsidRDefault="00000000">
      <w:pPr>
        <w:tabs>
          <w:tab w:val="left" w:pos="680"/>
          <w:tab w:val="left" w:pos="1361"/>
        </w:tabs>
        <w:spacing w:before="240"/>
        <w:jc w:val="both"/>
        <w:rPr>
          <w:sz w:val="22"/>
        </w:rPr>
      </w:pPr>
      <w:r>
        <w:rPr>
          <w:sz w:val="22"/>
        </w:rPr>
        <w:t>Правовая система Намибии состоит из Верховного суда, Высокого суда и низших судов, а также Комиссии судебных исполнителей. Традиционные суды продолжают отправлять обычное право, но эта система должна измениться  с введением законопроекта об общинных судах. Верховный суд "…проводит слушания и принимает судебные решения по апелляциям Высокого суда …"</w:t>
      </w:r>
      <w:r>
        <w:rPr>
          <w:rStyle w:val="FootnoteReference"/>
          <w:sz w:val="22"/>
        </w:rPr>
        <w:footnoteReference w:id="15"/>
      </w:r>
      <w:r>
        <w:rPr>
          <w:sz w:val="22"/>
        </w:rPr>
        <w:t>. Высокий суд, согласно Конституции, "обладает компетенцией рассматривать и решать все гражданско-правовые споры и уголовные дела, включая дела, связанные с толкованием, выполнением и защитой данной Конституции…"</w:t>
      </w:r>
      <w:r>
        <w:rPr>
          <w:rStyle w:val="FootnoteReference"/>
          <w:sz w:val="22"/>
        </w:rPr>
        <w:footnoteReference w:id="16"/>
      </w:r>
      <w:r>
        <w:rPr>
          <w:sz w:val="22"/>
        </w:rPr>
        <w:t>.</w:t>
      </w:r>
    </w:p>
    <w:p w:rsidR="00000000" w:rsidRDefault="00000000">
      <w:pPr>
        <w:tabs>
          <w:tab w:val="left" w:pos="680"/>
          <w:tab w:val="left" w:pos="1361"/>
        </w:tabs>
        <w:spacing w:before="240"/>
        <w:jc w:val="both"/>
        <w:rPr>
          <w:sz w:val="22"/>
        </w:rPr>
      </w:pPr>
      <w:r>
        <w:rPr>
          <w:sz w:val="22"/>
        </w:rPr>
        <w:t>Независимость судей гарантируется Конституцией; они назначаются пожизненно и могут быть сняты со своих постов по причине психической недееспособности или злостных проступков. В обязанности омбудсмена входят расследование жалоб о нарушении основных прав и свобод  и наблюдение за поведением государственных органов власти и должностных лиц. Генеральный прокурор и Генеральный атторней являются правоприменительными должностными лицами правительства.</w:t>
      </w:r>
    </w:p>
    <w:p w:rsidR="00000000" w:rsidRDefault="00000000">
      <w:pPr>
        <w:tabs>
          <w:tab w:val="left" w:pos="680"/>
          <w:tab w:val="left" w:pos="1361"/>
        </w:tabs>
        <w:spacing w:before="480"/>
        <w:ind w:left="680" w:hanging="680"/>
        <w:rPr>
          <w:b/>
          <w:caps/>
          <w:sz w:val="22"/>
        </w:rPr>
      </w:pPr>
      <w:r>
        <w:rPr>
          <w:b/>
          <w:caps/>
          <w:sz w:val="22"/>
        </w:rPr>
        <w:t>2.0</w:t>
      </w:r>
      <w:r>
        <w:rPr>
          <w:b/>
          <w:caps/>
          <w:sz w:val="22"/>
        </w:rPr>
        <w:tab/>
        <w:t>Осуществление Конвенции о ликвидации всех форм дискриминации в отношении женщин</w:t>
      </w:r>
    </w:p>
    <w:p w:rsidR="00000000" w:rsidRDefault="00000000">
      <w:pPr>
        <w:tabs>
          <w:tab w:val="left" w:pos="680"/>
          <w:tab w:val="left" w:pos="1361"/>
        </w:tabs>
        <w:spacing w:before="240"/>
        <w:jc w:val="both"/>
        <w:rPr>
          <w:sz w:val="22"/>
        </w:rPr>
      </w:pPr>
      <w:r>
        <w:rPr>
          <w:sz w:val="22"/>
        </w:rPr>
        <w:t>В соответствии с положениями КЛДЖ государства-участники должны по крайней мере раз в четыре года представлять в Комитет национальные доклады с указанием принятых ими мер по претворению в жизнь положений Конвенции</w:t>
      </w:r>
      <w:r>
        <w:rPr>
          <w:rStyle w:val="FootnoteReference"/>
          <w:sz w:val="22"/>
        </w:rPr>
        <w:footnoteReference w:id="17"/>
      </w:r>
      <w:r>
        <w:rPr>
          <w:sz w:val="22"/>
        </w:rPr>
        <w:t>. Свой первый доклад  Намибия представила в Организацию Объединенных Наций в июле 1997 года.</w:t>
      </w:r>
    </w:p>
    <w:p w:rsidR="00000000" w:rsidRDefault="00000000">
      <w:pPr>
        <w:tabs>
          <w:tab w:val="left" w:pos="680"/>
          <w:tab w:val="left" w:pos="1361"/>
        </w:tabs>
        <w:spacing w:before="240"/>
        <w:jc w:val="both"/>
        <w:rPr>
          <w:sz w:val="22"/>
        </w:rPr>
      </w:pPr>
      <w:r>
        <w:rPr>
          <w:sz w:val="22"/>
        </w:rPr>
        <w:t>Комитет, в обязанности которого входит рассмотрение докладов, поступающих от государств-участников, тщательно изучил доклад Намибии и представил свои замечания по нему. Комитет с удовлетворением отметил, что доклад Намибии был откровенным, подробным и четко структурированным. Он также поздравил Намибию с  ратификацией Конвенции без каких-либо оговорок и привлечением НПО  к подготовке доклада</w:t>
      </w:r>
      <w:r>
        <w:rPr>
          <w:rStyle w:val="FootnoteReference"/>
          <w:sz w:val="22"/>
        </w:rPr>
        <w:footnoteReference w:id="18"/>
      </w:r>
      <w:r>
        <w:rPr>
          <w:sz w:val="22"/>
        </w:rPr>
        <w:t>.</w:t>
      </w:r>
    </w:p>
    <w:p w:rsidR="00000000" w:rsidRDefault="00000000">
      <w:pPr>
        <w:tabs>
          <w:tab w:val="left" w:pos="680"/>
          <w:tab w:val="left" w:pos="1361"/>
        </w:tabs>
        <w:spacing w:before="240"/>
        <w:jc w:val="both"/>
        <w:rPr>
          <w:sz w:val="22"/>
        </w:rPr>
      </w:pPr>
      <w:r>
        <w:rPr>
          <w:sz w:val="22"/>
        </w:rPr>
        <w:t>Комитет также приветствовал создание Комиссии по правовой реформе и развитию и принятие Закона о равенстве лиц, состоящих в браке, и с нетерпением ожидает  принятия нового законодательства, касающегося детей</w:t>
      </w:r>
      <w:r>
        <w:rPr>
          <w:rStyle w:val="FootnoteReference"/>
          <w:sz w:val="22"/>
        </w:rPr>
        <w:footnoteReference w:id="19"/>
      </w:r>
      <w:r>
        <w:rPr>
          <w:sz w:val="22"/>
        </w:rPr>
        <w:t>.</w:t>
      </w:r>
    </w:p>
    <w:p w:rsidR="00000000" w:rsidRDefault="00000000">
      <w:pPr>
        <w:tabs>
          <w:tab w:val="left" w:pos="680"/>
          <w:tab w:val="left" w:pos="1361"/>
        </w:tabs>
        <w:spacing w:before="240"/>
        <w:jc w:val="both"/>
        <w:rPr>
          <w:sz w:val="22"/>
        </w:rPr>
      </w:pPr>
      <w:r>
        <w:rPr>
          <w:sz w:val="22"/>
        </w:rPr>
        <w:t>В то же время Комитет назвал следующие три проблемы как препятствующие реализации в Намибии программы гендерного равенства: дискриминация, проистекающая из обычного права; отсутствие  у широких слоев населения знаний о правах человека и соответствующих законах; а также бедность, которая мешает большинству женщин в Намибии осуществить их стремления.</w:t>
      </w:r>
    </w:p>
    <w:p w:rsidR="00000000" w:rsidRDefault="00000000">
      <w:pPr>
        <w:tabs>
          <w:tab w:val="left" w:pos="680"/>
          <w:tab w:val="left" w:pos="1361"/>
        </w:tabs>
        <w:spacing w:before="240"/>
        <w:jc w:val="both"/>
        <w:rPr>
          <w:sz w:val="22"/>
        </w:rPr>
      </w:pPr>
      <w:r>
        <w:rPr>
          <w:sz w:val="22"/>
        </w:rPr>
        <w:t>Другие внесенные предложения касались эффективного выполнения позитивных действий, влияния обычного права на жизнь женщин, насилия в отношении женщин, законов об абортах, медицинского обслуживания "проституток", беременности в подростковом возрасте и т. д.</w:t>
      </w:r>
    </w:p>
    <w:p w:rsidR="00000000" w:rsidRDefault="00000000">
      <w:pPr>
        <w:tabs>
          <w:tab w:val="left" w:pos="680"/>
          <w:tab w:val="left" w:pos="1361"/>
        </w:tabs>
        <w:spacing w:before="240"/>
        <w:jc w:val="both"/>
        <w:rPr>
          <w:sz w:val="22"/>
        </w:rPr>
      </w:pPr>
      <w:r>
        <w:rPr>
          <w:sz w:val="22"/>
        </w:rPr>
        <w:t>В ответ на эти предложения кабинет министров призвал все правительственные учреждения, министерства и организации изучить рекомендации Комитета и представить свои соображения относительно реализации этих предложений существовавшему в то время Департаменту по делам женщин. В соответствии с замечаниями Комитета Организации Объединенных Наций о роли НПО кабинет также предложил НПО принять участие в последующей работе по реализации КЛДЖ.</w:t>
      </w:r>
    </w:p>
    <w:p w:rsidR="00000000" w:rsidRDefault="00000000">
      <w:pPr>
        <w:tabs>
          <w:tab w:val="left" w:pos="680"/>
          <w:tab w:val="left" w:pos="1361"/>
        </w:tabs>
        <w:spacing w:before="240"/>
        <w:jc w:val="both"/>
        <w:rPr>
          <w:sz w:val="22"/>
        </w:rPr>
      </w:pPr>
      <w:r>
        <w:rPr>
          <w:sz w:val="22"/>
        </w:rPr>
        <w:t>Хотя в данном докладе не предполагается охватить все вопросы, поднятые Комитетом в связи с первым докладом, достаточно сказать, что с 1997 года было сделано немало в плане решения гендерных проблем с учетом поставленных вопросов. Первым и наиболее важным событием стало повышение статуса Департамента по делам женщин при канцелярии президента и преобразование его в  полноправное Министерство по делам женщин и охране детства. Несмотря на определенные сложности (недостаток людских ресурсов и финансовые ограничения), само его существование является достижением, поскольку оно служит эффективной  платформой для совершенствования деятельности, направленной на решение гендерных вопросов.</w:t>
      </w:r>
    </w:p>
    <w:p w:rsidR="00000000" w:rsidRDefault="00000000">
      <w:pPr>
        <w:tabs>
          <w:tab w:val="left" w:pos="680"/>
          <w:tab w:val="left" w:pos="1361"/>
        </w:tabs>
        <w:spacing w:before="240"/>
        <w:jc w:val="both"/>
        <w:rPr>
          <w:sz w:val="22"/>
        </w:rPr>
      </w:pPr>
      <w:r>
        <w:rPr>
          <w:sz w:val="22"/>
        </w:rPr>
        <w:t>Во-вторых, еще одной вехой стало принятие национальной гендерной политики. В ней сформулированы рамки и принципы осуществления, координации и мониторинга гендерных вопросов. Более подробно эта политика рассматривается в статье 2 данного доклада.</w:t>
      </w:r>
    </w:p>
    <w:p w:rsidR="00000000" w:rsidRDefault="00000000">
      <w:pPr>
        <w:tabs>
          <w:tab w:val="left" w:pos="680"/>
          <w:tab w:val="left" w:pos="1361"/>
        </w:tabs>
        <w:spacing w:before="240"/>
        <w:jc w:val="both"/>
        <w:rPr>
          <w:sz w:val="22"/>
        </w:rPr>
      </w:pPr>
      <w:r>
        <w:rPr>
          <w:sz w:val="22"/>
        </w:rPr>
        <w:t>Что касается дискриминации по признаку пола, проистекающей из обычного права, находящийся в настоящее время на рассмотрении парламента законопроект об общинных судах будет регулировать вопросы юрисдикции и полномочий традиционных судов таким образом, чтобы они соответствовали положениям Конституции. Более подробно об этом говорится в статье 2, посвященной политическим мерам по ликвидации дискриминации по признаку пола.</w:t>
      </w:r>
    </w:p>
    <w:p w:rsidR="00000000" w:rsidRDefault="00000000">
      <w:pPr>
        <w:tabs>
          <w:tab w:val="left" w:pos="680"/>
          <w:tab w:val="left" w:pos="1361"/>
        </w:tabs>
        <w:spacing w:before="240"/>
        <w:jc w:val="both"/>
        <w:rPr>
          <w:sz w:val="22"/>
        </w:rPr>
      </w:pPr>
      <w:r>
        <w:rPr>
          <w:sz w:val="22"/>
        </w:rPr>
        <w:t>По вопросу отсутствия у широких слоев населения знаний о правах человека и соответствующем законодательстве в национальной гендерной политике предусматривается обязательство по привлечению женщин к овладению юридическими профессиями. Свидетельством этого является возросшее в последнее время число девушек-студенток на юридическом факультете Университета Намибии. На практическом уровне Центр правовой помощи, являющийся местной НПО, предпринял инициативу по расширению доступа к правовой грамотности на низовом общинном уровне путем толкования и упрощения различных законов. Министерство по делам женщин и охране детства в настоящее время проводит в различных районах страны семинары-практикумы по правовой грамотности.</w:t>
      </w:r>
    </w:p>
    <w:p w:rsidR="00000000" w:rsidRDefault="00000000">
      <w:pPr>
        <w:tabs>
          <w:tab w:val="left" w:pos="680"/>
          <w:tab w:val="left" w:pos="1361"/>
        </w:tabs>
        <w:spacing w:before="240"/>
        <w:jc w:val="both"/>
        <w:rPr>
          <w:sz w:val="22"/>
        </w:rPr>
      </w:pPr>
      <w:r>
        <w:rPr>
          <w:sz w:val="22"/>
        </w:rPr>
        <w:t>Закон о борьбе с изнасилованием (Закон № 8 от 2000 года) и Закон о  насилии в семье (Закон № 13 от 2003 года) относятся к числу мер, принятых для борьбы с насилием в отношении женщин. По рекомендации Комитета в Закон о борьбе с изнасилованием было включено  положение об изнасиловании в браке. Вопрос о насилии в отношении женщин подробно рассматривается в статье 3 данного доклада.</w:t>
      </w:r>
    </w:p>
    <w:p w:rsidR="00000000" w:rsidRDefault="00000000">
      <w:pPr>
        <w:tabs>
          <w:tab w:val="left" w:pos="680"/>
          <w:tab w:val="left" w:pos="1361"/>
        </w:tabs>
        <w:spacing w:before="240"/>
        <w:jc w:val="both"/>
        <w:rPr>
          <w:sz w:val="22"/>
        </w:rPr>
      </w:pPr>
      <w:r>
        <w:rPr>
          <w:sz w:val="22"/>
        </w:rPr>
        <w:t>Закон о позитивных действиях (в области занятости) (Закон № 29 от 1998 года) направлен на повышение доли чернокожего населения, женщин и инвалидов в официально зарегистрированной рабочей силе, предъявляя требование к работодателям, имеющим более 50 наемных работников, составлять планы позитивных действий с четкими временными рамками их исполнения. Комиссия по вопросам равноправия в области занятости, которая осуществляет контроль за выполнением программ позитивных действий, состоит частично из представителей каждой из целевых групп. В число 15 членов Комиссии входят:</w:t>
      </w:r>
    </w:p>
    <w:p w:rsidR="00000000" w:rsidRDefault="00000000">
      <w:pPr>
        <w:tabs>
          <w:tab w:val="left" w:pos="680"/>
          <w:tab w:val="left" w:pos="1134"/>
        </w:tabs>
        <w:spacing w:before="120"/>
        <w:ind w:left="1134" w:hanging="1134"/>
        <w:jc w:val="both"/>
        <w:rPr>
          <w:sz w:val="22"/>
        </w:rPr>
      </w:pPr>
      <w:r>
        <w:rPr>
          <w:sz w:val="22"/>
        </w:rPr>
        <w:tab/>
      </w:r>
      <w:r>
        <w:rPr>
          <w:sz w:val="22"/>
        </w:rPr>
        <w:sym w:font="Symbol" w:char="F0B7"/>
      </w:r>
      <w:r>
        <w:rPr>
          <w:sz w:val="22"/>
        </w:rPr>
        <w:tab/>
        <w:t>председатель (называемый в законе "специальным уполномоченным");</w:t>
      </w:r>
    </w:p>
    <w:p w:rsidR="00000000" w:rsidRDefault="00000000">
      <w:pPr>
        <w:tabs>
          <w:tab w:val="left" w:pos="680"/>
          <w:tab w:val="left" w:pos="1134"/>
        </w:tabs>
        <w:spacing w:before="120"/>
        <w:ind w:left="1134" w:hanging="1134"/>
        <w:jc w:val="both"/>
        <w:rPr>
          <w:sz w:val="22"/>
        </w:rPr>
      </w:pPr>
      <w:r>
        <w:rPr>
          <w:sz w:val="22"/>
        </w:rPr>
        <w:tab/>
      </w:r>
      <w:r>
        <w:rPr>
          <w:sz w:val="22"/>
        </w:rPr>
        <w:sym w:font="Symbol" w:char="F0B7"/>
      </w:r>
      <w:r>
        <w:rPr>
          <w:sz w:val="22"/>
        </w:rPr>
        <w:tab/>
        <w:t>4 представителя государственной власти;</w:t>
      </w:r>
    </w:p>
    <w:p w:rsidR="00000000" w:rsidRDefault="00000000">
      <w:pPr>
        <w:tabs>
          <w:tab w:val="left" w:pos="680"/>
          <w:tab w:val="left" w:pos="1134"/>
        </w:tabs>
        <w:spacing w:before="120"/>
        <w:ind w:left="1134" w:hanging="1134"/>
        <w:jc w:val="both"/>
        <w:rPr>
          <w:sz w:val="22"/>
        </w:rPr>
      </w:pPr>
      <w:r>
        <w:rPr>
          <w:sz w:val="22"/>
        </w:rPr>
        <w:tab/>
      </w:r>
      <w:r>
        <w:rPr>
          <w:sz w:val="22"/>
        </w:rPr>
        <w:sym w:font="Symbol" w:char="F0B7"/>
      </w:r>
      <w:r>
        <w:rPr>
          <w:sz w:val="22"/>
        </w:rPr>
        <w:tab/>
        <w:t>2 представителя организаций работодателей и 2 представителя профсоюзов; и</w:t>
      </w:r>
    </w:p>
    <w:p w:rsidR="00000000" w:rsidRDefault="00000000">
      <w:pPr>
        <w:tabs>
          <w:tab w:val="left" w:pos="680"/>
          <w:tab w:val="left" w:pos="1134"/>
        </w:tabs>
        <w:spacing w:before="120"/>
        <w:ind w:left="1134" w:hanging="1134"/>
        <w:jc w:val="both"/>
        <w:rPr>
          <w:sz w:val="22"/>
        </w:rPr>
      </w:pPr>
      <w:r>
        <w:rPr>
          <w:sz w:val="22"/>
        </w:rPr>
        <w:tab/>
      </w:r>
      <w:r>
        <w:rPr>
          <w:sz w:val="22"/>
        </w:rPr>
        <w:sym w:font="Symbol" w:char="F0B7"/>
      </w:r>
      <w:r>
        <w:rPr>
          <w:sz w:val="22"/>
        </w:rPr>
        <w:tab/>
        <w:t>по 2 человека от каждой из целевых групп, то есть расовых меньшинств, женщин и инвалидов, соответственно.</w:t>
      </w:r>
    </w:p>
    <w:p w:rsidR="00000000" w:rsidRDefault="00000000">
      <w:pPr>
        <w:tabs>
          <w:tab w:val="left" w:pos="680"/>
          <w:tab w:val="left" w:pos="1361"/>
        </w:tabs>
        <w:spacing w:before="240"/>
        <w:jc w:val="both"/>
        <w:rPr>
          <w:sz w:val="22"/>
        </w:rPr>
      </w:pPr>
      <w:r>
        <w:rPr>
          <w:sz w:val="22"/>
        </w:rPr>
        <w:t>Закон также предусматривает назначение кандидатов в члены для замены в случае необходимости кого-либо из полноправных членов. Таковы некоторые принятые правительством меры по реализации положений Конвенции. Меры правительства по ликвидации всех форм дискриминации в отношении женщин рассматриваются более подробно в конкретных статьях доклада.</w:t>
      </w:r>
    </w:p>
    <w:p w:rsidR="00000000" w:rsidRDefault="00000000">
      <w:pPr>
        <w:tabs>
          <w:tab w:val="left" w:pos="680"/>
          <w:tab w:val="left" w:pos="1134"/>
          <w:tab w:val="left" w:pos="1361"/>
        </w:tabs>
        <w:jc w:val="center"/>
        <w:rPr>
          <w:b/>
          <w:sz w:val="24"/>
        </w:rPr>
      </w:pPr>
      <w:r>
        <w:rPr>
          <w:sz w:val="22"/>
        </w:rPr>
        <w:br w:type="page"/>
      </w:r>
      <w:r>
        <w:rPr>
          <w:b/>
          <w:sz w:val="24"/>
        </w:rPr>
        <w:t>Часть 2:  ВЫПОЛНЕНИЕ КОНВЕНЦИИ В НАМИБИИ</w:t>
      </w:r>
    </w:p>
    <w:p w:rsidR="00000000" w:rsidRDefault="00000000">
      <w:pPr>
        <w:tabs>
          <w:tab w:val="left" w:pos="680"/>
          <w:tab w:val="left" w:pos="1361"/>
        </w:tabs>
        <w:spacing w:before="240"/>
        <w:jc w:val="both"/>
        <w:rPr>
          <w:b/>
          <w:sz w:val="22"/>
        </w:rPr>
      </w:pPr>
      <w:r>
        <w:rPr>
          <w:b/>
          <w:sz w:val="22"/>
        </w:rPr>
        <w:t>СТАТЬЯ 1:  Положения Конституции, касающиеся женщин</w:t>
      </w:r>
    </w:p>
    <w:p w:rsidR="00000000" w:rsidRDefault="00000000">
      <w:pPr>
        <w:tabs>
          <w:tab w:val="left" w:pos="680"/>
          <w:tab w:val="left" w:pos="1361"/>
        </w:tabs>
        <w:spacing w:before="240"/>
        <w:jc w:val="both"/>
        <w:rPr>
          <w:sz w:val="22"/>
        </w:rPr>
      </w:pPr>
      <w:r>
        <w:rPr>
          <w:sz w:val="22"/>
        </w:rPr>
        <w:t xml:space="preserve">В Конституции Намибии содержится прямой запрет на дискриминацию по признаку пола. </w:t>
      </w:r>
      <w:r>
        <w:rPr>
          <w:sz w:val="22"/>
        </w:rPr>
        <w:br/>
        <w:t>Статья 10 "Равенство и свобода от дискриминации" гласит:</w:t>
      </w:r>
    </w:p>
    <w:p w:rsidR="00000000" w:rsidRDefault="00000000">
      <w:pPr>
        <w:tabs>
          <w:tab w:val="left" w:pos="624"/>
          <w:tab w:val="left" w:pos="1134"/>
        </w:tabs>
        <w:spacing w:before="240"/>
        <w:jc w:val="both"/>
        <w:rPr>
          <w:sz w:val="22"/>
        </w:rPr>
      </w:pPr>
      <w:r>
        <w:rPr>
          <w:sz w:val="22"/>
        </w:rPr>
        <w:tab/>
        <w:t>"1)</w:t>
      </w:r>
      <w:r>
        <w:rPr>
          <w:sz w:val="22"/>
        </w:rPr>
        <w:tab/>
        <w:t>Все лица равны перед законом.</w:t>
      </w:r>
    </w:p>
    <w:p w:rsidR="00000000" w:rsidRDefault="00000000">
      <w:pPr>
        <w:tabs>
          <w:tab w:val="left" w:pos="680"/>
          <w:tab w:val="left" w:pos="1134"/>
        </w:tabs>
        <w:spacing w:before="240"/>
        <w:ind w:left="1134" w:hanging="1134"/>
        <w:jc w:val="both"/>
        <w:rPr>
          <w:sz w:val="22"/>
        </w:rPr>
      </w:pPr>
      <w:r>
        <w:rPr>
          <w:sz w:val="22"/>
        </w:rPr>
        <w:tab/>
        <w:t>2)</w:t>
      </w:r>
      <w:r>
        <w:rPr>
          <w:sz w:val="22"/>
        </w:rPr>
        <w:tab/>
        <w:t>Никто не может быть подвергнут дискриминации по признаку пола, расы, цвета кожи, этнического происхождения, вероисповедания, убеждений и социального или экономического положения".</w:t>
      </w:r>
    </w:p>
    <w:p w:rsidR="00000000" w:rsidRDefault="00000000">
      <w:pPr>
        <w:tabs>
          <w:tab w:val="left" w:pos="680"/>
          <w:tab w:val="left" w:pos="1134"/>
        </w:tabs>
        <w:spacing w:before="240"/>
        <w:jc w:val="both"/>
        <w:rPr>
          <w:sz w:val="22"/>
        </w:rPr>
      </w:pPr>
      <w:r>
        <w:rPr>
          <w:sz w:val="22"/>
        </w:rPr>
        <w:t>Статья 23 Конституции о позитивных действиях, в которой особое внимание уделяется женщинам, дополняет эту статью и гласит следующее:</w:t>
      </w:r>
    </w:p>
    <w:p w:rsidR="00000000" w:rsidRDefault="00000000">
      <w:pPr>
        <w:tabs>
          <w:tab w:val="left" w:pos="680"/>
          <w:tab w:val="left" w:pos="1134"/>
        </w:tabs>
        <w:spacing w:before="240"/>
        <w:jc w:val="both"/>
        <w:rPr>
          <w:b/>
          <w:sz w:val="22"/>
        </w:rPr>
      </w:pPr>
      <w:r>
        <w:rPr>
          <w:b/>
          <w:sz w:val="22"/>
        </w:rPr>
        <w:t>1.1</w:t>
      </w:r>
      <w:r>
        <w:rPr>
          <w:b/>
          <w:sz w:val="22"/>
        </w:rPr>
        <w:tab/>
        <w:t>Апартеид и позитивные действия</w:t>
      </w:r>
    </w:p>
    <w:p w:rsidR="00000000" w:rsidRDefault="00000000">
      <w:pPr>
        <w:tabs>
          <w:tab w:val="left" w:pos="680"/>
          <w:tab w:val="left" w:pos="1134"/>
        </w:tabs>
        <w:spacing w:before="240"/>
        <w:jc w:val="both"/>
        <w:rPr>
          <w:sz w:val="22"/>
        </w:rPr>
      </w:pPr>
      <w:r>
        <w:rPr>
          <w:sz w:val="22"/>
        </w:rPr>
        <w:t>1)</w:t>
      </w:r>
      <w:r>
        <w:rPr>
          <w:sz w:val="22"/>
        </w:rPr>
        <w:tab/>
        <w:t>Практика расовой дискриминации, а также практика и идеология апартеида, от которых так долго страдало большинство населения Намибии, запрещаются, и такая практика и распространение такой практики могут быть актом Парламента признаны уголовно наказуемыми обычными судами посредством применения таких мер наказания, какие Парламент сочтет необходимыми установить в целях выражения отвращения  намибийского народа к такой практике.</w:t>
      </w:r>
    </w:p>
    <w:p w:rsidR="00000000" w:rsidRDefault="00000000">
      <w:pPr>
        <w:tabs>
          <w:tab w:val="left" w:pos="680"/>
          <w:tab w:val="left" w:pos="1134"/>
        </w:tabs>
        <w:spacing w:before="240"/>
        <w:jc w:val="both"/>
        <w:rPr>
          <w:sz w:val="22"/>
        </w:rPr>
      </w:pPr>
      <w:r>
        <w:rPr>
          <w:sz w:val="22"/>
        </w:rPr>
        <w:t>2)</w:t>
      </w:r>
      <w:r>
        <w:rPr>
          <w:sz w:val="22"/>
        </w:rPr>
        <w:tab/>
        <w:t>Ничто в статье 10 настоящей Конституции не должно препятствовать Парламенту в принятии законодательных актов, прямо или косвенно предусматривающих улучшение положения граждан в Намибии, которые были ущемлены социально, экономически или в отношении образования прошлыми дискриминационными законами или практикой, или проводить политику и осуществлять программы, направленные на ликвидацию диспропорций в социально-экономической области и области образования в намибийском обществе, обусловленных прежними дискриминационными законами и практикой, или добиваться сбалансированности структуры государственной службы, полицейских сил, сил обороны и тюремной службы.</w:t>
      </w:r>
    </w:p>
    <w:p w:rsidR="00000000" w:rsidRDefault="00000000">
      <w:pPr>
        <w:tabs>
          <w:tab w:val="left" w:pos="680"/>
          <w:tab w:val="left" w:pos="1134"/>
        </w:tabs>
        <w:spacing w:before="240"/>
        <w:jc w:val="both"/>
        <w:rPr>
          <w:sz w:val="22"/>
        </w:rPr>
      </w:pPr>
      <w:r>
        <w:rPr>
          <w:sz w:val="22"/>
        </w:rPr>
        <w:t>3)</w:t>
      </w:r>
      <w:r>
        <w:rPr>
          <w:sz w:val="22"/>
        </w:rPr>
        <w:tab/>
        <w:t>При принятии законодательства и проведении любой политики и практики, предусмотренных в пункте 2 настоящей статьи, допустимо принимать во внимание тот факт, что женщины Намибии традиционно подвергались особой дискриминации и что они нуждаются в поддержке и предоставлении возможностей играть полноценную, равноправную и эффективную роль в политической, социальной, экономической и культурной жизни нации".</w:t>
      </w:r>
    </w:p>
    <w:p w:rsidR="00000000" w:rsidRDefault="00000000">
      <w:pPr>
        <w:tabs>
          <w:tab w:val="left" w:pos="680"/>
          <w:tab w:val="left" w:pos="1134"/>
        </w:tabs>
        <w:spacing w:before="240"/>
        <w:jc w:val="both"/>
        <w:rPr>
          <w:sz w:val="22"/>
        </w:rPr>
      </w:pPr>
      <w:r>
        <w:rPr>
          <w:sz w:val="22"/>
        </w:rPr>
        <w:t>Эти общие положения дополняются конкретными ссылками на равноправие между мужчинами и женщинами по всех вопросах, касающихся брака и семьи, в статье 14 Конституции Намибии:</w:t>
      </w:r>
    </w:p>
    <w:p w:rsidR="00000000" w:rsidRDefault="00000000">
      <w:pPr>
        <w:tabs>
          <w:tab w:val="left" w:pos="680"/>
          <w:tab w:val="left" w:pos="1134"/>
        </w:tabs>
        <w:spacing w:before="240"/>
        <w:jc w:val="both"/>
        <w:rPr>
          <w:b/>
          <w:sz w:val="22"/>
        </w:rPr>
      </w:pPr>
      <w:r>
        <w:rPr>
          <w:b/>
          <w:sz w:val="22"/>
        </w:rPr>
        <w:t>1.2</w:t>
      </w:r>
      <w:r>
        <w:rPr>
          <w:b/>
          <w:sz w:val="22"/>
        </w:rPr>
        <w:tab/>
        <w:t>Семья</w:t>
      </w:r>
    </w:p>
    <w:p w:rsidR="00000000" w:rsidRDefault="00000000">
      <w:pPr>
        <w:tabs>
          <w:tab w:val="left" w:pos="680"/>
          <w:tab w:val="left" w:pos="1134"/>
        </w:tabs>
        <w:spacing w:before="240"/>
        <w:jc w:val="both"/>
        <w:rPr>
          <w:sz w:val="22"/>
        </w:rPr>
      </w:pPr>
      <w:r>
        <w:rPr>
          <w:sz w:val="22"/>
        </w:rPr>
        <w:t>1)</w:t>
      </w:r>
      <w:r>
        <w:rPr>
          <w:sz w:val="22"/>
        </w:rPr>
        <w:tab/>
        <w:t>Совершеннолетние мужчины и женщины без каких-либо ограничений по признаку расы, цвета кожи, этнического происхождения, национальности, вероисповедания, убеждений или социального и экономического положения имеют право вступать в брак и создавать семью. Они обладают равными правами в отношении вступления в брак, во время состояния в браке и при его расторжении.</w:t>
      </w:r>
    </w:p>
    <w:p w:rsidR="00000000" w:rsidRDefault="00000000">
      <w:pPr>
        <w:tabs>
          <w:tab w:val="left" w:pos="680"/>
          <w:tab w:val="left" w:pos="1134"/>
        </w:tabs>
        <w:spacing w:before="240"/>
        <w:jc w:val="both"/>
        <w:rPr>
          <w:sz w:val="22"/>
        </w:rPr>
      </w:pPr>
      <w:r>
        <w:rPr>
          <w:sz w:val="22"/>
        </w:rPr>
        <w:t>2)</w:t>
      </w:r>
      <w:r>
        <w:rPr>
          <w:sz w:val="22"/>
        </w:rPr>
        <w:tab/>
        <w:t>Брак может быть заключен при наличии свободного и полного согласия вступающих в брак.</w:t>
      </w:r>
    </w:p>
    <w:p w:rsidR="00000000" w:rsidRDefault="00000000">
      <w:pPr>
        <w:tabs>
          <w:tab w:val="left" w:pos="680"/>
          <w:tab w:val="left" w:pos="1134"/>
        </w:tabs>
        <w:spacing w:before="240"/>
        <w:jc w:val="both"/>
        <w:rPr>
          <w:sz w:val="22"/>
        </w:rPr>
      </w:pPr>
      <w:r>
        <w:rPr>
          <w:sz w:val="22"/>
        </w:rPr>
        <w:t>Другие положения Конституции Намибии, имеющие ссылки на равноправие женщин, содержатся в необязывающей главе о принципах государственной политики. Хотя выполнение этих принципов как таковых не может обеспечиваться судом, они должны направлять правительство при разработке и применении законов и служить ориентиром для судов при толковании любых основанных на них законов</w:t>
      </w:r>
      <w:r>
        <w:rPr>
          <w:rStyle w:val="FootnoteReference"/>
          <w:sz w:val="22"/>
        </w:rPr>
        <w:footnoteReference w:id="20"/>
      </w:r>
      <w:r>
        <w:rPr>
          <w:sz w:val="22"/>
        </w:rPr>
        <w:t>. Изложенные в статье 95 "Повышение благосостояния народа" принципы обязывают государство проводить политику, направленную, среди прочего, на достижение следующих целей:</w:t>
      </w:r>
    </w:p>
    <w:p w:rsidR="00000000" w:rsidRDefault="00000000">
      <w:pPr>
        <w:tabs>
          <w:tab w:val="left" w:pos="680"/>
          <w:tab w:val="left" w:pos="1134"/>
        </w:tabs>
        <w:spacing w:before="240"/>
        <w:ind w:left="1134" w:hanging="1134"/>
        <w:jc w:val="both"/>
        <w:rPr>
          <w:sz w:val="22"/>
        </w:rPr>
      </w:pPr>
      <w:r>
        <w:rPr>
          <w:sz w:val="22"/>
        </w:rPr>
        <w:tab/>
        <w:t>"а)</w:t>
      </w:r>
      <w:r>
        <w:rPr>
          <w:sz w:val="22"/>
        </w:rPr>
        <w:tab/>
        <w:t>принятие законодательства с целью гарантировать женщинам равные возможности, обеспечить им право всестороннего участия во всех сферах намибийского общества; в частности, правительство обеспечивает осуществление принципа недискриминации в отношении вознаграждения, выплачиваемого мужчинам и женщинам; далее, правительство будет стремиться с помощью соответствующего законодательства обеспечить женщинам пособия по беременности и родам, а также другие связанные с этим льготы;</w:t>
      </w:r>
    </w:p>
    <w:p w:rsidR="00000000" w:rsidRDefault="00000000">
      <w:pPr>
        <w:tabs>
          <w:tab w:val="left" w:pos="680"/>
          <w:tab w:val="left" w:pos="1134"/>
        </w:tabs>
        <w:spacing w:before="240"/>
        <w:ind w:left="1134" w:hanging="1134"/>
        <w:jc w:val="both"/>
        <w:rPr>
          <w:sz w:val="22"/>
        </w:rPr>
      </w:pPr>
      <w:r>
        <w:rPr>
          <w:sz w:val="22"/>
        </w:rPr>
        <w:tab/>
      </w:r>
      <w:r>
        <w:rPr>
          <w:sz w:val="22"/>
          <w:lang w:val="en-US"/>
        </w:rPr>
        <w:t>b</w:t>
      </w:r>
      <w:r>
        <w:rPr>
          <w:sz w:val="22"/>
        </w:rPr>
        <w:t>)</w:t>
      </w:r>
      <w:r>
        <w:rPr>
          <w:sz w:val="22"/>
        </w:rPr>
        <w:tab/>
        <w:t>принятие законодательства с целью не допускать нанесения ущерба здоровью и работоспособности трудящихся, мужчин и женщин, и детей юного возраста, а также не допускать, чтобы граждане в силу экономической необходимости были вынуждены выполнять работу, не соответствующую их возрасту и физическому здоровью;</w:t>
      </w:r>
    </w:p>
    <w:p w:rsidR="00000000" w:rsidRDefault="00000000">
      <w:pPr>
        <w:tabs>
          <w:tab w:val="left" w:pos="680"/>
          <w:tab w:val="left" w:pos="1134"/>
        </w:tabs>
        <w:spacing w:before="240"/>
        <w:ind w:left="1134" w:hanging="1134"/>
        <w:jc w:val="both"/>
        <w:rPr>
          <w:sz w:val="22"/>
        </w:rPr>
      </w:pPr>
      <w:r>
        <w:rPr>
          <w:sz w:val="22"/>
        </w:rPr>
        <w:tab/>
        <w:t>с)</w:t>
      </w:r>
      <w:r>
        <w:rPr>
          <w:sz w:val="22"/>
        </w:rPr>
        <w:tab/>
        <w:t>принятие законодательства с целью обеспечения безработным, нетрудоспособным, нуждающимся и находящимся в неблагоприятном положении лицам таких установленных Парламентом социальных благ и пособий, какие были бы справедливыми и соответствующими с надлежащим учетом имеющихся в распоряжении государства ресурсов …"</w:t>
      </w:r>
    </w:p>
    <w:p w:rsidR="00000000" w:rsidRDefault="00000000">
      <w:pPr>
        <w:tabs>
          <w:tab w:val="left" w:pos="680"/>
          <w:tab w:val="left" w:pos="1134"/>
        </w:tabs>
        <w:spacing w:before="240"/>
        <w:jc w:val="both"/>
        <w:rPr>
          <w:b/>
          <w:sz w:val="22"/>
        </w:rPr>
      </w:pPr>
      <w:r>
        <w:rPr>
          <w:b/>
          <w:sz w:val="22"/>
        </w:rPr>
        <w:t>1.3</w:t>
      </w:r>
      <w:r>
        <w:rPr>
          <w:b/>
          <w:sz w:val="22"/>
        </w:rPr>
        <w:tab/>
        <w:t>Сфера дискриминации</w:t>
      </w:r>
    </w:p>
    <w:p w:rsidR="00000000" w:rsidRDefault="00000000">
      <w:pPr>
        <w:tabs>
          <w:tab w:val="left" w:pos="680"/>
          <w:tab w:val="left" w:pos="1134"/>
        </w:tabs>
        <w:spacing w:before="240"/>
        <w:jc w:val="both"/>
        <w:rPr>
          <w:sz w:val="22"/>
        </w:rPr>
      </w:pPr>
      <w:r>
        <w:rPr>
          <w:sz w:val="22"/>
        </w:rPr>
        <w:t>В статье 1 КЛДЖ ясно говорится, что положения Конвенции распространяются как на преднамеренную, так и на непреднамеренную дискриминацию.</w:t>
      </w:r>
    </w:p>
    <w:p w:rsidR="00000000" w:rsidRDefault="00000000">
      <w:pPr>
        <w:tabs>
          <w:tab w:val="left" w:pos="680"/>
          <w:tab w:val="left" w:pos="1134"/>
        </w:tabs>
        <w:spacing w:before="240"/>
        <w:ind w:left="680" w:hanging="680"/>
        <w:jc w:val="both"/>
        <w:rPr>
          <w:sz w:val="22"/>
        </w:rPr>
      </w:pPr>
      <w:r>
        <w:rPr>
          <w:sz w:val="22"/>
        </w:rPr>
        <w:tab/>
        <w:t xml:space="preserve">В деле </w:t>
      </w:r>
      <w:r>
        <w:rPr>
          <w:i/>
          <w:sz w:val="22"/>
        </w:rPr>
        <w:t xml:space="preserve">Майбург против Коммерческого банка Намибии, 1999 год, </w:t>
      </w:r>
      <w:r>
        <w:rPr>
          <w:sz w:val="22"/>
        </w:rPr>
        <w:t xml:space="preserve">Высокий суд Намибии дает толкование статей 10 и 16 Конституции Намибии. Статья 10 Конституции, как цитировалось выше, гарантирует равенство и свободу и запрещает дискриминацию. </w:t>
      </w:r>
    </w:p>
    <w:p w:rsidR="00000000" w:rsidRDefault="00000000">
      <w:pPr>
        <w:tabs>
          <w:tab w:val="left" w:pos="680"/>
          <w:tab w:val="left" w:pos="1134"/>
        </w:tabs>
        <w:spacing w:before="240"/>
        <w:ind w:left="680" w:hanging="680"/>
        <w:jc w:val="both"/>
        <w:rPr>
          <w:sz w:val="22"/>
        </w:rPr>
      </w:pPr>
      <w:r>
        <w:rPr>
          <w:sz w:val="22"/>
        </w:rPr>
        <w:tab/>
        <w:t xml:space="preserve">В этом деле г-жа Майбург подала апелляцию в Высокий суд на судебное решение, согласно которому она должна выплатить Коммерческому банку Намибии 115 927, 92 намибийских долл. Г-жа Майбург признала, что она взяла денежную ссуду в Коммерческом банке, но заявила, что Банк должен был предъявить иск ее мужу, а не ей. В свою защиту г-жа Майбург привела положение общего права. </w:t>
      </w:r>
    </w:p>
    <w:p w:rsidR="00000000" w:rsidRDefault="00000000">
      <w:pPr>
        <w:tabs>
          <w:tab w:val="left" w:pos="680"/>
          <w:tab w:val="left" w:pos="1134"/>
        </w:tabs>
        <w:spacing w:before="240"/>
        <w:jc w:val="both"/>
        <w:rPr>
          <w:sz w:val="22"/>
        </w:rPr>
      </w:pPr>
      <w:r>
        <w:rPr>
          <w:sz w:val="22"/>
        </w:rPr>
        <w:t>Согласно этому положению общего права замужняя женщина, имеющая общую  с мужем собственность, не может преследоваться в судебном порядке. Вместо нее иск должен быть предъявлен ее мужу, поскольку он является распорядителем их собственности и ее опекуном. Исключение из этого правила составляют случаи, когда женщине, являющейся коммерсантом или имеющей свое дело, может быть предъявлен иск в отношении ее деятельности в этом качестве.</w:t>
      </w:r>
    </w:p>
    <w:p w:rsidR="00000000" w:rsidRDefault="00000000">
      <w:pPr>
        <w:tabs>
          <w:tab w:val="left" w:pos="680"/>
          <w:tab w:val="left" w:pos="1134"/>
        </w:tabs>
        <w:spacing w:before="240"/>
        <w:jc w:val="both"/>
        <w:rPr>
          <w:sz w:val="22"/>
        </w:rPr>
      </w:pPr>
      <w:r>
        <w:rPr>
          <w:sz w:val="22"/>
        </w:rPr>
        <w:tab/>
        <w:t>Г-жа Майбург отрицала, что является коммерсантом или имеет свое дело.</w:t>
      </w:r>
    </w:p>
    <w:p w:rsidR="00000000" w:rsidRDefault="00000000">
      <w:pPr>
        <w:tabs>
          <w:tab w:val="left" w:pos="680"/>
          <w:tab w:val="left" w:pos="1134"/>
        </w:tabs>
        <w:spacing w:before="240"/>
        <w:jc w:val="both"/>
        <w:rPr>
          <w:sz w:val="22"/>
        </w:rPr>
      </w:pPr>
      <w:r>
        <w:rPr>
          <w:sz w:val="22"/>
        </w:rPr>
        <w:t xml:space="preserve">Опираясь на дело </w:t>
      </w:r>
      <w:r>
        <w:rPr>
          <w:i/>
          <w:sz w:val="22"/>
        </w:rPr>
        <w:t xml:space="preserve">Мюллер против президента и других </w:t>
      </w:r>
      <w:r>
        <w:rPr>
          <w:sz w:val="22"/>
        </w:rPr>
        <w:t>(рассматриваемое ниже), суд пришел к выводу, что эта норма общего права является дискриминационной в отношении замужних женщин по признаку пола и противоречит статье 10 (2) Конституции. Это происходит потому, что данная норма по-разному применяется к мужьям и женам. Такая разница в применении сводится к дискриминации по признаку пола.</w:t>
      </w:r>
    </w:p>
    <w:p w:rsidR="00000000" w:rsidRDefault="00000000">
      <w:pPr>
        <w:tabs>
          <w:tab w:val="left" w:pos="680"/>
          <w:tab w:val="left" w:pos="1134"/>
        </w:tabs>
        <w:spacing w:before="240"/>
        <w:jc w:val="both"/>
        <w:rPr>
          <w:sz w:val="22"/>
        </w:rPr>
      </w:pPr>
      <w:r>
        <w:rPr>
          <w:sz w:val="22"/>
        </w:rPr>
        <w:t xml:space="preserve">Далее суд сделал вывод, что эта норма противоречит также статье 16 (1) Конституции, поскольку мужья и жены обладают равными правами в период состояния в браке. Суд также решил, что это положение нарушает право на уважение достоинства </w:t>
      </w:r>
      <w:r>
        <w:rPr>
          <w:sz w:val="22"/>
          <w:lang w:val="en-US"/>
        </w:rPr>
        <w:t>[</w:t>
      </w:r>
      <w:r>
        <w:rPr>
          <w:sz w:val="22"/>
        </w:rPr>
        <w:t>статья 8 (1) Конституции</w:t>
      </w:r>
      <w:r>
        <w:rPr>
          <w:sz w:val="22"/>
          <w:lang w:val="en-US"/>
        </w:rPr>
        <w:t>]</w:t>
      </w:r>
      <w:r>
        <w:rPr>
          <w:sz w:val="22"/>
        </w:rPr>
        <w:t>, отметив, что равноправие основано на идее о том, что каждый человек обладает равным правом на уважение его достоинства.</w:t>
      </w:r>
    </w:p>
    <w:p w:rsidR="00000000" w:rsidRDefault="00000000">
      <w:pPr>
        <w:tabs>
          <w:tab w:val="left" w:pos="680"/>
          <w:tab w:val="left" w:pos="1134"/>
        </w:tabs>
        <w:spacing w:before="240"/>
        <w:jc w:val="both"/>
        <w:rPr>
          <w:sz w:val="22"/>
        </w:rPr>
      </w:pPr>
      <w:r>
        <w:rPr>
          <w:sz w:val="22"/>
        </w:rPr>
        <w:t xml:space="preserve">Затем </w:t>
      </w:r>
      <w:r>
        <w:rPr>
          <w:sz w:val="22"/>
          <w:lang w:val="en-US"/>
        </w:rPr>
        <w:t>c</w:t>
      </w:r>
      <w:r>
        <w:rPr>
          <w:sz w:val="22"/>
        </w:rPr>
        <w:t>уд рассмотрел вопрос о том, стала ли эта норма неконституционной и незаконной с момента вступления в силу Конституции 21 марта 1990 года или только с момента вступления в силу 15 июля 1996 года Закона о равенстве лиц, состоящих в браке (Закон № 1 от 1996 года)</w:t>
      </w:r>
      <w:r>
        <w:rPr>
          <w:rStyle w:val="FootnoteReference"/>
          <w:sz w:val="22"/>
        </w:rPr>
        <w:footnoteReference w:id="21"/>
      </w:r>
      <w:r>
        <w:rPr>
          <w:sz w:val="22"/>
        </w:rPr>
        <w:t xml:space="preserve">. </w:t>
      </w:r>
      <w:r>
        <w:rPr>
          <w:sz w:val="22"/>
          <w:lang w:val="en-US"/>
        </w:rPr>
        <w:br/>
      </w:r>
      <w:r>
        <w:rPr>
          <w:sz w:val="22"/>
        </w:rPr>
        <w:t>Г-жа Майбург подписала договор о ссуде до 15 июля 1996 года, но Коммерческий банк предъявил ей иск после этой даты.</w:t>
      </w:r>
    </w:p>
    <w:p w:rsidR="00000000" w:rsidRDefault="00000000">
      <w:pPr>
        <w:tabs>
          <w:tab w:val="left" w:pos="680"/>
          <w:tab w:val="left" w:pos="1134"/>
        </w:tabs>
        <w:spacing w:before="240"/>
        <w:jc w:val="both"/>
        <w:rPr>
          <w:sz w:val="22"/>
        </w:rPr>
      </w:pPr>
      <w:r>
        <w:rPr>
          <w:sz w:val="22"/>
        </w:rPr>
        <w:t>Статьей 66 (1) Конституции предусматривается, что общее право остается в силе, за исключением тех случаев, когда оно вступает в противоречие с  Конституцией. Суд пришел к выводу, что поскольку данная норма общего права противоречит Конституции, она стала неконституционной, как только вступила в силу Конституция при обретении страной независимости. Суд постановил, что Коммерческий банк мог возбудить дело против г-жи Майбург, и ее апелляция поэтому была отклонена.</w:t>
      </w:r>
    </w:p>
    <w:p w:rsidR="00000000" w:rsidRDefault="00000000">
      <w:pPr>
        <w:pStyle w:val="Heading1"/>
        <w:tabs>
          <w:tab w:val="left" w:pos="680"/>
          <w:tab w:val="left" w:pos="1134"/>
        </w:tabs>
        <w:spacing w:before="480"/>
        <w:rPr>
          <w:b/>
          <w:sz w:val="22"/>
        </w:rPr>
      </w:pPr>
      <w:r>
        <w:rPr>
          <w:b/>
          <w:sz w:val="22"/>
        </w:rPr>
        <w:t>СТАТЬЯ 2:  Политические меры по ликвидации дискриминации по признаку пола</w:t>
      </w:r>
    </w:p>
    <w:p w:rsidR="00000000" w:rsidRDefault="00000000">
      <w:pPr>
        <w:tabs>
          <w:tab w:val="left" w:pos="680"/>
          <w:tab w:val="left" w:pos="1134"/>
        </w:tabs>
        <w:spacing w:before="240"/>
        <w:ind w:left="680" w:hanging="680"/>
        <w:rPr>
          <w:b/>
          <w:sz w:val="22"/>
        </w:rPr>
      </w:pPr>
      <w:r>
        <w:rPr>
          <w:b/>
          <w:sz w:val="22"/>
        </w:rPr>
        <w:t>2.1</w:t>
      </w:r>
      <w:r>
        <w:rPr>
          <w:b/>
          <w:sz w:val="22"/>
        </w:rPr>
        <w:tab/>
        <w:t>Принцип равноправия мужчин и женщин и запрещение дискриминации по признаку пола</w:t>
      </w:r>
    </w:p>
    <w:p w:rsidR="00000000" w:rsidRDefault="00000000">
      <w:pPr>
        <w:tabs>
          <w:tab w:val="left" w:pos="680"/>
          <w:tab w:val="left" w:pos="1134"/>
        </w:tabs>
        <w:spacing w:before="240"/>
        <w:jc w:val="both"/>
        <w:rPr>
          <w:sz w:val="22"/>
        </w:rPr>
      </w:pPr>
      <w:r>
        <w:rPr>
          <w:sz w:val="22"/>
        </w:rPr>
        <w:t>Принцип равноправия мужчин и женщин четко провозглашен в Конституции Намибии. Согласно положениям статьи 10 Конституции "</w:t>
      </w:r>
      <w:r>
        <w:rPr>
          <w:i/>
          <w:sz w:val="22"/>
        </w:rPr>
        <w:t>все лица равны перед законом и никто не может быть подвергнут дискриминации по признаку пола, расы, цвета кожи, этнического происхождения… и социального или экономического положения</w:t>
      </w:r>
      <w:r>
        <w:rPr>
          <w:sz w:val="22"/>
        </w:rPr>
        <w:t>"</w:t>
      </w:r>
      <w:r>
        <w:rPr>
          <w:rStyle w:val="FootnoteReference"/>
          <w:sz w:val="22"/>
        </w:rPr>
        <w:footnoteReference w:customMarkFollows="1" w:id="22"/>
        <w:t>21</w:t>
      </w:r>
      <w:r>
        <w:rPr>
          <w:sz w:val="22"/>
        </w:rPr>
        <w:t>.</w:t>
      </w:r>
    </w:p>
    <w:p w:rsidR="00000000" w:rsidRDefault="00000000">
      <w:pPr>
        <w:pStyle w:val="BodyText"/>
        <w:tabs>
          <w:tab w:val="left" w:pos="680"/>
          <w:tab w:val="left" w:pos="1134"/>
        </w:tabs>
        <w:spacing w:before="240"/>
        <w:jc w:val="both"/>
        <w:rPr>
          <w:sz w:val="22"/>
          <w:u w:val="none"/>
        </w:rPr>
      </w:pPr>
      <w:r>
        <w:rPr>
          <w:sz w:val="22"/>
          <w:u w:val="none"/>
        </w:rPr>
        <w:t>Законом о труде запрещена дискриминация по признаку пола в большинстве аспектов занятости, а в результате принятия ряда поправок к Закону о подоходном налоге была ликвидирована дискриминация по признаку пола при налогообложении. В 1996 году правительство Республики Намибия приняло Закон о равенстве лиц, состоящих в браке. Этот закон в значительной мере способствовал достижению равноправия между супругами, состоящими в гражданском браке. Закон о равенстве лиц, состоящих в браке, подробно рассматривается в главе 15 данного доклада.</w:t>
      </w:r>
    </w:p>
    <w:p w:rsidR="00000000" w:rsidRDefault="00000000">
      <w:pPr>
        <w:tabs>
          <w:tab w:val="left" w:pos="680"/>
          <w:tab w:val="left" w:pos="1134"/>
        </w:tabs>
        <w:spacing w:before="240"/>
        <w:jc w:val="both"/>
        <w:rPr>
          <w:sz w:val="22"/>
        </w:rPr>
      </w:pPr>
      <w:r>
        <w:rPr>
          <w:sz w:val="22"/>
        </w:rPr>
        <w:t>В настоящее время правительство также уделяет внимание вопросам дискриминации по признаку пола в рамках обычного права. На рассмотрении парламента находится законопроект об общинных судах, который должен регулировать вопросы юрисдикции и полномочий традиционных судов и укрепить Конституцию за счет определения "обычного права", которым могут руководствоваться такие органы, как суды обычного права, в соответствии с Конституцией Намибии.</w:t>
      </w:r>
    </w:p>
    <w:p w:rsidR="00000000" w:rsidRDefault="00000000">
      <w:pPr>
        <w:tabs>
          <w:tab w:val="left" w:pos="680"/>
          <w:tab w:val="left" w:pos="1134"/>
        </w:tabs>
        <w:spacing w:before="240"/>
        <w:jc w:val="both"/>
        <w:rPr>
          <w:b/>
          <w:sz w:val="22"/>
        </w:rPr>
      </w:pPr>
      <w:r>
        <w:rPr>
          <w:b/>
          <w:sz w:val="22"/>
        </w:rPr>
        <w:t>2.2</w:t>
      </w:r>
      <w:r>
        <w:rPr>
          <w:b/>
          <w:sz w:val="22"/>
        </w:rPr>
        <w:tab/>
        <w:t>Защита женщин от актов дискриминации</w:t>
      </w:r>
    </w:p>
    <w:p w:rsidR="00000000" w:rsidRDefault="00000000">
      <w:pPr>
        <w:pStyle w:val="BodyText"/>
        <w:tabs>
          <w:tab w:val="left" w:pos="680"/>
          <w:tab w:val="left" w:pos="1134"/>
        </w:tabs>
        <w:spacing w:before="240"/>
        <w:jc w:val="both"/>
        <w:rPr>
          <w:sz w:val="22"/>
          <w:u w:val="none"/>
        </w:rPr>
      </w:pPr>
      <w:r>
        <w:rPr>
          <w:sz w:val="22"/>
          <w:u w:val="none"/>
        </w:rPr>
        <w:t>Стремясь решить гендерные вопросы и проблемы в общем и защитить женщин от актов дискриминации в частности, правительство Намибии, среди прочих мер, приняло в ноябре 1997 года национальную гендерную политику.</w:t>
      </w:r>
    </w:p>
    <w:p w:rsidR="00000000" w:rsidRDefault="00000000">
      <w:pPr>
        <w:tabs>
          <w:tab w:val="left" w:pos="680"/>
          <w:tab w:val="left" w:pos="1134"/>
        </w:tabs>
        <w:spacing w:before="240"/>
        <w:jc w:val="both"/>
        <w:rPr>
          <w:sz w:val="22"/>
        </w:rPr>
      </w:pPr>
      <w:r>
        <w:rPr>
          <w:sz w:val="22"/>
        </w:rPr>
        <w:t>В предисловии к документу "Национальная гендерная политика" Президент Республики Намибия, Его Превосходительство д-р Сэм Нуйома сказал следующее:</w:t>
      </w:r>
    </w:p>
    <w:p w:rsidR="00000000" w:rsidRDefault="00000000">
      <w:pPr>
        <w:pStyle w:val="BodyText2"/>
        <w:tabs>
          <w:tab w:val="left" w:pos="680"/>
          <w:tab w:val="left" w:pos="1134"/>
        </w:tabs>
        <w:spacing w:before="240"/>
        <w:ind w:left="680" w:hanging="680"/>
        <w:jc w:val="both"/>
        <w:rPr>
          <w:b w:val="0"/>
          <w:i/>
          <w:sz w:val="22"/>
        </w:rPr>
      </w:pPr>
      <w:r>
        <w:rPr>
          <w:b w:val="0"/>
          <w:i/>
          <w:sz w:val="22"/>
        </w:rPr>
        <w:tab/>
        <w:t>"Очень важно учитывать гендерные вопросы во всех государственных стратегиях, процедурах и программах, поскольку необходимо содействовать соблюдению прав женщин и защищать их…</w:t>
      </w:r>
    </w:p>
    <w:p w:rsidR="00000000" w:rsidRDefault="00000000">
      <w:pPr>
        <w:tabs>
          <w:tab w:val="left" w:pos="680"/>
          <w:tab w:val="left" w:pos="1134"/>
        </w:tabs>
        <w:spacing w:before="240"/>
        <w:ind w:left="680" w:hanging="680"/>
        <w:jc w:val="both"/>
        <w:rPr>
          <w:sz w:val="22"/>
        </w:rPr>
      </w:pPr>
      <w:r>
        <w:rPr>
          <w:i/>
          <w:sz w:val="22"/>
        </w:rPr>
        <w:tab/>
        <w:t>…Переход от "борьбы, которую ведут только женщины", к "признанию значения гендерного фактора" означает стремление включить потребности женщин в более широкую перспективу. Учет гендерных факторов в процессе развития поможет решать вопросы, касающиеся равных возможностей для мужчин и женщин"</w:t>
      </w:r>
      <w:r>
        <w:rPr>
          <w:rStyle w:val="FootnoteReference"/>
          <w:sz w:val="22"/>
        </w:rPr>
        <w:footnoteReference w:customMarkFollows="1" w:id="23"/>
        <w:t>22</w:t>
      </w:r>
      <w:r>
        <w:rPr>
          <w:sz w:val="22"/>
        </w:rPr>
        <w:t>.</w:t>
      </w:r>
    </w:p>
    <w:p w:rsidR="00000000" w:rsidRDefault="00000000">
      <w:pPr>
        <w:pStyle w:val="BodyText"/>
        <w:tabs>
          <w:tab w:val="left" w:pos="680"/>
          <w:tab w:val="left" w:pos="1134"/>
        </w:tabs>
        <w:spacing w:before="240"/>
        <w:jc w:val="both"/>
        <w:rPr>
          <w:sz w:val="22"/>
          <w:u w:val="none"/>
        </w:rPr>
      </w:pPr>
      <w:r>
        <w:rPr>
          <w:sz w:val="22"/>
          <w:u w:val="none"/>
        </w:rPr>
        <w:t>Со своей стороны, тогдашний Генеральный директор Департамента по делам женщин, а теперь Министр по делам женщин и охране детства достопочтенная Нетумбо Нанди-Ндаитва сказала следующее:</w:t>
      </w:r>
    </w:p>
    <w:p w:rsidR="00000000" w:rsidRDefault="00000000">
      <w:pPr>
        <w:pStyle w:val="BodyText2"/>
        <w:tabs>
          <w:tab w:val="left" w:pos="680"/>
          <w:tab w:val="left" w:pos="1134"/>
        </w:tabs>
        <w:spacing w:before="240"/>
        <w:ind w:left="680" w:hanging="680"/>
        <w:jc w:val="both"/>
        <w:rPr>
          <w:b w:val="0"/>
          <w:i/>
          <w:sz w:val="22"/>
        </w:rPr>
      </w:pPr>
      <w:r>
        <w:rPr>
          <w:b w:val="0"/>
          <w:sz w:val="22"/>
        </w:rPr>
        <w:tab/>
      </w:r>
      <w:r>
        <w:rPr>
          <w:b w:val="0"/>
          <w:i/>
          <w:sz w:val="22"/>
        </w:rPr>
        <w:t>"Хотя в Конституции Намибии провозглашается равенство мужчин и женщин, у бедности все же чаще женское лицо. Отношения в обществе, базирующиеся на традиционных и культурных типах поведения, поддерживают мнение о том, что женщины должны играть второстепенную роль.</w:t>
      </w:r>
    </w:p>
    <w:p w:rsidR="00000000" w:rsidRDefault="00000000">
      <w:pPr>
        <w:tabs>
          <w:tab w:val="left" w:pos="680"/>
          <w:tab w:val="left" w:pos="1134"/>
        </w:tabs>
        <w:spacing w:before="240"/>
        <w:ind w:left="680" w:hanging="680"/>
        <w:jc w:val="both"/>
        <w:rPr>
          <w:i/>
          <w:sz w:val="22"/>
        </w:rPr>
      </w:pPr>
      <w:r>
        <w:rPr>
          <w:i/>
          <w:sz w:val="22"/>
        </w:rPr>
        <w:tab/>
        <w:t>В стремлении добиться равенства между мужчинами и женщинами было сделано немало. Однако все еще очевидно сопротивление этим изменениям, несмотря на активизацию программ по повышению информированности по гендерным вопросам и принятие ряда законов, направленных на достижение гендерного равенства. Для содействия преобразованию общества с целью достижения гендерного равенства во всех аспектах жизни, таких как здравоохранение, образование и, среди прочего, расширение участия в сфере экономики, следует использовать обучение и профессиональную подготовку".</w:t>
      </w:r>
    </w:p>
    <w:p w:rsidR="00000000" w:rsidRDefault="00000000">
      <w:pPr>
        <w:tabs>
          <w:tab w:val="left" w:pos="680"/>
          <w:tab w:val="left" w:pos="1134"/>
        </w:tabs>
        <w:spacing w:before="240"/>
        <w:jc w:val="both"/>
        <w:rPr>
          <w:b/>
          <w:sz w:val="22"/>
        </w:rPr>
      </w:pPr>
      <w:r>
        <w:rPr>
          <w:b/>
          <w:sz w:val="22"/>
        </w:rPr>
        <w:t>2.2.1</w:t>
      </w:r>
      <w:r>
        <w:rPr>
          <w:b/>
          <w:sz w:val="22"/>
        </w:rPr>
        <w:tab/>
        <w:t>Национальная гендерная политика</w:t>
      </w:r>
    </w:p>
    <w:p w:rsidR="00000000" w:rsidRDefault="00000000">
      <w:pPr>
        <w:pStyle w:val="BodyText"/>
        <w:tabs>
          <w:tab w:val="left" w:pos="680"/>
          <w:tab w:val="left" w:pos="1134"/>
        </w:tabs>
        <w:spacing w:before="240"/>
        <w:jc w:val="both"/>
        <w:rPr>
          <w:sz w:val="22"/>
          <w:u w:val="none"/>
        </w:rPr>
      </w:pPr>
      <w:r>
        <w:rPr>
          <w:sz w:val="22"/>
          <w:u w:val="none"/>
        </w:rPr>
        <w:t>Хотя необходимость учета гендерных вопросов во всех областях социально-экономического развития Намибии была признана с момента обретения страной независимости и Конституция Намибии базируется на принципе равенства мужчин и женщин, в большинстве секторов намибийского общества все еще сохраняется дискриминация в отношении женщин. Именно на этом фоне была принята национальная гендерная политика, направленная на борьбу с дискриминацией по признаку пола.</w:t>
      </w:r>
    </w:p>
    <w:p w:rsidR="00000000" w:rsidRDefault="00000000">
      <w:pPr>
        <w:tabs>
          <w:tab w:val="left" w:pos="680"/>
          <w:tab w:val="left" w:pos="1134"/>
        </w:tabs>
        <w:spacing w:before="240"/>
        <w:jc w:val="both"/>
        <w:rPr>
          <w:sz w:val="22"/>
        </w:rPr>
      </w:pPr>
      <w:r>
        <w:rPr>
          <w:sz w:val="22"/>
        </w:rPr>
        <w:t>"В национальной гендерной политике сформулированы рамки, в которых могут поощряться, поддерживаться и закрепляться усилия по выполнению положений Конституции. Если говорить точнее, в национальной гендерной политике сформулированы рамки и принципы осуществления, координации и мониторинга вопросов, требующих учета гендерных факторов, которые повысят эффективность управления и планирования процессов развития в различных сферах культурной, социальной и экономической жизни намибийского общества"</w:t>
      </w:r>
      <w:r>
        <w:rPr>
          <w:rStyle w:val="FootnoteReference"/>
          <w:sz w:val="22"/>
        </w:rPr>
        <w:footnoteReference w:customMarkFollows="1" w:id="24"/>
        <w:t>23</w:t>
      </w:r>
      <w:r>
        <w:rPr>
          <w:sz w:val="22"/>
        </w:rPr>
        <w:t>.</w:t>
      </w:r>
    </w:p>
    <w:p w:rsidR="00000000" w:rsidRDefault="00000000">
      <w:pPr>
        <w:tabs>
          <w:tab w:val="left" w:pos="680"/>
          <w:tab w:val="left" w:pos="1134"/>
        </w:tabs>
        <w:spacing w:before="240"/>
        <w:jc w:val="both"/>
        <w:rPr>
          <w:sz w:val="22"/>
        </w:rPr>
      </w:pPr>
      <w:r>
        <w:rPr>
          <w:sz w:val="22"/>
        </w:rPr>
        <w:t>Признавая сохраняющуюся в намибийском обществе предубежденность в отношении женщин (со стороны мужчин), национальная гендерная политика поддерживает усилия, направленные на повышение информированности лиц, определяющих политику, составителей планов, тех, кто отвечает за их исполнение и разработку, а также широкой общественности о положениях Конституции, касающихся равного статуса женщин и мужчин и их ролей как равноправных партнеров в процессе развития страны".</w:t>
      </w:r>
    </w:p>
    <w:p w:rsidR="00000000" w:rsidRDefault="00000000">
      <w:pPr>
        <w:tabs>
          <w:tab w:val="left" w:pos="680"/>
          <w:tab w:val="left" w:pos="1134"/>
        </w:tabs>
        <w:spacing w:before="240"/>
        <w:jc w:val="both"/>
        <w:rPr>
          <w:sz w:val="22"/>
        </w:rPr>
      </w:pPr>
      <w:r>
        <w:rPr>
          <w:sz w:val="22"/>
        </w:rPr>
        <w:t>Далее, согласно этой политике, правительство должно признать, что расширение прав и возможностей женщин и равенство между женщинами и мужчинами являются предпосылками достижения благоприятных и стабильных политических, социальных, культурных и экономических условий развития для всего населения Намибии.</w:t>
      </w:r>
    </w:p>
    <w:p w:rsidR="00000000" w:rsidRDefault="00000000">
      <w:pPr>
        <w:tabs>
          <w:tab w:val="left" w:pos="680"/>
          <w:tab w:val="left" w:pos="1134"/>
        </w:tabs>
        <w:spacing w:before="240"/>
        <w:jc w:val="both"/>
        <w:rPr>
          <w:sz w:val="22"/>
        </w:rPr>
      </w:pPr>
      <w:r>
        <w:rPr>
          <w:sz w:val="22"/>
        </w:rPr>
        <w:tab/>
        <w:t>Для этой цели правительство должно:</w:t>
      </w:r>
    </w:p>
    <w:p w:rsidR="00000000" w:rsidRDefault="00000000">
      <w:pPr>
        <w:tabs>
          <w:tab w:val="left" w:pos="680"/>
          <w:tab w:val="left" w:pos="1134"/>
        </w:tabs>
        <w:spacing w:before="240"/>
        <w:jc w:val="both"/>
        <w:rPr>
          <w:sz w:val="22"/>
        </w:rPr>
      </w:pPr>
      <w:r>
        <w:rPr>
          <w:sz w:val="22"/>
        </w:rPr>
        <w:sym w:font="Wingdings" w:char="F076"/>
      </w:r>
      <w:r>
        <w:rPr>
          <w:sz w:val="22"/>
        </w:rPr>
        <w:tab/>
        <w:t>Продолжать, наряду с позитивными действиями, поддерживать расширение участия женщин и учета гендерного аспекта в национальных, региональных и местных инициативах.</w:t>
      </w:r>
    </w:p>
    <w:p w:rsidR="00000000" w:rsidRDefault="00000000">
      <w:pPr>
        <w:tabs>
          <w:tab w:val="left" w:pos="680"/>
          <w:tab w:val="left" w:pos="1134"/>
        </w:tabs>
        <w:spacing w:before="240"/>
        <w:jc w:val="both"/>
        <w:rPr>
          <w:sz w:val="22"/>
        </w:rPr>
      </w:pPr>
      <w:r>
        <w:rPr>
          <w:sz w:val="22"/>
        </w:rPr>
        <w:sym w:font="Wingdings" w:char="F076"/>
      </w:r>
      <w:r>
        <w:rPr>
          <w:sz w:val="22"/>
        </w:rPr>
        <w:tab/>
        <w:t>Поддерживать повышение степени участия женщин в принятии решений во всех сферах намибийского общества.</w:t>
      </w:r>
    </w:p>
    <w:p w:rsidR="00000000" w:rsidRDefault="00000000">
      <w:pPr>
        <w:tabs>
          <w:tab w:val="left" w:pos="680"/>
          <w:tab w:val="left" w:pos="1134"/>
        </w:tabs>
        <w:spacing w:before="240"/>
        <w:jc w:val="both"/>
        <w:rPr>
          <w:sz w:val="22"/>
        </w:rPr>
      </w:pPr>
      <w:r>
        <w:rPr>
          <w:sz w:val="22"/>
        </w:rPr>
        <w:sym w:font="Wingdings" w:char="F076"/>
      </w:r>
      <w:r>
        <w:rPr>
          <w:sz w:val="22"/>
        </w:rPr>
        <w:tab/>
        <w:t>Руководствуясь Конституцией, первым национальным планом развития (НПР1), Пекинской платформой действий, Африканской платформой действий, Гендерной программой действий Сообщества по вопросам развития юга Африки (САДК) и целями Министерства по делам женщин и охране детства, данная гендерная политика охватывает следующие области, требующие внимания:</w:t>
      </w:r>
    </w:p>
    <w:p w:rsidR="00000000" w:rsidRDefault="00000000">
      <w:pPr>
        <w:tabs>
          <w:tab w:val="left" w:pos="680"/>
          <w:tab w:val="left" w:pos="1134"/>
        </w:tabs>
        <w:autoSpaceDE w:val="0"/>
        <w:autoSpaceDN w:val="0"/>
        <w:adjustRightInd w:val="0"/>
        <w:spacing w:before="120"/>
        <w:ind w:left="1134" w:hanging="1134"/>
        <w:rPr>
          <w:i/>
          <w:sz w:val="22"/>
        </w:rPr>
      </w:pPr>
      <w:r>
        <w:rPr>
          <w:rFonts w:ascii="Wingdings" w:hAnsi="Wingdings"/>
          <w:sz w:val="22"/>
        </w:rPr>
        <w:tab/>
      </w:r>
      <w:r>
        <w:rPr>
          <w:rFonts w:ascii="Wingdings" w:hAnsi="Wingdings"/>
          <w:sz w:val="22"/>
        </w:rPr>
        <w:t></w:t>
      </w:r>
      <w:r>
        <w:rPr>
          <w:sz w:val="22"/>
        </w:rPr>
        <w:tab/>
      </w:r>
      <w:r>
        <w:rPr>
          <w:i/>
          <w:sz w:val="22"/>
        </w:rPr>
        <w:t>Гендерные факторы, бедность и развитие сельских районов</w:t>
      </w:r>
    </w:p>
    <w:p w:rsidR="00000000" w:rsidRDefault="00000000">
      <w:pPr>
        <w:tabs>
          <w:tab w:val="left" w:pos="680"/>
          <w:tab w:val="left" w:pos="1134"/>
        </w:tabs>
        <w:spacing w:before="120"/>
        <w:ind w:left="1134" w:hanging="1134"/>
        <w:jc w:val="both"/>
        <w:rPr>
          <w:i/>
          <w:sz w:val="22"/>
        </w:rPr>
      </w:pPr>
      <w:r>
        <w:rPr>
          <w:rFonts w:ascii="Wingdings" w:hAnsi="Wingdings"/>
          <w:sz w:val="22"/>
        </w:rPr>
        <w:tab/>
      </w:r>
      <w:r>
        <w:rPr>
          <w:rFonts w:ascii="Wingdings" w:hAnsi="Wingdings"/>
          <w:sz w:val="22"/>
        </w:rPr>
        <w:t></w:t>
      </w:r>
      <w:r>
        <w:rPr>
          <w:sz w:val="22"/>
        </w:rPr>
        <w:tab/>
      </w:r>
      <w:r>
        <w:rPr>
          <w:i/>
          <w:sz w:val="22"/>
        </w:rPr>
        <w:t>Гендерный баланс в образовании и профессиональной подготовке</w:t>
      </w:r>
    </w:p>
    <w:p w:rsidR="00000000" w:rsidRDefault="00000000">
      <w:pPr>
        <w:tabs>
          <w:tab w:val="left" w:pos="680"/>
          <w:tab w:val="left" w:pos="1134"/>
        </w:tabs>
        <w:spacing w:before="120"/>
        <w:ind w:left="1134" w:hanging="1134"/>
        <w:jc w:val="both"/>
        <w:rPr>
          <w:i/>
          <w:sz w:val="22"/>
        </w:rPr>
      </w:pPr>
      <w:r>
        <w:rPr>
          <w:rFonts w:ascii="Wingdings" w:hAnsi="Wingdings"/>
          <w:sz w:val="22"/>
        </w:rPr>
        <w:tab/>
      </w:r>
      <w:r>
        <w:rPr>
          <w:rFonts w:ascii="Wingdings" w:hAnsi="Wingdings"/>
          <w:sz w:val="22"/>
        </w:rPr>
        <w:t></w:t>
      </w:r>
      <w:r>
        <w:rPr>
          <w:sz w:val="22"/>
        </w:rPr>
        <w:tab/>
      </w:r>
      <w:r>
        <w:rPr>
          <w:i/>
          <w:sz w:val="22"/>
        </w:rPr>
        <w:t>Гендерный фактор и репродуктивное здоровье</w:t>
      </w:r>
    </w:p>
    <w:p w:rsidR="00000000" w:rsidRDefault="00000000">
      <w:pPr>
        <w:tabs>
          <w:tab w:val="left" w:pos="680"/>
          <w:tab w:val="left" w:pos="1134"/>
        </w:tabs>
        <w:spacing w:before="120"/>
        <w:ind w:left="1134" w:hanging="1134"/>
        <w:jc w:val="both"/>
        <w:rPr>
          <w:i/>
          <w:sz w:val="22"/>
        </w:rPr>
      </w:pPr>
      <w:r>
        <w:rPr>
          <w:rFonts w:ascii="Wingdings" w:hAnsi="Wingdings"/>
          <w:sz w:val="22"/>
        </w:rPr>
        <w:tab/>
      </w:r>
      <w:r>
        <w:rPr>
          <w:rFonts w:ascii="Wingdings" w:hAnsi="Wingdings"/>
          <w:sz w:val="22"/>
        </w:rPr>
        <w:t></w:t>
      </w:r>
      <w:r>
        <w:rPr>
          <w:sz w:val="22"/>
        </w:rPr>
        <w:tab/>
      </w:r>
      <w:r>
        <w:rPr>
          <w:i/>
          <w:sz w:val="22"/>
        </w:rPr>
        <w:t>Насилие в отношении женщин и детей</w:t>
      </w:r>
    </w:p>
    <w:p w:rsidR="00000000" w:rsidRDefault="00000000">
      <w:pPr>
        <w:tabs>
          <w:tab w:val="left" w:pos="680"/>
          <w:tab w:val="left" w:pos="1134"/>
        </w:tabs>
        <w:spacing w:before="120"/>
        <w:ind w:left="1134" w:hanging="1134"/>
        <w:rPr>
          <w:i/>
          <w:sz w:val="22"/>
        </w:rPr>
      </w:pPr>
      <w:r>
        <w:rPr>
          <w:rFonts w:ascii="Wingdings" w:hAnsi="Wingdings"/>
          <w:sz w:val="22"/>
        </w:rPr>
        <w:tab/>
      </w:r>
      <w:r>
        <w:rPr>
          <w:rFonts w:ascii="Wingdings" w:hAnsi="Wingdings"/>
          <w:sz w:val="22"/>
        </w:rPr>
        <w:t></w:t>
      </w:r>
      <w:r>
        <w:rPr>
          <w:sz w:val="22"/>
        </w:rPr>
        <w:tab/>
      </w:r>
      <w:r>
        <w:rPr>
          <w:i/>
          <w:sz w:val="22"/>
        </w:rPr>
        <w:t xml:space="preserve">Гендерный фактор и создание условий для полноправного участия женщин </w:t>
      </w:r>
      <w:r>
        <w:rPr>
          <w:i/>
          <w:sz w:val="22"/>
        </w:rPr>
        <w:br/>
        <w:t>в экономической деятельности</w:t>
      </w:r>
    </w:p>
    <w:p w:rsidR="00000000" w:rsidRDefault="00000000">
      <w:pPr>
        <w:tabs>
          <w:tab w:val="left" w:pos="680"/>
          <w:tab w:val="left" w:pos="1134"/>
        </w:tabs>
        <w:spacing w:before="120"/>
        <w:ind w:left="1134" w:hanging="1134"/>
        <w:jc w:val="both"/>
        <w:rPr>
          <w:i/>
          <w:sz w:val="22"/>
        </w:rPr>
      </w:pPr>
      <w:r>
        <w:rPr>
          <w:rFonts w:ascii="Wingdings" w:hAnsi="Wingdings"/>
          <w:sz w:val="22"/>
        </w:rPr>
        <w:tab/>
      </w:r>
      <w:r>
        <w:rPr>
          <w:rFonts w:ascii="Wingdings" w:hAnsi="Wingdings"/>
          <w:sz w:val="22"/>
        </w:rPr>
        <w:t></w:t>
      </w:r>
      <w:r>
        <w:rPr>
          <w:sz w:val="22"/>
        </w:rPr>
        <w:tab/>
      </w:r>
      <w:r>
        <w:rPr>
          <w:i/>
          <w:sz w:val="22"/>
        </w:rPr>
        <w:t>Гендерный баланс во властных структурах и при принятии решений</w:t>
      </w:r>
    </w:p>
    <w:p w:rsidR="00000000" w:rsidRDefault="00000000">
      <w:pPr>
        <w:tabs>
          <w:tab w:val="left" w:pos="680"/>
          <w:tab w:val="left" w:pos="1134"/>
        </w:tabs>
        <w:spacing w:before="120"/>
        <w:ind w:left="1134" w:hanging="1134"/>
        <w:jc w:val="both"/>
        <w:rPr>
          <w:i/>
          <w:sz w:val="22"/>
        </w:rPr>
      </w:pPr>
      <w:r>
        <w:rPr>
          <w:rFonts w:ascii="Wingdings" w:hAnsi="Wingdings"/>
          <w:sz w:val="22"/>
        </w:rPr>
        <w:tab/>
      </w:r>
      <w:r>
        <w:rPr>
          <w:rFonts w:ascii="Wingdings" w:hAnsi="Wingdings"/>
          <w:sz w:val="22"/>
        </w:rPr>
        <w:t></w:t>
      </w:r>
      <w:r>
        <w:rPr>
          <w:sz w:val="22"/>
        </w:rPr>
        <w:tab/>
      </w:r>
      <w:r>
        <w:rPr>
          <w:i/>
          <w:sz w:val="22"/>
        </w:rPr>
        <w:t>Информация, образование и средства коммуникации</w:t>
      </w:r>
    </w:p>
    <w:p w:rsidR="00000000" w:rsidRDefault="00000000">
      <w:pPr>
        <w:tabs>
          <w:tab w:val="left" w:pos="680"/>
          <w:tab w:val="left" w:pos="1134"/>
        </w:tabs>
        <w:spacing w:before="120"/>
        <w:ind w:left="1134" w:hanging="1134"/>
        <w:jc w:val="both"/>
        <w:rPr>
          <w:i/>
          <w:sz w:val="22"/>
        </w:rPr>
      </w:pPr>
      <w:r>
        <w:rPr>
          <w:rFonts w:ascii="Wingdings" w:hAnsi="Wingdings"/>
          <w:sz w:val="22"/>
        </w:rPr>
        <w:tab/>
      </w:r>
      <w:r>
        <w:rPr>
          <w:rFonts w:ascii="Wingdings" w:hAnsi="Wingdings"/>
          <w:sz w:val="22"/>
        </w:rPr>
        <w:t></w:t>
      </w:r>
      <w:r>
        <w:rPr>
          <w:sz w:val="22"/>
        </w:rPr>
        <w:tab/>
      </w:r>
      <w:r>
        <w:rPr>
          <w:i/>
          <w:sz w:val="22"/>
        </w:rPr>
        <w:t>Гендерный фактор и природоохранная деятельность</w:t>
      </w:r>
    </w:p>
    <w:p w:rsidR="00000000" w:rsidRDefault="00000000">
      <w:pPr>
        <w:tabs>
          <w:tab w:val="left" w:pos="680"/>
          <w:tab w:val="left" w:pos="1134"/>
        </w:tabs>
        <w:spacing w:before="120"/>
        <w:ind w:left="1134" w:hanging="1134"/>
        <w:jc w:val="both"/>
        <w:rPr>
          <w:i/>
          <w:sz w:val="22"/>
        </w:rPr>
      </w:pPr>
      <w:r>
        <w:rPr>
          <w:rFonts w:ascii="Wingdings" w:hAnsi="Wingdings"/>
          <w:sz w:val="22"/>
        </w:rPr>
        <w:tab/>
      </w:r>
      <w:r>
        <w:rPr>
          <w:rFonts w:ascii="Wingdings" w:hAnsi="Wingdings"/>
          <w:sz w:val="22"/>
        </w:rPr>
        <w:t></w:t>
      </w:r>
      <w:r>
        <w:rPr>
          <w:sz w:val="22"/>
        </w:rPr>
        <w:tab/>
      </w:r>
      <w:r>
        <w:rPr>
          <w:i/>
          <w:sz w:val="22"/>
        </w:rPr>
        <w:t>Девочки</w:t>
      </w:r>
    </w:p>
    <w:p w:rsidR="00000000" w:rsidRDefault="00000000">
      <w:pPr>
        <w:tabs>
          <w:tab w:val="left" w:pos="680"/>
          <w:tab w:val="left" w:pos="1134"/>
        </w:tabs>
        <w:spacing w:before="120"/>
        <w:ind w:left="1134" w:hanging="1134"/>
        <w:jc w:val="both"/>
        <w:rPr>
          <w:i/>
          <w:sz w:val="22"/>
        </w:rPr>
      </w:pPr>
      <w:r>
        <w:rPr>
          <w:rFonts w:ascii="Wingdings" w:hAnsi="Wingdings"/>
          <w:sz w:val="22"/>
        </w:rPr>
        <w:tab/>
      </w:r>
      <w:r>
        <w:rPr>
          <w:rFonts w:ascii="Wingdings" w:hAnsi="Wingdings"/>
          <w:sz w:val="22"/>
        </w:rPr>
        <w:t></w:t>
      </w:r>
      <w:r>
        <w:rPr>
          <w:sz w:val="22"/>
        </w:rPr>
        <w:tab/>
      </w:r>
      <w:r>
        <w:rPr>
          <w:i/>
          <w:sz w:val="22"/>
        </w:rPr>
        <w:t>Гендерный фактор и правовые вопросы</w:t>
      </w:r>
    </w:p>
    <w:p w:rsidR="00000000" w:rsidRDefault="00000000">
      <w:pPr>
        <w:tabs>
          <w:tab w:val="left" w:pos="680"/>
          <w:tab w:val="left" w:pos="1134"/>
        </w:tabs>
        <w:spacing w:before="120"/>
        <w:ind w:left="1134" w:hanging="1134"/>
        <w:jc w:val="both"/>
        <w:rPr>
          <w:i/>
          <w:sz w:val="22"/>
        </w:rPr>
      </w:pPr>
      <w:r>
        <w:rPr>
          <w:rFonts w:ascii="Wingdings" w:hAnsi="Wingdings"/>
          <w:sz w:val="22"/>
        </w:rPr>
        <w:tab/>
      </w:r>
      <w:r>
        <w:rPr>
          <w:rFonts w:ascii="Wingdings" w:hAnsi="Wingdings"/>
          <w:sz w:val="22"/>
        </w:rPr>
        <w:t></w:t>
      </w:r>
      <w:r>
        <w:rPr>
          <w:sz w:val="22"/>
        </w:rPr>
        <w:tab/>
      </w:r>
      <w:r>
        <w:rPr>
          <w:i/>
          <w:sz w:val="22"/>
        </w:rPr>
        <w:t>Механизм мониторинга</w:t>
      </w:r>
    </w:p>
    <w:p w:rsidR="00000000" w:rsidRDefault="00000000">
      <w:pPr>
        <w:pStyle w:val="BodyText"/>
        <w:tabs>
          <w:tab w:val="left" w:pos="680"/>
          <w:tab w:val="left" w:pos="1134"/>
        </w:tabs>
        <w:spacing w:before="240"/>
        <w:jc w:val="both"/>
        <w:rPr>
          <w:sz w:val="22"/>
          <w:u w:val="none"/>
        </w:rPr>
      </w:pPr>
      <w:r>
        <w:rPr>
          <w:sz w:val="22"/>
          <w:u w:val="none"/>
        </w:rPr>
        <w:t>Десять выделенных проблем, требующих особого внимания, за исключением механизмов мониторинга, будут подробно рассмотрены в других главах данного доклада.</w:t>
      </w:r>
    </w:p>
    <w:p w:rsidR="00000000" w:rsidRDefault="00000000">
      <w:pPr>
        <w:pStyle w:val="BodyText3"/>
        <w:tabs>
          <w:tab w:val="left" w:pos="680"/>
          <w:tab w:val="left" w:pos="1134"/>
        </w:tabs>
        <w:spacing w:before="240"/>
        <w:rPr>
          <w:b/>
          <w:sz w:val="22"/>
        </w:rPr>
      </w:pPr>
      <w:r>
        <w:rPr>
          <w:b/>
          <w:sz w:val="22"/>
        </w:rPr>
        <w:t>2.2.2</w:t>
      </w:r>
      <w:r>
        <w:rPr>
          <w:b/>
          <w:sz w:val="22"/>
        </w:rPr>
        <w:tab/>
        <w:t>Механизмы мониторинга национальной гендерной политики</w:t>
      </w:r>
    </w:p>
    <w:p w:rsidR="00000000" w:rsidRDefault="00000000">
      <w:pPr>
        <w:pStyle w:val="BodyText"/>
        <w:tabs>
          <w:tab w:val="left" w:pos="680"/>
          <w:tab w:val="left" w:pos="1134"/>
        </w:tabs>
        <w:spacing w:before="240"/>
        <w:jc w:val="both"/>
        <w:rPr>
          <w:sz w:val="22"/>
          <w:u w:val="none"/>
        </w:rPr>
      </w:pPr>
      <w:r>
        <w:rPr>
          <w:sz w:val="22"/>
          <w:u w:val="none"/>
        </w:rPr>
        <w:t>Для обеспечения эффективного осуществления этой политики были созданы следующие структуры:</w:t>
      </w:r>
    </w:p>
    <w:p w:rsidR="00000000" w:rsidRDefault="00000000">
      <w:pPr>
        <w:tabs>
          <w:tab w:val="left" w:pos="680"/>
          <w:tab w:val="left" w:pos="1134"/>
        </w:tabs>
        <w:spacing w:before="220"/>
        <w:jc w:val="both"/>
        <w:rPr>
          <w:sz w:val="22"/>
        </w:rPr>
      </w:pPr>
      <w:r>
        <w:rPr>
          <w:sz w:val="22"/>
        </w:rPr>
        <w:t>Координаторы по гендерным вопросам – для наблюдения за включением гендерного аспекта во все стратегии и программы, разработанные в министерствах и других государственных учреждениях и органах на национальном, региональном и общинном уровнях.</w:t>
      </w:r>
    </w:p>
    <w:p w:rsidR="00000000" w:rsidRDefault="00000000">
      <w:pPr>
        <w:tabs>
          <w:tab w:val="left" w:pos="680"/>
          <w:tab w:val="left" w:pos="1134"/>
        </w:tabs>
        <w:spacing w:before="220"/>
        <w:jc w:val="both"/>
        <w:rPr>
          <w:sz w:val="22"/>
        </w:rPr>
      </w:pPr>
      <w:r>
        <w:rPr>
          <w:sz w:val="22"/>
        </w:rPr>
        <w:t>Секторальный комитет по гендерным вопросам – для консультирования Министерства по делам женщин и охране детства по вопросам, конкретно связанным с интересующими его областями.</w:t>
      </w:r>
    </w:p>
    <w:p w:rsidR="00000000" w:rsidRDefault="00000000">
      <w:pPr>
        <w:tabs>
          <w:tab w:val="left" w:pos="680"/>
          <w:tab w:val="left" w:pos="1134"/>
        </w:tabs>
        <w:spacing w:before="220"/>
        <w:jc w:val="both"/>
        <w:rPr>
          <w:sz w:val="22"/>
        </w:rPr>
      </w:pPr>
      <w:r>
        <w:rPr>
          <w:sz w:val="22"/>
        </w:rPr>
        <w:t>Координационный комитет сети по гендерным вопросам – для наблюдения за осуществлением всех разработанных стратегий и программ.</w:t>
      </w:r>
    </w:p>
    <w:p w:rsidR="00000000" w:rsidRDefault="00000000">
      <w:pPr>
        <w:tabs>
          <w:tab w:val="left" w:pos="680"/>
          <w:tab w:val="left" w:pos="1134"/>
        </w:tabs>
        <w:spacing w:before="220"/>
        <w:jc w:val="both"/>
        <w:rPr>
          <w:sz w:val="22"/>
        </w:rPr>
      </w:pPr>
      <w:r>
        <w:rPr>
          <w:sz w:val="22"/>
        </w:rPr>
        <w:t>Национальный форум обмена информацией – проводится раз в два года для оценки хода осуществления национальной гендерной политики и других соответствующих национальных документов.</w:t>
      </w:r>
    </w:p>
    <w:p w:rsidR="00000000" w:rsidRDefault="00000000">
      <w:pPr>
        <w:tabs>
          <w:tab w:val="left" w:pos="680"/>
          <w:tab w:val="left" w:pos="1134"/>
        </w:tabs>
        <w:spacing w:before="220"/>
        <w:jc w:val="both"/>
        <w:rPr>
          <w:sz w:val="22"/>
        </w:rPr>
      </w:pPr>
      <w:r>
        <w:rPr>
          <w:sz w:val="22"/>
        </w:rPr>
        <w:t>Комиссия по гендерным вопросам – юридический орган для укрепления деятельности по осуществлению национальной гендерной политики. Однако этот орган до сих пор не создан ввиду отсутствия законодательного акта.</w:t>
      </w:r>
    </w:p>
    <w:p w:rsidR="00000000" w:rsidRDefault="00000000">
      <w:pPr>
        <w:pStyle w:val="BodyText3"/>
        <w:tabs>
          <w:tab w:val="left" w:pos="680"/>
          <w:tab w:val="left" w:pos="1134"/>
        </w:tabs>
        <w:spacing w:before="240"/>
        <w:rPr>
          <w:b/>
          <w:sz w:val="22"/>
        </w:rPr>
      </w:pPr>
      <w:r>
        <w:rPr>
          <w:b/>
          <w:sz w:val="22"/>
        </w:rPr>
        <w:t>2.2.3</w:t>
      </w:r>
      <w:r>
        <w:rPr>
          <w:b/>
          <w:sz w:val="22"/>
        </w:rPr>
        <w:tab/>
        <w:t>Национальный план действий по гендерным вопросам</w:t>
      </w:r>
    </w:p>
    <w:p w:rsidR="00000000" w:rsidRDefault="00000000">
      <w:pPr>
        <w:pStyle w:val="BodyText"/>
        <w:tabs>
          <w:tab w:val="left" w:pos="680"/>
          <w:tab w:val="left" w:pos="1134"/>
        </w:tabs>
        <w:spacing w:before="240"/>
        <w:jc w:val="both"/>
        <w:rPr>
          <w:sz w:val="22"/>
          <w:u w:val="none"/>
        </w:rPr>
      </w:pPr>
      <w:r>
        <w:rPr>
          <w:sz w:val="22"/>
          <w:u w:val="none"/>
        </w:rPr>
        <w:t>Национальный план действий по гендерным вопросам (1998–2003 годы) был введен в 1998 году существовавшим в то время Департаментом по делам женщин при канцелярии президента. Национальный план действий по гендерным вопросам должен применяться вместе с национальной гендерной политикой, поскольку в нем определены национальные цели, ожидаемые результаты и участники процесса осуществления.</w:t>
      </w:r>
    </w:p>
    <w:p w:rsidR="00000000" w:rsidRDefault="00000000">
      <w:pPr>
        <w:tabs>
          <w:tab w:val="left" w:pos="680"/>
          <w:tab w:val="left" w:pos="1134"/>
        </w:tabs>
        <w:spacing w:before="240"/>
        <w:jc w:val="both"/>
        <w:rPr>
          <w:sz w:val="22"/>
        </w:rPr>
      </w:pPr>
      <w:r>
        <w:rPr>
          <w:sz w:val="22"/>
        </w:rPr>
        <w:t>Цель национального плана действий – способствовать достижению гендерного равенства, расширяя права и возможности женщин путем распространения информации, координации усилий и взаимодействия со всеми заинтересованными сторонами, учета гендерных вопросов, содействия в проведении правовой и политической реформы и мониторинга прогресса, с тем чтобы женщины, мужчины, дети и инвалиды стали полноправными и равноправными участниками политического, экономического, социального и культурного развития страны.</w:t>
      </w:r>
    </w:p>
    <w:p w:rsidR="00000000" w:rsidRDefault="00000000">
      <w:pPr>
        <w:tabs>
          <w:tab w:val="left" w:pos="680"/>
          <w:tab w:val="left" w:pos="1134"/>
        </w:tabs>
        <w:spacing w:before="240"/>
        <w:jc w:val="both"/>
        <w:rPr>
          <w:b/>
          <w:sz w:val="22"/>
        </w:rPr>
      </w:pPr>
      <w:r>
        <w:rPr>
          <w:b/>
          <w:sz w:val="22"/>
        </w:rPr>
        <w:t>2.2.4</w:t>
      </w:r>
      <w:r>
        <w:rPr>
          <w:b/>
          <w:sz w:val="22"/>
        </w:rPr>
        <w:tab/>
        <w:t>Осуществление национальной гендерной политики</w:t>
      </w:r>
    </w:p>
    <w:p w:rsidR="00000000" w:rsidRDefault="00000000">
      <w:pPr>
        <w:pStyle w:val="BodyText"/>
        <w:tabs>
          <w:tab w:val="left" w:pos="680"/>
          <w:tab w:val="left" w:pos="1134"/>
        </w:tabs>
        <w:spacing w:before="240"/>
        <w:jc w:val="both"/>
        <w:rPr>
          <w:sz w:val="22"/>
          <w:u w:val="none"/>
        </w:rPr>
      </w:pPr>
      <w:r>
        <w:rPr>
          <w:sz w:val="22"/>
          <w:u w:val="none"/>
        </w:rPr>
        <w:t>Национальная гендерная политика и национальный план действий по гендерным вопросам сыграли определяющую роль при планировании различных видов деятельности, связанных с гендерными проблемами, в рамках различных министерств и НПО в Намибии, и некоторые категории государственных служащих прошли профессиональную подготовку, направленную на совершенствование планирования, учитывающего гендерные факторы. Однако в целом стране все еще предстоит систематически и эффективно включать гендерный аспект в политику, программы и проекты по вопросам развития, чтобы выполнить свои обязательства и задачи по достижению гендерного равенства и равноправия.</w:t>
      </w:r>
    </w:p>
    <w:p w:rsidR="00000000" w:rsidRDefault="00000000">
      <w:pPr>
        <w:tabs>
          <w:tab w:val="left" w:pos="680"/>
          <w:tab w:val="left" w:pos="1134"/>
        </w:tabs>
        <w:spacing w:before="240"/>
        <w:jc w:val="both"/>
        <w:rPr>
          <w:sz w:val="22"/>
        </w:rPr>
      </w:pPr>
      <w:r>
        <w:rPr>
          <w:sz w:val="22"/>
        </w:rPr>
        <w:t>В рамках разработки Системы гендерного управления (GMS), которая может способствовать осуществлению национальной гендерной политики, был проведен анализ сил и средств, слабых мест, возможностей и угроз (SWOT)</w:t>
      </w:r>
      <w:r>
        <w:rPr>
          <w:rStyle w:val="FootnoteReference"/>
          <w:sz w:val="22"/>
        </w:rPr>
        <w:footnoteReference w:customMarkFollows="1" w:id="25"/>
        <w:t>24</w:t>
      </w:r>
      <w:r>
        <w:rPr>
          <w:sz w:val="22"/>
        </w:rPr>
        <w:t xml:space="preserve"> для выявления характера и уровня существующего в Намибии потенциала для учета гендерных факторов</w:t>
      </w:r>
      <w:r>
        <w:rPr>
          <w:rStyle w:val="FootnoteReference"/>
          <w:sz w:val="22"/>
        </w:rPr>
        <w:footnoteReference w:customMarkFollows="1" w:id="26"/>
        <w:t>25</w:t>
      </w:r>
      <w:r>
        <w:rPr>
          <w:sz w:val="22"/>
        </w:rPr>
        <w:t>. При проведении анализа SWOT были выявлены некоторые основные "слабые места", которые по-прежнему осложняют процесс учета гендерных факторов.</w:t>
      </w:r>
    </w:p>
    <w:p w:rsidR="00000000" w:rsidRDefault="00000000">
      <w:pPr>
        <w:tabs>
          <w:tab w:val="left" w:pos="680"/>
          <w:tab w:val="left" w:pos="1134"/>
        </w:tabs>
        <w:spacing w:before="240"/>
        <w:jc w:val="both"/>
        <w:rPr>
          <w:sz w:val="22"/>
        </w:rPr>
      </w:pPr>
      <w:r>
        <w:rPr>
          <w:sz w:val="22"/>
        </w:rPr>
        <w:tab/>
        <w:t>На политическом уровне было отмечено, что:</w:t>
      </w:r>
    </w:p>
    <w:p w:rsidR="00000000" w:rsidRDefault="00000000">
      <w:pPr>
        <w:tabs>
          <w:tab w:val="left" w:pos="680"/>
          <w:tab w:val="left" w:pos="1134"/>
        </w:tabs>
        <w:spacing w:before="240"/>
        <w:jc w:val="both"/>
        <w:rPr>
          <w:sz w:val="22"/>
        </w:rPr>
      </w:pPr>
      <w:r>
        <w:rPr>
          <w:sz w:val="22"/>
        </w:rPr>
        <w:sym w:font="Wingdings" w:char="F076"/>
      </w:r>
      <w:r>
        <w:rPr>
          <w:sz w:val="22"/>
        </w:rPr>
        <w:tab/>
        <w:t>несмотря на поддержку высшего политического руководства, существует укоренившееся негативное отношение к гендерному равенству и стремление отодвинуть на задний план вопросы гендерного равенства при составлении базовых программ;</w:t>
      </w:r>
    </w:p>
    <w:p w:rsidR="00000000" w:rsidRDefault="00000000">
      <w:pPr>
        <w:tabs>
          <w:tab w:val="left" w:pos="680"/>
          <w:tab w:val="left" w:pos="1134"/>
        </w:tabs>
        <w:spacing w:before="240"/>
        <w:jc w:val="both"/>
        <w:rPr>
          <w:sz w:val="22"/>
        </w:rPr>
      </w:pPr>
      <w:r>
        <w:rPr>
          <w:sz w:val="22"/>
        </w:rPr>
        <w:sym w:font="Wingdings" w:char="F076"/>
      </w:r>
      <w:r>
        <w:rPr>
          <w:sz w:val="22"/>
        </w:rPr>
        <w:tab/>
        <w:t>распределение финансовых и людских ресурсов не соответствует ожиданиям в отношении улучшения положения женщин и гендерного равенства.</w:t>
      </w:r>
    </w:p>
    <w:p w:rsidR="00000000" w:rsidRDefault="00000000">
      <w:pPr>
        <w:tabs>
          <w:tab w:val="left" w:pos="680"/>
          <w:tab w:val="left" w:pos="1134"/>
        </w:tabs>
        <w:spacing w:before="240"/>
        <w:jc w:val="both"/>
        <w:rPr>
          <w:sz w:val="22"/>
        </w:rPr>
      </w:pPr>
      <w:r>
        <w:rPr>
          <w:sz w:val="22"/>
        </w:rPr>
        <w:t>Что касается гендерной политики, было отмечено, что отсутствует четкая стратегия ее осуществления; например, политика – это не юридический документ и поэтому санкции за ее невыполнение не предусматриваются.</w:t>
      </w:r>
    </w:p>
    <w:p w:rsidR="00000000" w:rsidRDefault="00000000">
      <w:pPr>
        <w:tabs>
          <w:tab w:val="left" w:pos="680"/>
          <w:tab w:val="left" w:pos="1134"/>
        </w:tabs>
        <w:spacing w:before="240"/>
        <w:jc w:val="both"/>
        <w:rPr>
          <w:sz w:val="22"/>
        </w:rPr>
      </w:pPr>
      <w:r>
        <w:rPr>
          <w:sz w:val="22"/>
        </w:rPr>
        <w:t>План действий носит слишком общий характер и не имеет четкого механизма выполнения. В нем больше внимания уделяется теме "Женщины и развитие" и не рассматриваются вопросы гендерного неравенства в отношениях или вопросы преобразования.</w:t>
      </w:r>
    </w:p>
    <w:p w:rsidR="00000000" w:rsidRDefault="00000000">
      <w:pPr>
        <w:tabs>
          <w:tab w:val="left" w:pos="680"/>
          <w:tab w:val="left" w:pos="1134"/>
        </w:tabs>
        <w:spacing w:before="240"/>
        <w:jc w:val="both"/>
        <w:rPr>
          <w:sz w:val="22"/>
        </w:rPr>
      </w:pPr>
      <w:r>
        <w:rPr>
          <w:sz w:val="22"/>
        </w:rPr>
        <w:tab/>
        <w:t>На организационном уровне было отмечено, что:</w:t>
      </w:r>
    </w:p>
    <w:p w:rsidR="00000000" w:rsidRDefault="00000000">
      <w:pPr>
        <w:tabs>
          <w:tab w:val="left" w:pos="680"/>
          <w:tab w:val="left" w:pos="1134"/>
        </w:tabs>
        <w:spacing w:before="240"/>
        <w:jc w:val="both"/>
        <w:rPr>
          <w:sz w:val="22"/>
        </w:rPr>
      </w:pPr>
      <w:r>
        <w:rPr>
          <w:sz w:val="22"/>
        </w:rPr>
        <w:sym w:font="Wingdings" w:char="F076"/>
      </w:r>
      <w:r>
        <w:rPr>
          <w:sz w:val="22"/>
        </w:rPr>
        <w:tab/>
        <w:t>отсутствует эффективная национальная программа учета гендерных факторов во всех сферах деятельности и поэтому затруднена координация учета этих факторов на общенациональном уровне;</w:t>
      </w:r>
    </w:p>
    <w:p w:rsidR="00000000" w:rsidRDefault="00000000">
      <w:pPr>
        <w:tabs>
          <w:tab w:val="left" w:pos="680"/>
          <w:tab w:val="left" w:pos="1134"/>
        </w:tabs>
        <w:spacing w:before="240"/>
        <w:jc w:val="both"/>
        <w:rPr>
          <w:sz w:val="22"/>
        </w:rPr>
      </w:pPr>
      <w:r>
        <w:rPr>
          <w:sz w:val="22"/>
        </w:rPr>
        <w:sym w:font="Wingdings" w:char="F076"/>
      </w:r>
      <w:r>
        <w:rPr>
          <w:sz w:val="22"/>
        </w:rPr>
        <w:tab/>
        <w:t>нет формализованной структуры для обеспечения учета гендерных факторов в отраслевых министерствах, а у координаторов по гендерным вопросам нет четкого мандата.</w:t>
      </w:r>
    </w:p>
    <w:p w:rsidR="00000000" w:rsidRDefault="00000000">
      <w:pPr>
        <w:tabs>
          <w:tab w:val="left" w:pos="680"/>
          <w:tab w:val="left" w:pos="1134"/>
        </w:tabs>
        <w:spacing w:before="240"/>
        <w:jc w:val="both"/>
        <w:rPr>
          <w:sz w:val="22"/>
        </w:rPr>
      </w:pPr>
      <w:r>
        <w:rPr>
          <w:sz w:val="22"/>
        </w:rPr>
        <w:tab/>
        <w:t>Данные с разбивкой по полу:</w:t>
      </w:r>
    </w:p>
    <w:p w:rsidR="00000000" w:rsidRDefault="00000000">
      <w:pPr>
        <w:tabs>
          <w:tab w:val="left" w:pos="680"/>
          <w:tab w:val="left" w:pos="1134"/>
        </w:tabs>
        <w:spacing w:before="240"/>
        <w:jc w:val="both"/>
        <w:rPr>
          <w:sz w:val="22"/>
        </w:rPr>
      </w:pPr>
      <w:r>
        <w:rPr>
          <w:sz w:val="22"/>
        </w:rPr>
        <w:sym w:font="Wingdings" w:char="F076"/>
      </w:r>
      <w:r>
        <w:rPr>
          <w:sz w:val="22"/>
        </w:rPr>
        <w:tab/>
        <w:t>не были проведены интенсивные исследования по важнейшим гендерным вопросам;</w:t>
      </w:r>
    </w:p>
    <w:p w:rsidR="00000000" w:rsidRDefault="00000000">
      <w:pPr>
        <w:tabs>
          <w:tab w:val="left" w:pos="680"/>
          <w:tab w:val="left" w:pos="1134"/>
        </w:tabs>
        <w:spacing w:before="240"/>
        <w:jc w:val="both"/>
        <w:rPr>
          <w:sz w:val="22"/>
        </w:rPr>
      </w:pPr>
      <w:r>
        <w:rPr>
          <w:sz w:val="22"/>
        </w:rPr>
        <w:sym w:font="Wingdings" w:char="F076"/>
      </w:r>
      <w:r>
        <w:rPr>
          <w:sz w:val="22"/>
        </w:rPr>
        <w:tab/>
        <w:t>имеется лишь небольшое количество данных с разбивкой по полу, и доступ к ним ограничен, поэтому провести эффективный гендерный анализ невозможно.</w:t>
      </w:r>
    </w:p>
    <w:p w:rsidR="00000000" w:rsidRDefault="00000000">
      <w:pPr>
        <w:tabs>
          <w:tab w:val="left" w:pos="680"/>
          <w:tab w:val="left" w:pos="1134"/>
        </w:tabs>
        <w:spacing w:before="240"/>
        <w:jc w:val="both"/>
        <w:rPr>
          <w:sz w:val="22"/>
        </w:rPr>
      </w:pPr>
      <w:r>
        <w:rPr>
          <w:sz w:val="22"/>
        </w:rPr>
        <w:tab/>
        <w:t>Распределение ресурсов – людских/финансовых</w:t>
      </w:r>
    </w:p>
    <w:p w:rsidR="00000000" w:rsidRDefault="00000000">
      <w:pPr>
        <w:tabs>
          <w:tab w:val="left" w:pos="680"/>
          <w:tab w:val="left" w:pos="1134"/>
        </w:tabs>
        <w:spacing w:before="240"/>
        <w:jc w:val="both"/>
        <w:rPr>
          <w:sz w:val="22"/>
        </w:rPr>
      </w:pPr>
      <w:r>
        <w:rPr>
          <w:sz w:val="22"/>
        </w:rPr>
        <w:sym w:font="Wingdings" w:char="F076"/>
      </w:r>
      <w:r>
        <w:rPr>
          <w:sz w:val="22"/>
        </w:rPr>
        <w:tab/>
        <w:t>Поскольку в целом отсутствует понимание значимости работы по учету гендерных факторов, для нее на различных уровнях выделяются ограниченные ресурсы (финансовые и людские).</w:t>
      </w:r>
    </w:p>
    <w:p w:rsidR="00000000" w:rsidRDefault="00000000">
      <w:pPr>
        <w:tabs>
          <w:tab w:val="left" w:pos="680"/>
          <w:tab w:val="left" w:pos="1134"/>
        </w:tabs>
        <w:spacing w:before="240"/>
        <w:jc w:val="both"/>
        <w:rPr>
          <w:sz w:val="22"/>
        </w:rPr>
      </w:pPr>
      <w:r>
        <w:rPr>
          <w:sz w:val="22"/>
        </w:rPr>
        <w:tab/>
        <w:t>На уровне программ было отмечено, что:</w:t>
      </w:r>
    </w:p>
    <w:p w:rsidR="00000000" w:rsidRDefault="00000000">
      <w:pPr>
        <w:tabs>
          <w:tab w:val="left" w:pos="680"/>
          <w:tab w:val="left" w:pos="1134"/>
        </w:tabs>
        <w:spacing w:before="240"/>
        <w:jc w:val="both"/>
        <w:rPr>
          <w:sz w:val="22"/>
        </w:rPr>
      </w:pPr>
      <w:r>
        <w:rPr>
          <w:sz w:val="22"/>
        </w:rPr>
        <w:sym w:font="Wingdings" w:char="F076"/>
      </w:r>
      <w:r>
        <w:rPr>
          <w:sz w:val="22"/>
        </w:rPr>
        <w:tab/>
        <w:t>хотя существует ряд программ по гендерному равенству и равноправию (например, программа позитивных действий и проекты по расширению прав и возможностей женщин), во многих секторах и учреждениях обязательства и планы по обеспечению гендерного равенства, как правило, не воплощаются в программы действий, учитывающие гендерные факторы; причина в том, что в определенной степени отношение к улучшению положения женщин и гендерному равенству все еще является негативным.</w:t>
      </w:r>
    </w:p>
    <w:p w:rsidR="00000000" w:rsidRDefault="00000000">
      <w:pPr>
        <w:tabs>
          <w:tab w:val="left" w:pos="680"/>
          <w:tab w:val="left" w:pos="1134"/>
        </w:tabs>
        <w:spacing w:before="240"/>
        <w:jc w:val="both"/>
        <w:rPr>
          <w:sz w:val="22"/>
        </w:rPr>
      </w:pPr>
      <w:r>
        <w:rPr>
          <w:sz w:val="22"/>
        </w:rPr>
        <w:tab/>
        <w:t>Мониторинг и оценка</w:t>
      </w:r>
    </w:p>
    <w:p w:rsidR="00000000" w:rsidRDefault="00000000">
      <w:pPr>
        <w:tabs>
          <w:tab w:val="left" w:pos="680"/>
          <w:tab w:val="left" w:pos="1134"/>
        </w:tabs>
        <w:spacing w:before="240"/>
        <w:jc w:val="both"/>
        <w:rPr>
          <w:sz w:val="22"/>
        </w:rPr>
      </w:pPr>
      <w:r>
        <w:rPr>
          <w:sz w:val="22"/>
        </w:rPr>
        <w:sym w:font="Wingdings" w:char="F076"/>
      </w:r>
      <w:r>
        <w:rPr>
          <w:sz w:val="22"/>
        </w:rPr>
        <w:tab/>
        <w:t>Необходимо усилить созданные инструменты и механизмы для эффективного и непрерывного мониторинга и оценки осуществления национальной гендерной политики или обязательств, которые взяло на себя правительство в отношении улучшения положения женщин и обеспечения гендерного равенства и равноправия.</w:t>
      </w:r>
    </w:p>
    <w:p w:rsidR="00000000" w:rsidRDefault="00000000">
      <w:pPr>
        <w:tabs>
          <w:tab w:val="left" w:pos="680"/>
          <w:tab w:val="left" w:pos="1134"/>
        </w:tabs>
        <w:spacing w:before="240"/>
        <w:jc w:val="both"/>
        <w:rPr>
          <w:sz w:val="22"/>
        </w:rPr>
      </w:pPr>
      <w:r>
        <w:rPr>
          <w:sz w:val="22"/>
        </w:rPr>
        <w:sym w:font="Wingdings" w:char="F076"/>
      </w:r>
      <w:r>
        <w:rPr>
          <w:sz w:val="22"/>
        </w:rPr>
        <w:tab/>
        <w:t>На национальном уровне потенциал (то есть персонал, навыки и инструменты) для проведения мониторинга и оценки учета гендерных факторов весьма ограничен.</w:t>
      </w:r>
    </w:p>
    <w:p w:rsidR="00000000" w:rsidRDefault="00000000">
      <w:pPr>
        <w:tabs>
          <w:tab w:val="left" w:pos="680"/>
          <w:tab w:val="left" w:pos="1134"/>
        </w:tabs>
        <w:spacing w:before="240"/>
        <w:jc w:val="both"/>
        <w:rPr>
          <w:sz w:val="22"/>
        </w:rPr>
      </w:pPr>
      <w:r>
        <w:rPr>
          <w:sz w:val="22"/>
        </w:rPr>
        <w:t>Результаты анализа SWOT четко показали, что для обеспечения эффективного учета гендерных факторов в программах и политике на всех уровнях правительство принимает следующие меры:</w:t>
      </w:r>
    </w:p>
    <w:p w:rsidR="00000000" w:rsidRDefault="00000000">
      <w:pPr>
        <w:tabs>
          <w:tab w:val="left" w:pos="680"/>
          <w:tab w:val="left" w:pos="1134"/>
        </w:tabs>
        <w:spacing w:before="240"/>
        <w:jc w:val="both"/>
        <w:rPr>
          <w:sz w:val="22"/>
        </w:rPr>
      </w:pPr>
      <w:r>
        <w:rPr>
          <w:sz w:val="22"/>
        </w:rPr>
        <w:sym w:font="Wingdings" w:char="F076"/>
      </w:r>
      <w:r>
        <w:rPr>
          <w:sz w:val="22"/>
        </w:rPr>
        <w:tab/>
        <w:t>систематическое и последовательное наращивание потенциала для учета гендерных факторов на всех уровнях как в государственных, так и в частных учреждениях;</w:t>
      </w:r>
    </w:p>
    <w:p w:rsidR="00000000" w:rsidRDefault="00000000">
      <w:pPr>
        <w:tabs>
          <w:tab w:val="left" w:pos="680"/>
          <w:tab w:val="left" w:pos="1134"/>
        </w:tabs>
        <w:spacing w:before="240"/>
        <w:jc w:val="both"/>
        <w:rPr>
          <w:sz w:val="22"/>
        </w:rPr>
      </w:pPr>
      <w:r>
        <w:rPr>
          <w:sz w:val="22"/>
        </w:rPr>
        <w:sym w:font="Wingdings" w:char="F076"/>
      </w:r>
      <w:r>
        <w:rPr>
          <w:sz w:val="22"/>
        </w:rPr>
        <w:tab/>
        <w:t>организационные преобразования и выделение достаточных ресурсов для учета гендерных факторов;</w:t>
      </w:r>
    </w:p>
    <w:p w:rsidR="00000000" w:rsidRDefault="00000000">
      <w:pPr>
        <w:tabs>
          <w:tab w:val="left" w:pos="680"/>
          <w:tab w:val="left" w:pos="1134"/>
        </w:tabs>
        <w:spacing w:before="240"/>
        <w:jc w:val="both"/>
        <w:rPr>
          <w:sz w:val="22"/>
        </w:rPr>
      </w:pPr>
      <w:r>
        <w:rPr>
          <w:sz w:val="22"/>
        </w:rPr>
        <w:sym w:font="Wingdings" w:char="F076"/>
      </w:r>
      <w:r>
        <w:rPr>
          <w:sz w:val="22"/>
        </w:rPr>
        <w:tab/>
        <w:t>систематическое проведение исследований, связанных с гендерными вопросами, для повышения соответствия планирования в области развития национальным обязательствам по гендерному равенству и равноправию.</w:t>
      </w:r>
    </w:p>
    <w:p w:rsidR="00000000" w:rsidRDefault="00000000">
      <w:pPr>
        <w:pStyle w:val="BodyText3"/>
        <w:tabs>
          <w:tab w:val="left" w:pos="680"/>
          <w:tab w:val="left" w:pos="1134"/>
        </w:tabs>
        <w:spacing w:before="240"/>
        <w:rPr>
          <w:b/>
          <w:sz w:val="22"/>
        </w:rPr>
      </w:pPr>
      <w:r>
        <w:rPr>
          <w:b/>
          <w:sz w:val="22"/>
        </w:rPr>
        <w:t>2.3</w:t>
      </w:r>
      <w:r>
        <w:rPr>
          <w:b/>
          <w:sz w:val="22"/>
        </w:rPr>
        <w:tab/>
        <w:t>Дискриминация со стороны государственных властей и учреждений</w:t>
      </w:r>
    </w:p>
    <w:p w:rsidR="00000000" w:rsidRDefault="00000000">
      <w:pPr>
        <w:pStyle w:val="BodyText"/>
        <w:tabs>
          <w:tab w:val="left" w:pos="680"/>
          <w:tab w:val="left" w:pos="1134"/>
        </w:tabs>
        <w:spacing w:before="240"/>
        <w:jc w:val="both"/>
        <w:rPr>
          <w:sz w:val="22"/>
          <w:u w:val="none"/>
        </w:rPr>
      </w:pPr>
      <w:r>
        <w:rPr>
          <w:sz w:val="22"/>
          <w:u w:val="none"/>
        </w:rPr>
        <w:t>Хотя Конституция Намибии гарантирует равенство и запрещает дискриминацию по признаку пола, женщины все еще не представлены вообще или недостаточно представлены в большинстве органов государственной власти и государственных учреждений. Этот вопрос подробно рассматривается далее, в статье 7.</w:t>
      </w:r>
    </w:p>
    <w:p w:rsidR="00000000" w:rsidRDefault="00000000">
      <w:pPr>
        <w:pStyle w:val="BodyText3"/>
        <w:tabs>
          <w:tab w:val="left" w:pos="680"/>
          <w:tab w:val="left" w:pos="1134"/>
        </w:tabs>
        <w:ind w:left="680" w:hanging="680"/>
        <w:rPr>
          <w:b/>
          <w:sz w:val="22"/>
        </w:rPr>
      </w:pPr>
      <w:r>
        <w:rPr>
          <w:b/>
          <w:sz w:val="22"/>
        </w:rPr>
        <w:br w:type="page"/>
        <w:t>2.4</w:t>
      </w:r>
      <w:r>
        <w:rPr>
          <w:b/>
          <w:sz w:val="22"/>
        </w:rPr>
        <w:tab/>
        <w:t>Меры по ликвидации дискриминации в отношении женщин со стороны любого лица, организации или предприятия</w:t>
      </w:r>
    </w:p>
    <w:p w:rsidR="00000000" w:rsidRDefault="00000000">
      <w:pPr>
        <w:tabs>
          <w:tab w:val="left" w:pos="680"/>
          <w:tab w:val="left" w:pos="1134"/>
        </w:tabs>
        <w:spacing w:before="240"/>
        <w:jc w:val="both"/>
        <w:rPr>
          <w:sz w:val="22"/>
        </w:rPr>
      </w:pPr>
      <w:r>
        <w:rPr>
          <w:sz w:val="22"/>
        </w:rPr>
        <w:t>Несмотря на существование статьи 5</w:t>
      </w:r>
      <w:r>
        <w:rPr>
          <w:rStyle w:val="FootnoteReference"/>
          <w:sz w:val="22"/>
        </w:rPr>
        <w:footnoteReference w:customMarkFollows="1" w:id="27"/>
        <w:t>26</w:t>
      </w:r>
      <w:r>
        <w:rPr>
          <w:sz w:val="22"/>
        </w:rPr>
        <w:t>, где четко говорится, что "основные права и свободы уважаются и соблюдаются исполнительной, законодательной и судебной властями и всеми правительственными органами…", а также статьи 91 (d)</w:t>
      </w:r>
      <w:r>
        <w:rPr>
          <w:rStyle w:val="FootnoteReference"/>
          <w:sz w:val="22"/>
        </w:rPr>
        <w:footnoteReference w:customMarkFollows="1" w:id="28"/>
        <w:t>27</w:t>
      </w:r>
      <w:r>
        <w:rPr>
          <w:sz w:val="22"/>
        </w:rPr>
        <w:t xml:space="preserve"> Конституции Намибии, никаких примеров обращения за государственной помощью или предложения такой помощи для борьбы со случаями дискриминации в отношении женщин со стороны частных организаций обнаружено не было.</w:t>
      </w:r>
    </w:p>
    <w:p w:rsidR="00000000" w:rsidRDefault="00000000">
      <w:pPr>
        <w:pStyle w:val="BodyText3"/>
        <w:tabs>
          <w:tab w:val="left" w:pos="680"/>
          <w:tab w:val="left" w:pos="1134"/>
        </w:tabs>
        <w:spacing w:before="240"/>
        <w:ind w:left="680" w:hanging="680"/>
        <w:rPr>
          <w:b/>
          <w:sz w:val="22"/>
        </w:rPr>
      </w:pPr>
      <w:r>
        <w:rPr>
          <w:b/>
          <w:sz w:val="22"/>
        </w:rPr>
        <w:t>2.5</w:t>
      </w:r>
      <w:r>
        <w:rPr>
          <w:b/>
          <w:sz w:val="22"/>
        </w:rPr>
        <w:tab/>
        <w:t>Отмена положений внутреннего уголовного законодательства, которые являются дискриминационными в отношении женщин</w:t>
      </w:r>
    </w:p>
    <w:p w:rsidR="00000000" w:rsidRDefault="00000000">
      <w:pPr>
        <w:tabs>
          <w:tab w:val="left" w:pos="680"/>
          <w:tab w:val="left" w:pos="1134"/>
        </w:tabs>
        <w:spacing w:before="240"/>
        <w:jc w:val="both"/>
        <w:rPr>
          <w:sz w:val="22"/>
        </w:rPr>
      </w:pPr>
      <w:r>
        <w:rPr>
          <w:sz w:val="22"/>
        </w:rPr>
        <w:t>В нескольких положениях об уголовном наказании в Законе об уголовном процессе (Закон № 51 от 1977 года) (разделы 29 и 37), предусматривающих, что личный обыск или досмотр женщины может проводить лишь другая женщина, открыто проводится различие между мужчинами и женщинами, но эти положения не обязательно являются дискриминационными. Их, однако, необходимо заменить на другие, нейтральные с гендерной точки зрения положения, которые предусматривают, что личный обыск или досмотр могут проводить только лица того же пола.</w:t>
      </w:r>
    </w:p>
    <w:p w:rsidR="00000000" w:rsidRDefault="00000000">
      <w:pPr>
        <w:tabs>
          <w:tab w:val="left" w:pos="680"/>
          <w:tab w:val="left" w:pos="1134"/>
        </w:tabs>
        <w:spacing w:before="240"/>
        <w:jc w:val="both"/>
        <w:rPr>
          <w:b/>
          <w:sz w:val="22"/>
        </w:rPr>
      </w:pPr>
      <w:r>
        <w:rPr>
          <w:b/>
          <w:sz w:val="22"/>
        </w:rPr>
        <w:t>2.5.1</w:t>
      </w:r>
      <w:r>
        <w:rPr>
          <w:b/>
          <w:sz w:val="22"/>
        </w:rPr>
        <w:tab/>
        <w:t>Детоубийство</w:t>
      </w:r>
    </w:p>
    <w:p w:rsidR="00000000" w:rsidRDefault="00000000">
      <w:pPr>
        <w:pStyle w:val="BodyText"/>
        <w:tabs>
          <w:tab w:val="left" w:pos="680"/>
          <w:tab w:val="left" w:pos="1134"/>
        </w:tabs>
        <w:spacing w:before="240"/>
        <w:jc w:val="both"/>
        <w:rPr>
          <w:sz w:val="22"/>
          <w:u w:val="none"/>
        </w:rPr>
      </w:pPr>
      <w:r>
        <w:rPr>
          <w:sz w:val="22"/>
          <w:u w:val="none"/>
        </w:rPr>
        <w:t>Детоубийство становится все более распространенным преступлением, особенно среди молодых матерей. Этот вопрос по-прежнему требует дальнейшего изучения и более глубокого понимания отношения к противозачаточным средствам и абортам, а также наличия адекватных служб помощи молодым матерям. Однако эта проблема не ограничивается молодыми матерями, одно из местных еженедельных изданий сообщило, что "полиция арестовала 44-летнюю женщину за предполагаемое убийство своего новорожденного ребенка сразу после родов несколько недель назад"</w:t>
      </w:r>
      <w:r>
        <w:rPr>
          <w:rStyle w:val="FootnoteReference"/>
          <w:sz w:val="22"/>
          <w:u w:val="none"/>
        </w:rPr>
        <w:footnoteReference w:customMarkFollows="1" w:id="29"/>
        <w:t>28</w:t>
      </w:r>
      <w:r>
        <w:rPr>
          <w:sz w:val="22"/>
          <w:u w:val="none"/>
        </w:rPr>
        <w:t>. Это серьезная проблема, для разрешения которой может потребоваться время.</w:t>
      </w:r>
    </w:p>
    <w:p w:rsidR="00000000" w:rsidRDefault="00000000">
      <w:pPr>
        <w:pStyle w:val="BodyText"/>
        <w:tabs>
          <w:tab w:val="left" w:pos="680"/>
          <w:tab w:val="left" w:pos="1134"/>
        </w:tabs>
        <w:spacing w:before="240"/>
        <w:rPr>
          <w:b/>
          <w:sz w:val="22"/>
          <w:u w:val="none"/>
        </w:rPr>
      </w:pPr>
      <w:r>
        <w:rPr>
          <w:b/>
          <w:sz w:val="22"/>
          <w:u w:val="none"/>
        </w:rPr>
        <w:t>2.5.2</w:t>
      </w:r>
      <w:r>
        <w:rPr>
          <w:b/>
          <w:sz w:val="22"/>
          <w:u w:val="none"/>
        </w:rPr>
        <w:tab/>
        <w:t>Аборт</w:t>
      </w:r>
    </w:p>
    <w:p w:rsidR="00000000" w:rsidRDefault="00000000">
      <w:pPr>
        <w:pStyle w:val="BodyText"/>
        <w:tabs>
          <w:tab w:val="left" w:pos="680"/>
          <w:tab w:val="left" w:pos="1134"/>
        </w:tabs>
        <w:spacing w:before="240"/>
        <w:jc w:val="both"/>
        <w:rPr>
          <w:sz w:val="22"/>
          <w:u w:val="none"/>
        </w:rPr>
      </w:pPr>
      <w:r>
        <w:rPr>
          <w:sz w:val="22"/>
          <w:u w:val="none"/>
        </w:rPr>
        <w:t>Закон Намибии об аборте и стерилизации (Закон № 2 от 1975 года) объявляет преступлением попытку женщин добиться аборта или прекратить беременность, иначе как в некоторых четко обусловленных обстоятельствах</w:t>
      </w:r>
      <w:r>
        <w:rPr>
          <w:rStyle w:val="FootnoteReference"/>
          <w:sz w:val="22"/>
          <w:u w:val="none"/>
        </w:rPr>
        <w:footnoteReference w:customMarkFollows="1" w:id="30"/>
        <w:t>29</w:t>
      </w:r>
      <w:r>
        <w:rPr>
          <w:sz w:val="22"/>
          <w:u w:val="none"/>
        </w:rPr>
        <w:t>. Этот закон используется в качестве основы для судебного преследования женщин.</w:t>
      </w:r>
    </w:p>
    <w:p w:rsidR="00000000" w:rsidRDefault="00000000">
      <w:pPr>
        <w:pStyle w:val="BodyText"/>
        <w:tabs>
          <w:tab w:val="left" w:pos="680"/>
          <w:tab w:val="left" w:pos="1134"/>
        </w:tabs>
        <w:spacing w:before="240"/>
        <w:rPr>
          <w:sz w:val="22"/>
          <w:u w:val="none"/>
        </w:rPr>
      </w:pPr>
      <w:r>
        <w:rPr>
          <w:sz w:val="22"/>
          <w:u w:val="none"/>
        </w:rPr>
        <w:t>По данным намибийской полиции, было зафиксировано следующее число случаев абортов:</w:t>
      </w:r>
    </w:p>
    <w:p w:rsidR="00000000" w:rsidRDefault="00000000">
      <w:pPr>
        <w:pStyle w:val="BodyText"/>
        <w:tabs>
          <w:tab w:val="left" w:pos="680"/>
          <w:tab w:val="left" w:pos="1134"/>
        </w:tabs>
        <w:rPr>
          <w:sz w:val="22"/>
          <w:u w:val="none"/>
        </w:rPr>
      </w:pPr>
    </w:p>
    <w:tbl>
      <w:tblPr>
        <w:tblW w:w="0" w:type="auto"/>
        <w:tblInd w:w="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3112"/>
      </w:tblGrid>
      <w:tr w:rsidR="00000000">
        <w:tblPrEx>
          <w:tblCellMar>
            <w:top w:w="0" w:type="dxa"/>
            <w:bottom w:w="0" w:type="dxa"/>
          </w:tblCellMar>
        </w:tblPrEx>
        <w:tc>
          <w:tcPr>
            <w:tcW w:w="2088" w:type="dxa"/>
          </w:tcPr>
          <w:p w:rsidR="00000000" w:rsidRDefault="00000000">
            <w:pPr>
              <w:pStyle w:val="BodyText"/>
              <w:tabs>
                <w:tab w:val="left" w:pos="680"/>
                <w:tab w:val="left" w:pos="1134"/>
              </w:tabs>
              <w:spacing w:before="40" w:after="40"/>
              <w:rPr>
                <w:b/>
                <w:sz w:val="22"/>
                <w:u w:val="none"/>
              </w:rPr>
            </w:pPr>
            <w:r>
              <w:rPr>
                <w:b/>
                <w:sz w:val="22"/>
                <w:u w:val="none"/>
              </w:rPr>
              <w:t>Год</w:t>
            </w:r>
          </w:p>
        </w:tc>
        <w:tc>
          <w:tcPr>
            <w:tcW w:w="3112" w:type="dxa"/>
          </w:tcPr>
          <w:p w:rsidR="00000000" w:rsidRDefault="00000000">
            <w:pPr>
              <w:pStyle w:val="BodyText"/>
              <w:tabs>
                <w:tab w:val="left" w:pos="680"/>
                <w:tab w:val="left" w:pos="1134"/>
              </w:tabs>
              <w:spacing w:before="40" w:after="40"/>
              <w:rPr>
                <w:b/>
                <w:sz w:val="22"/>
                <w:u w:val="none"/>
              </w:rPr>
            </w:pPr>
            <w:r>
              <w:rPr>
                <w:b/>
                <w:sz w:val="22"/>
                <w:u w:val="none"/>
              </w:rPr>
              <w:t>Число сообщенных случаев</w:t>
            </w:r>
          </w:p>
        </w:tc>
      </w:tr>
      <w:tr w:rsidR="00000000">
        <w:tblPrEx>
          <w:tblCellMar>
            <w:top w:w="0" w:type="dxa"/>
            <w:bottom w:w="0" w:type="dxa"/>
          </w:tblCellMar>
        </w:tblPrEx>
        <w:tc>
          <w:tcPr>
            <w:tcW w:w="2088" w:type="dxa"/>
          </w:tcPr>
          <w:p w:rsidR="00000000" w:rsidRDefault="00000000">
            <w:pPr>
              <w:pStyle w:val="BodyText"/>
              <w:tabs>
                <w:tab w:val="left" w:pos="680"/>
                <w:tab w:val="left" w:pos="1134"/>
              </w:tabs>
              <w:spacing w:before="40" w:after="40"/>
              <w:rPr>
                <w:sz w:val="22"/>
                <w:u w:val="none"/>
              </w:rPr>
            </w:pPr>
            <w:r>
              <w:rPr>
                <w:sz w:val="22"/>
                <w:u w:val="none"/>
              </w:rPr>
              <w:t>1996</w:t>
            </w:r>
          </w:p>
        </w:tc>
        <w:tc>
          <w:tcPr>
            <w:tcW w:w="3112" w:type="dxa"/>
          </w:tcPr>
          <w:p w:rsidR="00000000" w:rsidRDefault="00000000">
            <w:pPr>
              <w:pStyle w:val="BodyText"/>
              <w:tabs>
                <w:tab w:val="left" w:pos="680"/>
                <w:tab w:val="left" w:pos="1134"/>
              </w:tabs>
              <w:spacing w:before="40" w:after="40"/>
              <w:rPr>
                <w:sz w:val="22"/>
                <w:u w:val="none"/>
              </w:rPr>
            </w:pPr>
            <w:r>
              <w:rPr>
                <w:sz w:val="22"/>
                <w:u w:val="none"/>
              </w:rPr>
              <w:t>12</w:t>
            </w:r>
          </w:p>
        </w:tc>
      </w:tr>
      <w:tr w:rsidR="00000000">
        <w:tblPrEx>
          <w:tblCellMar>
            <w:top w:w="0" w:type="dxa"/>
            <w:bottom w:w="0" w:type="dxa"/>
          </w:tblCellMar>
        </w:tblPrEx>
        <w:tc>
          <w:tcPr>
            <w:tcW w:w="2088" w:type="dxa"/>
          </w:tcPr>
          <w:p w:rsidR="00000000" w:rsidRDefault="00000000">
            <w:pPr>
              <w:pStyle w:val="BodyText"/>
              <w:tabs>
                <w:tab w:val="left" w:pos="680"/>
                <w:tab w:val="left" w:pos="1134"/>
              </w:tabs>
              <w:spacing w:before="40" w:after="40"/>
              <w:rPr>
                <w:sz w:val="22"/>
                <w:u w:val="none"/>
              </w:rPr>
            </w:pPr>
            <w:r>
              <w:rPr>
                <w:sz w:val="22"/>
                <w:u w:val="none"/>
              </w:rPr>
              <w:t>1997</w:t>
            </w:r>
          </w:p>
        </w:tc>
        <w:tc>
          <w:tcPr>
            <w:tcW w:w="3112" w:type="dxa"/>
          </w:tcPr>
          <w:p w:rsidR="00000000" w:rsidRDefault="00000000">
            <w:pPr>
              <w:pStyle w:val="BodyText"/>
              <w:tabs>
                <w:tab w:val="left" w:pos="680"/>
                <w:tab w:val="left" w:pos="1134"/>
              </w:tabs>
              <w:spacing w:before="40" w:after="40"/>
              <w:rPr>
                <w:sz w:val="22"/>
                <w:u w:val="none"/>
              </w:rPr>
            </w:pPr>
            <w:r>
              <w:rPr>
                <w:sz w:val="22"/>
                <w:u w:val="none"/>
              </w:rPr>
              <w:t>14</w:t>
            </w:r>
          </w:p>
        </w:tc>
      </w:tr>
      <w:tr w:rsidR="00000000">
        <w:tblPrEx>
          <w:tblCellMar>
            <w:top w:w="0" w:type="dxa"/>
            <w:bottom w:w="0" w:type="dxa"/>
          </w:tblCellMar>
        </w:tblPrEx>
        <w:tc>
          <w:tcPr>
            <w:tcW w:w="2088" w:type="dxa"/>
          </w:tcPr>
          <w:p w:rsidR="00000000" w:rsidRDefault="00000000">
            <w:pPr>
              <w:pStyle w:val="BodyText"/>
              <w:tabs>
                <w:tab w:val="left" w:pos="680"/>
                <w:tab w:val="left" w:pos="1134"/>
              </w:tabs>
              <w:spacing w:before="40" w:after="40"/>
              <w:rPr>
                <w:sz w:val="22"/>
                <w:u w:val="none"/>
              </w:rPr>
            </w:pPr>
            <w:r>
              <w:rPr>
                <w:sz w:val="22"/>
                <w:u w:val="none"/>
              </w:rPr>
              <w:t>1998</w:t>
            </w:r>
          </w:p>
        </w:tc>
        <w:tc>
          <w:tcPr>
            <w:tcW w:w="3112" w:type="dxa"/>
          </w:tcPr>
          <w:p w:rsidR="00000000" w:rsidRDefault="00000000">
            <w:pPr>
              <w:pStyle w:val="BodyText"/>
              <w:tabs>
                <w:tab w:val="left" w:pos="680"/>
                <w:tab w:val="left" w:pos="1134"/>
              </w:tabs>
              <w:spacing w:before="40" w:after="40"/>
              <w:rPr>
                <w:sz w:val="22"/>
                <w:u w:val="none"/>
              </w:rPr>
            </w:pPr>
            <w:r>
              <w:rPr>
                <w:sz w:val="22"/>
                <w:u w:val="none"/>
              </w:rPr>
              <w:t>14</w:t>
            </w:r>
          </w:p>
        </w:tc>
      </w:tr>
      <w:tr w:rsidR="00000000">
        <w:tblPrEx>
          <w:tblCellMar>
            <w:top w:w="0" w:type="dxa"/>
            <w:bottom w:w="0" w:type="dxa"/>
          </w:tblCellMar>
        </w:tblPrEx>
        <w:tc>
          <w:tcPr>
            <w:tcW w:w="2088" w:type="dxa"/>
          </w:tcPr>
          <w:p w:rsidR="00000000" w:rsidRDefault="00000000">
            <w:pPr>
              <w:pStyle w:val="BodyText"/>
              <w:tabs>
                <w:tab w:val="left" w:pos="680"/>
                <w:tab w:val="left" w:pos="1134"/>
              </w:tabs>
              <w:spacing w:before="40" w:after="40"/>
              <w:rPr>
                <w:sz w:val="22"/>
                <w:u w:val="none"/>
              </w:rPr>
            </w:pPr>
            <w:r>
              <w:rPr>
                <w:sz w:val="22"/>
                <w:u w:val="none"/>
              </w:rPr>
              <w:t>1999</w:t>
            </w:r>
          </w:p>
        </w:tc>
        <w:tc>
          <w:tcPr>
            <w:tcW w:w="3112" w:type="dxa"/>
          </w:tcPr>
          <w:p w:rsidR="00000000" w:rsidRDefault="00000000">
            <w:pPr>
              <w:pStyle w:val="BodyText"/>
              <w:tabs>
                <w:tab w:val="left" w:pos="680"/>
                <w:tab w:val="left" w:pos="1134"/>
              </w:tabs>
              <w:spacing w:before="40" w:after="40"/>
              <w:rPr>
                <w:sz w:val="22"/>
                <w:u w:val="none"/>
              </w:rPr>
            </w:pPr>
            <w:r>
              <w:rPr>
                <w:sz w:val="22"/>
                <w:u w:val="none"/>
              </w:rPr>
              <w:t>7</w:t>
            </w:r>
          </w:p>
        </w:tc>
      </w:tr>
      <w:tr w:rsidR="00000000">
        <w:tblPrEx>
          <w:tblCellMar>
            <w:top w:w="0" w:type="dxa"/>
            <w:bottom w:w="0" w:type="dxa"/>
          </w:tblCellMar>
        </w:tblPrEx>
        <w:tc>
          <w:tcPr>
            <w:tcW w:w="2088" w:type="dxa"/>
          </w:tcPr>
          <w:p w:rsidR="00000000" w:rsidRDefault="00000000">
            <w:pPr>
              <w:pStyle w:val="BodyText"/>
              <w:tabs>
                <w:tab w:val="left" w:pos="680"/>
                <w:tab w:val="left" w:pos="1134"/>
              </w:tabs>
              <w:spacing w:before="40" w:after="40"/>
              <w:rPr>
                <w:sz w:val="22"/>
                <w:u w:val="none"/>
              </w:rPr>
            </w:pPr>
            <w:r>
              <w:rPr>
                <w:sz w:val="22"/>
                <w:u w:val="none"/>
              </w:rPr>
              <w:t>2000</w:t>
            </w:r>
          </w:p>
        </w:tc>
        <w:tc>
          <w:tcPr>
            <w:tcW w:w="3112" w:type="dxa"/>
          </w:tcPr>
          <w:p w:rsidR="00000000" w:rsidRDefault="00000000">
            <w:pPr>
              <w:pStyle w:val="BodyText"/>
              <w:tabs>
                <w:tab w:val="left" w:pos="680"/>
                <w:tab w:val="left" w:pos="1134"/>
              </w:tabs>
              <w:spacing w:before="40" w:after="40"/>
              <w:rPr>
                <w:sz w:val="22"/>
                <w:u w:val="none"/>
              </w:rPr>
            </w:pPr>
            <w:r>
              <w:rPr>
                <w:sz w:val="22"/>
                <w:u w:val="none"/>
              </w:rPr>
              <w:t>6</w:t>
            </w:r>
          </w:p>
        </w:tc>
      </w:tr>
      <w:tr w:rsidR="00000000">
        <w:tblPrEx>
          <w:tblCellMar>
            <w:top w:w="0" w:type="dxa"/>
            <w:bottom w:w="0" w:type="dxa"/>
          </w:tblCellMar>
        </w:tblPrEx>
        <w:tc>
          <w:tcPr>
            <w:tcW w:w="2088" w:type="dxa"/>
          </w:tcPr>
          <w:p w:rsidR="00000000" w:rsidRDefault="00000000">
            <w:pPr>
              <w:pStyle w:val="BodyText"/>
              <w:tabs>
                <w:tab w:val="left" w:pos="680"/>
                <w:tab w:val="left" w:pos="1134"/>
              </w:tabs>
              <w:spacing w:before="40" w:after="40"/>
              <w:rPr>
                <w:sz w:val="22"/>
                <w:u w:val="none"/>
              </w:rPr>
            </w:pPr>
            <w:r>
              <w:rPr>
                <w:sz w:val="22"/>
                <w:u w:val="none"/>
              </w:rPr>
              <w:t>2001</w:t>
            </w:r>
          </w:p>
        </w:tc>
        <w:tc>
          <w:tcPr>
            <w:tcW w:w="3112" w:type="dxa"/>
          </w:tcPr>
          <w:p w:rsidR="00000000" w:rsidRDefault="00000000">
            <w:pPr>
              <w:pStyle w:val="BodyText"/>
              <w:tabs>
                <w:tab w:val="left" w:pos="680"/>
                <w:tab w:val="left" w:pos="1134"/>
              </w:tabs>
              <w:spacing w:before="40" w:after="40"/>
              <w:rPr>
                <w:sz w:val="22"/>
                <w:u w:val="none"/>
              </w:rPr>
            </w:pPr>
            <w:r>
              <w:rPr>
                <w:sz w:val="22"/>
                <w:u w:val="none"/>
              </w:rPr>
              <w:t>7</w:t>
            </w:r>
          </w:p>
        </w:tc>
      </w:tr>
      <w:tr w:rsidR="00000000">
        <w:tblPrEx>
          <w:tblCellMar>
            <w:top w:w="0" w:type="dxa"/>
            <w:bottom w:w="0" w:type="dxa"/>
          </w:tblCellMar>
        </w:tblPrEx>
        <w:tc>
          <w:tcPr>
            <w:tcW w:w="2088" w:type="dxa"/>
          </w:tcPr>
          <w:p w:rsidR="00000000" w:rsidRDefault="00000000">
            <w:pPr>
              <w:pStyle w:val="BodyText"/>
              <w:tabs>
                <w:tab w:val="left" w:pos="680"/>
                <w:tab w:val="left" w:pos="1134"/>
              </w:tabs>
              <w:spacing w:before="40" w:after="40"/>
              <w:rPr>
                <w:sz w:val="22"/>
                <w:u w:val="none"/>
              </w:rPr>
            </w:pPr>
            <w:r>
              <w:rPr>
                <w:sz w:val="22"/>
                <w:u w:val="none"/>
              </w:rPr>
              <w:t xml:space="preserve">2002 по 31 августа </w:t>
            </w:r>
          </w:p>
        </w:tc>
        <w:tc>
          <w:tcPr>
            <w:tcW w:w="3112" w:type="dxa"/>
          </w:tcPr>
          <w:p w:rsidR="00000000" w:rsidRDefault="00000000">
            <w:pPr>
              <w:pStyle w:val="BodyText"/>
              <w:tabs>
                <w:tab w:val="left" w:pos="680"/>
                <w:tab w:val="left" w:pos="1134"/>
              </w:tabs>
              <w:spacing w:before="40" w:after="40"/>
              <w:rPr>
                <w:sz w:val="22"/>
                <w:u w:val="none"/>
              </w:rPr>
            </w:pPr>
            <w:r>
              <w:rPr>
                <w:sz w:val="22"/>
                <w:u w:val="none"/>
              </w:rPr>
              <w:t>12</w:t>
            </w:r>
          </w:p>
        </w:tc>
      </w:tr>
    </w:tbl>
    <w:p w:rsidR="00000000" w:rsidRDefault="00000000">
      <w:pPr>
        <w:pStyle w:val="BodyText"/>
        <w:tabs>
          <w:tab w:val="left" w:pos="680"/>
          <w:tab w:val="left" w:pos="1134"/>
        </w:tabs>
        <w:spacing w:before="240"/>
        <w:jc w:val="both"/>
        <w:rPr>
          <w:sz w:val="22"/>
          <w:u w:val="none"/>
        </w:rPr>
      </w:pPr>
      <w:r>
        <w:rPr>
          <w:sz w:val="22"/>
          <w:u w:val="none"/>
        </w:rPr>
        <w:t>В 1996 году Министерство здравоохранения предложило проект закона об абортах, но он был отозван в 1999 году, поскольку большинство намибийцев высказались против этого закона. Это означает, что предстоит еще провести большую разъяснительную работу среди населения об опасности нелегальных абортов.</w:t>
      </w:r>
    </w:p>
    <w:p w:rsidR="00000000" w:rsidRDefault="00000000">
      <w:pPr>
        <w:pStyle w:val="BodyText"/>
        <w:tabs>
          <w:tab w:val="left" w:pos="680"/>
          <w:tab w:val="left" w:pos="1134"/>
        </w:tabs>
        <w:spacing w:before="240"/>
        <w:jc w:val="both"/>
        <w:rPr>
          <w:b/>
          <w:sz w:val="22"/>
          <w:u w:val="none"/>
        </w:rPr>
      </w:pPr>
      <w:r>
        <w:rPr>
          <w:b/>
          <w:sz w:val="22"/>
          <w:u w:val="none"/>
        </w:rPr>
        <w:t>2.5.3</w:t>
      </w:r>
      <w:r>
        <w:rPr>
          <w:b/>
          <w:sz w:val="22"/>
          <w:u w:val="none"/>
        </w:rPr>
        <w:tab/>
        <w:t>Женщины-заключенные</w:t>
      </w:r>
    </w:p>
    <w:p w:rsidR="00000000" w:rsidRDefault="00000000">
      <w:pPr>
        <w:pStyle w:val="BodyText"/>
        <w:tabs>
          <w:tab w:val="left" w:pos="680"/>
          <w:tab w:val="left" w:pos="1134"/>
        </w:tabs>
        <w:spacing w:before="240"/>
        <w:jc w:val="both"/>
        <w:rPr>
          <w:sz w:val="22"/>
          <w:u w:val="none"/>
        </w:rPr>
      </w:pPr>
      <w:r>
        <w:rPr>
          <w:sz w:val="22"/>
          <w:u w:val="none"/>
        </w:rPr>
        <w:t>Женщины составляют весьма небольшую долю в общей численности заключенных в Намибии. По данным на декабрь 2002 года, на них приходилось только около 5 процентов от общего числа заключенных. Эта цифра выше сообщенного в первом докладе показателя, составлявшего 4 процента</w:t>
      </w:r>
      <w:r>
        <w:rPr>
          <w:rStyle w:val="FootnoteReference"/>
          <w:sz w:val="22"/>
          <w:u w:val="none"/>
        </w:rPr>
        <w:footnoteReference w:customMarkFollows="1" w:id="31"/>
        <w:t>30</w:t>
      </w:r>
      <w:r>
        <w:rPr>
          <w:sz w:val="22"/>
          <w:u w:val="none"/>
        </w:rPr>
        <w:t>. Общее количество заключенных в тюрьмах Намибии по различным причинам составило в 2001 году 5432 человека, из них 304 женщины. Они были приговорены к тюремному заключению за различные преступления, такие как убийство, злостное убийство, грабеж, кража скота, торговля наркотиками, мошенничество, кража со взломом и воровство.</w:t>
      </w:r>
    </w:p>
    <w:p w:rsidR="00000000" w:rsidRDefault="00000000">
      <w:pPr>
        <w:pStyle w:val="BodyText"/>
        <w:tabs>
          <w:tab w:val="left" w:pos="680"/>
          <w:tab w:val="left" w:pos="1134"/>
        </w:tabs>
        <w:spacing w:before="480"/>
        <w:jc w:val="both"/>
        <w:rPr>
          <w:b/>
          <w:sz w:val="22"/>
          <w:u w:val="none"/>
        </w:rPr>
      </w:pPr>
      <w:r>
        <w:rPr>
          <w:b/>
          <w:sz w:val="22"/>
          <w:u w:val="none"/>
        </w:rPr>
        <w:t>СТАТЬЯ 3:</w:t>
      </w:r>
      <w:r>
        <w:rPr>
          <w:b/>
          <w:sz w:val="22"/>
          <w:u w:val="none"/>
        </w:rPr>
        <w:tab/>
        <w:t>Общее обеспечение равноправия и основных свобод</w:t>
      </w:r>
    </w:p>
    <w:p w:rsidR="00000000" w:rsidRDefault="00000000">
      <w:pPr>
        <w:pStyle w:val="BodyText"/>
        <w:tabs>
          <w:tab w:val="left" w:pos="680"/>
          <w:tab w:val="left" w:pos="1134"/>
        </w:tabs>
        <w:spacing w:before="240"/>
        <w:jc w:val="both"/>
        <w:rPr>
          <w:b/>
          <w:sz w:val="22"/>
          <w:u w:val="none"/>
        </w:rPr>
      </w:pPr>
      <w:r>
        <w:rPr>
          <w:b/>
          <w:sz w:val="22"/>
          <w:u w:val="none"/>
        </w:rPr>
        <w:t>3.1</w:t>
      </w:r>
      <w:r>
        <w:rPr>
          <w:b/>
          <w:sz w:val="22"/>
          <w:u w:val="none"/>
        </w:rPr>
        <w:tab/>
        <w:t>Изнасилование</w:t>
      </w:r>
    </w:p>
    <w:p w:rsidR="00000000" w:rsidRDefault="00000000">
      <w:pPr>
        <w:pStyle w:val="BodyText"/>
        <w:tabs>
          <w:tab w:val="left" w:pos="680"/>
          <w:tab w:val="left" w:pos="1134"/>
        </w:tabs>
        <w:spacing w:before="240"/>
        <w:jc w:val="both"/>
        <w:rPr>
          <w:sz w:val="22"/>
          <w:u w:val="none"/>
        </w:rPr>
      </w:pPr>
      <w:r>
        <w:rPr>
          <w:sz w:val="22"/>
          <w:u w:val="none"/>
        </w:rPr>
        <w:t>Изнасилование является проблемой, вызывающей серьезную обеспокоенность в Намибии. Ежегодно в намибийскую полицию поступают сообщения о приблизительно 600 случаях изнасилования и 150 случаях попыток изнасилования</w:t>
      </w:r>
      <w:r>
        <w:rPr>
          <w:rStyle w:val="FootnoteReference"/>
          <w:sz w:val="22"/>
          <w:u w:val="none"/>
        </w:rPr>
        <w:footnoteReference w:customMarkFollows="1" w:id="32"/>
        <w:t>31</w:t>
      </w:r>
      <w:r>
        <w:rPr>
          <w:sz w:val="22"/>
          <w:u w:val="none"/>
        </w:rPr>
        <w:t>. Эксперты полагают, что полиции становится известно только примерно об одном из каждых 20 случаев изнасилования. В период 1995–1999 годов число сообщенных случаев изнасилования было относительно постоянным и составляло от 543 до 601 случая в год. В 2000 году эта цифра возросла до 705 случаев, то есть рост составил примерно 17 процентов. Наблюдается общая тенденция роста насилия в отношении женщин и детей; это означает, что решение этой проблемы потребует длительного времени.</w:t>
      </w:r>
    </w:p>
    <w:p w:rsidR="00000000" w:rsidRDefault="00000000">
      <w:pPr>
        <w:pStyle w:val="BodyText"/>
        <w:tabs>
          <w:tab w:val="left" w:pos="680"/>
          <w:tab w:val="left" w:pos="1134"/>
        </w:tabs>
        <w:spacing w:before="240"/>
        <w:jc w:val="both"/>
        <w:rPr>
          <w:sz w:val="22"/>
          <w:u w:val="none"/>
        </w:rPr>
      </w:pPr>
      <w:r>
        <w:rPr>
          <w:sz w:val="22"/>
          <w:u w:val="none"/>
        </w:rPr>
        <w:t>Хотя в эти цифры включены мальчики и мужчины, в основном сексуальное насилие совершается в отношении девочек и женщин. Материалы судебных дел говорят о том, что в Намибии были даже случаи изнасилования младенцев в возрасте до 1 года и старых женщин в возрасте 85 лет. Имели место также случаи изнасилования женщин с большими сроками беременности. Эти факты свидетельствуют о том, что изнасилование не является результатом провокации со стороны лица, подвергшегося изнасилованию, а представляет собой акт насилия, в котором секс используется как орудие преступления. Сами насильники описывают мотивы своих действий как гнев, ненависть, покорение, оскорбление или унижение – но не сексуальное удовольствие</w:t>
      </w:r>
      <w:r>
        <w:rPr>
          <w:rStyle w:val="FootnoteReference"/>
          <w:sz w:val="22"/>
          <w:u w:val="none"/>
        </w:rPr>
        <w:footnoteReference w:customMarkFollows="1" w:id="33"/>
        <w:t>32</w:t>
      </w:r>
      <w:r>
        <w:rPr>
          <w:sz w:val="22"/>
          <w:u w:val="none"/>
        </w:rPr>
        <w:t>.</w:t>
      </w:r>
    </w:p>
    <w:p w:rsidR="00000000" w:rsidRDefault="00000000">
      <w:pPr>
        <w:pStyle w:val="BodyText"/>
        <w:tabs>
          <w:tab w:val="left" w:pos="680"/>
          <w:tab w:val="left" w:pos="1134"/>
        </w:tabs>
        <w:spacing w:before="240"/>
        <w:jc w:val="both"/>
        <w:rPr>
          <w:sz w:val="22"/>
          <w:u w:val="none"/>
        </w:rPr>
      </w:pPr>
      <w:r>
        <w:rPr>
          <w:sz w:val="22"/>
          <w:u w:val="none"/>
        </w:rPr>
        <w:t>В большинстве случаев изнасилования в Намибии участвуют люди, которые знают друг друга, являясь либо членом семьи, либо личным другом, либо кем-то известным семье. Примерно 95 процентов случаев не доводятся до сведения полиции, поскольку в них оказываются замешанными знакомые и их предпочитают решать "в кругу семьи". В сельской местности о случаях изнасилования нередко не сообщают в полицию из-за боязни мести или потому, что семья потерпевшей стороны предпочитает сама решить эту проблему с семьей насильника. Иногда о таких случаях не сообщается из-за отсутствия поблизости клиники или полицейского участка</w:t>
      </w:r>
      <w:r>
        <w:rPr>
          <w:rStyle w:val="FootnoteReference"/>
          <w:sz w:val="22"/>
          <w:u w:val="none"/>
        </w:rPr>
        <w:footnoteReference w:customMarkFollows="1" w:id="34"/>
        <w:t>33</w:t>
      </w:r>
      <w:r>
        <w:rPr>
          <w:sz w:val="22"/>
          <w:u w:val="none"/>
        </w:rPr>
        <w:t>.</w:t>
      </w:r>
    </w:p>
    <w:p w:rsidR="00000000" w:rsidRDefault="00000000">
      <w:pPr>
        <w:pStyle w:val="BodyText"/>
        <w:tabs>
          <w:tab w:val="left" w:pos="680"/>
          <w:tab w:val="left" w:pos="1134"/>
        </w:tabs>
        <w:spacing w:before="240"/>
        <w:jc w:val="both"/>
        <w:rPr>
          <w:sz w:val="22"/>
          <w:u w:val="none"/>
        </w:rPr>
      </w:pPr>
      <w:r>
        <w:rPr>
          <w:sz w:val="22"/>
          <w:u w:val="none"/>
        </w:rPr>
        <w:t>В ответ на рост числа случаев изнасилования и более жестокий характер этого преступления организации, представляющие широкий спектр социальной и политической жизни, обратились к Министерству юстиции и Комиссии по правовой реформе и развитию с призывами принять новое законодательство об изнасиловании, в котором предусматривались бы более суровые меры наказания для осужденных насильников, было пересмотрено определение насилия и аннулировано изъятие об изнасиловании в браке, и т. д.</w:t>
      </w:r>
    </w:p>
    <w:p w:rsidR="00000000" w:rsidRDefault="00000000">
      <w:pPr>
        <w:pStyle w:val="BodyText"/>
        <w:tabs>
          <w:tab w:val="left" w:pos="680"/>
          <w:tab w:val="left" w:pos="1134"/>
        </w:tabs>
        <w:spacing w:before="240"/>
        <w:jc w:val="both"/>
        <w:rPr>
          <w:sz w:val="22"/>
          <w:u w:val="none"/>
        </w:rPr>
      </w:pPr>
      <w:r>
        <w:rPr>
          <w:sz w:val="22"/>
          <w:u w:val="none"/>
        </w:rPr>
        <w:t>Согласно старому закону изнасилование определялось как "преднамеренное, незаконное половое сношение с женщиной без ее согласия". Это определение имело несколько серьезных ограничений, в частности:</w:t>
      </w:r>
    </w:p>
    <w:p w:rsidR="00000000" w:rsidRDefault="00000000">
      <w:pPr>
        <w:pStyle w:val="BodyText"/>
        <w:tabs>
          <w:tab w:val="left" w:pos="680"/>
          <w:tab w:val="left" w:pos="1134"/>
        </w:tabs>
        <w:spacing w:before="240"/>
        <w:jc w:val="both"/>
        <w:rPr>
          <w:sz w:val="22"/>
          <w:u w:val="none"/>
        </w:rPr>
      </w:pPr>
      <w:r>
        <w:rPr>
          <w:sz w:val="22"/>
          <w:u w:val="none"/>
        </w:rPr>
        <w:sym w:font="Wingdings" w:char="F076"/>
      </w:r>
      <w:r>
        <w:rPr>
          <w:sz w:val="22"/>
          <w:u w:val="none"/>
        </w:rPr>
        <w:tab/>
        <w:t>Оно не давало возможности мужчинам или мальчикам выдвинуть обвинение в изнасиловании.</w:t>
      </w:r>
    </w:p>
    <w:p w:rsidR="00000000" w:rsidRDefault="00000000">
      <w:pPr>
        <w:pStyle w:val="BodyText"/>
        <w:tabs>
          <w:tab w:val="left" w:pos="680"/>
          <w:tab w:val="left" w:pos="1134"/>
        </w:tabs>
        <w:spacing w:before="240"/>
        <w:jc w:val="both"/>
        <w:rPr>
          <w:sz w:val="22"/>
          <w:u w:val="none"/>
        </w:rPr>
      </w:pPr>
      <w:r>
        <w:rPr>
          <w:sz w:val="22"/>
          <w:u w:val="none"/>
        </w:rPr>
        <w:sym w:font="Wingdings" w:char="F076"/>
      </w:r>
      <w:r>
        <w:rPr>
          <w:sz w:val="22"/>
          <w:u w:val="none"/>
        </w:rPr>
        <w:tab/>
        <w:t>Оно не давало возможности женам выдвинуть обвинение в изнасиловании против своих мужей, поскольку половое сношение между лицами, состоящими в браке, не считалось "незаконным".</w:t>
      </w:r>
    </w:p>
    <w:p w:rsidR="00000000" w:rsidRDefault="00000000">
      <w:pPr>
        <w:pStyle w:val="BodyText"/>
        <w:tabs>
          <w:tab w:val="left" w:pos="680"/>
          <w:tab w:val="left" w:pos="1134"/>
        </w:tabs>
        <w:spacing w:before="240"/>
        <w:jc w:val="both"/>
        <w:rPr>
          <w:sz w:val="22"/>
          <w:u w:val="none"/>
        </w:rPr>
      </w:pPr>
      <w:r>
        <w:rPr>
          <w:sz w:val="22"/>
          <w:u w:val="none"/>
        </w:rPr>
        <w:sym w:font="Wingdings" w:char="F076"/>
      </w:r>
      <w:r>
        <w:rPr>
          <w:sz w:val="22"/>
          <w:u w:val="none"/>
        </w:rPr>
        <w:tab/>
        <w:t>В нем делался упор на вопрос о согласии, а не на вопрос силы или принуждения, которыми пользуется насильник. Это означало, что женщине, подвергшейся изнасилованию, будут задавать в суде вопросы о ее предыдущем сексуальном опыте и поведении или о том, в чем она была одета или что она делала в момент изнасилования. В результате женщина, подвергшаяся изнасилованию, часто чувствовала себя, как будто судят именно ее.</w:t>
      </w:r>
    </w:p>
    <w:p w:rsidR="00000000" w:rsidRDefault="00000000">
      <w:pPr>
        <w:pStyle w:val="BodyText"/>
        <w:tabs>
          <w:tab w:val="left" w:pos="680"/>
          <w:tab w:val="left" w:pos="1134"/>
        </w:tabs>
        <w:spacing w:before="240"/>
        <w:jc w:val="both"/>
        <w:rPr>
          <w:sz w:val="22"/>
          <w:u w:val="none"/>
        </w:rPr>
      </w:pPr>
      <w:r>
        <w:rPr>
          <w:sz w:val="22"/>
          <w:u w:val="none"/>
        </w:rPr>
        <w:sym w:font="Wingdings" w:char="F076"/>
      </w:r>
      <w:r>
        <w:rPr>
          <w:sz w:val="22"/>
          <w:u w:val="none"/>
        </w:rPr>
        <w:tab/>
        <w:t>В глазах закона изнасилование имело место только в тех случаях, когда половой член вводился во влагалище.</w:t>
      </w:r>
    </w:p>
    <w:p w:rsidR="00000000" w:rsidRDefault="00000000">
      <w:pPr>
        <w:pStyle w:val="BodyText"/>
        <w:tabs>
          <w:tab w:val="left" w:pos="680"/>
          <w:tab w:val="left" w:pos="1134"/>
        </w:tabs>
        <w:spacing w:before="240"/>
        <w:jc w:val="both"/>
        <w:rPr>
          <w:sz w:val="22"/>
          <w:u w:val="none"/>
        </w:rPr>
      </w:pPr>
      <w:r>
        <w:rPr>
          <w:sz w:val="22"/>
          <w:u w:val="none"/>
        </w:rPr>
        <w:t>В июне 2000 года в Намибии вступил в силу Закон о борьбе с изнасилованием (Закон № 8 от 2000 года)</w:t>
      </w:r>
      <w:r>
        <w:rPr>
          <w:rStyle w:val="FootnoteReference"/>
          <w:sz w:val="22"/>
          <w:u w:val="none"/>
        </w:rPr>
        <w:footnoteReference w:customMarkFollows="1" w:id="35"/>
        <w:t>34</w:t>
      </w:r>
      <w:r>
        <w:rPr>
          <w:sz w:val="22"/>
          <w:u w:val="none"/>
        </w:rPr>
        <w:t>. Этот новый закон был встречен с одобрением как один из примеров наиболее прогрессивного законодательного акта об изнасиловании в мире. В Законе о борьбе с изнасилованием (Закон № 8 от 2000 года) изнасилование определяется</w:t>
      </w:r>
      <w:r>
        <w:rPr>
          <w:rStyle w:val="FootnoteReference"/>
          <w:sz w:val="22"/>
          <w:u w:val="none"/>
        </w:rPr>
        <w:footnoteReference w:customMarkFollows="1" w:id="36"/>
        <w:t>35</w:t>
      </w:r>
      <w:r>
        <w:rPr>
          <w:sz w:val="22"/>
          <w:u w:val="none"/>
        </w:rPr>
        <w:t xml:space="preserve"> как "преднамеренное совершение полового акта в обстоятельствах принуждения". В определение полового акта включены самые интимные виды полового контакта:</w:t>
      </w:r>
    </w:p>
    <w:p w:rsidR="00000000" w:rsidRDefault="00000000">
      <w:pPr>
        <w:pStyle w:val="BodyText"/>
        <w:tabs>
          <w:tab w:val="left" w:pos="680"/>
          <w:tab w:val="left" w:pos="1134"/>
        </w:tabs>
        <w:spacing w:before="240"/>
        <w:jc w:val="both"/>
        <w:rPr>
          <w:sz w:val="22"/>
          <w:u w:val="none"/>
        </w:rPr>
      </w:pPr>
      <w:r>
        <w:rPr>
          <w:sz w:val="22"/>
          <w:u w:val="none"/>
        </w:rPr>
        <w:tab/>
      </w:r>
      <w:r>
        <w:rPr>
          <w:sz w:val="22"/>
          <w:u w:val="none"/>
        </w:rPr>
        <w:sym w:font="Symbol" w:char="F0B7"/>
      </w:r>
      <w:r>
        <w:rPr>
          <w:sz w:val="22"/>
          <w:u w:val="none"/>
        </w:rPr>
        <w:tab/>
        <w:t>введение полового члена во влагалище другого лица, даже в малейшей степени;</w:t>
      </w:r>
    </w:p>
    <w:p w:rsidR="00000000" w:rsidRDefault="00000000">
      <w:pPr>
        <w:pStyle w:val="BodyText"/>
        <w:tabs>
          <w:tab w:val="left" w:pos="680"/>
          <w:tab w:val="left" w:pos="1134"/>
        </w:tabs>
        <w:spacing w:before="120"/>
        <w:jc w:val="both"/>
        <w:rPr>
          <w:sz w:val="22"/>
          <w:u w:val="none"/>
        </w:rPr>
      </w:pPr>
      <w:r>
        <w:rPr>
          <w:sz w:val="22"/>
          <w:u w:val="none"/>
        </w:rPr>
        <w:tab/>
      </w:r>
      <w:r>
        <w:rPr>
          <w:sz w:val="22"/>
          <w:u w:val="none"/>
        </w:rPr>
        <w:sym w:font="Symbol" w:char="F0B7"/>
      </w:r>
      <w:r>
        <w:rPr>
          <w:sz w:val="22"/>
          <w:u w:val="none"/>
        </w:rPr>
        <w:tab/>
        <w:t>введение полового члена в рот или задний проход другого лица;</w:t>
      </w:r>
    </w:p>
    <w:p w:rsidR="00000000" w:rsidRDefault="00000000">
      <w:pPr>
        <w:pStyle w:val="BodyText"/>
        <w:tabs>
          <w:tab w:val="left" w:pos="680"/>
          <w:tab w:val="left" w:pos="1134"/>
        </w:tabs>
        <w:spacing w:before="120"/>
        <w:jc w:val="both"/>
        <w:rPr>
          <w:sz w:val="22"/>
          <w:u w:val="none"/>
        </w:rPr>
      </w:pPr>
      <w:r>
        <w:rPr>
          <w:sz w:val="22"/>
          <w:u w:val="none"/>
        </w:rPr>
        <w:tab/>
      </w:r>
      <w:r>
        <w:rPr>
          <w:sz w:val="22"/>
          <w:u w:val="none"/>
        </w:rPr>
        <w:sym w:font="Symbol" w:char="F0B7"/>
      </w:r>
      <w:r>
        <w:rPr>
          <w:sz w:val="22"/>
          <w:u w:val="none"/>
        </w:rPr>
        <w:tab/>
        <w:t>введение любой другой части тела во влагалище или задний проход;</w:t>
      </w:r>
    </w:p>
    <w:p w:rsidR="00000000" w:rsidRDefault="00000000">
      <w:pPr>
        <w:pStyle w:val="BodyText"/>
        <w:tabs>
          <w:tab w:val="left" w:pos="680"/>
          <w:tab w:val="left" w:pos="1134"/>
        </w:tabs>
        <w:spacing w:before="120"/>
        <w:jc w:val="both"/>
        <w:rPr>
          <w:sz w:val="22"/>
          <w:u w:val="none"/>
        </w:rPr>
      </w:pPr>
      <w:r>
        <w:rPr>
          <w:sz w:val="22"/>
          <w:u w:val="none"/>
        </w:rPr>
        <w:tab/>
      </w:r>
      <w:r>
        <w:rPr>
          <w:sz w:val="22"/>
          <w:u w:val="none"/>
        </w:rPr>
        <w:sym w:font="Symbol" w:char="F0B7"/>
      </w:r>
      <w:r>
        <w:rPr>
          <w:sz w:val="22"/>
          <w:u w:val="none"/>
        </w:rPr>
        <w:tab/>
        <w:t>введение любой части тела животного во влагалище или задний проход;</w:t>
      </w:r>
    </w:p>
    <w:p w:rsidR="00000000" w:rsidRDefault="00000000">
      <w:pPr>
        <w:pStyle w:val="BodyText"/>
        <w:tabs>
          <w:tab w:val="left" w:pos="680"/>
          <w:tab w:val="left" w:pos="1134"/>
        </w:tabs>
        <w:spacing w:before="120"/>
        <w:jc w:val="both"/>
        <w:rPr>
          <w:sz w:val="22"/>
          <w:u w:val="none"/>
        </w:rPr>
      </w:pPr>
      <w:r>
        <w:rPr>
          <w:sz w:val="22"/>
          <w:u w:val="none"/>
        </w:rPr>
        <w:tab/>
      </w:r>
      <w:r>
        <w:rPr>
          <w:sz w:val="22"/>
          <w:u w:val="none"/>
        </w:rPr>
        <w:sym w:font="Symbol" w:char="F0B7"/>
      </w:r>
      <w:r>
        <w:rPr>
          <w:sz w:val="22"/>
          <w:u w:val="none"/>
        </w:rPr>
        <w:tab/>
        <w:t>введение любого предмета во влагалище или задний проход;</w:t>
      </w:r>
    </w:p>
    <w:p w:rsidR="00000000" w:rsidRDefault="00000000">
      <w:pPr>
        <w:pStyle w:val="BodyText"/>
        <w:tabs>
          <w:tab w:val="left" w:pos="680"/>
          <w:tab w:val="left" w:pos="1134"/>
        </w:tabs>
        <w:spacing w:before="120"/>
        <w:jc w:val="both"/>
        <w:rPr>
          <w:sz w:val="22"/>
          <w:u w:val="none"/>
        </w:rPr>
      </w:pPr>
      <w:r>
        <w:rPr>
          <w:sz w:val="22"/>
          <w:u w:val="none"/>
        </w:rPr>
        <w:tab/>
      </w:r>
      <w:r>
        <w:rPr>
          <w:sz w:val="22"/>
          <w:u w:val="none"/>
        </w:rPr>
        <w:sym w:font="Symbol" w:char="F0B7"/>
      </w:r>
      <w:r>
        <w:rPr>
          <w:sz w:val="22"/>
          <w:u w:val="none"/>
        </w:rPr>
        <w:tab/>
        <w:t>использование языка и губ или любой другой формы стимулирования гениталий.</w:t>
      </w:r>
    </w:p>
    <w:p w:rsidR="00000000" w:rsidRDefault="00000000">
      <w:pPr>
        <w:pStyle w:val="BodyText"/>
        <w:tabs>
          <w:tab w:val="left" w:pos="680"/>
          <w:tab w:val="left" w:pos="1134"/>
        </w:tabs>
        <w:spacing w:before="240"/>
        <w:jc w:val="both"/>
        <w:rPr>
          <w:sz w:val="22"/>
          <w:u w:val="none"/>
        </w:rPr>
      </w:pPr>
      <w:r>
        <w:rPr>
          <w:sz w:val="22"/>
          <w:u w:val="none"/>
        </w:rPr>
        <w:t>Данный закон является одним из самых прогрессивных законодательных актов об изнасиловании в мире. К предыдущему закону Намибии об изнасиловании добавлены положения об изнасиловании в браке (муж, насилующий свою жену) и изнасиловании других лиц, помимо женщин, потому что эти преступления определялись ранее в законе не как изнасилование, а как непристойное нападение (Iipinge и LeBeau 1997:80).</w:t>
      </w:r>
    </w:p>
    <w:p w:rsidR="00000000" w:rsidRDefault="00000000">
      <w:pPr>
        <w:pStyle w:val="BodyText"/>
        <w:tabs>
          <w:tab w:val="left" w:pos="680"/>
          <w:tab w:val="left" w:pos="1134"/>
        </w:tabs>
        <w:spacing w:before="240"/>
        <w:jc w:val="both"/>
        <w:rPr>
          <w:sz w:val="22"/>
          <w:u w:val="none"/>
        </w:rPr>
      </w:pPr>
      <w:r>
        <w:rPr>
          <w:sz w:val="22"/>
          <w:u w:val="none"/>
        </w:rPr>
        <w:t>Определение "обстоятельств принуждения" включает применение силы, угрозу применения силы и другие ситуации, которые дают возможность одному лицу злоупотребить своим положением в отношении другого лица.</w:t>
      </w:r>
    </w:p>
    <w:p w:rsidR="00000000" w:rsidRDefault="00000000">
      <w:pPr>
        <w:pStyle w:val="BodyText"/>
        <w:tabs>
          <w:tab w:val="left" w:pos="680"/>
          <w:tab w:val="left" w:pos="1134"/>
        </w:tabs>
        <w:spacing w:before="240"/>
        <w:jc w:val="both"/>
        <w:rPr>
          <w:sz w:val="22"/>
          <w:u w:val="none"/>
        </w:rPr>
      </w:pPr>
      <w:r>
        <w:rPr>
          <w:sz w:val="22"/>
          <w:u w:val="none"/>
        </w:rPr>
        <w:t>Согласно старому определению изнасилования жена не могла обвинить супруга в изнасиловании, независимо от того, какую силу он применил. Закон о борьбе с изнасилованием предусматривает, что ни брак, ни другие виды отношений не будут считаться аргументом защиты против обвинения в изнасиловании. Это относится к гражданскому и традиционному браку, а также к другим видам взаимоотношений.</w:t>
      </w:r>
    </w:p>
    <w:p w:rsidR="00000000" w:rsidRDefault="00000000">
      <w:pPr>
        <w:pStyle w:val="BodyText"/>
        <w:tabs>
          <w:tab w:val="left" w:pos="680"/>
          <w:tab w:val="left" w:pos="1134"/>
        </w:tabs>
        <w:spacing w:before="240"/>
        <w:jc w:val="both"/>
        <w:rPr>
          <w:sz w:val="22"/>
          <w:u w:val="none"/>
        </w:rPr>
      </w:pPr>
      <w:r>
        <w:rPr>
          <w:sz w:val="22"/>
          <w:u w:val="none"/>
        </w:rPr>
        <w:t>В Законе о борьбе с изнасилованием был увеличен возраст согласия как для мальчиков, так и для девочек. Даже в случае отсутствия применения силы и принуждения считается, что было совершено изнасилование, если потерпевшее лицо еще не достигло 14 лет, а совершивший преступление старше более чем на три года. Минимальный срок наказания за изнасилование ребенка составляет 15 лет лишения свободы, а максимальный – пожизненное заключение.</w:t>
      </w:r>
    </w:p>
    <w:p w:rsidR="00000000" w:rsidRDefault="00000000">
      <w:pPr>
        <w:pStyle w:val="BodyText"/>
        <w:tabs>
          <w:tab w:val="left" w:pos="680"/>
          <w:tab w:val="left" w:pos="1134"/>
        </w:tabs>
        <w:spacing w:before="240"/>
        <w:jc w:val="both"/>
        <w:rPr>
          <w:sz w:val="22"/>
          <w:u w:val="none"/>
        </w:rPr>
      </w:pPr>
      <w:r>
        <w:rPr>
          <w:sz w:val="22"/>
          <w:u w:val="none"/>
        </w:rPr>
        <w:t>Поправка к Закону о борьбе с аморальным поведением предоставляет дополнительную защиту мальчикам и девочкам в возрасте до 16 лет. Согласно этому закону половой контакт с ребенком в возрасте до 16 лет, совершенный лицом старше пострадавшего более чем на 3 года, будет считаться преступлением. Это правонарушение, однако, считается менее серьезным, чем изнасилование, имеет более широкое толкование и включает "непристойное или аморальное действие". Наказанием по Закону о борьбе с аморальным поведением (с поправками) является штраф в размере 40 000 намибийских долл. или 10 лет тюремного заключения либо и штраф, и заключение.</w:t>
      </w:r>
    </w:p>
    <w:p w:rsidR="00000000" w:rsidRDefault="00000000">
      <w:pPr>
        <w:pStyle w:val="BodyText"/>
        <w:tabs>
          <w:tab w:val="left" w:pos="680"/>
          <w:tab w:val="left" w:pos="1134"/>
        </w:tabs>
        <w:spacing w:before="240"/>
        <w:jc w:val="both"/>
        <w:rPr>
          <w:sz w:val="22"/>
          <w:u w:val="none"/>
        </w:rPr>
      </w:pPr>
      <w:r>
        <w:rPr>
          <w:sz w:val="22"/>
          <w:u w:val="none"/>
        </w:rPr>
        <w:t>Законом о борьбе с изнасилованием предусматриваются жесткие минимальные меры наказания для насильников. Существуют три категории минимальной меры наказания. В случае впервые совершенного правонарушения минимальная мера наказания равна 5, 10 или 15 годам заключения в зависимости от обстоятельств совершения изнасилования. За повторное преступление в зависимости от обстоятельств совершения изнасилования минимальная мера наказания составит 10, 20 или 45 лет лишения свободы. Максимальная мера наказания за любое изнасилование равна пожизненному заключению.</w:t>
      </w:r>
    </w:p>
    <w:p w:rsidR="00000000" w:rsidRDefault="00000000">
      <w:pPr>
        <w:pStyle w:val="BodyText"/>
        <w:tabs>
          <w:tab w:val="left" w:pos="680"/>
          <w:tab w:val="left" w:pos="1134"/>
        </w:tabs>
        <w:spacing w:before="240"/>
        <w:jc w:val="both"/>
        <w:rPr>
          <w:sz w:val="22"/>
          <w:u w:val="none"/>
        </w:rPr>
      </w:pPr>
      <w:r>
        <w:rPr>
          <w:sz w:val="22"/>
          <w:u w:val="none"/>
        </w:rPr>
        <w:t>Согласно Закону о борьбе с изнасилованием суд проводит заседания за закрытыми дверьми в течение всего судебного процесса об изнасиловании, если истец не потребует иного. Если истец является несовершеннолетним (не достигшим 21 года), просьба о проведении открытого судебного заседания должна быть сделана одним из родителей или опекуном истца. Незаконным считается также опубликование любой информации, раскрывающей личность пострадавшего. Насильник, который сознательно подвергает потерпевшего от изнасилования заражению ВИЧ, получает самый высокий минимальный срок наказания. В случае когда потерпевшего сознательно подвергают риску ВИЧ-инфицирования, это может служить основанием для уголовного обвинения в попытке совершения убийства в дополнение к обвинению в изнасиловании.</w:t>
      </w:r>
    </w:p>
    <w:p w:rsidR="00000000" w:rsidRDefault="00000000">
      <w:pPr>
        <w:pStyle w:val="BodyText"/>
        <w:tabs>
          <w:tab w:val="left" w:pos="680"/>
          <w:tab w:val="left" w:pos="1134"/>
        </w:tabs>
        <w:spacing w:before="240"/>
        <w:jc w:val="both"/>
        <w:rPr>
          <w:sz w:val="22"/>
          <w:u w:val="none"/>
        </w:rPr>
      </w:pPr>
      <w:r>
        <w:rPr>
          <w:sz w:val="22"/>
          <w:u w:val="none"/>
        </w:rPr>
        <w:t>Примеры дел, рассмотренных согласно Закону о борьбе с изнасилованием:</w:t>
      </w:r>
    </w:p>
    <w:p w:rsidR="00000000" w:rsidRDefault="00000000">
      <w:pPr>
        <w:pStyle w:val="BodyText"/>
        <w:tabs>
          <w:tab w:val="left" w:pos="680"/>
          <w:tab w:val="left" w:pos="1134"/>
        </w:tabs>
        <w:spacing w:before="240"/>
        <w:ind w:left="1134" w:hanging="1134"/>
        <w:jc w:val="both"/>
        <w:rPr>
          <w:sz w:val="22"/>
          <w:u w:val="none"/>
        </w:rPr>
      </w:pPr>
      <w:r>
        <w:rPr>
          <w:sz w:val="22"/>
          <w:u w:val="none"/>
        </w:rPr>
        <w:tab/>
        <w:t>1)</w:t>
      </w:r>
      <w:r>
        <w:rPr>
          <w:sz w:val="22"/>
          <w:u w:val="none"/>
        </w:rPr>
        <w:tab/>
        <w:t>57-летний мужчина изнасиловал 11-летнюю девочку. Приговорен к 15 годам тюремного заключения (19 февраля 2000 года).</w:t>
      </w:r>
    </w:p>
    <w:p w:rsidR="00000000" w:rsidRDefault="00000000">
      <w:pPr>
        <w:pStyle w:val="BodyText"/>
        <w:tabs>
          <w:tab w:val="left" w:pos="680"/>
          <w:tab w:val="left" w:pos="1134"/>
        </w:tabs>
        <w:spacing w:before="240"/>
        <w:ind w:left="1134" w:hanging="1134"/>
        <w:jc w:val="both"/>
        <w:rPr>
          <w:sz w:val="22"/>
          <w:u w:val="none"/>
        </w:rPr>
      </w:pPr>
      <w:r>
        <w:rPr>
          <w:sz w:val="22"/>
          <w:u w:val="none"/>
        </w:rPr>
        <w:tab/>
        <w:t>2)</w:t>
      </w:r>
      <w:r>
        <w:rPr>
          <w:sz w:val="22"/>
          <w:u w:val="none"/>
        </w:rPr>
        <w:tab/>
        <w:t>42-летний мужчина изнасиловал 8-летнюю девочку. Приговорен к 12 годам тюремного заключения (19 мая 2000 года).</w:t>
      </w:r>
    </w:p>
    <w:p w:rsidR="00000000" w:rsidRDefault="00000000">
      <w:pPr>
        <w:pStyle w:val="BodyText"/>
        <w:tabs>
          <w:tab w:val="left" w:pos="680"/>
          <w:tab w:val="left" w:pos="1134"/>
        </w:tabs>
        <w:spacing w:before="240"/>
        <w:ind w:left="1134" w:hanging="1134"/>
        <w:jc w:val="both"/>
        <w:rPr>
          <w:sz w:val="22"/>
          <w:u w:val="none"/>
        </w:rPr>
      </w:pPr>
      <w:r>
        <w:rPr>
          <w:sz w:val="22"/>
          <w:u w:val="none"/>
        </w:rPr>
        <w:tab/>
        <w:t>3)</w:t>
      </w:r>
      <w:r>
        <w:rPr>
          <w:sz w:val="22"/>
          <w:u w:val="none"/>
        </w:rPr>
        <w:tab/>
        <w:t>25-летний мужчина, изнасиловавший 13-летнюю девочку и совершивший непристойные действия в отношении 3-летнего ребенка, был приговорен к 16 годам тюремного заключения за изнасилование и 2 годам тюремного заключения за непристойное нападение (2 мая 2000 года).</w:t>
      </w:r>
    </w:p>
    <w:p w:rsidR="00000000" w:rsidRDefault="00000000">
      <w:pPr>
        <w:pStyle w:val="BodyText"/>
        <w:tabs>
          <w:tab w:val="left" w:pos="680"/>
          <w:tab w:val="left" w:pos="1134"/>
        </w:tabs>
        <w:spacing w:before="240"/>
        <w:ind w:left="1134" w:hanging="1134"/>
        <w:jc w:val="both"/>
        <w:rPr>
          <w:sz w:val="22"/>
          <w:u w:val="none"/>
        </w:rPr>
      </w:pPr>
      <w:r>
        <w:rPr>
          <w:sz w:val="22"/>
          <w:u w:val="none"/>
        </w:rPr>
        <w:tab/>
        <w:t>4)</w:t>
      </w:r>
      <w:r>
        <w:rPr>
          <w:sz w:val="22"/>
          <w:u w:val="none"/>
        </w:rPr>
        <w:tab/>
        <w:t>25-летний мужчина изнасиловал 10-летнюю девочку. Приговорен к 27 годам тюремного заключения (23 марта 2000 года).</w:t>
      </w:r>
    </w:p>
    <w:p w:rsidR="00000000" w:rsidRDefault="00000000">
      <w:pPr>
        <w:pStyle w:val="BodyText"/>
        <w:tabs>
          <w:tab w:val="left" w:pos="680"/>
          <w:tab w:val="left" w:pos="1134"/>
        </w:tabs>
        <w:spacing w:before="240"/>
        <w:jc w:val="both"/>
        <w:rPr>
          <w:b/>
          <w:sz w:val="22"/>
          <w:u w:val="none"/>
        </w:rPr>
      </w:pPr>
      <w:r>
        <w:rPr>
          <w:b/>
          <w:sz w:val="22"/>
          <w:u w:val="none"/>
        </w:rPr>
        <w:t>3.2</w:t>
      </w:r>
      <w:r>
        <w:rPr>
          <w:b/>
          <w:sz w:val="22"/>
          <w:u w:val="none"/>
        </w:rPr>
        <w:tab/>
        <w:t>Бытовое насилие</w:t>
      </w:r>
    </w:p>
    <w:p w:rsidR="00000000" w:rsidRDefault="00000000">
      <w:pPr>
        <w:pStyle w:val="BodyText"/>
        <w:tabs>
          <w:tab w:val="left" w:pos="680"/>
          <w:tab w:val="left" w:pos="1134"/>
        </w:tabs>
        <w:spacing w:before="240"/>
        <w:jc w:val="both"/>
        <w:rPr>
          <w:sz w:val="22"/>
          <w:u w:val="none"/>
        </w:rPr>
      </w:pPr>
      <w:r>
        <w:rPr>
          <w:sz w:val="22"/>
          <w:u w:val="none"/>
        </w:rPr>
        <w:t>Изнасилование и другие виды насилия в отношении женщин и детей, такие как бытовое насилие и жестокое обращение с детьми, встречаются среди людей различных классов, рас, пола и возраста, и больше всего от этого страдают женщины. Например, из более чем 2000 случаев бытового насилия, о которых ежегодно становится известно полиции, 86 процентов жертв составляют женщины и 14 процентов – мужчины. Девяносто три процента случаев насилия совершаются мужчинами и 14 процентов – женщинами</w:t>
      </w:r>
      <w:r>
        <w:rPr>
          <w:rStyle w:val="FootnoteReference"/>
          <w:sz w:val="22"/>
          <w:u w:val="none"/>
        </w:rPr>
        <w:footnoteReference w:customMarkFollows="1" w:id="37"/>
        <w:t>36</w:t>
      </w:r>
      <w:r>
        <w:rPr>
          <w:sz w:val="22"/>
          <w:u w:val="none"/>
        </w:rPr>
        <w:t>.</w:t>
      </w:r>
    </w:p>
    <w:p w:rsidR="00000000" w:rsidRDefault="00000000">
      <w:pPr>
        <w:pStyle w:val="BodyText"/>
        <w:tabs>
          <w:tab w:val="left" w:pos="680"/>
          <w:tab w:val="left" w:pos="1134"/>
        </w:tabs>
        <w:spacing w:before="240"/>
        <w:jc w:val="both"/>
        <w:rPr>
          <w:sz w:val="22"/>
          <w:u w:val="none"/>
        </w:rPr>
      </w:pPr>
      <w:r>
        <w:rPr>
          <w:sz w:val="22"/>
          <w:u w:val="none"/>
        </w:rPr>
        <w:t>Среди факторов, способствующих распространению бытового насилия, – отношения, основанные на подчинении, бедность, безработица и злоупотребление алкоголем или наркотиками. Более одной пятой всех насильственных преступлений в Намибии совершается в семьях.</w:t>
      </w:r>
    </w:p>
    <w:p w:rsidR="00000000" w:rsidRDefault="00000000">
      <w:pPr>
        <w:pStyle w:val="BodyText"/>
        <w:tabs>
          <w:tab w:val="left" w:pos="680"/>
          <w:tab w:val="left" w:pos="1134"/>
        </w:tabs>
        <w:spacing w:before="240"/>
        <w:jc w:val="both"/>
        <w:rPr>
          <w:sz w:val="22"/>
          <w:u w:val="none"/>
        </w:rPr>
      </w:pPr>
      <w:r>
        <w:rPr>
          <w:sz w:val="22"/>
          <w:u w:val="none"/>
        </w:rPr>
        <w:t>Как и в случаях изнасилования, подавляющее большинство случаев бытового насилия остаются неизвестными полиции. По данным Группы по защите женщин и детей (WCPU), причинами несообщения о таких случаях в полицию являются нежелание нарушать традиции, незнание законов и своих собственных прав, удаленность от полицейского участка, боязнь не встретить должного отклика со стороны  полиции, боязнь отмщения и/или последствий для своих семей</w:t>
      </w:r>
      <w:r>
        <w:rPr>
          <w:rStyle w:val="FootnoteReference"/>
          <w:sz w:val="22"/>
          <w:u w:val="none"/>
        </w:rPr>
        <w:footnoteReference w:customMarkFollows="1" w:id="38"/>
        <w:t>37</w:t>
      </w:r>
      <w:r>
        <w:rPr>
          <w:sz w:val="22"/>
          <w:u w:val="none"/>
        </w:rPr>
        <w:t>.</w:t>
      </w:r>
    </w:p>
    <w:p w:rsidR="00000000" w:rsidRDefault="00000000">
      <w:pPr>
        <w:pStyle w:val="BodyText"/>
        <w:tabs>
          <w:tab w:val="left" w:pos="680"/>
          <w:tab w:val="left" w:pos="1134"/>
        </w:tabs>
        <w:spacing w:before="240"/>
        <w:jc w:val="both"/>
        <w:rPr>
          <w:sz w:val="22"/>
          <w:u w:val="none"/>
        </w:rPr>
      </w:pPr>
      <w:r>
        <w:rPr>
          <w:sz w:val="22"/>
          <w:u w:val="none"/>
        </w:rPr>
        <w:t>Широкое распространение насилия в отношении женщин и детей во всех слоях общества подтолкнуло общинные организации и заинтересованных граждан обратиться к правительству с призывом о проведении правовой реформы и укреплении социальных служб. В результате с 1996 года Комиссия по правовой реформе и развитию, по согласованию с Министерством юстиции, приступила к осуществлению комплексного проекта по борьбе с насилием в отношении женщин и детей. Целями этого проекта являлись: выявление случаев нарушения прав человека женщин и детей; выявление причин, лежащих в их основе; и определение мер, которые нужно принять с целью предотвращения нарушения, защиты и содействия соблюдению вышеупомянутых прав.</w:t>
      </w:r>
    </w:p>
    <w:p w:rsidR="00000000" w:rsidRDefault="00000000">
      <w:pPr>
        <w:pStyle w:val="BodyText"/>
        <w:tabs>
          <w:tab w:val="left" w:pos="680"/>
          <w:tab w:val="left" w:pos="1134"/>
        </w:tabs>
        <w:spacing w:before="240"/>
        <w:jc w:val="both"/>
        <w:rPr>
          <w:sz w:val="22"/>
          <w:u w:val="none"/>
        </w:rPr>
      </w:pPr>
      <w:r>
        <w:rPr>
          <w:sz w:val="22"/>
          <w:u w:val="none"/>
        </w:rPr>
        <w:t>В поддержку этих мер Президент Нуйома на праздновании Дня независимости 21 марта 2001 года заявил следующее: "</w:t>
      </w:r>
      <w:r>
        <w:rPr>
          <w:i/>
          <w:sz w:val="22"/>
          <w:u w:val="none"/>
        </w:rPr>
        <w:t>Весь народ обеспокоен ростом случаев насилия в отношении женщин и детей в нашем обществе. Желания наших матерей, сестер и дочерей должны уважаться всеми членами нашего общества. Они должны иметь возможность свободно передвигаться по всей территории Намибии в любое время дня и ночи, не боясь, что на них нападут, а их права и свободы будут нарушены каким-либо лицом или группой мужчин</w:t>
      </w:r>
      <w:r>
        <w:rPr>
          <w:sz w:val="22"/>
          <w:u w:val="none"/>
        </w:rPr>
        <w:t>"</w:t>
      </w:r>
      <w:r>
        <w:rPr>
          <w:i/>
          <w:sz w:val="22"/>
          <w:u w:val="none"/>
        </w:rPr>
        <w:t>.</w:t>
      </w:r>
    </w:p>
    <w:p w:rsidR="00000000" w:rsidRDefault="00000000">
      <w:pPr>
        <w:pStyle w:val="BodyText"/>
        <w:tabs>
          <w:tab w:val="left" w:pos="680"/>
          <w:tab w:val="left" w:pos="1134"/>
        </w:tabs>
        <w:ind w:left="680" w:hanging="680"/>
        <w:jc w:val="both"/>
        <w:rPr>
          <w:sz w:val="22"/>
          <w:u w:val="none"/>
        </w:rPr>
      </w:pPr>
      <w:r>
        <w:rPr>
          <w:sz w:val="22"/>
          <w:u w:val="none"/>
        </w:rPr>
        <w:tab/>
      </w:r>
    </w:p>
    <w:tbl>
      <w:tblPr>
        <w:tblW w:w="0" w:type="auto"/>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4"/>
      </w:tblGrid>
      <w:tr w:rsidR="00000000">
        <w:tblPrEx>
          <w:tblCellMar>
            <w:top w:w="0" w:type="dxa"/>
            <w:bottom w:w="0" w:type="dxa"/>
          </w:tblCellMar>
        </w:tblPrEx>
        <w:tc>
          <w:tcPr>
            <w:tcW w:w="8784" w:type="dxa"/>
          </w:tcPr>
          <w:p w:rsidR="00000000" w:rsidRDefault="00000000">
            <w:pPr>
              <w:pStyle w:val="BodyText"/>
              <w:tabs>
                <w:tab w:val="left" w:pos="680"/>
                <w:tab w:val="left" w:pos="1134"/>
              </w:tabs>
              <w:spacing w:before="40" w:after="60"/>
              <w:jc w:val="both"/>
              <w:rPr>
                <w:sz w:val="22"/>
                <w:u w:val="none"/>
              </w:rPr>
            </w:pPr>
            <w:r>
              <w:rPr>
                <w:sz w:val="22"/>
                <w:u w:val="none"/>
              </w:rPr>
              <w:t>Комиссия по правовой реформе и развитию после многочисленных национальных конференций, семинаров, практикумов и посещений различных районов Намибии предложила Законопроект о насилии в семье. Затем этот законопроект был утвержден парламентом.</w:t>
            </w:r>
          </w:p>
        </w:tc>
      </w:tr>
    </w:tbl>
    <w:p w:rsidR="00000000" w:rsidRDefault="00000000">
      <w:pPr>
        <w:pStyle w:val="BodyText"/>
        <w:tabs>
          <w:tab w:val="left" w:pos="680"/>
          <w:tab w:val="left" w:pos="1134"/>
        </w:tabs>
        <w:spacing w:before="240"/>
        <w:jc w:val="both"/>
        <w:rPr>
          <w:sz w:val="22"/>
          <w:u w:val="none"/>
        </w:rPr>
      </w:pPr>
      <w:r>
        <w:rPr>
          <w:sz w:val="22"/>
          <w:u w:val="none"/>
        </w:rPr>
        <w:t>Закон о борьбе с насилием в семье (Закон № 4 от 2003 года) вкратце предусматривает следующее:</w:t>
      </w:r>
    </w:p>
    <w:p w:rsidR="00000000" w:rsidRDefault="00000000">
      <w:pPr>
        <w:pStyle w:val="BodyText"/>
        <w:tabs>
          <w:tab w:val="left" w:pos="680"/>
          <w:tab w:val="left" w:pos="1134"/>
        </w:tabs>
        <w:spacing w:before="240"/>
        <w:ind w:left="1134" w:hanging="1134"/>
        <w:jc w:val="both"/>
        <w:rPr>
          <w:sz w:val="22"/>
          <w:u w:val="none"/>
        </w:rPr>
      </w:pPr>
      <w:r>
        <w:rPr>
          <w:sz w:val="22"/>
          <w:u w:val="none"/>
        </w:rPr>
        <w:tab/>
        <w:t>i)</w:t>
      </w:r>
      <w:r>
        <w:rPr>
          <w:sz w:val="22"/>
          <w:u w:val="none"/>
        </w:rPr>
        <w:tab/>
        <w:t>Охранные судебные приказы – раздел 4 закона предусматривает, что любое лицо может обратиться с заявлением о выдаче судебного приказа о личной неприкосновенности в "семейных отношениях". Таким образом, данный закон является нейтральным с гендерной точки зрения. В нем далее говорится, что любое другое лицо, заинтересованное в благополучии заявителя, например полицейский, социальный работник, советник и т. д., также может подать такое заявление от лица жертвы. Безусловно, такая третья сторона должна действовать с согласия заявителя, за исключением ситуаций, не подконтрольных заявителю</w:t>
      </w:r>
      <w:r>
        <w:rPr>
          <w:rStyle w:val="FootnoteReference"/>
          <w:sz w:val="22"/>
          <w:u w:val="none"/>
        </w:rPr>
        <w:footnoteReference w:customMarkFollows="1" w:id="39"/>
        <w:t>38</w:t>
      </w:r>
      <w:r>
        <w:rPr>
          <w:sz w:val="22"/>
          <w:u w:val="none"/>
        </w:rPr>
        <w:t>.</w:t>
      </w:r>
    </w:p>
    <w:p w:rsidR="00000000" w:rsidRDefault="00000000">
      <w:pPr>
        <w:pStyle w:val="BodyText"/>
        <w:tabs>
          <w:tab w:val="left" w:pos="680"/>
          <w:tab w:val="left" w:pos="1134"/>
        </w:tabs>
        <w:spacing w:before="240"/>
        <w:ind w:left="1134" w:hanging="1134"/>
        <w:jc w:val="both"/>
        <w:rPr>
          <w:sz w:val="22"/>
          <w:u w:val="none"/>
        </w:rPr>
      </w:pPr>
      <w:r>
        <w:rPr>
          <w:sz w:val="22"/>
          <w:u w:val="none"/>
        </w:rPr>
        <w:tab/>
      </w:r>
      <w:r>
        <w:rPr>
          <w:sz w:val="22"/>
          <w:u w:val="none"/>
        </w:rPr>
        <w:tab/>
        <w:t>Требования юрисдикции были упрощены таким образом, что выдача охранного судебного приказа может теперь быть произведена мировым судьей по месту проживания заявителя или ответчика или там, где имело место жестокое обращение. Охранный судебный приказ действует на всей территории Намибии.</w:t>
      </w:r>
    </w:p>
    <w:p w:rsidR="00000000" w:rsidRDefault="00000000">
      <w:pPr>
        <w:pStyle w:val="BodyText"/>
        <w:tabs>
          <w:tab w:val="left" w:pos="680"/>
          <w:tab w:val="left" w:pos="1134"/>
        </w:tabs>
        <w:spacing w:before="240"/>
        <w:ind w:left="1134" w:hanging="1134"/>
        <w:jc w:val="both"/>
        <w:rPr>
          <w:sz w:val="22"/>
          <w:u w:val="none"/>
        </w:rPr>
      </w:pPr>
      <w:r>
        <w:rPr>
          <w:sz w:val="22"/>
          <w:u w:val="none"/>
        </w:rPr>
        <w:tab/>
      </w:r>
      <w:r>
        <w:rPr>
          <w:sz w:val="22"/>
          <w:u w:val="none"/>
        </w:rPr>
        <w:tab/>
        <w:t>Охранные судебные приказы предоставляются в течение суток, это положение предусматривает, если необходимо, временную защиту полиции после рабочего времени до тех пор, пока не будет открыт суд.</w:t>
      </w:r>
    </w:p>
    <w:p w:rsidR="00000000" w:rsidRDefault="00000000">
      <w:pPr>
        <w:pStyle w:val="BodyText"/>
        <w:tabs>
          <w:tab w:val="left" w:pos="680"/>
          <w:tab w:val="left" w:pos="1134"/>
        </w:tabs>
        <w:spacing w:before="240"/>
        <w:ind w:left="1134" w:hanging="1134"/>
        <w:jc w:val="both"/>
        <w:rPr>
          <w:sz w:val="22"/>
          <w:u w:val="none"/>
        </w:rPr>
      </w:pPr>
      <w:r>
        <w:rPr>
          <w:sz w:val="22"/>
          <w:u w:val="none"/>
        </w:rPr>
        <w:tab/>
        <w:t>ii)</w:t>
      </w:r>
      <w:r>
        <w:rPr>
          <w:sz w:val="22"/>
          <w:u w:val="none"/>
        </w:rPr>
        <w:tab/>
        <w:t>Положения уголовного кодекса – Законом не вводятся какие-либо новые виды правонарушений, но когда существующие преступления совершаются в рамках семейных отношений, они подпадают под категорию "правонарушений, связанных с бытовым насилием", с тем чтобы к ним можно было применить особые положения, касающиеся программ исправительного воспитания и выбора приговора.</w:t>
      </w:r>
    </w:p>
    <w:p w:rsidR="00000000" w:rsidRDefault="00000000">
      <w:pPr>
        <w:pStyle w:val="BodyText"/>
        <w:tabs>
          <w:tab w:val="left" w:pos="680"/>
          <w:tab w:val="left" w:pos="1134"/>
        </w:tabs>
        <w:spacing w:before="240"/>
        <w:ind w:left="1134" w:hanging="1134"/>
        <w:jc w:val="both"/>
        <w:rPr>
          <w:sz w:val="22"/>
          <w:u w:val="none"/>
        </w:rPr>
      </w:pPr>
      <w:r>
        <w:rPr>
          <w:sz w:val="22"/>
          <w:u w:val="none"/>
        </w:rPr>
        <w:tab/>
      </w:r>
      <w:r>
        <w:rPr>
          <w:sz w:val="22"/>
          <w:u w:val="none"/>
        </w:rPr>
        <w:tab/>
        <w:t xml:space="preserve">Согласно разделу 24 полицейский, который не без оснований подозревает, что совершено правонарушение, связанное с бытовым насилием, может арестовать подозреваемого без ордера на арест. </w:t>
      </w:r>
    </w:p>
    <w:p w:rsidR="00000000" w:rsidRDefault="00000000">
      <w:pPr>
        <w:pStyle w:val="BodyText"/>
        <w:tabs>
          <w:tab w:val="left" w:pos="680"/>
          <w:tab w:val="left" w:pos="1134"/>
        </w:tabs>
        <w:spacing w:before="240"/>
        <w:ind w:left="1134" w:hanging="1134"/>
        <w:jc w:val="both"/>
        <w:rPr>
          <w:sz w:val="22"/>
          <w:u w:val="none"/>
        </w:rPr>
      </w:pPr>
      <w:r>
        <w:rPr>
          <w:sz w:val="22"/>
          <w:u w:val="none"/>
        </w:rPr>
        <w:tab/>
        <w:t>iii)</w:t>
      </w:r>
      <w:r>
        <w:rPr>
          <w:sz w:val="22"/>
          <w:u w:val="none"/>
        </w:rPr>
        <w:tab/>
        <w:t>Общие положения – защищать частную жизнь; согласно этой статье правонарушением считается разглашение информации, раскрывающей личность тех, кого касаются охранные судебные приказы, или тех, кто участвует в уголовном процессе в связи с бытовым насилием.</w:t>
      </w:r>
    </w:p>
    <w:p w:rsidR="00000000" w:rsidRDefault="00000000">
      <w:pPr>
        <w:pStyle w:val="BodyText"/>
        <w:tabs>
          <w:tab w:val="left" w:pos="680"/>
          <w:tab w:val="left" w:pos="1134"/>
        </w:tabs>
        <w:spacing w:before="240"/>
        <w:jc w:val="both"/>
        <w:rPr>
          <w:sz w:val="22"/>
          <w:u w:val="none"/>
        </w:rPr>
      </w:pPr>
      <w:r>
        <w:rPr>
          <w:sz w:val="22"/>
          <w:u w:val="none"/>
        </w:rPr>
        <w:t>Кроме того, в июне 1996 года была организована кампания в средствах массовой информации против насилия в отношении женщин и детей, в которой участвуют государственные учреждения, НПО и отдельные лица, занимающиеся борьбой с насилием, предоставляющие материально-техническую помощь или правовую защиту по вопросам, касающимся насилия в отношении женщин и детей.</w:t>
      </w:r>
    </w:p>
    <w:p w:rsidR="00000000" w:rsidRDefault="00000000">
      <w:pPr>
        <w:pStyle w:val="BodyText"/>
        <w:tabs>
          <w:tab w:val="left" w:pos="680"/>
          <w:tab w:val="left" w:pos="1134"/>
        </w:tabs>
        <w:spacing w:before="240"/>
        <w:jc w:val="both"/>
        <w:rPr>
          <w:sz w:val="22"/>
          <w:u w:val="none"/>
        </w:rPr>
      </w:pPr>
      <w:r>
        <w:rPr>
          <w:sz w:val="22"/>
          <w:u w:val="none"/>
        </w:rPr>
        <w:t>Для того чтобы обеспечить убежище для женщин и детей, подвергшихся жестокому обращению, и создать подходящую и благоприятную обстановку для травмированных жертв, намибийская полиция создала группы по защите женщин и детей. Первая такая группа была учреждена в 1993 году и начала работать в 1994 году. В настоящее время по всей стране работают 15 таких групп.</w:t>
      </w:r>
    </w:p>
    <w:p w:rsidR="00000000" w:rsidRDefault="00000000">
      <w:pPr>
        <w:pStyle w:val="BodyText"/>
        <w:tabs>
          <w:tab w:val="left" w:pos="680"/>
          <w:tab w:val="left" w:pos="1134"/>
        </w:tabs>
        <w:spacing w:before="240"/>
        <w:jc w:val="both"/>
        <w:rPr>
          <w:sz w:val="22"/>
          <w:u w:val="none"/>
        </w:rPr>
      </w:pPr>
      <w:r>
        <w:rPr>
          <w:sz w:val="22"/>
          <w:u w:val="none"/>
        </w:rPr>
        <w:t>Кроме того, за последние несколько лет были созданы различные НПО, занимающиеся вопросами насилия в отношении женщин и детей. В их число входят организации "Мужчины против насилия в отношении женщин" и "Мужчины Намибии за перемены". Хотя женщины также в той или иной степени вовлечены в работу этих двух организаций, наиболее активными их участниками являются мужчины.</w:t>
      </w:r>
    </w:p>
    <w:p w:rsidR="00000000" w:rsidRDefault="00000000">
      <w:pPr>
        <w:pStyle w:val="BodyText"/>
        <w:tabs>
          <w:tab w:val="left" w:pos="680"/>
          <w:tab w:val="left" w:pos="1134"/>
        </w:tabs>
        <w:spacing w:before="240"/>
        <w:jc w:val="both"/>
        <w:rPr>
          <w:b/>
          <w:sz w:val="22"/>
          <w:u w:val="none"/>
        </w:rPr>
      </w:pPr>
      <w:r>
        <w:rPr>
          <w:b/>
          <w:sz w:val="22"/>
          <w:u w:val="none"/>
        </w:rPr>
        <w:t>3.3</w:t>
      </w:r>
      <w:r>
        <w:rPr>
          <w:b/>
          <w:sz w:val="22"/>
          <w:u w:val="none"/>
        </w:rPr>
        <w:tab/>
        <w:t>Жестокое обращение с детьми</w:t>
      </w:r>
    </w:p>
    <w:p w:rsidR="00000000" w:rsidRDefault="00000000">
      <w:pPr>
        <w:pStyle w:val="BodyText"/>
        <w:tabs>
          <w:tab w:val="left" w:pos="680"/>
          <w:tab w:val="left" w:pos="1134"/>
        </w:tabs>
        <w:spacing w:before="240"/>
        <w:jc w:val="both"/>
        <w:rPr>
          <w:sz w:val="22"/>
          <w:u w:val="none"/>
        </w:rPr>
      </w:pPr>
      <w:r>
        <w:rPr>
          <w:sz w:val="22"/>
          <w:u w:val="none"/>
        </w:rPr>
        <w:t>Жестокое обращение с детьми в Намибии проявляется в виде сексуального, физического и морального надругательства, финансовых злоупотреблений и общего пренебрежения интересами ребенка. Несмотря на то что такие действия совершаются как мужчинами, так и женщинами, в большинстве случаев в этом повинны мужчины. Хотя жестокому обращению подвергаются и мальчики, и девочки, в большинстве своем жертвами являются девочки</w:t>
      </w:r>
      <w:r>
        <w:rPr>
          <w:rStyle w:val="FootnoteReference"/>
          <w:sz w:val="22"/>
          <w:u w:val="none"/>
        </w:rPr>
        <w:footnoteReference w:customMarkFollows="1" w:id="40"/>
        <w:t>39</w:t>
      </w:r>
      <w:r>
        <w:rPr>
          <w:sz w:val="22"/>
          <w:u w:val="none"/>
        </w:rPr>
        <w:t xml:space="preserve">. </w:t>
      </w:r>
    </w:p>
    <w:p w:rsidR="00000000" w:rsidRDefault="00000000">
      <w:pPr>
        <w:pStyle w:val="BodyText"/>
        <w:tabs>
          <w:tab w:val="left" w:pos="680"/>
          <w:tab w:val="left" w:pos="1134"/>
        </w:tabs>
        <w:spacing w:before="240"/>
        <w:jc w:val="both"/>
        <w:rPr>
          <w:sz w:val="22"/>
          <w:u w:val="none"/>
        </w:rPr>
      </w:pPr>
      <w:r>
        <w:rPr>
          <w:sz w:val="22"/>
          <w:u w:val="none"/>
        </w:rPr>
        <w:t>Правительство Намибии в сотрудничестве с заинтересованными сторонами приняло два закона, направленных на сокращение случаев насилия в отношении женщин и детей. Этими двумя законами являются Закон о борьбе с изнасилованием,</w:t>
      </w:r>
      <w:r>
        <w:rPr>
          <w:i/>
          <w:sz w:val="22"/>
          <w:u w:val="none"/>
        </w:rPr>
        <w:t xml:space="preserve"> </w:t>
      </w:r>
      <w:r>
        <w:rPr>
          <w:sz w:val="22"/>
          <w:u w:val="none"/>
        </w:rPr>
        <w:t xml:space="preserve">предписывающий минимальные сроки за изнасилование, который вселяет надежду, что с его принятием количество случаев аморального поведения сократится, и Закон о борьбе с насилием в семье (Закон № 4 от 2003 года). </w:t>
      </w:r>
    </w:p>
    <w:p w:rsidR="00000000" w:rsidRDefault="00000000">
      <w:pPr>
        <w:pStyle w:val="BodyText"/>
        <w:tabs>
          <w:tab w:val="left" w:pos="680"/>
          <w:tab w:val="left" w:pos="1134"/>
        </w:tabs>
        <w:spacing w:before="240"/>
        <w:jc w:val="both"/>
        <w:rPr>
          <w:sz w:val="22"/>
          <w:u w:val="none"/>
        </w:rPr>
      </w:pPr>
      <w:r>
        <w:rPr>
          <w:sz w:val="22"/>
          <w:u w:val="none"/>
        </w:rPr>
        <w:t>Необходимость принятия Закона о борьбе с насилием в семье в Намибии была вызвана широким распространением бытового насилия в отношении женщин и детей, пронизывавшим все слои общества. Закон способствует признанию прав женщин и детей, являющихся наиболее уязвимыми членами общества.</w:t>
      </w:r>
    </w:p>
    <w:p w:rsidR="00000000" w:rsidRDefault="00000000">
      <w:pPr>
        <w:pStyle w:val="BodyText"/>
        <w:tabs>
          <w:tab w:val="left" w:pos="680"/>
          <w:tab w:val="left" w:pos="1134"/>
        </w:tabs>
        <w:spacing w:before="240"/>
        <w:jc w:val="both"/>
        <w:rPr>
          <w:b/>
          <w:sz w:val="22"/>
          <w:u w:val="none"/>
        </w:rPr>
      </w:pPr>
      <w:r>
        <w:rPr>
          <w:b/>
          <w:sz w:val="22"/>
          <w:u w:val="none"/>
        </w:rPr>
        <w:t>3.4</w:t>
      </w:r>
      <w:r>
        <w:rPr>
          <w:b/>
          <w:sz w:val="22"/>
          <w:u w:val="none"/>
        </w:rPr>
        <w:tab/>
        <w:t>Насилие в отношении женщин и ВИЧ/СПИД</w:t>
      </w:r>
    </w:p>
    <w:p w:rsidR="00000000" w:rsidRDefault="00000000">
      <w:pPr>
        <w:pStyle w:val="BodyText"/>
        <w:tabs>
          <w:tab w:val="left" w:pos="680"/>
          <w:tab w:val="left" w:pos="1134"/>
        </w:tabs>
        <w:spacing w:before="240"/>
        <w:jc w:val="both"/>
        <w:rPr>
          <w:sz w:val="22"/>
          <w:u w:val="none"/>
        </w:rPr>
      </w:pPr>
      <w:r>
        <w:rPr>
          <w:sz w:val="22"/>
          <w:u w:val="none"/>
        </w:rPr>
        <w:t>По оценочным данным на 2002 год, 22 процента всего взрослого населения Намибии, или около четверти миллиона намибийцев, имеют положительную реакцию на ВИЧ, и эта цифра будет продолжать расти практически до 25 процентов</w:t>
      </w:r>
      <w:r>
        <w:rPr>
          <w:rStyle w:val="FootnoteReference"/>
          <w:sz w:val="22"/>
          <w:u w:val="none"/>
        </w:rPr>
        <w:footnoteReference w:customMarkFollows="1" w:id="41"/>
        <w:t>40</w:t>
      </w:r>
      <w:r>
        <w:rPr>
          <w:sz w:val="22"/>
          <w:u w:val="none"/>
        </w:rPr>
        <w:t>. По данным системы медицинской информации, в 1999 году примерно 2823 человека умерли от заболеваний, связанных со СПИДом, что составляет 26 процентов всех зарегистрированных случаев смерти и 47 процентов всех случаев смерти в возрастной группе 15–49 лет. Однако большинство случаев смерти, связанных со СПИДом, не было зафиксировано в системе медицинской информации. В действительности моделирование процесса указывает на то, что около 50 000 намибийцев уже умерли от заболеваний, связанных со СПИДом, а к 2021 году число умерших от этих заболеваний составит в общей сложности свыше полумиллиона человек. Общая численность населения к 2021 году, по оценкам, составит 2,7 млн. человек, тогда как при отсутствии распространения СПИДа эта цифра, по расчетам, могла бы составить 3,6 млн. человек. Тот факт, что женщины чаще всего становятся жертвами бытового насилия, особенно изнасилования, и что они не имеют права распоряжаться своим телом и сексуальной жизнью, делает их уязвимыми к заражению ВИЧ/СПИДом.</w:t>
      </w:r>
    </w:p>
    <w:p w:rsidR="00000000" w:rsidRDefault="00000000">
      <w:pPr>
        <w:pStyle w:val="BodyText"/>
        <w:tabs>
          <w:tab w:val="left" w:pos="680"/>
          <w:tab w:val="left" w:pos="1134"/>
        </w:tabs>
        <w:spacing w:before="240"/>
        <w:jc w:val="both"/>
        <w:rPr>
          <w:sz w:val="22"/>
          <w:u w:val="none"/>
        </w:rPr>
      </w:pPr>
      <w:r>
        <w:rPr>
          <w:sz w:val="22"/>
          <w:u w:val="none"/>
        </w:rPr>
        <w:t>Пандемия ВИЧ/СПИДа в Намибии отражается на намибийских детях. В исследовании, проведенном SIAPAC в 2002 году</w:t>
      </w:r>
      <w:r>
        <w:rPr>
          <w:rStyle w:val="FootnoteReference"/>
          <w:sz w:val="22"/>
          <w:u w:val="none"/>
        </w:rPr>
        <w:footnoteReference w:customMarkFollows="1" w:id="42"/>
        <w:t>41</w:t>
      </w:r>
      <w:r>
        <w:rPr>
          <w:sz w:val="22"/>
          <w:u w:val="none"/>
        </w:rPr>
        <w:t>, говорится, что, по данным на 2001 год, у половины всех сирот в Намибии родители умерли от СПИДа. К 2005 году этот показатель возрастет примерно до 75 процентов и будет сохраняться на уровне, превышающем 75 процентов, до 2021 года. В отношении сирот, родители которых умерли от СПИДа, "наиболее пострадавшими" районами Намибии в настоящее время являются четыре северно-центральных района – Оханвенга, Ошикото, Ошана и Омусати, северо-восточные районы Каприви и Каванго, а также Виндхук в районе Комас в центральной Намибии.</w:t>
      </w:r>
    </w:p>
    <w:p w:rsidR="00000000" w:rsidRDefault="00000000">
      <w:pPr>
        <w:pStyle w:val="BodyText"/>
        <w:tabs>
          <w:tab w:val="left" w:pos="680"/>
          <w:tab w:val="left" w:pos="1134"/>
        </w:tabs>
        <w:spacing w:before="240"/>
        <w:jc w:val="both"/>
        <w:rPr>
          <w:sz w:val="22"/>
          <w:u w:val="none"/>
        </w:rPr>
      </w:pPr>
      <w:r>
        <w:rPr>
          <w:sz w:val="22"/>
          <w:u w:val="none"/>
        </w:rPr>
        <w:t>По данным на 2001 год, сироты в Намибии в целом составляют примерно 20 процентов от всех детей в возрасте до 17 лет, и к 2021 году этот показатель возрастет до 40 процентов</w:t>
      </w:r>
      <w:r>
        <w:rPr>
          <w:rStyle w:val="FootnoteReference"/>
          <w:sz w:val="22"/>
          <w:u w:val="none"/>
        </w:rPr>
        <w:footnoteReference w:customMarkFollows="1" w:id="43"/>
        <w:t>42</w:t>
      </w:r>
      <w:r>
        <w:rPr>
          <w:sz w:val="22"/>
          <w:u w:val="none"/>
        </w:rPr>
        <w:t xml:space="preserve">. </w:t>
      </w:r>
    </w:p>
    <w:p w:rsidR="00000000" w:rsidRDefault="00000000">
      <w:pPr>
        <w:pStyle w:val="BodyText"/>
        <w:tabs>
          <w:tab w:val="left" w:pos="680"/>
          <w:tab w:val="left" w:pos="1134"/>
        </w:tabs>
        <w:spacing w:before="480"/>
        <w:jc w:val="both"/>
        <w:rPr>
          <w:b/>
          <w:sz w:val="22"/>
          <w:u w:val="none"/>
        </w:rPr>
      </w:pPr>
      <w:r>
        <w:rPr>
          <w:b/>
          <w:sz w:val="22"/>
          <w:u w:val="none"/>
        </w:rPr>
        <w:t>СТАТЬЯ 4:</w:t>
      </w:r>
      <w:r>
        <w:rPr>
          <w:b/>
          <w:sz w:val="22"/>
          <w:u w:val="none"/>
        </w:rPr>
        <w:tab/>
        <w:t>Позитивные действия</w:t>
      </w:r>
    </w:p>
    <w:p w:rsidR="00000000" w:rsidRDefault="00000000">
      <w:pPr>
        <w:pStyle w:val="BodyText"/>
        <w:tabs>
          <w:tab w:val="left" w:pos="680"/>
          <w:tab w:val="left" w:pos="1134"/>
        </w:tabs>
        <w:spacing w:before="240"/>
        <w:jc w:val="both"/>
        <w:rPr>
          <w:b/>
          <w:sz w:val="22"/>
          <w:u w:val="none"/>
        </w:rPr>
      </w:pPr>
      <w:r>
        <w:rPr>
          <w:b/>
          <w:sz w:val="22"/>
          <w:u w:val="none"/>
        </w:rPr>
        <w:t>4.1</w:t>
      </w:r>
      <w:r>
        <w:rPr>
          <w:b/>
          <w:sz w:val="22"/>
          <w:u w:val="none"/>
        </w:rPr>
        <w:tab/>
        <w:t>Положения Конституции, предусматривающие позитивные действия</w:t>
      </w:r>
    </w:p>
    <w:p w:rsidR="00000000" w:rsidRDefault="00000000">
      <w:pPr>
        <w:pStyle w:val="BodyText"/>
        <w:tabs>
          <w:tab w:val="left" w:pos="680"/>
          <w:tab w:val="left" w:pos="1134"/>
        </w:tabs>
        <w:spacing w:before="240"/>
        <w:jc w:val="both"/>
        <w:rPr>
          <w:sz w:val="22"/>
          <w:u w:val="none"/>
        </w:rPr>
      </w:pPr>
      <w:r>
        <w:rPr>
          <w:sz w:val="22"/>
          <w:u w:val="none"/>
        </w:rPr>
        <w:t>После обретения Намибией независимости и последующей ликвидации системы апартеида в стране согласно статье 10 Конституции запрещена дискриминация по признаку пола, расы, этнического происхождения, верований и социального и экономического положения. В дополнение к запрещению дискриминационной практики в Конституции Намибии прямо разрешено принимать меры с целью содействия улучшению положения лиц, находящихся в неблагоприятном положении из-за имевшей место в прошлом дискриминационной практики. Именно в этом контексте парламент принял Закон о позитивных действиях (в области занятости) (Закон № 29 от 1998 года)</w:t>
      </w:r>
      <w:r>
        <w:rPr>
          <w:rStyle w:val="FootnoteReference"/>
          <w:sz w:val="22"/>
          <w:u w:val="none"/>
        </w:rPr>
        <w:footnoteReference w:customMarkFollows="1" w:id="44"/>
        <w:t>43</w:t>
      </w:r>
      <w:r>
        <w:rPr>
          <w:sz w:val="22"/>
          <w:u w:val="none"/>
        </w:rPr>
        <w:t>.</w:t>
      </w:r>
    </w:p>
    <w:p w:rsidR="00000000" w:rsidRDefault="00000000">
      <w:pPr>
        <w:pStyle w:val="BodyText"/>
        <w:tabs>
          <w:tab w:val="left" w:pos="680"/>
          <w:tab w:val="left" w:pos="1134"/>
        </w:tabs>
        <w:spacing w:before="240"/>
        <w:jc w:val="both"/>
        <w:rPr>
          <w:b/>
          <w:sz w:val="22"/>
          <w:u w:val="none"/>
        </w:rPr>
      </w:pPr>
      <w:r>
        <w:rPr>
          <w:b/>
          <w:sz w:val="22"/>
          <w:u w:val="none"/>
        </w:rPr>
        <w:t>4.2</w:t>
      </w:r>
      <w:r>
        <w:rPr>
          <w:b/>
          <w:sz w:val="22"/>
          <w:u w:val="none"/>
        </w:rPr>
        <w:tab/>
        <w:t>Закон о позитивных действиях (в области занятости)</w:t>
      </w:r>
    </w:p>
    <w:p w:rsidR="00000000" w:rsidRDefault="00000000">
      <w:pPr>
        <w:pStyle w:val="BodyText"/>
        <w:tabs>
          <w:tab w:val="left" w:pos="680"/>
          <w:tab w:val="left" w:pos="1134"/>
        </w:tabs>
        <w:spacing w:before="240"/>
        <w:jc w:val="both"/>
        <w:rPr>
          <w:sz w:val="22"/>
          <w:u w:val="none"/>
        </w:rPr>
      </w:pPr>
      <w:r>
        <w:rPr>
          <w:sz w:val="22"/>
          <w:u w:val="none"/>
        </w:rPr>
        <w:t>Закон о позитивных действиях (в области занятости) был обнародован в 1998 году, после того как был направлен профсоюзам, работодателям и НПО консультационный документ для представления комментариев.</w:t>
      </w:r>
    </w:p>
    <w:p w:rsidR="00000000" w:rsidRDefault="00000000">
      <w:pPr>
        <w:pStyle w:val="BodyText"/>
        <w:tabs>
          <w:tab w:val="left" w:pos="680"/>
          <w:tab w:val="left" w:pos="1134"/>
        </w:tabs>
        <w:spacing w:before="240"/>
        <w:jc w:val="both"/>
        <w:rPr>
          <w:sz w:val="22"/>
          <w:u w:val="none"/>
        </w:rPr>
      </w:pPr>
      <w:r>
        <w:rPr>
          <w:sz w:val="22"/>
          <w:u w:val="none"/>
        </w:rPr>
        <w:t>Закон о позитивных действиях (в области занятости) требует, чтобы все работодатели подготовили планы позитивных действий в интересах чернокожего населения, женщин и инвалидов для принятия соответствующих мер. Такие планы позитивных действий могли бы включать следующие компоненты:</w:t>
      </w:r>
    </w:p>
    <w:p w:rsidR="00000000" w:rsidRDefault="00000000">
      <w:pPr>
        <w:pStyle w:val="BodyText"/>
        <w:tabs>
          <w:tab w:val="left" w:pos="680"/>
          <w:tab w:val="left" w:pos="1134"/>
        </w:tabs>
        <w:spacing w:before="240"/>
        <w:jc w:val="both"/>
        <w:rPr>
          <w:sz w:val="22"/>
          <w:u w:val="none"/>
        </w:rPr>
      </w:pPr>
      <w:r>
        <w:rPr>
          <w:sz w:val="22"/>
          <w:u w:val="none"/>
        </w:rPr>
        <w:sym w:font="Wingdings" w:char="F076"/>
      </w:r>
      <w:r>
        <w:rPr>
          <w:sz w:val="22"/>
          <w:u w:val="none"/>
        </w:rPr>
        <w:tab/>
        <w:t>анализ рабочей силы: перечень всех рабочих мест в каждом департаменте или организационном подразделении с указанием общего числа работников и числа членов целевых групп по каждой категории должностей;</w:t>
      </w:r>
    </w:p>
    <w:p w:rsidR="00000000" w:rsidRDefault="00000000">
      <w:pPr>
        <w:pStyle w:val="BodyText"/>
        <w:tabs>
          <w:tab w:val="left" w:pos="680"/>
          <w:tab w:val="left" w:pos="1134"/>
        </w:tabs>
        <w:spacing w:before="240"/>
        <w:jc w:val="both"/>
        <w:rPr>
          <w:sz w:val="22"/>
          <w:u w:val="none"/>
        </w:rPr>
      </w:pPr>
      <w:r>
        <w:rPr>
          <w:sz w:val="22"/>
          <w:u w:val="none"/>
        </w:rPr>
        <w:sym w:font="Wingdings" w:char="F076"/>
      </w:r>
      <w:r>
        <w:rPr>
          <w:sz w:val="22"/>
          <w:u w:val="none"/>
        </w:rPr>
        <w:tab/>
        <w:t>анализ использования: выяснение, является ли число членов целевых групп в рабочей силе работодателя достаточным с учетом их численности в соответствующей рабочей силе;</w:t>
      </w:r>
    </w:p>
    <w:p w:rsidR="00000000" w:rsidRDefault="00000000">
      <w:pPr>
        <w:pStyle w:val="BodyText"/>
        <w:tabs>
          <w:tab w:val="left" w:pos="680"/>
          <w:tab w:val="left" w:pos="1134"/>
        </w:tabs>
        <w:spacing w:before="240"/>
        <w:jc w:val="both"/>
        <w:rPr>
          <w:sz w:val="22"/>
          <w:u w:val="none"/>
        </w:rPr>
      </w:pPr>
      <w:r>
        <w:rPr>
          <w:sz w:val="22"/>
          <w:u w:val="none"/>
        </w:rPr>
        <w:sym w:font="Wingdings" w:char="F076"/>
      </w:r>
      <w:r>
        <w:rPr>
          <w:sz w:val="22"/>
          <w:u w:val="none"/>
        </w:rPr>
        <w:tab/>
        <w:t>анализ политики и практики в области занятости с целью определения их соответствующего влияния на группы ущемленных;</w:t>
      </w:r>
    </w:p>
    <w:p w:rsidR="00000000" w:rsidRDefault="00000000">
      <w:pPr>
        <w:pStyle w:val="BodyText"/>
        <w:tabs>
          <w:tab w:val="left" w:pos="680"/>
          <w:tab w:val="left" w:pos="1134"/>
        </w:tabs>
        <w:spacing w:before="240"/>
        <w:jc w:val="both"/>
        <w:rPr>
          <w:sz w:val="22"/>
          <w:u w:val="none"/>
        </w:rPr>
      </w:pPr>
      <w:r>
        <w:rPr>
          <w:sz w:val="22"/>
          <w:u w:val="none"/>
        </w:rPr>
        <w:sym w:font="Wingdings" w:char="F076"/>
      </w:r>
      <w:r>
        <w:rPr>
          <w:sz w:val="22"/>
          <w:u w:val="none"/>
        </w:rPr>
        <w:tab/>
        <w:t>позитивные действия, которые предполагается осуществлять, в том числе 1) ликвидация барьеров в сфере занятости (например, предвзятого подхода к женщинам в процессе найма, собеседования и проверки квалификации); 2) позитивные меры (например, специальные курсы подготовки); и 3) разумные меры в области трудоустройства (например, меры, позволяющие инвалидам занимать рабочие места и продвигаться по служебной лестнице);</w:t>
      </w:r>
    </w:p>
    <w:p w:rsidR="00000000" w:rsidRDefault="00000000">
      <w:pPr>
        <w:pStyle w:val="BodyText"/>
        <w:tabs>
          <w:tab w:val="left" w:pos="680"/>
          <w:tab w:val="left" w:pos="1134"/>
        </w:tabs>
        <w:spacing w:before="240"/>
        <w:jc w:val="both"/>
        <w:rPr>
          <w:sz w:val="22"/>
          <w:u w:val="none"/>
        </w:rPr>
      </w:pPr>
      <w:r>
        <w:rPr>
          <w:sz w:val="22"/>
          <w:u w:val="none"/>
        </w:rPr>
        <w:sym w:font="Wingdings" w:char="F076"/>
      </w:r>
      <w:r>
        <w:rPr>
          <w:sz w:val="22"/>
          <w:u w:val="none"/>
        </w:rPr>
        <w:tab/>
        <w:t>количественные цели и сроки, которые можно использовать для наблюдения за прогрессом в достижении установленных в плане целей;</w:t>
      </w:r>
    </w:p>
    <w:p w:rsidR="00000000" w:rsidRDefault="00000000">
      <w:pPr>
        <w:pStyle w:val="BodyText"/>
        <w:tabs>
          <w:tab w:val="left" w:pos="680"/>
          <w:tab w:val="left" w:pos="1134"/>
        </w:tabs>
        <w:spacing w:before="240"/>
        <w:jc w:val="both"/>
        <w:rPr>
          <w:sz w:val="22"/>
          <w:u w:val="none"/>
        </w:rPr>
      </w:pPr>
      <w:r>
        <w:rPr>
          <w:sz w:val="22"/>
          <w:u w:val="none"/>
        </w:rPr>
        <w:sym w:font="Wingdings" w:char="F076"/>
      </w:r>
      <w:r>
        <w:rPr>
          <w:sz w:val="22"/>
          <w:u w:val="none"/>
        </w:rPr>
        <w:tab/>
        <w:t>процедуры контроля и оценки.</w:t>
      </w:r>
    </w:p>
    <w:p w:rsidR="00000000" w:rsidRDefault="00000000">
      <w:pPr>
        <w:pStyle w:val="BodyText"/>
        <w:tabs>
          <w:tab w:val="left" w:pos="680"/>
          <w:tab w:val="left" w:pos="1134"/>
        </w:tabs>
        <w:spacing w:before="240"/>
        <w:jc w:val="both"/>
        <w:rPr>
          <w:sz w:val="22"/>
          <w:u w:val="none"/>
        </w:rPr>
      </w:pPr>
      <w:r>
        <w:rPr>
          <w:sz w:val="22"/>
          <w:u w:val="none"/>
        </w:rPr>
        <w:t>Хотя Закон о позитивных действиях (в области занятости) направлен на создание равных возможностей для всех, нельзя допускать, чтобы позитивные действия предпринимались за счет снижения производительности труда, но предпочтение должно отдаваться людям с соответствующей квалификацией из целевых групп. Любой другой подход привел бы к формальным назначениям, которые были бы экономически неэффективными и нанесли бы ущерб чувству собственного достоинства тех, кто был назначен на эти должности.</w:t>
      </w:r>
    </w:p>
    <w:p w:rsidR="00000000" w:rsidRDefault="00000000">
      <w:pPr>
        <w:pStyle w:val="BodyText"/>
        <w:tabs>
          <w:tab w:val="left" w:pos="680"/>
          <w:tab w:val="left" w:pos="1134"/>
        </w:tabs>
        <w:spacing w:before="240"/>
        <w:jc w:val="both"/>
        <w:rPr>
          <w:sz w:val="22"/>
          <w:u w:val="none"/>
        </w:rPr>
      </w:pPr>
      <w:r>
        <w:rPr>
          <w:sz w:val="22"/>
          <w:u w:val="none"/>
        </w:rPr>
        <w:t>Министерство труда создало независимый орган, известный как Комиссия по вопросам равноправия в области занятости, для претворения в жизнь законодательства о позитивных действиях.</w:t>
      </w:r>
    </w:p>
    <w:p w:rsidR="00000000" w:rsidRDefault="00000000">
      <w:pPr>
        <w:pStyle w:val="BodyText"/>
        <w:tabs>
          <w:tab w:val="left" w:pos="680"/>
          <w:tab w:val="left" w:pos="1134"/>
        </w:tabs>
        <w:spacing w:before="240"/>
        <w:jc w:val="both"/>
        <w:rPr>
          <w:sz w:val="22"/>
          <w:u w:val="none"/>
        </w:rPr>
      </w:pPr>
      <w:r>
        <w:rPr>
          <w:sz w:val="22"/>
          <w:u w:val="none"/>
        </w:rPr>
        <w:t>Комиссия по вопросам равноправия в области занятости представляет интересы работодателей, наемных работников и членов целевых групп. Она также осуществляет контроль за соблюдением закона и расследует жалобы о случаях дискриминации в сфере занятости.</w:t>
      </w:r>
    </w:p>
    <w:p w:rsidR="00000000" w:rsidRDefault="00000000">
      <w:pPr>
        <w:pStyle w:val="BodyText"/>
        <w:tabs>
          <w:tab w:val="left" w:pos="680"/>
          <w:tab w:val="left" w:pos="1134"/>
        </w:tabs>
        <w:spacing w:before="240"/>
        <w:jc w:val="both"/>
        <w:rPr>
          <w:sz w:val="22"/>
          <w:u w:val="none"/>
        </w:rPr>
      </w:pPr>
      <w:r>
        <w:rPr>
          <w:sz w:val="22"/>
          <w:u w:val="none"/>
        </w:rPr>
        <w:t>В Законе о позитивных действиях (в области занятости) есть положение, предусматривающее наказание любого лица, нарушившего положения этого закона.</w:t>
      </w:r>
    </w:p>
    <w:p w:rsidR="00000000" w:rsidRDefault="00000000">
      <w:pPr>
        <w:pStyle w:val="BodyText"/>
        <w:tabs>
          <w:tab w:val="left" w:pos="680"/>
          <w:tab w:val="left" w:pos="1134"/>
        </w:tabs>
        <w:spacing w:before="240"/>
        <w:jc w:val="both"/>
        <w:rPr>
          <w:b/>
          <w:sz w:val="22"/>
          <w:u w:val="none"/>
        </w:rPr>
      </w:pPr>
      <w:r>
        <w:rPr>
          <w:b/>
          <w:sz w:val="22"/>
          <w:u w:val="none"/>
        </w:rPr>
        <w:t>4.3</w:t>
      </w:r>
      <w:r>
        <w:rPr>
          <w:b/>
          <w:sz w:val="22"/>
          <w:u w:val="none"/>
        </w:rPr>
        <w:tab/>
        <w:t xml:space="preserve">Национальная политика в области расселения </w:t>
      </w:r>
    </w:p>
    <w:p w:rsidR="00000000" w:rsidRDefault="00000000">
      <w:pPr>
        <w:pStyle w:val="BodyText"/>
        <w:tabs>
          <w:tab w:val="left" w:pos="680"/>
          <w:tab w:val="left" w:pos="1134"/>
        </w:tabs>
        <w:spacing w:before="240"/>
        <w:jc w:val="both"/>
        <w:rPr>
          <w:sz w:val="22"/>
          <w:u w:val="none"/>
        </w:rPr>
      </w:pPr>
      <w:r>
        <w:rPr>
          <w:sz w:val="22"/>
          <w:u w:val="none"/>
        </w:rPr>
        <w:t>Это государственная политика, направленная на то, чтобы помочь намибийцам получить земельную собственность. Однако правительство признает, что при решении вопроса о расселении по практическим причинам и в силу обстоятельств, связанных с нехваткой средств, такая помощь может быть предоставлена только на приоритетной основе и сообразно потребностям потенциальных бенефициаров. Правительство через Министерство земель, по вопросам расселения и социальной адаптации (MLRR) установило в своей программе расселения порядок очередности бенефициаров. Основными целевыми группами в этой программе являются члены общины Сан, бывшие военные, вернувшиеся беженцы, перемещенные лица, инвалиды и люди из перенаселенных районов.</w:t>
      </w:r>
    </w:p>
    <w:p w:rsidR="00000000" w:rsidRDefault="00000000">
      <w:pPr>
        <w:pStyle w:val="BodyText"/>
        <w:tabs>
          <w:tab w:val="left" w:pos="680"/>
          <w:tab w:val="left" w:pos="1134"/>
        </w:tabs>
        <w:spacing w:before="240"/>
        <w:jc w:val="both"/>
        <w:rPr>
          <w:sz w:val="22"/>
          <w:u w:val="none"/>
        </w:rPr>
      </w:pPr>
      <w:r>
        <w:rPr>
          <w:sz w:val="22"/>
          <w:u w:val="none"/>
        </w:rPr>
        <w:t>Гуманность государства измеряется тем, какую помощь такое государство оказывает наиболее уязвимым группам общества, включая женщин, детей, престарелых и инвалидов. В результате сохранявшегося в Намибии военного положения возросла численность инвалидов в стране. Считая облегчение положения инвалидов своей обязанностью, правительство помогает им достичь приемлемого экономического и социального положения в общине путем расселения и создания учреждений, где они могут получить социальную помощь, обучиться различным профессиям, стать материально независимыми и добиться уважения их прав человека и гражданских прав в обществе</w:t>
      </w:r>
      <w:r>
        <w:rPr>
          <w:rStyle w:val="FootnoteReference"/>
          <w:sz w:val="22"/>
          <w:u w:val="none"/>
        </w:rPr>
        <w:footnoteReference w:customMarkFollows="1" w:id="45"/>
        <w:t>44</w:t>
      </w:r>
      <w:r>
        <w:rPr>
          <w:sz w:val="22"/>
          <w:u w:val="none"/>
        </w:rPr>
        <w:t>.</w:t>
      </w:r>
    </w:p>
    <w:p w:rsidR="00000000" w:rsidRDefault="00000000">
      <w:pPr>
        <w:pStyle w:val="BodyText"/>
        <w:tabs>
          <w:tab w:val="left" w:pos="680"/>
          <w:tab w:val="left" w:pos="1134"/>
        </w:tabs>
        <w:spacing w:before="240"/>
        <w:jc w:val="both"/>
        <w:rPr>
          <w:b/>
          <w:sz w:val="22"/>
          <w:u w:val="none"/>
        </w:rPr>
      </w:pPr>
      <w:r>
        <w:rPr>
          <w:b/>
          <w:sz w:val="22"/>
          <w:u w:val="none"/>
        </w:rPr>
        <w:t>4.4</w:t>
      </w:r>
      <w:r>
        <w:rPr>
          <w:b/>
          <w:sz w:val="22"/>
          <w:u w:val="none"/>
        </w:rPr>
        <w:tab/>
        <w:t>Другие законы о позитивных действиях</w:t>
      </w:r>
    </w:p>
    <w:p w:rsidR="00000000" w:rsidRDefault="00000000">
      <w:pPr>
        <w:pStyle w:val="BodyText"/>
        <w:tabs>
          <w:tab w:val="left" w:pos="680"/>
          <w:tab w:val="left" w:pos="1134"/>
        </w:tabs>
        <w:spacing w:before="240"/>
        <w:jc w:val="both"/>
        <w:rPr>
          <w:sz w:val="22"/>
          <w:u w:val="none"/>
        </w:rPr>
      </w:pPr>
      <w:r>
        <w:rPr>
          <w:sz w:val="22"/>
          <w:u w:val="none"/>
        </w:rPr>
        <w:t xml:space="preserve">Согласно Закону о кооперативах (Закон № 23 от 1996 года) позитивные действия применяются </w:t>
      </w:r>
      <w:r>
        <w:rPr>
          <w:sz w:val="22"/>
          <w:u w:val="none"/>
        </w:rPr>
        <w:br/>
        <w:t xml:space="preserve">в отношении работающих женщин, не входящих в число официальной рабочей силы. </w:t>
      </w:r>
      <w:r>
        <w:rPr>
          <w:sz w:val="22"/>
          <w:u w:val="none"/>
        </w:rPr>
        <w:br/>
        <w:t>В разделе 29 (2) (b) предусматривается, что в любом кооперативе, значительное число членов которого составляют женщины, в состав правления должна входить по крайней мере одна женщина, для того чтобы повысилось представительство женщин на руководящих должностях</w:t>
      </w:r>
      <w:r>
        <w:rPr>
          <w:rStyle w:val="FootnoteReference"/>
          <w:sz w:val="22"/>
          <w:u w:val="none"/>
        </w:rPr>
        <w:footnoteReference w:customMarkFollows="1" w:id="46"/>
        <w:t>45</w:t>
      </w:r>
      <w:r>
        <w:rPr>
          <w:sz w:val="22"/>
          <w:u w:val="none"/>
        </w:rPr>
        <w:t>. Это положение применяется к любому кооперативу, в число членов которого входит более пяти женщин или в котором женщины составляют более трети членов (в зависимости от того, что меньше).</w:t>
      </w:r>
    </w:p>
    <w:p w:rsidR="00000000" w:rsidRDefault="00000000">
      <w:pPr>
        <w:pStyle w:val="BodyText"/>
        <w:tabs>
          <w:tab w:val="left" w:pos="680"/>
          <w:tab w:val="left" w:pos="1134"/>
        </w:tabs>
        <w:spacing w:before="240"/>
        <w:jc w:val="both"/>
        <w:rPr>
          <w:sz w:val="22"/>
          <w:u w:val="none"/>
        </w:rPr>
      </w:pPr>
      <w:r>
        <w:rPr>
          <w:sz w:val="22"/>
          <w:u w:val="none"/>
        </w:rPr>
        <w:t>Положения о позитивных действиях были также применены к ряду государственных органов и комитетов, начиная от Комиссии по социальному обеспечению и заканчивая Национальной комиссией по вопросам спорта. В Законе о социальном обеспечении № 34 от 1994 года предусматривается участие женщин – представителей органов управления, профсоюзов и организаций работодателей в Комиссии по социальному обеспечению</w:t>
      </w:r>
      <w:r>
        <w:rPr>
          <w:rStyle w:val="FootnoteReference"/>
          <w:sz w:val="22"/>
          <w:u w:val="none"/>
        </w:rPr>
        <w:footnoteReference w:customMarkFollows="1" w:id="47"/>
        <w:t>46</w:t>
      </w:r>
      <w:r>
        <w:rPr>
          <w:sz w:val="22"/>
          <w:u w:val="none"/>
        </w:rPr>
        <w:t>. Закон Намибии о спорте № 7 от 1995 года требует, чтобы среди 14 членов Национальной комиссии по вопросам спорта было не менее трех женщин</w:t>
      </w:r>
      <w:r>
        <w:rPr>
          <w:rStyle w:val="FootnoteReference"/>
          <w:sz w:val="22"/>
          <w:u w:val="none"/>
        </w:rPr>
        <w:footnoteReference w:customMarkFollows="1" w:id="48"/>
        <w:t>47</w:t>
      </w:r>
      <w:r>
        <w:rPr>
          <w:sz w:val="22"/>
          <w:u w:val="none"/>
        </w:rPr>
        <w:t>. В этом законе также указывается, что Фонд развития спорта, созданный для содействия спорту в Намибии, используется для "поддержки развития спорта среди лиц на территории Намибии, интересы которых вследствие ранее применявшихся дискриминационных законов и практики были ущемлены в социальном, экономическом или образовательном плане"; это положение может использоваться в качестве основы для позитивных действий в интересах женщин в этой области. В Законе о профессионально-технической подготовке (Закон № 14 от 1994 года) предусматривается представительство женщин из разных структур в Совете по профессионально-технической подготовке. Закон о создании политехнического колледжа Намибии № 33 от 1994 года требует, чтобы в состав Совета политехнического колледжа входил один член, назначаемый министром и представляющий интересы женщин. В Законе Намибии о Комиссии по вопросам кинематографии № 6 от 2000 года требуется, чтобы треть совета, состоящего из 8 членов, составляли женщины.</w:t>
      </w:r>
    </w:p>
    <w:p w:rsidR="00000000" w:rsidRDefault="00000000">
      <w:pPr>
        <w:pStyle w:val="BodyText"/>
        <w:tabs>
          <w:tab w:val="left" w:pos="680"/>
          <w:tab w:val="left" w:pos="1134"/>
        </w:tabs>
        <w:spacing w:before="240"/>
        <w:jc w:val="both"/>
        <w:rPr>
          <w:b/>
          <w:sz w:val="22"/>
          <w:u w:val="none"/>
        </w:rPr>
      </w:pPr>
      <w:r>
        <w:rPr>
          <w:b/>
          <w:sz w:val="22"/>
          <w:u w:val="none"/>
        </w:rPr>
        <w:t>4.5</w:t>
      </w:r>
      <w:r>
        <w:rPr>
          <w:b/>
          <w:sz w:val="22"/>
          <w:u w:val="none"/>
        </w:rPr>
        <w:tab/>
        <w:t>Осуществление позитивных действий в области занятости</w:t>
      </w:r>
    </w:p>
    <w:p w:rsidR="00000000" w:rsidRDefault="00000000">
      <w:pPr>
        <w:pStyle w:val="BodyText"/>
        <w:tabs>
          <w:tab w:val="left" w:pos="680"/>
          <w:tab w:val="left" w:pos="1134"/>
        </w:tabs>
        <w:spacing w:before="240"/>
        <w:jc w:val="both"/>
        <w:rPr>
          <w:sz w:val="22"/>
          <w:u w:val="none"/>
        </w:rPr>
      </w:pPr>
      <w:r>
        <w:rPr>
          <w:sz w:val="22"/>
          <w:u w:val="none"/>
        </w:rPr>
        <w:t xml:space="preserve">Как упоминалось ранее, осуществление позитивных действий имеет своей целью устранение существующего дисбаланса на рынке труда Намибии. Поскольку КЛДЖ касается только вопросов ликвидации дискриминации в отношении женщин, в этом докладе будет рассмотрен лишь вопрос о положении женщин на рынке труда. В приведенной ниже таблице 1 показано распределение наемных работников по отраслям с разбивкой по полу. </w:t>
      </w:r>
    </w:p>
    <w:p w:rsidR="00000000" w:rsidRDefault="00000000">
      <w:pPr>
        <w:pStyle w:val="BodyText"/>
        <w:tabs>
          <w:tab w:val="left" w:pos="680"/>
          <w:tab w:val="left" w:pos="1134"/>
        </w:tabs>
        <w:jc w:val="both"/>
        <w:rPr>
          <w:b/>
          <w:sz w:val="22"/>
          <w:u w:val="none"/>
        </w:rPr>
      </w:pPr>
      <w:r>
        <w:rPr>
          <w:sz w:val="22"/>
          <w:u w:val="none"/>
        </w:rPr>
        <w:br w:type="page"/>
      </w:r>
      <w:r>
        <w:rPr>
          <w:b/>
          <w:sz w:val="22"/>
          <w:u w:val="none"/>
        </w:rPr>
        <w:t>Таблица 1: Распределение наемных работников по отраслям с разбивкой по полу</w:t>
      </w:r>
    </w:p>
    <w:p w:rsidR="00000000" w:rsidRDefault="00000000">
      <w:pPr>
        <w:pStyle w:val="BodyText"/>
        <w:tabs>
          <w:tab w:val="left" w:pos="680"/>
          <w:tab w:val="left" w:pos="1134"/>
        </w:tabs>
        <w:jc w:val="both"/>
        <w:rPr>
          <w:b/>
          <w:sz w:val="22"/>
          <w:u w: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824"/>
        <w:gridCol w:w="1271"/>
        <w:gridCol w:w="1150"/>
        <w:gridCol w:w="1006"/>
        <w:gridCol w:w="1132"/>
        <w:gridCol w:w="1150"/>
        <w:gridCol w:w="823"/>
      </w:tblGrid>
      <w:tr w:rsidR="00000000">
        <w:tblPrEx>
          <w:tblCellMar>
            <w:top w:w="0" w:type="dxa"/>
            <w:bottom w:w="0" w:type="dxa"/>
          </w:tblCellMar>
        </w:tblPrEx>
        <w:trPr>
          <w:cantSplit/>
          <w:jc w:val="center"/>
        </w:trPr>
        <w:tc>
          <w:tcPr>
            <w:tcW w:w="2824" w:type="dxa"/>
            <w:vMerge w:val="restart"/>
            <w:vAlign w:val="center"/>
          </w:tcPr>
          <w:p w:rsidR="00000000" w:rsidRDefault="00000000">
            <w:pPr>
              <w:pStyle w:val="FootnoteText"/>
              <w:tabs>
                <w:tab w:val="left" w:pos="0"/>
                <w:tab w:val="left" w:pos="680"/>
                <w:tab w:val="left" w:pos="1134"/>
              </w:tabs>
              <w:rPr>
                <w:b/>
              </w:rPr>
            </w:pPr>
            <w:r>
              <w:rPr>
                <w:b/>
              </w:rPr>
              <w:t>Отрасль/сектор</w:t>
            </w:r>
          </w:p>
        </w:tc>
        <w:tc>
          <w:tcPr>
            <w:tcW w:w="6532" w:type="dxa"/>
            <w:gridSpan w:val="6"/>
          </w:tcPr>
          <w:p w:rsidR="00000000" w:rsidRDefault="00000000">
            <w:pPr>
              <w:pStyle w:val="Heading9"/>
              <w:tabs>
                <w:tab w:val="left" w:pos="680"/>
                <w:tab w:val="left" w:pos="1134"/>
              </w:tabs>
              <w:spacing w:before="0" w:after="0"/>
              <w:jc w:val="center"/>
              <w:rPr>
                <w:rFonts w:ascii="Times New Roman" w:hAnsi="Times New Roman"/>
                <w:b/>
                <w:sz w:val="20"/>
                <w:lang w:val="ru-RU"/>
              </w:rPr>
            </w:pPr>
            <w:r>
              <w:rPr>
                <w:rFonts w:ascii="Times New Roman" w:hAnsi="Times New Roman"/>
                <w:b/>
                <w:sz w:val="20"/>
                <w:lang w:val="ru-RU"/>
              </w:rPr>
              <w:t>Наемные работники</w:t>
            </w:r>
          </w:p>
        </w:tc>
      </w:tr>
      <w:tr w:rsidR="00000000">
        <w:tblPrEx>
          <w:tblCellMar>
            <w:top w:w="0" w:type="dxa"/>
            <w:bottom w:w="0" w:type="dxa"/>
          </w:tblCellMar>
        </w:tblPrEx>
        <w:trPr>
          <w:cantSplit/>
          <w:jc w:val="center"/>
        </w:trPr>
        <w:tc>
          <w:tcPr>
            <w:tcW w:w="2824" w:type="dxa"/>
            <w:vMerge/>
          </w:tcPr>
          <w:p w:rsidR="00000000" w:rsidRDefault="00000000">
            <w:pPr>
              <w:tabs>
                <w:tab w:val="left" w:pos="680"/>
                <w:tab w:val="left" w:pos="1134"/>
              </w:tabs>
              <w:rPr>
                <w:b/>
              </w:rPr>
            </w:pPr>
          </w:p>
        </w:tc>
        <w:tc>
          <w:tcPr>
            <w:tcW w:w="1271" w:type="dxa"/>
          </w:tcPr>
          <w:p w:rsidR="00000000" w:rsidRDefault="00000000">
            <w:pPr>
              <w:pStyle w:val="Heading6"/>
              <w:tabs>
                <w:tab w:val="left" w:pos="680"/>
                <w:tab w:val="left" w:pos="1134"/>
              </w:tabs>
              <w:spacing w:line="240" w:lineRule="auto"/>
              <w:jc w:val="center"/>
              <w:rPr>
                <w:b/>
                <w:sz w:val="20"/>
              </w:rPr>
            </w:pPr>
            <w:r>
              <w:rPr>
                <w:b/>
                <w:sz w:val="20"/>
              </w:rPr>
              <w:t>Мужчины</w:t>
            </w:r>
          </w:p>
        </w:tc>
        <w:tc>
          <w:tcPr>
            <w:tcW w:w="1150" w:type="dxa"/>
          </w:tcPr>
          <w:p w:rsidR="00000000" w:rsidRDefault="00000000">
            <w:pPr>
              <w:tabs>
                <w:tab w:val="left" w:pos="680"/>
                <w:tab w:val="left" w:pos="1134"/>
              </w:tabs>
              <w:jc w:val="center"/>
              <w:rPr>
                <w:b/>
              </w:rPr>
            </w:pPr>
            <w:r>
              <w:rPr>
                <w:b/>
              </w:rPr>
              <w:t>Женщины</w:t>
            </w:r>
          </w:p>
        </w:tc>
        <w:tc>
          <w:tcPr>
            <w:tcW w:w="1006" w:type="dxa"/>
          </w:tcPr>
          <w:p w:rsidR="00000000" w:rsidRDefault="00000000">
            <w:pPr>
              <w:tabs>
                <w:tab w:val="left" w:pos="680"/>
                <w:tab w:val="left" w:pos="1134"/>
              </w:tabs>
              <w:jc w:val="center"/>
              <w:rPr>
                <w:b/>
              </w:rPr>
            </w:pPr>
            <w:r>
              <w:rPr>
                <w:b/>
              </w:rPr>
              <w:t>Всего</w:t>
            </w:r>
          </w:p>
        </w:tc>
        <w:tc>
          <w:tcPr>
            <w:tcW w:w="1132" w:type="dxa"/>
          </w:tcPr>
          <w:p w:rsidR="00000000" w:rsidRDefault="00000000">
            <w:pPr>
              <w:tabs>
                <w:tab w:val="left" w:pos="680"/>
                <w:tab w:val="left" w:pos="1134"/>
              </w:tabs>
              <w:jc w:val="center"/>
              <w:rPr>
                <w:b/>
              </w:rPr>
            </w:pPr>
            <w:r>
              <w:rPr>
                <w:b/>
              </w:rPr>
              <w:t>Мужчины</w:t>
            </w:r>
          </w:p>
        </w:tc>
        <w:tc>
          <w:tcPr>
            <w:tcW w:w="1150" w:type="dxa"/>
          </w:tcPr>
          <w:p w:rsidR="00000000" w:rsidRDefault="00000000">
            <w:pPr>
              <w:tabs>
                <w:tab w:val="left" w:pos="680"/>
                <w:tab w:val="left" w:pos="1134"/>
              </w:tabs>
              <w:jc w:val="center"/>
              <w:rPr>
                <w:b/>
              </w:rPr>
            </w:pPr>
            <w:r>
              <w:rPr>
                <w:b/>
              </w:rPr>
              <w:t>Женщины</w:t>
            </w:r>
          </w:p>
        </w:tc>
        <w:tc>
          <w:tcPr>
            <w:tcW w:w="823" w:type="dxa"/>
          </w:tcPr>
          <w:p w:rsidR="00000000" w:rsidRDefault="00000000">
            <w:pPr>
              <w:tabs>
                <w:tab w:val="left" w:pos="680"/>
                <w:tab w:val="left" w:pos="1134"/>
              </w:tabs>
              <w:jc w:val="center"/>
              <w:rPr>
                <w:b/>
              </w:rPr>
            </w:pPr>
            <w:r>
              <w:rPr>
                <w:b/>
              </w:rPr>
              <w:t>Всего</w:t>
            </w:r>
          </w:p>
        </w:tc>
      </w:tr>
      <w:tr w:rsidR="00000000">
        <w:tblPrEx>
          <w:tblCellMar>
            <w:top w:w="0" w:type="dxa"/>
            <w:bottom w:w="0" w:type="dxa"/>
          </w:tblCellMar>
        </w:tblPrEx>
        <w:trPr>
          <w:cantSplit/>
          <w:jc w:val="center"/>
        </w:trPr>
        <w:tc>
          <w:tcPr>
            <w:tcW w:w="2824" w:type="dxa"/>
            <w:vMerge/>
            <w:tcBorders>
              <w:bottom w:val="single" w:sz="4" w:space="0" w:color="auto"/>
            </w:tcBorders>
          </w:tcPr>
          <w:p w:rsidR="00000000" w:rsidRDefault="00000000">
            <w:pPr>
              <w:tabs>
                <w:tab w:val="left" w:pos="680"/>
                <w:tab w:val="left" w:pos="1134"/>
              </w:tabs>
              <w:rPr>
                <w:b/>
              </w:rPr>
            </w:pPr>
          </w:p>
        </w:tc>
        <w:tc>
          <w:tcPr>
            <w:tcW w:w="3427" w:type="dxa"/>
            <w:gridSpan w:val="3"/>
            <w:tcBorders>
              <w:bottom w:val="single" w:sz="4" w:space="0" w:color="auto"/>
            </w:tcBorders>
          </w:tcPr>
          <w:p w:rsidR="00000000" w:rsidRDefault="00000000">
            <w:pPr>
              <w:tabs>
                <w:tab w:val="left" w:pos="680"/>
                <w:tab w:val="left" w:pos="1134"/>
              </w:tabs>
              <w:jc w:val="center"/>
              <w:rPr>
                <w:b/>
              </w:rPr>
            </w:pPr>
            <w:r>
              <w:rPr>
                <w:b/>
              </w:rPr>
              <w:t>(Число)</w:t>
            </w:r>
          </w:p>
        </w:tc>
        <w:tc>
          <w:tcPr>
            <w:tcW w:w="3105" w:type="dxa"/>
            <w:gridSpan w:val="3"/>
            <w:tcBorders>
              <w:bottom w:val="single" w:sz="4" w:space="0" w:color="auto"/>
            </w:tcBorders>
          </w:tcPr>
          <w:p w:rsidR="00000000" w:rsidRDefault="00000000">
            <w:pPr>
              <w:tabs>
                <w:tab w:val="left" w:pos="680"/>
                <w:tab w:val="left" w:pos="1134"/>
              </w:tabs>
              <w:jc w:val="center"/>
              <w:rPr>
                <w:b/>
              </w:rPr>
            </w:pPr>
            <w:r>
              <w:rPr>
                <w:b/>
              </w:rPr>
              <w:t>(Процент)</w:t>
            </w:r>
          </w:p>
        </w:tc>
      </w:tr>
      <w:tr w:rsidR="00000000">
        <w:tblPrEx>
          <w:tblCellMar>
            <w:top w:w="0" w:type="dxa"/>
            <w:bottom w:w="0" w:type="dxa"/>
          </w:tblCellMar>
        </w:tblPrEx>
        <w:trPr>
          <w:jc w:val="center"/>
        </w:trPr>
        <w:tc>
          <w:tcPr>
            <w:tcW w:w="2824" w:type="dxa"/>
            <w:tcBorders>
              <w:bottom w:val="nil"/>
            </w:tcBorders>
          </w:tcPr>
          <w:p w:rsidR="00000000" w:rsidRDefault="00000000">
            <w:pPr>
              <w:tabs>
                <w:tab w:val="left" w:pos="680"/>
                <w:tab w:val="left" w:pos="1134"/>
              </w:tabs>
            </w:pPr>
            <w:r>
              <w:t>Местные органы самоуправления, водоснабжение и вспомогательные службы</w:t>
            </w:r>
          </w:p>
        </w:tc>
        <w:tc>
          <w:tcPr>
            <w:tcW w:w="1271" w:type="dxa"/>
            <w:tcBorders>
              <w:bottom w:val="nil"/>
            </w:tcBorders>
          </w:tcPr>
          <w:p w:rsidR="00000000" w:rsidRDefault="00000000">
            <w:pPr>
              <w:tabs>
                <w:tab w:val="left" w:pos="680"/>
                <w:tab w:val="left" w:pos="1134"/>
              </w:tabs>
              <w:ind w:right="227"/>
              <w:jc w:val="right"/>
            </w:pPr>
            <w:r>
              <w:t>4 297</w:t>
            </w:r>
          </w:p>
        </w:tc>
        <w:tc>
          <w:tcPr>
            <w:tcW w:w="1150" w:type="dxa"/>
            <w:tcBorders>
              <w:bottom w:val="nil"/>
            </w:tcBorders>
          </w:tcPr>
          <w:p w:rsidR="00000000" w:rsidRDefault="00000000">
            <w:pPr>
              <w:tabs>
                <w:tab w:val="left" w:pos="680"/>
                <w:tab w:val="left" w:pos="1134"/>
              </w:tabs>
              <w:ind w:right="227"/>
              <w:jc w:val="right"/>
            </w:pPr>
            <w:r>
              <w:t>778</w:t>
            </w:r>
          </w:p>
        </w:tc>
        <w:tc>
          <w:tcPr>
            <w:tcW w:w="1006" w:type="dxa"/>
            <w:tcBorders>
              <w:bottom w:val="nil"/>
            </w:tcBorders>
          </w:tcPr>
          <w:p w:rsidR="00000000" w:rsidRDefault="00000000">
            <w:pPr>
              <w:tabs>
                <w:tab w:val="left" w:pos="680"/>
                <w:tab w:val="left" w:pos="1134"/>
              </w:tabs>
              <w:ind w:right="227"/>
              <w:jc w:val="right"/>
            </w:pPr>
            <w:r>
              <w:t>5075</w:t>
            </w:r>
          </w:p>
        </w:tc>
        <w:tc>
          <w:tcPr>
            <w:tcW w:w="1132" w:type="dxa"/>
            <w:tcBorders>
              <w:bottom w:val="nil"/>
            </w:tcBorders>
          </w:tcPr>
          <w:p w:rsidR="00000000" w:rsidRDefault="00000000">
            <w:pPr>
              <w:tabs>
                <w:tab w:val="left" w:pos="680"/>
                <w:tab w:val="left" w:pos="1134"/>
              </w:tabs>
              <w:ind w:right="227"/>
              <w:jc w:val="right"/>
            </w:pPr>
            <w:r>
              <w:t>84,67</w:t>
            </w:r>
          </w:p>
        </w:tc>
        <w:tc>
          <w:tcPr>
            <w:tcW w:w="1150" w:type="dxa"/>
            <w:tcBorders>
              <w:bottom w:val="nil"/>
            </w:tcBorders>
          </w:tcPr>
          <w:p w:rsidR="00000000" w:rsidRDefault="00000000">
            <w:pPr>
              <w:tabs>
                <w:tab w:val="left" w:pos="680"/>
                <w:tab w:val="left" w:pos="1134"/>
              </w:tabs>
              <w:ind w:right="227"/>
              <w:jc w:val="right"/>
            </w:pPr>
            <w:r>
              <w:t>15,33</w:t>
            </w:r>
          </w:p>
        </w:tc>
        <w:tc>
          <w:tcPr>
            <w:tcW w:w="823" w:type="dxa"/>
            <w:tcBorders>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Государственные службы</w:t>
            </w:r>
          </w:p>
        </w:tc>
        <w:tc>
          <w:tcPr>
            <w:tcW w:w="1271" w:type="dxa"/>
            <w:tcBorders>
              <w:top w:val="nil"/>
              <w:bottom w:val="nil"/>
            </w:tcBorders>
          </w:tcPr>
          <w:p w:rsidR="00000000" w:rsidRDefault="00000000">
            <w:pPr>
              <w:tabs>
                <w:tab w:val="left" w:pos="680"/>
                <w:tab w:val="left" w:pos="1134"/>
              </w:tabs>
              <w:ind w:right="227"/>
              <w:jc w:val="right"/>
            </w:pPr>
            <w:r>
              <w:t>19 168</w:t>
            </w:r>
          </w:p>
        </w:tc>
        <w:tc>
          <w:tcPr>
            <w:tcW w:w="1150" w:type="dxa"/>
            <w:tcBorders>
              <w:top w:val="nil"/>
              <w:bottom w:val="nil"/>
            </w:tcBorders>
          </w:tcPr>
          <w:p w:rsidR="00000000" w:rsidRDefault="00000000">
            <w:pPr>
              <w:tabs>
                <w:tab w:val="left" w:pos="680"/>
                <w:tab w:val="left" w:pos="1134"/>
              </w:tabs>
              <w:ind w:right="227"/>
              <w:jc w:val="right"/>
            </w:pPr>
            <w:r>
              <w:t>25 785</w:t>
            </w:r>
          </w:p>
        </w:tc>
        <w:tc>
          <w:tcPr>
            <w:tcW w:w="1006" w:type="dxa"/>
            <w:tcBorders>
              <w:top w:val="nil"/>
              <w:bottom w:val="nil"/>
            </w:tcBorders>
          </w:tcPr>
          <w:p w:rsidR="00000000" w:rsidRDefault="00000000">
            <w:pPr>
              <w:tabs>
                <w:tab w:val="left" w:pos="680"/>
                <w:tab w:val="left" w:pos="1134"/>
              </w:tabs>
              <w:ind w:right="227"/>
              <w:jc w:val="right"/>
            </w:pPr>
            <w:r>
              <w:t>44 953</w:t>
            </w:r>
          </w:p>
        </w:tc>
        <w:tc>
          <w:tcPr>
            <w:tcW w:w="1132" w:type="dxa"/>
            <w:tcBorders>
              <w:top w:val="nil"/>
              <w:bottom w:val="nil"/>
            </w:tcBorders>
          </w:tcPr>
          <w:p w:rsidR="00000000" w:rsidRDefault="00000000">
            <w:pPr>
              <w:tabs>
                <w:tab w:val="left" w:pos="680"/>
                <w:tab w:val="left" w:pos="1134"/>
              </w:tabs>
              <w:ind w:right="227"/>
              <w:jc w:val="right"/>
            </w:pPr>
            <w:r>
              <w:t>42,64</w:t>
            </w:r>
          </w:p>
        </w:tc>
        <w:tc>
          <w:tcPr>
            <w:tcW w:w="1150" w:type="dxa"/>
            <w:tcBorders>
              <w:top w:val="nil"/>
              <w:bottom w:val="nil"/>
            </w:tcBorders>
          </w:tcPr>
          <w:p w:rsidR="00000000" w:rsidRDefault="00000000">
            <w:pPr>
              <w:tabs>
                <w:tab w:val="left" w:pos="680"/>
                <w:tab w:val="left" w:pos="1134"/>
              </w:tabs>
              <w:ind w:right="227"/>
              <w:jc w:val="right"/>
            </w:pPr>
            <w:r>
              <w:t>57,36</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Обрабатывающая промышленность</w:t>
            </w:r>
          </w:p>
        </w:tc>
        <w:tc>
          <w:tcPr>
            <w:tcW w:w="1271" w:type="dxa"/>
            <w:tcBorders>
              <w:top w:val="nil"/>
              <w:bottom w:val="nil"/>
            </w:tcBorders>
          </w:tcPr>
          <w:p w:rsidR="00000000" w:rsidRDefault="00000000">
            <w:pPr>
              <w:tabs>
                <w:tab w:val="left" w:pos="680"/>
                <w:tab w:val="left" w:pos="1134"/>
              </w:tabs>
              <w:ind w:right="227"/>
              <w:jc w:val="right"/>
            </w:pPr>
            <w:r>
              <w:t>4 262</w:t>
            </w:r>
          </w:p>
        </w:tc>
        <w:tc>
          <w:tcPr>
            <w:tcW w:w="1150" w:type="dxa"/>
            <w:tcBorders>
              <w:top w:val="nil"/>
              <w:bottom w:val="nil"/>
            </w:tcBorders>
          </w:tcPr>
          <w:p w:rsidR="00000000" w:rsidRDefault="00000000">
            <w:pPr>
              <w:tabs>
                <w:tab w:val="left" w:pos="680"/>
                <w:tab w:val="left" w:pos="1134"/>
              </w:tabs>
              <w:ind w:right="227"/>
              <w:jc w:val="right"/>
            </w:pPr>
            <w:r>
              <w:t>1 530</w:t>
            </w:r>
          </w:p>
        </w:tc>
        <w:tc>
          <w:tcPr>
            <w:tcW w:w="1006" w:type="dxa"/>
            <w:tcBorders>
              <w:top w:val="nil"/>
              <w:bottom w:val="nil"/>
            </w:tcBorders>
          </w:tcPr>
          <w:p w:rsidR="00000000" w:rsidRDefault="00000000">
            <w:pPr>
              <w:tabs>
                <w:tab w:val="left" w:pos="680"/>
                <w:tab w:val="left" w:pos="1134"/>
              </w:tabs>
              <w:ind w:right="227"/>
              <w:jc w:val="right"/>
            </w:pPr>
            <w:r>
              <w:t>5 792</w:t>
            </w:r>
          </w:p>
        </w:tc>
        <w:tc>
          <w:tcPr>
            <w:tcW w:w="1132" w:type="dxa"/>
            <w:tcBorders>
              <w:top w:val="nil"/>
              <w:bottom w:val="nil"/>
            </w:tcBorders>
          </w:tcPr>
          <w:p w:rsidR="00000000" w:rsidRDefault="00000000">
            <w:pPr>
              <w:tabs>
                <w:tab w:val="left" w:pos="680"/>
                <w:tab w:val="left" w:pos="1134"/>
              </w:tabs>
              <w:ind w:right="227"/>
              <w:jc w:val="right"/>
            </w:pPr>
            <w:r>
              <w:t>73,584</w:t>
            </w:r>
          </w:p>
        </w:tc>
        <w:tc>
          <w:tcPr>
            <w:tcW w:w="1150" w:type="dxa"/>
            <w:tcBorders>
              <w:top w:val="nil"/>
              <w:bottom w:val="nil"/>
            </w:tcBorders>
          </w:tcPr>
          <w:p w:rsidR="00000000" w:rsidRDefault="00000000">
            <w:pPr>
              <w:tabs>
                <w:tab w:val="left" w:pos="680"/>
                <w:tab w:val="left" w:pos="1134"/>
              </w:tabs>
              <w:ind w:right="227"/>
              <w:jc w:val="right"/>
            </w:pPr>
            <w:r>
              <w:t>26,416</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Медицина и здравоохранение (частный сектор)</w:t>
            </w:r>
          </w:p>
        </w:tc>
        <w:tc>
          <w:tcPr>
            <w:tcW w:w="1271" w:type="dxa"/>
            <w:tcBorders>
              <w:top w:val="nil"/>
              <w:bottom w:val="nil"/>
            </w:tcBorders>
          </w:tcPr>
          <w:p w:rsidR="00000000" w:rsidRDefault="00000000">
            <w:pPr>
              <w:tabs>
                <w:tab w:val="left" w:pos="680"/>
                <w:tab w:val="left" w:pos="1134"/>
              </w:tabs>
              <w:ind w:right="227"/>
              <w:jc w:val="right"/>
            </w:pPr>
            <w:r>
              <w:t>505</w:t>
            </w:r>
          </w:p>
        </w:tc>
        <w:tc>
          <w:tcPr>
            <w:tcW w:w="1150" w:type="dxa"/>
            <w:tcBorders>
              <w:top w:val="nil"/>
              <w:bottom w:val="nil"/>
            </w:tcBorders>
          </w:tcPr>
          <w:p w:rsidR="00000000" w:rsidRDefault="00000000">
            <w:pPr>
              <w:tabs>
                <w:tab w:val="left" w:pos="680"/>
                <w:tab w:val="left" w:pos="1134"/>
              </w:tabs>
              <w:ind w:right="227"/>
              <w:jc w:val="right"/>
            </w:pPr>
            <w:r>
              <w:t>834</w:t>
            </w:r>
          </w:p>
        </w:tc>
        <w:tc>
          <w:tcPr>
            <w:tcW w:w="1006" w:type="dxa"/>
            <w:tcBorders>
              <w:top w:val="nil"/>
              <w:bottom w:val="nil"/>
            </w:tcBorders>
          </w:tcPr>
          <w:p w:rsidR="00000000" w:rsidRDefault="00000000">
            <w:pPr>
              <w:tabs>
                <w:tab w:val="left" w:pos="680"/>
                <w:tab w:val="left" w:pos="1134"/>
              </w:tabs>
              <w:ind w:right="227"/>
              <w:jc w:val="right"/>
            </w:pPr>
            <w:r>
              <w:t>1 339</w:t>
            </w:r>
          </w:p>
        </w:tc>
        <w:tc>
          <w:tcPr>
            <w:tcW w:w="1132" w:type="dxa"/>
            <w:tcBorders>
              <w:top w:val="nil"/>
              <w:bottom w:val="nil"/>
            </w:tcBorders>
          </w:tcPr>
          <w:p w:rsidR="00000000" w:rsidRDefault="00000000">
            <w:pPr>
              <w:tabs>
                <w:tab w:val="left" w:pos="680"/>
                <w:tab w:val="left" w:pos="1134"/>
              </w:tabs>
              <w:ind w:right="227"/>
              <w:jc w:val="right"/>
            </w:pPr>
            <w:r>
              <w:t>37,715</w:t>
            </w:r>
          </w:p>
        </w:tc>
        <w:tc>
          <w:tcPr>
            <w:tcW w:w="1150" w:type="dxa"/>
            <w:tcBorders>
              <w:top w:val="nil"/>
              <w:bottom w:val="nil"/>
            </w:tcBorders>
          </w:tcPr>
          <w:p w:rsidR="00000000" w:rsidRDefault="00000000">
            <w:pPr>
              <w:tabs>
                <w:tab w:val="left" w:pos="680"/>
                <w:tab w:val="left" w:pos="1134"/>
              </w:tabs>
              <w:ind w:right="227"/>
              <w:jc w:val="right"/>
            </w:pPr>
            <w:r>
              <w:t>62,285</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Частные охранные службы, юридические и исправительные учреждения</w:t>
            </w:r>
          </w:p>
        </w:tc>
        <w:tc>
          <w:tcPr>
            <w:tcW w:w="1271" w:type="dxa"/>
            <w:tcBorders>
              <w:top w:val="nil"/>
              <w:bottom w:val="nil"/>
            </w:tcBorders>
          </w:tcPr>
          <w:p w:rsidR="00000000" w:rsidRDefault="00000000">
            <w:pPr>
              <w:tabs>
                <w:tab w:val="left" w:pos="680"/>
                <w:tab w:val="left" w:pos="1134"/>
              </w:tabs>
              <w:ind w:right="227"/>
              <w:jc w:val="right"/>
            </w:pPr>
            <w:r>
              <w:t>2 665</w:t>
            </w:r>
          </w:p>
        </w:tc>
        <w:tc>
          <w:tcPr>
            <w:tcW w:w="1150" w:type="dxa"/>
            <w:tcBorders>
              <w:top w:val="nil"/>
              <w:bottom w:val="nil"/>
            </w:tcBorders>
          </w:tcPr>
          <w:p w:rsidR="00000000" w:rsidRDefault="00000000">
            <w:pPr>
              <w:tabs>
                <w:tab w:val="left" w:pos="680"/>
                <w:tab w:val="left" w:pos="1134"/>
              </w:tabs>
              <w:ind w:right="227"/>
              <w:jc w:val="right"/>
            </w:pPr>
            <w:r>
              <w:t>262</w:t>
            </w:r>
          </w:p>
        </w:tc>
        <w:tc>
          <w:tcPr>
            <w:tcW w:w="1006" w:type="dxa"/>
            <w:tcBorders>
              <w:top w:val="nil"/>
              <w:bottom w:val="nil"/>
            </w:tcBorders>
          </w:tcPr>
          <w:p w:rsidR="00000000" w:rsidRDefault="00000000">
            <w:pPr>
              <w:tabs>
                <w:tab w:val="left" w:pos="680"/>
                <w:tab w:val="left" w:pos="1134"/>
              </w:tabs>
              <w:ind w:right="227"/>
              <w:jc w:val="right"/>
            </w:pPr>
            <w:r>
              <w:t>2 927</w:t>
            </w:r>
          </w:p>
        </w:tc>
        <w:tc>
          <w:tcPr>
            <w:tcW w:w="1132" w:type="dxa"/>
            <w:tcBorders>
              <w:top w:val="nil"/>
              <w:bottom w:val="nil"/>
            </w:tcBorders>
          </w:tcPr>
          <w:p w:rsidR="00000000" w:rsidRDefault="00000000">
            <w:pPr>
              <w:tabs>
                <w:tab w:val="left" w:pos="680"/>
                <w:tab w:val="left" w:pos="1134"/>
              </w:tabs>
              <w:ind w:right="227"/>
              <w:jc w:val="right"/>
            </w:pPr>
            <w:r>
              <w:t>91,049</w:t>
            </w:r>
          </w:p>
        </w:tc>
        <w:tc>
          <w:tcPr>
            <w:tcW w:w="1150" w:type="dxa"/>
            <w:tcBorders>
              <w:top w:val="nil"/>
              <w:bottom w:val="nil"/>
            </w:tcBorders>
          </w:tcPr>
          <w:p w:rsidR="00000000" w:rsidRDefault="00000000">
            <w:pPr>
              <w:tabs>
                <w:tab w:val="left" w:pos="680"/>
                <w:tab w:val="left" w:pos="1134"/>
              </w:tabs>
              <w:ind w:right="227"/>
              <w:jc w:val="right"/>
            </w:pPr>
            <w:r>
              <w:t>8,9511</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Оптовая и розничная торговля</w:t>
            </w:r>
          </w:p>
        </w:tc>
        <w:tc>
          <w:tcPr>
            <w:tcW w:w="1271" w:type="dxa"/>
            <w:tcBorders>
              <w:top w:val="nil"/>
              <w:bottom w:val="nil"/>
            </w:tcBorders>
          </w:tcPr>
          <w:p w:rsidR="00000000" w:rsidRDefault="00000000">
            <w:pPr>
              <w:tabs>
                <w:tab w:val="left" w:pos="680"/>
                <w:tab w:val="left" w:pos="1134"/>
              </w:tabs>
              <w:ind w:right="227"/>
              <w:jc w:val="right"/>
            </w:pPr>
            <w:r>
              <w:t>393</w:t>
            </w:r>
          </w:p>
        </w:tc>
        <w:tc>
          <w:tcPr>
            <w:tcW w:w="1150" w:type="dxa"/>
            <w:tcBorders>
              <w:top w:val="nil"/>
              <w:bottom w:val="nil"/>
            </w:tcBorders>
          </w:tcPr>
          <w:p w:rsidR="00000000" w:rsidRDefault="00000000">
            <w:pPr>
              <w:tabs>
                <w:tab w:val="left" w:pos="680"/>
                <w:tab w:val="left" w:pos="1134"/>
              </w:tabs>
              <w:ind w:right="227"/>
              <w:jc w:val="right"/>
            </w:pPr>
            <w:r>
              <w:t>456</w:t>
            </w:r>
          </w:p>
        </w:tc>
        <w:tc>
          <w:tcPr>
            <w:tcW w:w="1006" w:type="dxa"/>
            <w:tcBorders>
              <w:top w:val="nil"/>
              <w:bottom w:val="nil"/>
            </w:tcBorders>
          </w:tcPr>
          <w:p w:rsidR="00000000" w:rsidRDefault="00000000">
            <w:pPr>
              <w:tabs>
                <w:tab w:val="left" w:pos="680"/>
                <w:tab w:val="left" w:pos="1134"/>
              </w:tabs>
              <w:ind w:right="227"/>
              <w:jc w:val="right"/>
            </w:pPr>
            <w:r>
              <w:t>849</w:t>
            </w:r>
          </w:p>
        </w:tc>
        <w:tc>
          <w:tcPr>
            <w:tcW w:w="1132" w:type="dxa"/>
            <w:tcBorders>
              <w:top w:val="nil"/>
              <w:bottom w:val="nil"/>
            </w:tcBorders>
          </w:tcPr>
          <w:p w:rsidR="00000000" w:rsidRDefault="00000000">
            <w:pPr>
              <w:tabs>
                <w:tab w:val="left" w:pos="680"/>
                <w:tab w:val="left" w:pos="1134"/>
              </w:tabs>
              <w:ind w:right="227"/>
              <w:jc w:val="right"/>
            </w:pPr>
            <w:r>
              <w:t>46,29</w:t>
            </w:r>
          </w:p>
        </w:tc>
        <w:tc>
          <w:tcPr>
            <w:tcW w:w="1150" w:type="dxa"/>
            <w:tcBorders>
              <w:top w:val="nil"/>
              <w:bottom w:val="nil"/>
            </w:tcBorders>
          </w:tcPr>
          <w:p w:rsidR="00000000" w:rsidRDefault="00000000">
            <w:pPr>
              <w:tabs>
                <w:tab w:val="left" w:pos="680"/>
                <w:tab w:val="left" w:pos="1134"/>
              </w:tabs>
              <w:ind w:right="227"/>
              <w:jc w:val="right"/>
            </w:pPr>
            <w:r>
              <w:t>53,71</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Образование, профессиональная подготовка и развитие</w:t>
            </w:r>
          </w:p>
        </w:tc>
        <w:tc>
          <w:tcPr>
            <w:tcW w:w="1271" w:type="dxa"/>
            <w:tcBorders>
              <w:top w:val="nil"/>
              <w:bottom w:val="nil"/>
            </w:tcBorders>
          </w:tcPr>
          <w:p w:rsidR="00000000" w:rsidRDefault="00000000">
            <w:pPr>
              <w:tabs>
                <w:tab w:val="left" w:pos="680"/>
                <w:tab w:val="left" w:pos="1134"/>
              </w:tabs>
              <w:ind w:right="227"/>
              <w:jc w:val="right"/>
            </w:pPr>
            <w:r>
              <w:t>5 305</w:t>
            </w:r>
          </w:p>
        </w:tc>
        <w:tc>
          <w:tcPr>
            <w:tcW w:w="1150" w:type="dxa"/>
            <w:tcBorders>
              <w:top w:val="nil"/>
              <w:bottom w:val="nil"/>
            </w:tcBorders>
          </w:tcPr>
          <w:p w:rsidR="00000000" w:rsidRDefault="00000000">
            <w:pPr>
              <w:tabs>
                <w:tab w:val="left" w:pos="680"/>
                <w:tab w:val="left" w:pos="1134"/>
              </w:tabs>
              <w:ind w:right="227"/>
              <w:jc w:val="right"/>
            </w:pPr>
            <w:r>
              <w:t>4 202</w:t>
            </w:r>
          </w:p>
        </w:tc>
        <w:tc>
          <w:tcPr>
            <w:tcW w:w="1006" w:type="dxa"/>
            <w:tcBorders>
              <w:top w:val="nil"/>
              <w:bottom w:val="nil"/>
            </w:tcBorders>
          </w:tcPr>
          <w:p w:rsidR="00000000" w:rsidRDefault="00000000">
            <w:pPr>
              <w:tabs>
                <w:tab w:val="left" w:pos="680"/>
                <w:tab w:val="left" w:pos="1134"/>
              </w:tabs>
              <w:ind w:right="227"/>
              <w:jc w:val="right"/>
            </w:pPr>
            <w:r>
              <w:t>9 507</w:t>
            </w:r>
          </w:p>
        </w:tc>
        <w:tc>
          <w:tcPr>
            <w:tcW w:w="1132" w:type="dxa"/>
            <w:tcBorders>
              <w:top w:val="nil"/>
              <w:bottom w:val="nil"/>
            </w:tcBorders>
          </w:tcPr>
          <w:p w:rsidR="00000000" w:rsidRDefault="00000000">
            <w:pPr>
              <w:tabs>
                <w:tab w:val="left" w:pos="680"/>
                <w:tab w:val="left" w:pos="1134"/>
              </w:tabs>
              <w:ind w:right="227"/>
              <w:jc w:val="right"/>
            </w:pPr>
            <w:r>
              <w:t>55,801</w:t>
            </w:r>
          </w:p>
        </w:tc>
        <w:tc>
          <w:tcPr>
            <w:tcW w:w="1150" w:type="dxa"/>
            <w:tcBorders>
              <w:top w:val="nil"/>
              <w:bottom w:val="nil"/>
            </w:tcBorders>
          </w:tcPr>
          <w:p w:rsidR="00000000" w:rsidRDefault="00000000">
            <w:pPr>
              <w:tabs>
                <w:tab w:val="left" w:pos="680"/>
                <w:tab w:val="left" w:pos="1134"/>
              </w:tabs>
              <w:ind w:right="227"/>
              <w:jc w:val="right"/>
            </w:pPr>
            <w:r>
              <w:t>44,199</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Практика (частная)</w:t>
            </w:r>
          </w:p>
        </w:tc>
        <w:tc>
          <w:tcPr>
            <w:tcW w:w="1271" w:type="dxa"/>
            <w:tcBorders>
              <w:top w:val="nil"/>
              <w:bottom w:val="nil"/>
            </w:tcBorders>
          </w:tcPr>
          <w:p w:rsidR="00000000" w:rsidRDefault="00000000">
            <w:pPr>
              <w:tabs>
                <w:tab w:val="left" w:pos="680"/>
                <w:tab w:val="left" w:pos="1134"/>
              </w:tabs>
              <w:ind w:right="227"/>
              <w:jc w:val="right"/>
            </w:pPr>
            <w:r>
              <w:t>1 435</w:t>
            </w:r>
          </w:p>
        </w:tc>
        <w:tc>
          <w:tcPr>
            <w:tcW w:w="1150" w:type="dxa"/>
            <w:tcBorders>
              <w:top w:val="nil"/>
              <w:bottom w:val="nil"/>
            </w:tcBorders>
          </w:tcPr>
          <w:p w:rsidR="00000000" w:rsidRDefault="00000000">
            <w:pPr>
              <w:tabs>
                <w:tab w:val="left" w:pos="680"/>
                <w:tab w:val="left" w:pos="1134"/>
              </w:tabs>
              <w:ind w:right="227"/>
              <w:jc w:val="right"/>
            </w:pPr>
            <w:r>
              <w:t>1 158</w:t>
            </w:r>
          </w:p>
        </w:tc>
        <w:tc>
          <w:tcPr>
            <w:tcW w:w="1006" w:type="dxa"/>
            <w:tcBorders>
              <w:top w:val="nil"/>
              <w:bottom w:val="nil"/>
            </w:tcBorders>
          </w:tcPr>
          <w:p w:rsidR="00000000" w:rsidRDefault="00000000">
            <w:pPr>
              <w:tabs>
                <w:tab w:val="left" w:pos="680"/>
                <w:tab w:val="left" w:pos="1134"/>
              </w:tabs>
              <w:ind w:right="227"/>
              <w:jc w:val="right"/>
            </w:pPr>
            <w:r>
              <w:t>2 593</w:t>
            </w:r>
          </w:p>
        </w:tc>
        <w:tc>
          <w:tcPr>
            <w:tcW w:w="1132" w:type="dxa"/>
            <w:tcBorders>
              <w:top w:val="nil"/>
              <w:bottom w:val="nil"/>
            </w:tcBorders>
          </w:tcPr>
          <w:p w:rsidR="00000000" w:rsidRDefault="00000000">
            <w:pPr>
              <w:tabs>
                <w:tab w:val="left" w:pos="680"/>
                <w:tab w:val="left" w:pos="1134"/>
              </w:tabs>
              <w:ind w:right="227"/>
              <w:jc w:val="right"/>
            </w:pPr>
            <w:r>
              <w:t>55,341</w:t>
            </w:r>
          </w:p>
        </w:tc>
        <w:tc>
          <w:tcPr>
            <w:tcW w:w="1150" w:type="dxa"/>
            <w:tcBorders>
              <w:top w:val="nil"/>
              <w:bottom w:val="nil"/>
            </w:tcBorders>
          </w:tcPr>
          <w:p w:rsidR="00000000" w:rsidRDefault="00000000">
            <w:pPr>
              <w:tabs>
                <w:tab w:val="left" w:pos="680"/>
                <w:tab w:val="left" w:pos="1134"/>
              </w:tabs>
              <w:ind w:right="227"/>
              <w:jc w:val="right"/>
            </w:pPr>
            <w:r>
              <w:t>44,659</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Туризм и обслуживание туристов</w:t>
            </w:r>
          </w:p>
        </w:tc>
        <w:tc>
          <w:tcPr>
            <w:tcW w:w="1271" w:type="dxa"/>
            <w:tcBorders>
              <w:top w:val="nil"/>
              <w:bottom w:val="nil"/>
            </w:tcBorders>
          </w:tcPr>
          <w:p w:rsidR="00000000" w:rsidRDefault="00000000">
            <w:pPr>
              <w:tabs>
                <w:tab w:val="left" w:pos="680"/>
                <w:tab w:val="left" w:pos="1134"/>
              </w:tabs>
              <w:ind w:right="227"/>
              <w:jc w:val="right"/>
            </w:pPr>
            <w:r>
              <w:t>3 405</w:t>
            </w:r>
          </w:p>
        </w:tc>
        <w:tc>
          <w:tcPr>
            <w:tcW w:w="1150" w:type="dxa"/>
            <w:tcBorders>
              <w:top w:val="nil"/>
              <w:bottom w:val="nil"/>
            </w:tcBorders>
          </w:tcPr>
          <w:p w:rsidR="00000000" w:rsidRDefault="00000000">
            <w:pPr>
              <w:tabs>
                <w:tab w:val="left" w:pos="680"/>
                <w:tab w:val="left" w:pos="1134"/>
              </w:tabs>
              <w:ind w:right="227"/>
              <w:jc w:val="right"/>
            </w:pPr>
            <w:r>
              <w:t>479</w:t>
            </w:r>
          </w:p>
        </w:tc>
        <w:tc>
          <w:tcPr>
            <w:tcW w:w="1006" w:type="dxa"/>
            <w:tcBorders>
              <w:top w:val="nil"/>
              <w:bottom w:val="nil"/>
            </w:tcBorders>
          </w:tcPr>
          <w:p w:rsidR="00000000" w:rsidRDefault="00000000">
            <w:pPr>
              <w:tabs>
                <w:tab w:val="left" w:pos="680"/>
                <w:tab w:val="left" w:pos="1134"/>
              </w:tabs>
              <w:ind w:right="227"/>
              <w:jc w:val="right"/>
            </w:pPr>
            <w:r>
              <w:t>3 884</w:t>
            </w:r>
          </w:p>
        </w:tc>
        <w:tc>
          <w:tcPr>
            <w:tcW w:w="1132" w:type="dxa"/>
            <w:tcBorders>
              <w:top w:val="nil"/>
              <w:bottom w:val="nil"/>
            </w:tcBorders>
          </w:tcPr>
          <w:p w:rsidR="00000000" w:rsidRDefault="00000000">
            <w:pPr>
              <w:tabs>
                <w:tab w:val="left" w:pos="680"/>
                <w:tab w:val="left" w:pos="1134"/>
              </w:tabs>
              <w:ind w:right="227"/>
              <w:jc w:val="right"/>
            </w:pPr>
            <w:r>
              <w:t>87,667</w:t>
            </w:r>
          </w:p>
        </w:tc>
        <w:tc>
          <w:tcPr>
            <w:tcW w:w="1150" w:type="dxa"/>
            <w:tcBorders>
              <w:top w:val="nil"/>
              <w:bottom w:val="nil"/>
            </w:tcBorders>
          </w:tcPr>
          <w:p w:rsidR="00000000" w:rsidRDefault="00000000">
            <w:pPr>
              <w:tabs>
                <w:tab w:val="left" w:pos="680"/>
                <w:tab w:val="left" w:pos="1134"/>
              </w:tabs>
              <w:ind w:right="227"/>
              <w:jc w:val="right"/>
            </w:pPr>
            <w:r>
              <w:t>12,333</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Транспорт</w:t>
            </w:r>
          </w:p>
        </w:tc>
        <w:tc>
          <w:tcPr>
            <w:tcW w:w="1271" w:type="dxa"/>
            <w:tcBorders>
              <w:top w:val="nil"/>
              <w:bottom w:val="nil"/>
            </w:tcBorders>
          </w:tcPr>
          <w:p w:rsidR="00000000" w:rsidRDefault="00000000">
            <w:pPr>
              <w:tabs>
                <w:tab w:val="left" w:pos="680"/>
                <w:tab w:val="left" w:pos="1134"/>
              </w:tabs>
              <w:ind w:right="227"/>
              <w:jc w:val="right"/>
            </w:pPr>
            <w:r>
              <w:t>2 532</w:t>
            </w:r>
          </w:p>
        </w:tc>
        <w:tc>
          <w:tcPr>
            <w:tcW w:w="1150" w:type="dxa"/>
            <w:tcBorders>
              <w:top w:val="nil"/>
              <w:bottom w:val="nil"/>
            </w:tcBorders>
          </w:tcPr>
          <w:p w:rsidR="00000000" w:rsidRDefault="00000000">
            <w:pPr>
              <w:tabs>
                <w:tab w:val="left" w:pos="680"/>
                <w:tab w:val="left" w:pos="1134"/>
              </w:tabs>
              <w:ind w:right="227"/>
              <w:jc w:val="right"/>
            </w:pPr>
            <w:r>
              <w:t>765</w:t>
            </w:r>
          </w:p>
        </w:tc>
        <w:tc>
          <w:tcPr>
            <w:tcW w:w="1006" w:type="dxa"/>
            <w:tcBorders>
              <w:top w:val="nil"/>
              <w:bottom w:val="nil"/>
            </w:tcBorders>
          </w:tcPr>
          <w:p w:rsidR="00000000" w:rsidRDefault="00000000">
            <w:pPr>
              <w:tabs>
                <w:tab w:val="left" w:pos="680"/>
                <w:tab w:val="left" w:pos="1134"/>
              </w:tabs>
              <w:ind w:right="227"/>
              <w:jc w:val="right"/>
            </w:pPr>
            <w:r>
              <w:t>3 297</w:t>
            </w:r>
          </w:p>
        </w:tc>
        <w:tc>
          <w:tcPr>
            <w:tcW w:w="1132" w:type="dxa"/>
            <w:tcBorders>
              <w:top w:val="nil"/>
              <w:bottom w:val="nil"/>
            </w:tcBorders>
          </w:tcPr>
          <w:p w:rsidR="00000000" w:rsidRDefault="00000000">
            <w:pPr>
              <w:tabs>
                <w:tab w:val="left" w:pos="680"/>
                <w:tab w:val="left" w:pos="1134"/>
              </w:tabs>
              <w:ind w:right="227"/>
              <w:jc w:val="right"/>
            </w:pPr>
            <w:r>
              <w:t>76,797</w:t>
            </w:r>
          </w:p>
        </w:tc>
        <w:tc>
          <w:tcPr>
            <w:tcW w:w="1150" w:type="dxa"/>
            <w:tcBorders>
              <w:top w:val="nil"/>
              <w:bottom w:val="nil"/>
            </w:tcBorders>
          </w:tcPr>
          <w:p w:rsidR="00000000" w:rsidRDefault="00000000">
            <w:pPr>
              <w:tabs>
                <w:tab w:val="left" w:pos="680"/>
                <w:tab w:val="left" w:pos="1134"/>
              </w:tabs>
              <w:ind w:right="227"/>
              <w:jc w:val="right"/>
            </w:pPr>
            <w:r>
              <w:t>23,203</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Информационные системы, электроника и телекоммуникационные службы</w:t>
            </w:r>
          </w:p>
        </w:tc>
        <w:tc>
          <w:tcPr>
            <w:tcW w:w="1271" w:type="dxa"/>
            <w:tcBorders>
              <w:top w:val="nil"/>
              <w:bottom w:val="nil"/>
            </w:tcBorders>
          </w:tcPr>
          <w:p w:rsidR="00000000" w:rsidRDefault="00000000">
            <w:pPr>
              <w:tabs>
                <w:tab w:val="left" w:pos="680"/>
                <w:tab w:val="left" w:pos="1134"/>
              </w:tabs>
              <w:ind w:right="227"/>
              <w:jc w:val="right"/>
            </w:pPr>
            <w:r>
              <w:t>2 516</w:t>
            </w:r>
          </w:p>
          <w:p w:rsidR="00000000" w:rsidRDefault="00000000">
            <w:pPr>
              <w:tabs>
                <w:tab w:val="left" w:pos="680"/>
                <w:tab w:val="left" w:pos="1134"/>
              </w:tabs>
              <w:ind w:right="227"/>
              <w:jc w:val="right"/>
            </w:pPr>
          </w:p>
          <w:p w:rsidR="00000000" w:rsidRDefault="00000000">
            <w:pPr>
              <w:tabs>
                <w:tab w:val="left" w:pos="680"/>
                <w:tab w:val="left" w:pos="1134"/>
              </w:tabs>
              <w:ind w:right="227"/>
              <w:jc w:val="right"/>
            </w:pPr>
          </w:p>
        </w:tc>
        <w:tc>
          <w:tcPr>
            <w:tcW w:w="1150" w:type="dxa"/>
            <w:tcBorders>
              <w:top w:val="nil"/>
              <w:bottom w:val="nil"/>
            </w:tcBorders>
          </w:tcPr>
          <w:p w:rsidR="00000000" w:rsidRDefault="00000000">
            <w:pPr>
              <w:tabs>
                <w:tab w:val="left" w:pos="680"/>
                <w:tab w:val="left" w:pos="1134"/>
              </w:tabs>
              <w:ind w:right="227"/>
              <w:jc w:val="right"/>
            </w:pPr>
            <w:r>
              <w:t>3 615</w:t>
            </w:r>
          </w:p>
          <w:p w:rsidR="00000000" w:rsidRDefault="00000000">
            <w:pPr>
              <w:tabs>
                <w:tab w:val="left" w:pos="680"/>
                <w:tab w:val="left" w:pos="1134"/>
              </w:tabs>
              <w:ind w:right="227"/>
              <w:jc w:val="right"/>
            </w:pPr>
          </w:p>
          <w:p w:rsidR="00000000" w:rsidRDefault="00000000">
            <w:pPr>
              <w:tabs>
                <w:tab w:val="left" w:pos="680"/>
                <w:tab w:val="left" w:pos="1134"/>
              </w:tabs>
              <w:ind w:right="227"/>
              <w:jc w:val="right"/>
            </w:pPr>
          </w:p>
        </w:tc>
        <w:tc>
          <w:tcPr>
            <w:tcW w:w="1006" w:type="dxa"/>
            <w:tcBorders>
              <w:top w:val="nil"/>
              <w:bottom w:val="nil"/>
            </w:tcBorders>
          </w:tcPr>
          <w:p w:rsidR="00000000" w:rsidRDefault="00000000">
            <w:pPr>
              <w:tabs>
                <w:tab w:val="left" w:pos="680"/>
                <w:tab w:val="left" w:pos="1134"/>
              </w:tabs>
              <w:ind w:right="227"/>
              <w:jc w:val="right"/>
            </w:pPr>
            <w:r>
              <w:t>6 131</w:t>
            </w:r>
          </w:p>
          <w:p w:rsidR="00000000" w:rsidRDefault="00000000">
            <w:pPr>
              <w:tabs>
                <w:tab w:val="left" w:pos="680"/>
                <w:tab w:val="left" w:pos="1134"/>
              </w:tabs>
              <w:ind w:right="227"/>
              <w:jc w:val="right"/>
            </w:pPr>
          </w:p>
        </w:tc>
        <w:tc>
          <w:tcPr>
            <w:tcW w:w="1132" w:type="dxa"/>
            <w:tcBorders>
              <w:top w:val="nil"/>
              <w:bottom w:val="nil"/>
            </w:tcBorders>
          </w:tcPr>
          <w:p w:rsidR="00000000" w:rsidRDefault="00000000">
            <w:pPr>
              <w:tabs>
                <w:tab w:val="left" w:pos="680"/>
                <w:tab w:val="left" w:pos="1134"/>
              </w:tabs>
              <w:ind w:right="227"/>
              <w:jc w:val="right"/>
            </w:pPr>
            <w:r>
              <w:t>41,037</w:t>
            </w:r>
          </w:p>
          <w:p w:rsidR="00000000" w:rsidRDefault="00000000">
            <w:pPr>
              <w:tabs>
                <w:tab w:val="left" w:pos="680"/>
                <w:tab w:val="left" w:pos="1134"/>
              </w:tabs>
              <w:ind w:right="227"/>
              <w:jc w:val="right"/>
            </w:pPr>
          </w:p>
        </w:tc>
        <w:tc>
          <w:tcPr>
            <w:tcW w:w="1150" w:type="dxa"/>
            <w:tcBorders>
              <w:top w:val="nil"/>
              <w:bottom w:val="nil"/>
            </w:tcBorders>
          </w:tcPr>
          <w:p w:rsidR="00000000" w:rsidRDefault="00000000">
            <w:pPr>
              <w:tabs>
                <w:tab w:val="left" w:pos="680"/>
                <w:tab w:val="left" w:pos="1134"/>
              </w:tabs>
              <w:ind w:right="227"/>
              <w:jc w:val="right"/>
            </w:pPr>
            <w:r>
              <w:t>58,963</w:t>
            </w:r>
          </w:p>
          <w:p w:rsidR="00000000" w:rsidRDefault="00000000">
            <w:pPr>
              <w:tabs>
                <w:tab w:val="left" w:pos="680"/>
                <w:tab w:val="left" w:pos="1134"/>
              </w:tabs>
              <w:ind w:right="227"/>
              <w:jc w:val="right"/>
            </w:pPr>
          </w:p>
        </w:tc>
        <w:tc>
          <w:tcPr>
            <w:tcW w:w="823" w:type="dxa"/>
            <w:tcBorders>
              <w:top w:val="nil"/>
              <w:bottom w:val="nil"/>
            </w:tcBorders>
          </w:tcPr>
          <w:p w:rsidR="00000000" w:rsidRDefault="00000000">
            <w:pPr>
              <w:tabs>
                <w:tab w:val="left" w:pos="680"/>
                <w:tab w:val="left" w:pos="1134"/>
              </w:tabs>
              <w:ind w:right="227"/>
              <w:jc w:val="right"/>
            </w:pPr>
            <w:r>
              <w:t>100</w:t>
            </w:r>
          </w:p>
          <w:p w:rsidR="00000000" w:rsidRDefault="00000000">
            <w:pPr>
              <w:tabs>
                <w:tab w:val="left" w:pos="680"/>
                <w:tab w:val="left" w:pos="1134"/>
              </w:tabs>
              <w:ind w:right="227"/>
              <w:jc w:val="right"/>
            </w:pP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Строительство</w:t>
            </w:r>
          </w:p>
        </w:tc>
        <w:tc>
          <w:tcPr>
            <w:tcW w:w="1271" w:type="dxa"/>
            <w:tcBorders>
              <w:top w:val="nil"/>
              <w:bottom w:val="nil"/>
            </w:tcBorders>
          </w:tcPr>
          <w:p w:rsidR="00000000" w:rsidRDefault="00000000">
            <w:pPr>
              <w:tabs>
                <w:tab w:val="left" w:pos="680"/>
                <w:tab w:val="left" w:pos="1134"/>
              </w:tabs>
              <w:ind w:right="227"/>
              <w:jc w:val="right"/>
            </w:pPr>
            <w:r>
              <w:t>2 383</w:t>
            </w:r>
          </w:p>
        </w:tc>
        <w:tc>
          <w:tcPr>
            <w:tcW w:w="1150" w:type="dxa"/>
            <w:tcBorders>
              <w:top w:val="nil"/>
              <w:bottom w:val="nil"/>
            </w:tcBorders>
          </w:tcPr>
          <w:p w:rsidR="00000000" w:rsidRDefault="00000000">
            <w:pPr>
              <w:tabs>
                <w:tab w:val="left" w:pos="680"/>
                <w:tab w:val="left" w:pos="1134"/>
              </w:tabs>
              <w:ind w:right="227"/>
              <w:jc w:val="right"/>
            </w:pPr>
            <w:r>
              <w:t>174</w:t>
            </w:r>
          </w:p>
        </w:tc>
        <w:tc>
          <w:tcPr>
            <w:tcW w:w="1006" w:type="dxa"/>
            <w:tcBorders>
              <w:top w:val="nil"/>
              <w:bottom w:val="nil"/>
            </w:tcBorders>
          </w:tcPr>
          <w:p w:rsidR="00000000" w:rsidRDefault="00000000">
            <w:pPr>
              <w:tabs>
                <w:tab w:val="left" w:pos="680"/>
                <w:tab w:val="left" w:pos="1134"/>
              </w:tabs>
              <w:ind w:right="227"/>
              <w:jc w:val="right"/>
            </w:pPr>
            <w:r>
              <w:t>2 557</w:t>
            </w:r>
          </w:p>
        </w:tc>
        <w:tc>
          <w:tcPr>
            <w:tcW w:w="1132" w:type="dxa"/>
            <w:tcBorders>
              <w:top w:val="nil"/>
              <w:bottom w:val="nil"/>
            </w:tcBorders>
          </w:tcPr>
          <w:p w:rsidR="00000000" w:rsidRDefault="00000000">
            <w:pPr>
              <w:tabs>
                <w:tab w:val="left" w:pos="680"/>
                <w:tab w:val="left" w:pos="1134"/>
              </w:tabs>
              <w:ind w:right="227"/>
              <w:jc w:val="right"/>
            </w:pPr>
            <w:r>
              <w:t>93,195</w:t>
            </w:r>
          </w:p>
        </w:tc>
        <w:tc>
          <w:tcPr>
            <w:tcW w:w="1150" w:type="dxa"/>
            <w:tcBorders>
              <w:top w:val="nil"/>
              <w:bottom w:val="nil"/>
            </w:tcBorders>
          </w:tcPr>
          <w:p w:rsidR="00000000" w:rsidRDefault="00000000">
            <w:pPr>
              <w:tabs>
                <w:tab w:val="left" w:pos="680"/>
                <w:tab w:val="left" w:pos="1134"/>
              </w:tabs>
              <w:ind w:right="227"/>
              <w:jc w:val="right"/>
            </w:pPr>
            <w:r>
              <w:t>6,8048</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Сельское хозяйство</w:t>
            </w:r>
          </w:p>
        </w:tc>
        <w:tc>
          <w:tcPr>
            <w:tcW w:w="1271" w:type="dxa"/>
            <w:tcBorders>
              <w:top w:val="nil"/>
              <w:bottom w:val="nil"/>
            </w:tcBorders>
          </w:tcPr>
          <w:p w:rsidR="00000000" w:rsidRDefault="00000000">
            <w:pPr>
              <w:tabs>
                <w:tab w:val="left" w:pos="680"/>
                <w:tab w:val="left" w:pos="1134"/>
              </w:tabs>
              <w:ind w:right="227"/>
              <w:jc w:val="right"/>
            </w:pPr>
            <w:r>
              <w:t>2 830</w:t>
            </w:r>
          </w:p>
        </w:tc>
        <w:tc>
          <w:tcPr>
            <w:tcW w:w="1150" w:type="dxa"/>
            <w:tcBorders>
              <w:top w:val="nil"/>
              <w:bottom w:val="nil"/>
            </w:tcBorders>
          </w:tcPr>
          <w:p w:rsidR="00000000" w:rsidRDefault="00000000">
            <w:pPr>
              <w:tabs>
                <w:tab w:val="left" w:pos="680"/>
                <w:tab w:val="left" w:pos="1134"/>
              </w:tabs>
              <w:ind w:right="227"/>
              <w:jc w:val="right"/>
            </w:pPr>
            <w:r>
              <w:t>1 472</w:t>
            </w:r>
          </w:p>
        </w:tc>
        <w:tc>
          <w:tcPr>
            <w:tcW w:w="1006" w:type="dxa"/>
            <w:tcBorders>
              <w:top w:val="nil"/>
              <w:bottom w:val="nil"/>
            </w:tcBorders>
          </w:tcPr>
          <w:p w:rsidR="00000000" w:rsidRDefault="00000000">
            <w:pPr>
              <w:tabs>
                <w:tab w:val="left" w:pos="680"/>
                <w:tab w:val="left" w:pos="1134"/>
              </w:tabs>
              <w:ind w:right="227"/>
              <w:jc w:val="right"/>
            </w:pPr>
            <w:r>
              <w:t>4 302</w:t>
            </w:r>
          </w:p>
        </w:tc>
        <w:tc>
          <w:tcPr>
            <w:tcW w:w="1132" w:type="dxa"/>
            <w:tcBorders>
              <w:top w:val="nil"/>
              <w:bottom w:val="nil"/>
            </w:tcBorders>
          </w:tcPr>
          <w:p w:rsidR="00000000" w:rsidRDefault="00000000">
            <w:pPr>
              <w:tabs>
                <w:tab w:val="left" w:pos="680"/>
                <w:tab w:val="left" w:pos="1134"/>
              </w:tabs>
              <w:ind w:right="227"/>
              <w:jc w:val="right"/>
            </w:pPr>
            <w:r>
              <w:t>65,783</w:t>
            </w:r>
          </w:p>
        </w:tc>
        <w:tc>
          <w:tcPr>
            <w:tcW w:w="1150" w:type="dxa"/>
            <w:tcBorders>
              <w:top w:val="nil"/>
              <w:bottom w:val="nil"/>
            </w:tcBorders>
          </w:tcPr>
          <w:p w:rsidR="00000000" w:rsidRDefault="00000000">
            <w:pPr>
              <w:tabs>
                <w:tab w:val="left" w:pos="680"/>
                <w:tab w:val="left" w:pos="1134"/>
              </w:tabs>
              <w:ind w:right="227"/>
              <w:jc w:val="right"/>
            </w:pPr>
            <w:r>
              <w:t>34,217</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Рыболовство</w:t>
            </w:r>
          </w:p>
        </w:tc>
        <w:tc>
          <w:tcPr>
            <w:tcW w:w="1271" w:type="dxa"/>
            <w:tcBorders>
              <w:top w:val="nil"/>
              <w:bottom w:val="nil"/>
            </w:tcBorders>
          </w:tcPr>
          <w:p w:rsidR="00000000" w:rsidRDefault="00000000">
            <w:pPr>
              <w:tabs>
                <w:tab w:val="left" w:pos="680"/>
                <w:tab w:val="left" w:pos="1134"/>
              </w:tabs>
              <w:ind w:right="227"/>
              <w:jc w:val="right"/>
            </w:pPr>
            <w:r>
              <w:t>5 590</w:t>
            </w:r>
          </w:p>
        </w:tc>
        <w:tc>
          <w:tcPr>
            <w:tcW w:w="1150" w:type="dxa"/>
            <w:tcBorders>
              <w:top w:val="nil"/>
              <w:bottom w:val="nil"/>
            </w:tcBorders>
          </w:tcPr>
          <w:p w:rsidR="00000000" w:rsidRDefault="00000000">
            <w:pPr>
              <w:tabs>
                <w:tab w:val="left" w:pos="680"/>
                <w:tab w:val="left" w:pos="1134"/>
              </w:tabs>
              <w:ind w:right="227"/>
              <w:jc w:val="right"/>
            </w:pPr>
            <w:r>
              <w:t>2 617</w:t>
            </w:r>
          </w:p>
        </w:tc>
        <w:tc>
          <w:tcPr>
            <w:tcW w:w="1006" w:type="dxa"/>
            <w:tcBorders>
              <w:top w:val="nil"/>
              <w:bottom w:val="nil"/>
            </w:tcBorders>
          </w:tcPr>
          <w:p w:rsidR="00000000" w:rsidRDefault="00000000">
            <w:pPr>
              <w:tabs>
                <w:tab w:val="left" w:pos="680"/>
                <w:tab w:val="left" w:pos="1134"/>
              </w:tabs>
              <w:ind w:right="227"/>
              <w:jc w:val="right"/>
            </w:pPr>
            <w:r>
              <w:t>8 207</w:t>
            </w:r>
          </w:p>
        </w:tc>
        <w:tc>
          <w:tcPr>
            <w:tcW w:w="1132" w:type="dxa"/>
            <w:tcBorders>
              <w:top w:val="nil"/>
              <w:bottom w:val="nil"/>
            </w:tcBorders>
          </w:tcPr>
          <w:p w:rsidR="00000000" w:rsidRDefault="00000000">
            <w:pPr>
              <w:tabs>
                <w:tab w:val="left" w:pos="680"/>
                <w:tab w:val="left" w:pos="1134"/>
              </w:tabs>
              <w:ind w:right="227"/>
              <w:jc w:val="right"/>
            </w:pPr>
            <w:r>
              <w:t>68,113</w:t>
            </w:r>
          </w:p>
        </w:tc>
        <w:tc>
          <w:tcPr>
            <w:tcW w:w="1150" w:type="dxa"/>
            <w:tcBorders>
              <w:top w:val="nil"/>
              <w:bottom w:val="nil"/>
            </w:tcBorders>
          </w:tcPr>
          <w:p w:rsidR="00000000" w:rsidRDefault="00000000">
            <w:pPr>
              <w:tabs>
                <w:tab w:val="left" w:pos="680"/>
                <w:tab w:val="left" w:pos="1134"/>
              </w:tabs>
              <w:ind w:right="227"/>
              <w:jc w:val="right"/>
            </w:pPr>
            <w:r>
              <w:t>31,887</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nil"/>
            </w:tcBorders>
          </w:tcPr>
          <w:p w:rsidR="00000000" w:rsidRDefault="00000000">
            <w:pPr>
              <w:tabs>
                <w:tab w:val="left" w:pos="680"/>
                <w:tab w:val="left" w:pos="1134"/>
              </w:tabs>
            </w:pPr>
            <w:r>
              <w:t>Кредитно-финансовые учреждения</w:t>
            </w:r>
          </w:p>
        </w:tc>
        <w:tc>
          <w:tcPr>
            <w:tcW w:w="1271" w:type="dxa"/>
            <w:tcBorders>
              <w:top w:val="nil"/>
              <w:bottom w:val="nil"/>
            </w:tcBorders>
          </w:tcPr>
          <w:p w:rsidR="00000000" w:rsidRDefault="00000000">
            <w:pPr>
              <w:tabs>
                <w:tab w:val="left" w:pos="680"/>
                <w:tab w:val="left" w:pos="1134"/>
              </w:tabs>
              <w:ind w:right="227"/>
              <w:jc w:val="right"/>
            </w:pPr>
            <w:r>
              <w:t>2 825</w:t>
            </w:r>
          </w:p>
        </w:tc>
        <w:tc>
          <w:tcPr>
            <w:tcW w:w="1150" w:type="dxa"/>
            <w:tcBorders>
              <w:top w:val="nil"/>
              <w:bottom w:val="nil"/>
            </w:tcBorders>
          </w:tcPr>
          <w:p w:rsidR="00000000" w:rsidRDefault="00000000">
            <w:pPr>
              <w:tabs>
                <w:tab w:val="left" w:pos="680"/>
                <w:tab w:val="left" w:pos="1134"/>
              </w:tabs>
              <w:ind w:right="227"/>
              <w:jc w:val="right"/>
            </w:pPr>
            <w:r>
              <w:t>3 743</w:t>
            </w:r>
          </w:p>
        </w:tc>
        <w:tc>
          <w:tcPr>
            <w:tcW w:w="1006" w:type="dxa"/>
            <w:tcBorders>
              <w:top w:val="nil"/>
              <w:bottom w:val="nil"/>
            </w:tcBorders>
          </w:tcPr>
          <w:p w:rsidR="00000000" w:rsidRDefault="00000000">
            <w:pPr>
              <w:tabs>
                <w:tab w:val="left" w:pos="680"/>
                <w:tab w:val="left" w:pos="1134"/>
              </w:tabs>
              <w:ind w:right="227"/>
              <w:jc w:val="right"/>
            </w:pPr>
            <w:r>
              <w:t>6 568</w:t>
            </w:r>
          </w:p>
        </w:tc>
        <w:tc>
          <w:tcPr>
            <w:tcW w:w="1132" w:type="dxa"/>
            <w:tcBorders>
              <w:top w:val="nil"/>
              <w:bottom w:val="nil"/>
            </w:tcBorders>
          </w:tcPr>
          <w:p w:rsidR="00000000" w:rsidRDefault="00000000">
            <w:pPr>
              <w:tabs>
                <w:tab w:val="left" w:pos="680"/>
                <w:tab w:val="left" w:pos="1134"/>
              </w:tabs>
              <w:ind w:right="227"/>
              <w:jc w:val="right"/>
            </w:pPr>
            <w:r>
              <w:t>43,012</w:t>
            </w:r>
          </w:p>
        </w:tc>
        <w:tc>
          <w:tcPr>
            <w:tcW w:w="1150" w:type="dxa"/>
            <w:tcBorders>
              <w:top w:val="nil"/>
              <w:bottom w:val="nil"/>
            </w:tcBorders>
          </w:tcPr>
          <w:p w:rsidR="00000000" w:rsidRDefault="00000000">
            <w:pPr>
              <w:tabs>
                <w:tab w:val="left" w:pos="680"/>
                <w:tab w:val="left" w:pos="1134"/>
              </w:tabs>
              <w:ind w:right="227"/>
              <w:jc w:val="right"/>
            </w:pPr>
            <w:r>
              <w:t>56,988</w:t>
            </w:r>
          </w:p>
        </w:tc>
        <w:tc>
          <w:tcPr>
            <w:tcW w:w="823" w:type="dxa"/>
            <w:tcBorders>
              <w:top w:val="nil"/>
              <w:bottom w:val="nil"/>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nil"/>
              <w:bottom w:val="single" w:sz="4" w:space="0" w:color="auto"/>
            </w:tcBorders>
          </w:tcPr>
          <w:p w:rsidR="00000000" w:rsidRDefault="00000000">
            <w:pPr>
              <w:tabs>
                <w:tab w:val="left" w:pos="680"/>
                <w:tab w:val="left" w:pos="1134"/>
              </w:tabs>
            </w:pPr>
            <w:r>
              <w:t>Горнодобывающая промышленность</w:t>
            </w:r>
          </w:p>
        </w:tc>
        <w:tc>
          <w:tcPr>
            <w:tcW w:w="1271" w:type="dxa"/>
            <w:tcBorders>
              <w:top w:val="nil"/>
              <w:bottom w:val="single" w:sz="4" w:space="0" w:color="auto"/>
            </w:tcBorders>
          </w:tcPr>
          <w:p w:rsidR="00000000" w:rsidRDefault="00000000">
            <w:pPr>
              <w:tabs>
                <w:tab w:val="left" w:pos="680"/>
                <w:tab w:val="left" w:pos="1134"/>
              </w:tabs>
              <w:ind w:right="227"/>
              <w:jc w:val="right"/>
            </w:pPr>
            <w:r>
              <w:t>5 156</w:t>
            </w:r>
          </w:p>
        </w:tc>
        <w:tc>
          <w:tcPr>
            <w:tcW w:w="1150" w:type="dxa"/>
            <w:tcBorders>
              <w:top w:val="nil"/>
              <w:bottom w:val="single" w:sz="4" w:space="0" w:color="auto"/>
            </w:tcBorders>
          </w:tcPr>
          <w:p w:rsidR="00000000" w:rsidRDefault="00000000">
            <w:pPr>
              <w:tabs>
                <w:tab w:val="left" w:pos="680"/>
                <w:tab w:val="left" w:pos="1134"/>
              </w:tabs>
              <w:ind w:right="227"/>
              <w:jc w:val="right"/>
            </w:pPr>
            <w:r>
              <w:t>673</w:t>
            </w:r>
          </w:p>
        </w:tc>
        <w:tc>
          <w:tcPr>
            <w:tcW w:w="1006" w:type="dxa"/>
            <w:tcBorders>
              <w:top w:val="nil"/>
              <w:bottom w:val="single" w:sz="4" w:space="0" w:color="auto"/>
            </w:tcBorders>
          </w:tcPr>
          <w:p w:rsidR="00000000" w:rsidRDefault="00000000">
            <w:pPr>
              <w:tabs>
                <w:tab w:val="left" w:pos="680"/>
                <w:tab w:val="left" w:pos="1134"/>
              </w:tabs>
              <w:ind w:right="227"/>
              <w:jc w:val="right"/>
            </w:pPr>
            <w:r>
              <w:t>5 829</w:t>
            </w:r>
          </w:p>
        </w:tc>
        <w:tc>
          <w:tcPr>
            <w:tcW w:w="1132" w:type="dxa"/>
            <w:tcBorders>
              <w:top w:val="nil"/>
              <w:bottom w:val="single" w:sz="4" w:space="0" w:color="auto"/>
            </w:tcBorders>
          </w:tcPr>
          <w:p w:rsidR="00000000" w:rsidRDefault="00000000">
            <w:pPr>
              <w:tabs>
                <w:tab w:val="left" w:pos="680"/>
                <w:tab w:val="left" w:pos="1134"/>
              </w:tabs>
              <w:ind w:right="227"/>
              <w:jc w:val="right"/>
            </w:pPr>
            <w:r>
              <w:t>88,454</w:t>
            </w:r>
          </w:p>
        </w:tc>
        <w:tc>
          <w:tcPr>
            <w:tcW w:w="1150" w:type="dxa"/>
            <w:tcBorders>
              <w:top w:val="nil"/>
              <w:bottom w:val="single" w:sz="4" w:space="0" w:color="auto"/>
            </w:tcBorders>
          </w:tcPr>
          <w:p w:rsidR="00000000" w:rsidRDefault="00000000">
            <w:pPr>
              <w:tabs>
                <w:tab w:val="left" w:pos="680"/>
                <w:tab w:val="left" w:pos="1134"/>
              </w:tabs>
              <w:ind w:right="227"/>
              <w:jc w:val="right"/>
            </w:pPr>
            <w:r>
              <w:t>11,546</w:t>
            </w:r>
          </w:p>
        </w:tc>
        <w:tc>
          <w:tcPr>
            <w:tcW w:w="823" w:type="dxa"/>
            <w:tcBorders>
              <w:top w:val="nil"/>
              <w:bottom w:val="single" w:sz="4" w:space="0" w:color="auto"/>
            </w:tcBorders>
          </w:tcPr>
          <w:p w:rsidR="00000000" w:rsidRDefault="00000000">
            <w:pPr>
              <w:tabs>
                <w:tab w:val="left" w:pos="680"/>
                <w:tab w:val="left" w:pos="1134"/>
              </w:tabs>
              <w:ind w:right="227"/>
              <w:jc w:val="right"/>
            </w:pPr>
            <w:r>
              <w:t>100</w:t>
            </w:r>
          </w:p>
        </w:tc>
      </w:tr>
      <w:tr w:rsidR="00000000">
        <w:tblPrEx>
          <w:tblCellMar>
            <w:top w:w="0" w:type="dxa"/>
            <w:bottom w:w="0" w:type="dxa"/>
          </w:tblCellMar>
        </w:tblPrEx>
        <w:trPr>
          <w:jc w:val="center"/>
        </w:trPr>
        <w:tc>
          <w:tcPr>
            <w:tcW w:w="2824" w:type="dxa"/>
            <w:tcBorders>
              <w:top w:val="single" w:sz="4" w:space="0" w:color="auto"/>
              <w:bottom w:val="single" w:sz="4" w:space="0" w:color="auto"/>
            </w:tcBorders>
          </w:tcPr>
          <w:p w:rsidR="00000000" w:rsidRDefault="00000000">
            <w:pPr>
              <w:pStyle w:val="FootnoteText"/>
              <w:tabs>
                <w:tab w:val="left" w:pos="202"/>
                <w:tab w:val="left" w:pos="1134"/>
              </w:tabs>
              <w:spacing w:before="60" w:after="60"/>
            </w:pPr>
            <w:r>
              <w:tab/>
              <w:t>Все отрасли/сектора</w:t>
            </w:r>
          </w:p>
        </w:tc>
        <w:tc>
          <w:tcPr>
            <w:tcW w:w="1271" w:type="dxa"/>
            <w:tcBorders>
              <w:top w:val="single" w:sz="4" w:space="0" w:color="auto"/>
              <w:bottom w:val="single" w:sz="4" w:space="0" w:color="auto"/>
            </w:tcBorders>
          </w:tcPr>
          <w:p w:rsidR="00000000" w:rsidRDefault="00000000">
            <w:pPr>
              <w:tabs>
                <w:tab w:val="left" w:pos="680"/>
                <w:tab w:val="left" w:pos="1134"/>
              </w:tabs>
              <w:spacing w:before="60" w:after="60"/>
              <w:ind w:right="227"/>
              <w:jc w:val="right"/>
            </w:pPr>
            <w:r>
              <w:t>65 267</w:t>
            </w:r>
          </w:p>
        </w:tc>
        <w:tc>
          <w:tcPr>
            <w:tcW w:w="1150" w:type="dxa"/>
            <w:tcBorders>
              <w:top w:val="single" w:sz="4" w:space="0" w:color="auto"/>
              <w:bottom w:val="single" w:sz="4" w:space="0" w:color="auto"/>
            </w:tcBorders>
          </w:tcPr>
          <w:p w:rsidR="00000000" w:rsidRDefault="00000000">
            <w:pPr>
              <w:tabs>
                <w:tab w:val="left" w:pos="680"/>
                <w:tab w:val="left" w:pos="1134"/>
              </w:tabs>
              <w:spacing w:before="60" w:after="60"/>
              <w:ind w:right="227"/>
              <w:jc w:val="right"/>
            </w:pPr>
            <w:r>
              <w:t>48 543</w:t>
            </w:r>
          </w:p>
        </w:tc>
        <w:tc>
          <w:tcPr>
            <w:tcW w:w="1006" w:type="dxa"/>
            <w:tcBorders>
              <w:top w:val="single" w:sz="4" w:space="0" w:color="auto"/>
              <w:bottom w:val="single" w:sz="4" w:space="0" w:color="auto"/>
            </w:tcBorders>
          </w:tcPr>
          <w:p w:rsidR="00000000" w:rsidRDefault="00000000">
            <w:pPr>
              <w:tabs>
                <w:tab w:val="left" w:pos="680"/>
                <w:tab w:val="left" w:pos="1134"/>
              </w:tabs>
              <w:spacing w:before="60" w:after="60"/>
              <w:ind w:right="227"/>
              <w:jc w:val="right"/>
            </w:pPr>
            <w:r>
              <w:t>113 810</w:t>
            </w:r>
          </w:p>
        </w:tc>
        <w:tc>
          <w:tcPr>
            <w:tcW w:w="1132" w:type="dxa"/>
            <w:tcBorders>
              <w:top w:val="single" w:sz="4" w:space="0" w:color="auto"/>
              <w:bottom w:val="single" w:sz="4" w:space="0" w:color="auto"/>
            </w:tcBorders>
          </w:tcPr>
          <w:p w:rsidR="00000000" w:rsidRDefault="00000000">
            <w:pPr>
              <w:tabs>
                <w:tab w:val="left" w:pos="680"/>
                <w:tab w:val="left" w:pos="1134"/>
              </w:tabs>
              <w:spacing w:before="60" w:after="60"/>
              <w:ind w:right="227"/>
              <w:jc w:val="right"/>
            </w:pPr>
            <w:r>
              <w:t>57,347</w:t>
            </w:r>
          </w:p>
        </w:tc>
        <w:tc>
          <w:tcPr>
            <w:tcW w:w="1150" w:type="dxa"/>
            <w:tcBorders>
              <w:top w:val="single" w:sz="4" w:space="0" w:color="auto"/>
              <w:bottom w:val="single" w:sz="4" w:space="0" w:color="auto"/>
            </w:tcBorders>
          </w:tcPr>
          <w:p w:rsidR="00000000" w:rsidRDefault="00000000">
            <w:pPr>
              <w:tabs>
                <w:tab w:val="left" w:pos="680"/>
                <w:tab w:val="left" w:pos="1134"/>
              </w:tabs>
              <w:spacing w:before="60" w:after="60"/>
              <w:ind w:right="227"/>
              <w:jc w:val="right"/>
            </w:pPr>
            <w:r>
              <w:t>42,653</w:t>
            </w:r>
          </w:p>
        </w:tc>
        <w:tc>
          <w:tcPr>
            <w:tcW w:w="823" w:type="dxa"/>
            <w:tcBorders>
              <w:top w:val="single" w:sz="4" w:space="0" w:color="auto"/>
              <w:bottom w:val="single" w:sz="4" w:space="0" w:color="auto"/>
            </w:tcBorders>
          </w:tcPr>
          <w:p w:rsidR="00000000" w:rsidRDefault="00000000">
            <w:pPr>
              <w:tabs>
                <w:tab w:val="left" w:pos="680"/>
                <w:tab w:val="left" w:pos="1134"/>
              </w:tabs>
              <w:spacing w:before="60" w:after="60"/>
              <w:ind w:right="227"/>
              <w:jc w:val="right"/>
            </w:pPr>
            <w:r>
              <w:t>100</w:t>
            </w:r>
          </w:p>
        </w:tc>
      </w:tr>
    </w:tbl>
    <w:p w:rsidR="00000000" w:rsidRDefault="00000000">
      <w:pPr>
        <w:pStyle w:val="BodyText"/>
        <w:tabs>
          <w:tab w:val="left" w:pos="680"/>
          <w:tab w:val="left" w:pos="1134"/>
        </w:tabs>
        <w:spacing w:before="120"/>
        <w:jc w:val="both"/>
        <w:rPr>
          <w:sz w:val="20"/>
          <w:u w:val="none"/>
        </w:rPr>
      </w:pPr>
      <w:r>
        <w:rPr>
          <w:i/>
          <w:sz w:val="20"/>
          <w:u w:val="none"/>
        </w:rPr>
        <w:t>Источник:</w:t>
      </w:r>
      <w:r>
        <w:rPr>
          <w:sz w:val="20"/>
          <w:u w:val="none"/>
        </w:rPr>
        <w:t xml:space="preserve"> Employment Equity Commission Report, 2003</w:t>
      </w:r>
    </w:p>
    <w:p w:rsidR="00000000" w:rsidRDefault="00000000">
      <w:pPr>
        <w:pStyle w:val="BodyText"/>
        <w:tabs>
          <w:tab w:val="left" w:pos="680"/>
          <w:tab w:val="left" w:pos="1134"/>
        </w:tabs>
        <w:spacing w:before="240"/>
        <w:jc w:val="both"/>
        <w:rPr>
          <w:sz w:val="22"/>
          <w:u w:val="none"/>
        </w:rPr>
      </w:pPr>
      <w:r>
        <w:rPr>
          <w:sz w:val="22"/>
          <w:u w:val="none"/>
        </w:rPr>
        <w:t>Из доклада следует, что из 83,5 процента лиц, представляющих целевые группы</w:t>
      </w:r>
      <w:r>
        <w:rPr>
          <w:rStyle w:val="FootnoteReference"/>
          <w:sz w:val="22"/>
          <w:u w:val="none"/>
        </w:rPr>
        <w:footnoteReference w:customMarkFollows="1" w:id="49"/>
        <w:t>48</w:t>
      </w:r>
      <w:r>
        <w:rPr>
          <w:sz w:val="22"/>
          <w:u w:val="none"/>
        </w:rPr>
        <w:t>, на долю женщин приходится 26,6 процента в полугосударственных структурах, при этом в управленческих структурах высшего звена женщин 12 процентов, а среднего звена – 18 процентов. На государственной службе женщины составляют 24 процента руководителей высшего звена и 41 процент руководителей среднего звена.</w:t>
      </w:r>
    </w:p>
    <w:p w:rsidR="00000000" w:rsidRDefault="00000000">
      <w:pPr>
        <w:pStyle w:val="BodyText"/>
        <w:tabs>
          <w:tab w:val="left" w:pos="680"/>
          <w:tab w:val="left" w:pos="1134"/>
        </w:tabs>
        <w:spacing w:before="240"/>
        <w:jc w:val="both"/>
        <w:rPr>
          <w:sz w:val="22"/>
          <w:u w:val="none"/>
        </w:rPr>
      </w:pPr>
      <w:r>
        <w:rPr>
          <w:sz w:val="22"/>
          <w:u w:val="none"/>
        </w:rPr>
        <w:t>По данным доклада, общее число наемных работников на национальном уровне составляет 113 810 человек. Наименее всего женщины представлены в секторах, где традиционно доминируют работники-мужчины, как, например, строительство (7 процентов), горнодобывающая промышленность (12 процентов), частные охранные службы, юридические и исправительные учреждения (9 процентов) и транспорт (12 процентов). Мужчины достаточно широко представлены почти во всех секторах или отраслях, составляя более 50 процентов от общего числа работников, за исключением государственной службы, кредитно-финансовых учреждений и сектора медицины и здравоохранения (частного), где женщины составляют 57 процентов, 57 процентов и 62 процента, соответственно.</w:t>
      </w:r>
    </w:p>
    <w:p w:rsidR="00000000" w:rsidRDefault="00000000">
      <w:pPr>
        <w:pStyle w:val="BodyText"/>
        <w:tabs>
          <w:tab w:val="left" w:pos="680"/>
          <w:tab w:val="left" w:pos="1134"/>
        </w:tabs>
        <w:spacing w:before="480"/>
        <w:jc w:val="both"/>
        <w:rPr>
          <w:b/>
          <w:sz w:val="22"/>
          <w:u w:val="none"/>
        </w:rPr>
      </w:pPr>
      <w:r>
        <w:rPr>
          <w:b/>
          <w:sz w:val="22"/>
          <w:u w:val="none"/>
        </w:rPr>
        <w:t>СТАТЬЯ 5:</w:t>
      </w:r>
      <w:r>
        <w:rPr>
          <w:b/>
          <w:sz w:val="22"/>
          <w:u w:val="none"/>
        </w:rPr>
        <w:tab/>
        <w:t>Стереотипное представление о роли полов</w:t>
      </w:r>
    </w:p>
    <w:p w:rsidR="00000000" w:rsidRDefault="00000000">
      <w:pPr>
        <w:pStyle w:val="BodyText"/>
        <w:tabs>
          <w:tab w:val="left" w:pos="680"/>
          <w:tab w:val="left" w:pos="1134"/>
        </w:tabs>
        <w:spacing w:before="240"/>
        <w:jc w:val="both"/>
        <w:rPr>
          <w:sz w:val="22"/>
          <w:u w:val="none"/>
        </w:rPr>
      </w:pPr>
      <w:r>
        <w:rPr>
          <w:sz w:val="22"/>
          <w:u w:val="none"/>
        </w:rPr>
        <w:t>В отношении стереотипного представления о роли полов в Намибии имеется очень мало статистических данных, и для получения более подробной информации об изменении роли женщин во всех сферах экономической и социальной жизни, особенно после обретения страной независимости, необходимо провести научные исследования.</w:t>
      </w:r>
    </w:p>
    <w:p w:rsidR="00000000" w:rsidRDefault="00000000">
      <w:pPr>
        <w:pStyle w:val="BodyText"/>
        <w:tabs>
          <w:tab w:val="left" w:pos="680"/>
          <w:tab w:val="left" w:pos="1134"/>
        </w:tabs>
        <w:spacing w:before="240"/>
        <w:jc w:val="both"/>
        <w:rPr>
          <w:sz w:val="22"/>
          <w:u w:val="none"/>
        </w:rPr>
      </w:pPr>
      <w:r>
        <w:rPr>
          <w:sz w:val="22"/>
          <w:u w:val="none"/>
        </w:rPr>
        <w:t xml:space="preserve">Примером стереотипного мышления в намибийском обществе является решение Верховного суда Намибии по делу </w:t>
      </w:r>
      <w:r>
        <w:rPr>
          <w:i/>
          <w:sz w:val="22"/>
          <w:u w:val="none"/>
        </w:rPr>
        <w:t>Мюллер против президента Республики Намибия и других</w:t>
      </w:r>
      <w:r>
        <w:rPr>
          <w:sz w:val="22"/>
          <w:u w:val="none"/>
        </w:rPr>
        <w:t xml:space="preserve">, 2000 год (6) BCLR (NmS). Г-н Мюллер женился на г-же Энгельгард в 1996 году. Г-н Мюллер пожелал сменить свою фамилию и взять фамилию жены. Другими словами, они должны были стать г-ном и </w:t>
      </w:r>
      <w:r>
        <w:rPr>
          <w:sz w:val="22"/>
          <w:u w:val="none"/>
        </w:rPr>
        <w:br/>
        <w:t xml:space="preserve">г-жой Энгельгард. Для этого ему пришлось бы соблюсти ряд формальностей, предусмотренных разделом 9 Закона об иностранцах. Женщина не обязана выполнять какие-либо формальности при вступлении в брак, а может просто решить взять фамилию мужа в качестве своей собственной </w:t>
      </w:r>
      <w:r>
        <w:rPr>
          <w:sz w:val="22"/>
          <w:u w:val="none"/>
          <w:lang w:val="en-US"/>
        </w:rPr>
        <w:t>[</w:t>
      </w:r>
      <w:r>
        <w:rPr>
          <w:sz w:val="22"/>
          <w:u w:val="none"/>
        </w:rPr>
        <w:t>раздел 9 (1) (а)</w:t>
      </w:r>
      <w:r>
        <w:rPr>
          <w:sz w:val="22"/>
          <w:u w:val="none"/>
          <w:lang w:val="en-US"/>
        </w:rPr>
        <w:t>]</w:t>
      </w:r>
      <w:r>
        <w:rPr>
          <w:sz w:val="22"/>
          <w:u w:val="none"/>
        </w:rPr>
        <w:t>.</w:t>
      </w:r>
    </w:p>
    <w:p w:rsidR="00000000" w:rsidRDefault="00000000">
      <w:pPr>
        <w:pStyle w:val="BodyText"/>
        <w:tabs>
          <w:tab w:val="left" w:pos="680"/>
          <w:tab w:val="left" w:pos="1134"/>
        </w:tabs>
        <w:spacing w:before="240"/>
        <w:jc w:val="both"/>
        <w:rPr>
          <w:sz w:val="22"/>
          <w:u w:val="none"/>
        </w:rPr>
      </w:pPr>
      <w:r>
        <w:rPr>
          <w:sz w:val="22"/>
          <w:u w:val="none"/>
        </w:rPr>
        <w:t>Г-н Мюллер обратился в Высокий суд с требованием признать раздел 9-(1) (а) неконституционным. Его основной аргумент состоял в том, что этот раздел нарушает его предусмотренные Конституцией права на равенство перед законом и свободу от дискриминации по признаку пола (статья 10 Конституции). Он также просил о том, чтобы ему разрешили взять фамилию жены. Заявление г-на Мюллера было отклонено Высоким судом. Тогда он обратился в Верховный суд.</w:t>
      </w:r>
    </w:p>
    <w:p w:rsidR="00000000" w:rsidRDefault="00000000">
      <w:pPr>
        <w:pStyle w:val="BodyText"/>
        <w:tabs>
          <w:tab w:val="left" w:pos="680"/>
          <w:tab w:val="left" w:pos="1134"/>
        </w:tabs>
        <w:spacing w:before="240"/>
        <w:jc w:val="both"/>
        <w:rPr>
          <w:sz w:val="22"/>
          <w:u w:val="none"/>
        </w:rPr>
      </w:pPr>
      <w:r>
        <w:rPr>
          <w:sz w:val="22"/>
          <w:u w:val="none"/>
        </w:rPr>
        <w:t>Верховный суд сделал ряд важных заключений. Согласно статье 10 (1) законодательство может быть применено к разным лицам по-разному, если существует разумная и рациональная причина для такого различного применения. Законодательный акт также должен приниматься для достижения какой-то законной цели. В данном случае законная цель состоит в том, чтобы не дать возможность лицам, меняющим свои фамилии, скрыться от полиции.</w:t>
      </w:r>
    </w:p>
    <w:p w:rsidR="00000000" w:rsidRDefault="00000000">
      <w:pPr>
        <w:pStyle w:val="BodyText"/>
        <w:tabs>
          <w:tab w:val="left" w:pos="680"/>
          <w:tab w:val="left" w:pos="1134"/>
        </w:tabs>
        <w:spacing w:before="240"/>
        <w:jc w:val="both"/>
        <w:rPr>
          <w:sz w:val="22"/>
          <w:u w:val="none"/>
        </w:rPr>
      </w:pPr>
      <w:r>
        <w:rPr>
          <w:sz w:val="22"/>
          <w:u w:val="none"/>
        </w:rPr>
        <w:t>Далее суд заявил, что критерий, заложенный в статье 10 (2), гораздо строже. Если законодательство применяется к разным лицам по-разному по одной из причин, упомянутых в статье 10 (2) (например, по признаку пола или расы), и это различие в применении является дискриминационным, тогда законодательство противоречит статье 10 (2). Единственным исключением являются случаи, подпадающие под статью 23, то есть законодательство о "позитивных действиях". Для того чтобы такое различное применение было признано дискриминационным, в нем должен присутствовать элемент несправедливого или ненадлежащего обращения. Суд должен рассмотреть последствия такой дискриминации для данного лица. Учитываются соответствующие факторы, например положение данного лица в обществе, оказывалось ли оно в неблагоприятной ситуации в прошлом из-за расовой дискриминации, основана ли дискриминация на конкретном признаке или нет и наносит ли дискриминация ущерб достоинству данного лица.</w:t>
      </w:r>
    </w:p>
    <w:p w:rsidR="00000000" w:rsidRDefault="00000000">
      <w:pPr>
        <w:pStyle w:val="BodyText"/>
        <w:tabs>
          <w:tab w:val="left" w:pos="680"/>
          <w:tab w:val="left" w:pos="1134"/>
        </w:tabs>
        <w:spacing w:before="240"/>
        <w:jc w:val="both"/>
        <w:rPr>
          <w:sz w:val="22"/>
          <w:u w:val="none"/>
        </w:rPr>
      </w:pPr>
      <w:r>
        <w:rPr>
          <w:sz w:val="22"/>
          <w:u w:val="none"/>
        </w:rPr>
        <w:t>Применив закон к имеющимся фактам, суд пришел к выводу, что его различное применение не нанесло ущерба достоинству г-на Мюллера. Кроме того, он не принадлежал к группе, которая ранее находилась в неблагоприятном положении, поскольку был белым мужчиной. Данное законодательство необходимо также для установления личности для различных целей. В разном применении нашла также свое отражение традиция, согласно которой при вступлении в брак жена принимает фамилию своего мужа. Поэтому г-н Мюллер не являлся жертвой дискриминации, и Верховный суд отклонил его иск. Однако Комитет, который осуществляет контроль за соблюдением Конвенции о гражданских и политических правах, своим постановлением отменил решение Верховного суда и принял решение в пользу г-на Мюллера</w:t>
      </w:r>
      <w:r>
        <w:rPr>
          <w:rStyle w:val="FootnoteReference"/>
          <w:sz w:val="22"/>
          <w:u w:val="none"/>
        </w:rPr>
        <w:footnoteReference w:customMarkFollows="1" w:id="50"/>
        <w:t>49</w:t>
      </w:r>
      <w:r>
        <w:rPr>
          <w:sz w:val="22"/>
          <w:u w:val="none"/>
        </w:rPr>
        <w:t xml:space="preserve">. </w:t>
      </w:r>
    </w:p>
    <w:p w:rsidR="00000000" w:rsidRDefault="00000000">
      <w:pPr>
        <w:pStyle w:val="BodyText"/>
        <w:tabs>
          <w:tab w:val="left" w:pos="680"/>
          <w:tab w:val="left" w:pos="1134"/>
        </w:tabs>
        <w:spacing w:before="240"/>
        <w:jc w:val="both"/>
        <w:rPr>
          <w:sz w:val="22"/>
          <w:u w:val="none"/>
        </w:rPr>
      </w:pPr>
      <w:r>
        <w:rPr>
          <w:sz w:val="22"/>
          <w:u w:val="none"/>
        </w:rPr>
        <w:t>Традиционно девочки записываются в группы по изучению таких предметов, как домоводство, шитье, гостиничное хозяйство, обслуживание питанием и т. д. Для того чтобы преодолеть эту тенденцию, Форум африканских женщин-педагогов в Намибии (FAWENA) и Министерство базового образования, спорта и культуры в сотрудничестве с директорами школ выявляют девочек, которые испытывают трудности с математикой и естественными науками, с тем чтобы организовать для них дополнительные занятия после уроков в школе. Такие дополнительные занятия проводятся за несколько недель до сдачи выпускных экзаменов после школьных каникул в мае/ августе. Девочки серьезно относятся к таким занятиям, так как большинство тех, кто записался, активно участвовали в этих программах.</w:t>
      </w:r>
    </w:p>
    <w:p w:rsidR="00000000" w:rsidRDefault="00000000">
      <w:pPr>
        <w:pStyle w:val="BodyText"/>
        <w:tabs>
          <w:tab w:val="left" w:pos="680"/>
          <w:tab w:val="left" w:pos="1134"/>
        </w:tabs>
        <w:spacing w:before="480"/>
        <w:jc w:val="both"/>
        <w:rPr>
          <w:b/>
          <w:sz w:val="22"/>
          <w:u w:val="none"/>
        </w:rPr>
      </w:pPr>
      <w:r>
        <w:rPr>
          <w:b/>
          <w:sz w:val="22"/>
          <w:u w:val="none"/>
        </w:rPr>
        <w:t>СТАТЬЯ 6:</w:t>
      </w:r>
      <w:r>
        <w:rPr>
          <w:b/>
          <w:sz w:val="22"/>
          <w:u w:val="none"/>
        </w:rPr>
        <w:tab/>
        <w:t>Проституция и торговля женщинами</w:t>
      </w:r>
    </w:p>
    <w:p w:rsidR="00000000" w:rsidRDefault="00000000">
      <w:pPr>
        <w:pStyle w:val="BodyText"/>
        <w:tabs>
          <w:tab w:val="left" w:pos="680"/>
          <w:tab w:val="left" w:pos="1134"/>
        </w:tabs>
        <w:spacing w:before="240"/>
        <w:jc w:val="both"/>
        <w:rPr>
          <w:b/>
          <w:sz w:val="22"/>
          <w:u w:val="none"/>
        </w:rPr>
      </w:pPr>
      <w:r>
        <w:rPr>
          <w:b/>
          <w:sz w:val="22"/>
          <w:u w:val="none"/>
        </w:rPr>
        <w:t>6.1</w:t>
      </w:r>
      <w:r>
        <w:rPr>
          <w:b/>
          <w:sz w:val="22"/>
          <w:u w:val="none"/>
        </w:rPr>
        <w:tab/>
        <w:t>Проституция</w:t>
      </w:r>
    </w:p>
    <w:p w:rsidR="00000000" w:rsidRDefault="00000000">
      <w:pPr>
        <w:pStyle w:val="BodyText"/>
        <w:tabs>
          <w:tab w:val="left" w:pos="680"/>
          <w:tab w:val="left" w:pos="1134"/>
        </w:tabs>
        <w:spacing w:before="240"/>
        <w:jc w:val="both"/>
        <w:rPr>
          <w:sz w:val="22"/>
          <w:u w:val="none"/>
        </w:rPr>
      </w:pPr>
      <w:r>
        <w:rPr>
          <w:sz w:val="22"/>
          <w:u w:val="none"/>
        </w:rPr>
        <w:t>Проституция в Намибии запрещена Законом о борьбе с аморальным поведением (Закон № 21 от 1980 года)</w:t>
      </w:r>
      <w:r>
        <w:rPr>
          <w:rStyle w:val="FootnoteReference"/>
          <w:sz w:val="22"/>
          <w:u w:val="none"/>
        </w:rPr>
        <w:footnoteReference w:customMarkFollows="1" w:id="51"/>
        <w:t>50</w:t>
      </w:r>
      <w:r>
        <w:rPr>
          <w:sz w:val="22"/>
          <w:u w:val="none"/>
        </w:rPr>
        <w:t>; раздел 7 Закона предусматривает, что любое лицо, которое – </w:t>
      </w:r>
    </w:p>
    <w:p w:rsidR="00000000" w:rsidRDefault="00000000">
      <w:pPr>
        <w:pStyle w:val="BodyText"/>
        <w:tabs>
          <w:tab w:val="left" w:pos="680"/>
          <w:tab w:val="left" w:pos="1134"/>
        </w:tabs>
        <w:spacing w:before="240"/>
        <w:ind w:left="1134" w:hanging="1134"/>
        <w:jc w:val="both"/>
        <w:rPr>
          <w:i/>
          <w:sz w:val="22"/>
          <w:u w:val="none"/>
        </w:rPr>
      </w:pPr>
      <w:r>
        <w:rPr>
          <w:sz w:val="22"/>
          <w:u w:val="none"/>
        </w:rPr>
        <w:tab/>
        <w:t>а)</w:t>
      </w:r>
      <w:r>
        <w:rPr>
          <w:sz w:val="22"/>
          <w:u w:val="none"/>
        </w:rPr>
        <w:tab/>
      </w:r>
      <w:r>
        <w:rPr>
          <w:i/>
          <w:sz w:val="22"/>
          <w:u w:val="none"/>
        </w:rPr>
        <w:t>на улице или в любом другом общественном месте занимается побуждением, соблазнением или домогательством или делает аморальные предложения любому другому лицу;</w:t>
      </w:r>
    </w:p>
    <w:p w:rsidR="00000000" w:rsidRDefault="00000000">
      <w:pPr>
        <w:pStyle w:val="BodyText"/>
        <w:tabs>
          <w:tab w:val="left" w:pos="680"/>
          <w:tab w:val="left" w:pos="1134"/>
        </w:tabs>
        <w:spacing w:before="240"/>
        <w:ind w:left="1134" w:hanging="1134"/>
        <w:jc w:val="both"/>
        <w:rPr>
          <w:i/>
          <w:sz w:val="22"/>
          <w:u w:val="none"/>
        </w:rPr>
      </w:pPr>
      <w:r>
        <w:rPr>
          <w:sz w:val="22"/>
          <w:u w:val="none"/>
        </w:rPr>
        <w:tab/>
        <w:t>b)</w:t>
      </w:r>
      <w:r>
        <w:rPr>
          <w:sz w:val="22"/>
          <w:u w:val="none"/>
        </w:rPr>
        <w:tab/>
      </w:r>
      <w:r>
        <w:rPr>
          <w:i/>
          <w:sz w:val="22"/>
          <w:u w:val="none"/>
        </w:rPr>
        <w:t>сознательно и открыто демонстрирует себя в непристойном наряде или позе у двери или окна, на улице или в любом другом общественном месте, виновно в правонарушении и подлежит после осуждения штрафу в размере до двух тысяч рандов или тюремному заключению сроком до двух лет или одновременно и штрафу, и заключению.</w:t>
      </w:r>
    </w:p>
    <w:p w:rsidR="00000000" w:rsidRDefault="00000000">
      <w:pPr>
        <w:pStyle w:val="BodyText"/>
        <w:tabs>
          <w:tab w:val="left" w:pos="680"/>
          <w:tab w:val="left" w:pos="1134"/>
        </w:tabs>
        <w:spacing w:before="240"/>
        <w:jc w:val="both"/>
        <w:rPr>
          <w:sz w:val="22"/>
          <w:u w:val="none"/>
        </w:rPr>
      </w:pPr>
      <w:r>
        <w:rPr>
          <w:sz w:val="22"/>
          <w:u w:val="none"/>
        </w:rPr>
        <w:t>Согласно Закону о детях (Закон № 33 от 1960 года), если один из родителей, попечитель или опекун ребенка "заставляет его или способствует" его пребыванию в публичном доме либо разрешает такое пребывание, это считается преступлением. Это положение закона может также применяться как средство борьбы со спросом на детскую проституцию</w:t>
      </w:r>
      <w:r>
        <w:rPr>
          <w:rStyle w:val="FootnoteReference"/>
          <w:sz w:val="22"/>
          <w:u w:val="none"/>
        </w:rPr>
        <w:footnoteReference w:customMarkFollows="1" w:id="52"/>
        <w:t>51</w:t>
      </w:r>
      <w:r>
        <w:rPr>
          <w:sz w:val="22"/>
          <w:u w:val="none"/>
        </w:rPr>
        <w:t>. Таким же образом, в разделе 2 Закона о борьбе с изнасилованием преступлением признается совершение полового акта с лицом в возрасте до 14 лет, если правонарушитель старше более чем на три года, даже при условии совершения полового акта по взаимному согласию.</w:t>
      </w:r>
    </w:p>
    <w:p w:rsidR="00000000" w:rsidRDefault="00000000">
      <w:pPr>
        <w:pStyle w:val="BodyText"/>
        <w:tabs>
          <w:tab w:val="left" w:pos="680"/>
          <w:tab w:val="left" w:pos="1134"/>
        </w:tabs>
        <w:spacing w:before="240"/>
        <w:jc w:val="both"/>
        <w:rPr>
          <w:sz w:val="22"/>
          <w:u w:val="none"/>
        </w:rPr>
      </w:pPr>
      <w:r>
        <w:rPr>
          <w:sz w:val="22"/>
          <w:u w:val="none"/>
        </w:rPr>
        <w:t>Хотя общеизвестно, что в Намибии существует проституция, до 1996 года никаких официальных исследований этого вопроса не проводилось. Первые исследования распространенности этого явления были проведены в 1996–1997 годах существовавшим тогда Министерством по делам молодежи и спорта и Программой гендерных исследований и профессиональной подготовки. Масштабы этих исследований были достаточно скромными – выборка составляла 10 и 15 лиц, оказывавших платные сексуальные услуги в Уолфиш-Бей и Виндхуке, соответственно.</w:t>
      </w:r>
    </w:p>
    <w:p w:rsidR="00000000" w:rsidRDefault="00000000">
      <w:pPr>
        <w:pStyle w:val="BodyText"/>
        <w:tabs>
          <w:tab w:val="left" w:pos="680"/>
          <w:tab w:val="left" w:pos="1134"/>
        </w:tabs>
        <w:spacing w:before="240"/>
        <w:jc w:val="both"/>
        <w:rPr>
          <w:sz w:val="22"/>
          <w:u w:val="none"/>
        </w:rPr>
      </w:pPr>
      <w:r>
        <w:rPr>
          <w:sz w:val="22"/>
          <w:u w:val="none"/>
        </w:rPr>
        <w:t>Подробное исследование проституции среди взрослых в Намибии, однако, было проведено Центром правовой помощи в 2002 году. Исследованием были охвачены 148 лиц, оказывающих платные сексуальные услуги, из которых 94 процента составляли женщины. Исследование проводилось в пяти крупнейших городах Намибии. Согласно полученным результатам, большинство лиц, оказывающих платные сексуальные услуги, не имели других источников дохода</w:t>
      </w:r>
      <w:r>
        <w:rPr>
          <w:rStyle w:val="FootnoteReference"/>
          <w:sz w:val="22"/>
          <w:u w:val="none"/>
        </w:rPr>
        <w:footnoteReference w:customMarkFollows="1" w:id="53"/>
        <w:t>52</w:t>
      </w:r>
      <w:r>
        <w:rPr>
          <w:sz w:val="22"/>
          <w:u w:val="none"/>
        </w:rPr>
        <w:t>. Те, у кого были другие источники дохода, получали его от различной низкооплачиваемой и непостоянной работы в дополнение к доходам от занятия проституцией.</w:t>
      </w:r>
    </w:p>
    <w:p w:rsidR="00000000" w:rsidRDefault="00000000">
      <w:pPr>
        <w:pStyle w:val="BodyText"/>
        <w:tabs>
          <w:tab w:val="left" w:pos="680"/>
          <w:tab w:val="left" w:pos="1134"/>
        </w:tabs>
        <w:spacing w:before="240"/>
        <w:jc w:val="both"/>
        <w:rPr>
          <w:sz w:val="22"/>
          <w:u w:val="none"/>
        </w:rPr>
      </w:pPr>
      <w:r>
        <w:rPr>
          <w:sz w:val="22"/>
          <w:u w:val="none"/>
        </w:rPr>
        <w:t>В качестве основной причины занятия проституцией назывались зарабатывание денег на содержание детей и других членов семьи; или просто обеспечение себя средствами к существованию ввиду отсутствия другой работы.</w:t>
      </w:r>
    </w:p>
    <w:p w:rsidR="00000000" w:rsidRDefault="00000000">
      <w:pPr>
        <w:pStyle w:val="BodyText"/>
        <w:tabs>
          <w:tab w:val="left" w:pos="680"/>
          <w:tab w:val="left" w:pos="1134"/>
        </w:tabs>
        <w:jc w:val="both"/>
        <w:rPr>
          <w:sz w:val="22"/>
          <w:u w:val="none"/>
        </w:rPr>
      </w:pPr>
    </w:p>
    <w:tbl>
      <w:tblPr>
        <w:tblW w:w="0" w:type="auto"/>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4"/>
      </w:tblGrid>
      <w:tr w:rsidR="00000000">
        <w:tblPrEx>
          <w:tblCellMar>
            <w:top w:w="0" w:type="dxa"/>
            <w:bottom w:w="0" w:type="dxa"/>
          </w:tblCellMar>
        </w:tblPrEx>
        <w:tc>
          <w:tcPr>
            <w:tcW w:w="8784" w:type="dxa"/>
          </w:tcPr>
          <w:p w:rsidR="00000000" w:rsidRDefault="00000000">
            <w:pPr>
              <w:pStyle w:val="BodyText"/>
              <w:tabs>
                <w:tab w:val="left" w:pos="680"/>
                <w:tab w:val="left" w:pos="1134"/>
              </w:tabs>
              <w:spacing w:before="60" w:after="60"/>
              <w:jc w:val="both"/>
              <w:rPr>
                <w:sz w:val="22"/>
                <w:u w:val="none"/>
              </w:rPr>
            </w:pPr>
            <w:r>
              <w:rPr>
                <w:sz w:val="22"/>
                <w:u w:val="none"/>
              </w:rPr>
              <w:t>"Большинство лиц, оказывающих платные сексуальные услуги, испытали словесные оскорбления, физическое или сексуальное надругательство в детстве. Многие также живут в крайней нищете. Возраст первого сексуального опыта варьировался от четырех лет и старше. Вызывает сожаление тот факт, что около четверти лиц, входивших в выборку, сказали, что их первый сексуальный опыт не был добровольным"</w:t>
            </w:r>
            <w:r>
              <w:rPr>
                <w:rStyle w:val="FootnoteReference"/>
                <w:sz w:val="22"/>
                <w:u w:val="none"/>
              </w:rPr>
              <w:footnoteReference w:customMarkFollows="1" w:id="54"/>
              <w:t>53</w:t>
            </w:r>
            <w:r>
              <w:rPr>
                <w:sz w:val="22"/>
                <w:u w:val="none"/>
              </w:rPr>
              <w:t xml:space="preserve">. </w:t>
            </w:r>
          </w:p>
        </w:tc>
      </w:tr>
    </w:tbl>
    <w:p w:rsidR="00000000" w:rsidRDefault="00000000">
      <w:pPr>
        <w:pStyle w:val="BodyText"/>
        <w:tabs>
          <w:tab w:val="left" w:pos="680"/>
          <w:tab w:val="left" w:pos="1134"/>
        </w:tabs>
        <w:spacing w:before="240"/>
        <w:jc w:val="both"/>
        <w:rPr>
          <w:sz w:val="22"/>
          <w:u w:val="none"/>
        </w:rPr>
      </w:pPr>
      <w:r>
        <w:rPr>
          <w:sz w:val="22"/>
          <w:u w:val="none"/>
        </w:rPr>
        <w:t>Основными проблемами, с которыми они сталкиваются, являются ВИЧ/СПИД и инфекции, передаваемые половым путем (ИППП), а также жестокое обращение со стороны партнеров, клиентов, населения в целом и представителей закона. По данным ЦПП, около 9,2 процентов случаев жестокого обращения с лицами, оказывающими платные сексуальные услуги, были совершены полицейскими и сотрудниками службы специального назначения.</w:t>
      </w:r>
    </w:p>
    <w:p w:rsidR="00000000" w:rsidRDefault="00000000">
      <w:pPr>
        <w:pStyle w:val="BodyText"/>
        <w:tabs>
          <w:tab w:val="left" w:pos="680"/>
          <w:tab w:val="left" w:pos="1134"/>
        </w:tabs>
        <w:spacing w:before="240"/>
        <w:jc w:val="both"/>
        <w:rPr>
          <w:sz w:val="22"/>
          <w:u w:val="none"/>
        </w:rPr>
      </w:pPr>
      <w:r>
        <w:rPr>
          <w:sz w:val="22"/>
          <w:u w:val="none"/>
        </w:rPr>
        <w:t>Согласно данным исследования, большинство лиц, оказывающих платные сексуальные услуги, выступают за отмену запрещения на проституцию в Намибии. Это прямо противоречит мнению широких слоев населения, которое в большинстве своем считает, что проституция должна считаться противоправным действием как для клиента, так и для самого лица, занимающегося проституцией.</w:t>
      </w:r>
    </w:p>
    <w:p w:rsidR="00000000" w:rsidRDefault="00000000">
      <w:pPr>
        <w:pStyle w:val="BodyText"/>
        <w:tabs>
          <w:tab w:val="left" w:pos="680"/>
          <w:tab w:val="left" w:pos="1134"/>
        </w:tabs>
        <w:spacing w:before="240"/>
        <w:jc w:val="both"/>
        <w:rPr>
          <w:sz w:val="22"/>
          <w:u w:val="none"/>
        </w:rPr>
      </w:pPr>
      <w:r>
        <w:rPr>
          <w:sz w:val="22"/>
          <w:u w:val="none"/>
        </w:rPr>
        <w:t>Выступая на открытии Проекта Элува (Project Eluwa), инициативы алмазной корпорации Namdeb по борьбе с ВИЧ/СПИДом, Министр здравоохранения и социального обеспечения Либертин Аматила сказала, что "лица, оказывающие платные сексуальные услуги, должны проходить регистрацию, с тем чтобы их можно было защитить от домогательств со стороны их клиентов и сутенеров"</w:t>
      </w:r>
      <w:r>
        <w:rPr>
          <w:rStyle w:val="FootnoteReference"/>
          <w:sz w:val="22"/>
          <w:u w:val="none"/>
        </w:rPr>
        <w:footnoteReference w:customMarkFollows="1" w:id="55"/>
        <w:t>54</w:t>
      </w:r>
      <w:r>
        <w:rPr>
          <w:sz w:val="22"/>
          <w:u w:val="none"/>
        </w:rPr>
        <w:t xml:space="preserve">. </w:t>
      </w:r>
    </w:p>
    <w:p w:rsidR="00000000" w:rsidRDefault="00000000">
      <w:pPr>
        <w:pStyle w:val="BodyText"/>
        <w:tabs>
          <w:tab w:val="left" w:pos="680"/>
          <w:tab w:val="left" w:pos="1134"/>
        </w:tabs>
        <w:spacing w:before="240"/>
        <w:jc w:val="both"/>
        <w:rPr>
          <w:sz w:val="22"/>
          <w:u w:val="none"/>
        </w:rPr>
      </w:pPr>
      <w:r>
        <w:rPr>
          <w:sz w:val="22"/>
          <w:u w:val="none"/>
        </w:rPr>
        <w:t>В поддержку этой позиции высказалась и заместитель председателя Национального совета Маргарет Менса, которая сказала, что "легализация проституции не будет способствовать ее распространению, но замедлит распространение ВИЧ/СПИДа, поскольку лиц, оказывающих платные сексуальные услуги, можно будет обследовать, лечить, консультировать, проводить с ними санитарно-просветительскую работу и информировать их о заболеваниях, передаваемых половым путем, включая ВИЧ/ СПИД"</w:t>
      </w:r>
      <w:r>
        <w:rPr>
          <w:rStyle w:val="FootnoteReference"/>
          <w:sz w:val="22"/>
          <w:u w:val="none"/>
        </w:rPr>
        <w:footnoteReference w:customMarkFollows="1" w:id="56"/>
        <w:t>55</w:t>
      </w:r>
      <w:r>
        <w:rPr>
          <w:sz w:val="22"/>
          <w:u w:val="none"/>
        </w:rPr>
        <w:t>.</w:t>
      </w:r>
    </w:p>
    <w:p w:rsidR="00000000" w:rsidRDefault="00000000">
      <w:pPr>
        <w:pStyle w:val="BodyText"/>
        <w:tabs>
          <w:tab w:val="left" w:pos="680"/>
          <w:tab w:val="left" w:pos="1134"/>
        </w:tabs>
        <w:spacing w:before="240"/>
        <w:jc w:val="both"/>
        <w:rPr>
          <w:sz w:val="22"/>
          <w:u w:val="none"/>
        </w:rPr>
      </w:pPr>
      <w:r>
        <w:rPr>
          <w:sz w:val="22"/>
          <w:u w:val="none"/>
        </w:rPr>
        <w:t>Однако, несмотря на такое одобрительное отношение со стороны некоторых руководителей, ряд влиятельных церковных лидеров и традиционных и политических лидеров по-прежнему категорически против отмены запрета на проституцию.</w:t>
      </w:r>
    </w:p>
    <w:p w:rsidR="00000000" w:rsidRDefault="00000000">
      <w:pPr>
        <w:pStyle w:val="BodyText"/>
        <w:tabs>
          <w:tab w:val="left" w:pos="680"/>
          <w:tab w:val="left" w:pos="1134"/>
        </w:tabs>
        <w:spacing w:before="240"/>
        <w:jc w:val="both"/>
        <w:rPr>
          <w:b/>
          <w:sz w:val="22"/>
          <w:u w:val="none"/>
        </w:rPr>
      </w:pPr>
      <w:r>
        <w:rPr>
          <w:b/>
          <w:sz w:val="22"/>
          <w:u w:val="none"/>
        </w:rPr>
        <w:t>6.2</w:t>
      </w:r>
      <w:r>
        <w:rPr>
          <w:b/>
          <w:sz w:val="22"/>
          <w:u w:val="none"/>
        </w:rPr>
        <w:tab/>
        <w:t>Торговля женщинами</w:t>
      </w:r>
    </w:p>
    <w:p w:rsidR="00000000" w:rsidRDefault="00000000">
      <w:pPr>
        <w:pStyle w:val="BodyText"/>
        <w:tabs>
          <w:tab w:val="left" w:pos="680"/>
          <w:tab w:val="left" w:pos="1134"/>
        </w:tabs>
        <w:spacing w:before="240"/>
        <w:jc w:val="both"/>
        <w:rPr>
          <w:sz w:val="22"/>
          <w:u w:val="none"/>
        </w:rPr>
      </w:pPr>
      <w:r>
        <w:rPr>
          <w:sz w:val="22"/>
          <w:u w:val="none"/>
        </w:rPr>
        <w:t>Хотя данные о том, что торговля женщинами является широко распространенным явлением в Намибии, отсутствуют, зафиксирован по крайней мере один случай, связанный с переправкой молодых намибийских женщин в Южную Африку с целью сексуальной эксплуатации.</w:t>
      </w:r>
    </w:p>
    <w:p w:rsidR="00000000" w:rsidRDefault="00000000">
      <w:pPr>
        <w:pStyle w:val="BodyText"/>
        <w:tabs>
          <w:tab w:val="left" w:pos="680"/>
          <w:tab w:val="left" w:pos="1134"/>
        </w:tabs>
        <w:spacing w:before="240"/>
        <w:jc w:val="both"/>
        <w:rPr>
          <w:i/>
          <w:sz w:val="22"/>
          <w:u w:val="none"/>
        </w:rPr>
      </w:pPr>
      <w:r>
        <w:rPr>
          <w:sz w:val="22"/>
          <w:u w:val="none"/>
        </w:rPr>
        <w:t>Местная ежедневная газета "Намибиан" сообщала, что "</w:t>
      </w:r>
      <w:r>
        <w:rPr>
          <w:i/>
          <w:sz w:val="22"/>
          <w:u w:val="none"/>
        </w:rPr>
        <w:t>…согласно информации, поступившей от их родственников, две девочки, очевидно, были похищены в Свакопмунде, когда они направлялись в Виндхук на сентябрьские школьные каникулы. Девочек держали как сексуальных рабынь в отдельных хижинах в Гринфилдс возле Токоза, в 25 км восточнее Йоханнесбурга"</w:t>
      </w:r>
      <w:r>
        <w:rPr>
          <w:rStyle w:val="FootnoteReference"/>
          <w:sz w:val="22"/>
          <w:u w:val="none"/>
        </w:rPr>
        <w:footnoteReference w:customMarkFollows="1" w:id="57"/>
        <w:t>56</w:t>
      </w:r>
      <w:r>
        <w:rPr>
          <w:i/>
          <w:sz w:val="22"/>
          <w:u w:val="none"/>
        </w:rPr>
        <w:t>.</w:t>
      </w:r>
    </w:p>
    <w:p w:rsidR="00000000" w:rsidRDefault="00000000">
      <w:pPr>
        <w:pStyle w:val="BodyText"/>
        <w:tabs>
          <w:tab w:val="left" w:pos="680"/>
          <w:tab w:val="left" w:pos="1134"/>
        </w:tabs>
        <w:spacing w:before="240"/>
        <w:jc w:val="both"/>
        <w:rPr>
          <w:b/>
          <w:sz w:val="22"/>
          <w:u w:val="none"/>
        </w:rPr>
      </w:pPr>
      <w:r>
        <w:rPr>
          <w:b/>
          <w:sz w:val="22"/>
          <w:u w:val="none"/>
        </w:rPr>
        <w:t>6.3</w:t>
      </w:r>
      <w:r>
        <w:rPr>
          <w:b/>
          <w:sz w:val="22"/>
          <w:u w:val="none"/>
        </w:rPr>
        <w:tab/>
        <w:t>Усыновление детей в другой стране</w:t>
      </w:r>
    </w:p>
    <w:p w:rsidR="00000000" w:rsidRDefault="00000000">
      <w:pPr>
        <w:pStyle w:val="BodyText"/>
        <w:tabs>
          <w:tab w:val="left" w:pos="680"/>
          <w:tab w:val="left" w:pos="1134"/>
        </w:tabs>
        <w:spacing w:before="240"/>
        <w:jc w:val="both"/>
        <w:rPr>
          <w:sz w:val="22"/>
          <w:u w:val="none"/>
        </w:rPr>
      </w:pPr>
      <w:r>
        <w:rPr>
          <w:sz w:val="22"/>
          <w:u w:val="none"/>
        </w:rPr>
        <w:t>Намибия имеет мощные гарантии для предотвращения усыновления детей в других странах в целях их эксплуатации. Со времени представления предыдущего доклада законодательство об усыновлении не изменялось. Однако в настоящий момент в Высокий суд поступило заявление от супругов, не являющихся намибийцами, которые хотели бы усыновить ребенка-намибийца. Заявители по этому делу добиваются решения, в котором раздел 71-(2) (f) Закона № 33 о детях от 1960 года был бы объявлен несовместимым с положениями Конституции Республики Намибия.</w:t>
      </w:r>
    </w:p>
    <w:p w:rsidR="00000000" w:rsidRDefault="00000000">
      <w:pPr>
        <w:pStyle w:val="BodyText"/>
        <w:tabs>
          <w:tab w:val="left" w:pos="680"/>
          <w:tab w:val="left" w:pos="1134"/>
        </w:tabs>
        <w:spacing w:before="480"/>
        <w:jc w:val="both"/>
        <w:rPr>
          <w:b/>
          <w:sz w:val="22"/>
          <w:u w:val="none"/>
        </w:rPr>
      </w:pPr>
      <w:r>
        <w:rPr>
          <w:b/>
          <w:sz w:val="22"/>
          <w:u w:val="none"/>
        </w:rPr>
        <w:t>СТАТЬЯ 7:</w:t>
      </w:r>
      <w:r>
        <w:rPr>
          <w:b/>
          <w:sz w:val="22"/>
          <w:u w:val="none"/>
        </w:rPr>
        <w:tab/>
        <w:t>Женщины в политической и общественной жизни</w:t>
      </w:r>
    </w:p>
    <w:p w:rsidR="00000000" w:rsidRDefault="00000000">
      <w:pPr>
        <w:pStyle w:val="BodyText"/>
        <w:tabs>
          <w:tab w:val="left" w:pos="680"/>
          <w:tab w:val="left" w:pos="1134"/>
        </w:tabs>
        <w:spacing w:before="240"/>
        <w:ind w:left="680" w:hanging="680"/>
        <w:jc w:val="both"/>
        <w:rPr>
          <w:b/>
          <w:sz w:val="22"/>
          <w:u w:val="none"/>
        </w:rPr>
      </w:pPr>
      <w:r>
        <w:rPr>
          <w:b/>
          <w:sz w:val="22"/>
          <w:u w:val="none"/>
        </w:rPr>
        <w:t>7.1</w:t>
      </w:r>
      <w:r>
        <w:rPr>
          <w:b/>
          <w:sz w:val="22"/>
          <w:u w:val="none"/>
        </w:rPr>
        <w:tab/>
        <w:t>Равное право голосовать, занимать государственные должности и участвовать в НПО и ассоциациях</w:t>
      </w:r>
    </w:p>
    <w:p w:rsidR="00000000" w:rsidRDefault="00000000">
      <w:pPr>
        <w:pStyle w:val="BodyText"/>
        <w:tabs>
          <w:tab w:val="left" w:pos="680"/>
          <w:tab w:val="left" w:pos="1134"/>
        </w:tabs>
        <w:spacing w:before="240"/>
        <w:jc w:val="both"/>
        <w:rPr>
          <w:i/>
          <w:sz w:val="22"/>
          <w:u w:val="none"/>
        </w:rPr>
      </w:pPr>
      <w:r>
        <w:rPr>
          <w:sz w:val="22"/>
          <w:u w:val="none"/>
        </w:rPr>
        <w:t>Все граждане Намибии, достигшие 18 лет, имеют право голосовать. Те, кто достиг 21 года, имеют право быть избранными на государственную должность</w:t>
      </w:r>
      <w:r>
        <w:rPr>
          <w:rStyle w:val="FootnoteReference"/>
          <w:sz w:val="22"/>
          <w:u w:val="none"/>
        </w:rPr>
        <w:footnoteReference w:customMarkFollows="1" w:id="58"/>
        <w:t>57</w:t>
      </w:r>
      <w:r>
        <w:rPr>
          <w:sz w:val="22"/>
          <w:u w:val="none"/>
        </w:rPr>
        <w:t xml:space="preserve">. Согласно статье 23 (3) Конституции Намибии, </w:t>
      </w:r>
      <w:r>
        <w:rPr>
          <w:i/>
          <w:sz w:val="22"/>
          <w:u w:val="none"/>
        </w:rPr>
        <w:t>"допустимо принимать во внимание тот факт, что женщины Намибии традиционно подвергались особой дискриминации и что они нуждаются в поддержке и предоставлении возможностей играть полноценную, равноправную и эффективную роль в политической, экономической и культурной жизни нации"</w:t>
      </w:r>
      <w:r>
        <w:rPr>
          <w:rStyle w:val="FootnoteReference"/>
          <w:sz w:val="22"/>
          <w:u w:val="none"/>
        </w:rPr>
        <w:footnoteReference w:customMarkFollows="1" w:id="59"/>
        <w:t>58</w:t>
      </w:r>
      <w:r>
        <w:rPr>
          <w:i/>
          <w:sz w:val="22"/>
          <w:u w:val="none"/>
        </w:rPr>
        <w:t>.</w:t>
      </w:r>
    </w:p>
    <w:p w:rsidR="00000000" w:rsidRDefault="00000000">
      <w:pPr>
        <w:pStyle w:val="BodyText"/>
        <w:tabs>
          <w:tab w:val="left" w:pos="680"/>
          <w:tab w:val="left" w:pos="1134"/>
        </w:tabs>
        <w:spacing w:before="240"/>
        <w:jc w:val="both"/>
        <w:rPr>
          <w:sz w:val="22"/>
          <w:u w:val="none"/>
        </w:rPr>
      </w:pPr>
      <w:r>
        <w:rPr>
          <w:sz w:val="22"/>
          <w:u w:val="none"/>
        </w:rPr>
        <w:t xml:space="preserve">Кроме того, Намибия приняла на себя обязательство гарантировать к 2005 году </w:t>
      </w:r>
      <w:r>
        <w:rPr>
          <w:sz w:val="22"/>
          <w:u w:val="none"/>
        </w:rPr>
        <w:br/>
        <w:t>30-процентное участие женщин</w:t>
      </w:r>
      <w:r>
        <w:rPr>
          <w:rStyle w:val="FootnoteReference"/>
          <w:sz w:val="22"/>
          <w:u w:val="none"/>
        </w:rPr>
        <w:footnoteReference w:customMarkFollows="1" w:id="60"/>
        <w:t>59</w:t>
      </w:r>
      <w:r>
        <w:rPr>
          <w:sz w:val="22"/>
          <w:u w:val="none"/>
        </w:rPr>
        <w:t>. Негативное отношение некоторых членов общества к гендерным вопросам и отсутствие понимания способствовали тому, что эти вопросы отошли на второй план по отношению к другим государственным проблемам.</w:t>
      </w:r>
    </w:p>
    <w:p w:rsidR="00000000" w:rsidRDefault="00000000">
      <w:pPr>
        <w:pStyle w:val="BodyText"/>
        <w:tabs>
          <w:tab w:val="left" w:pos="680"/>
          <w:tab w:val="left" w:pos="1134"/>
        </w:tabs>
        <w:spacing w:before="240"/>
        <w:jc w:val="both"/>
        <w:rPr>
          <w:sz w:val="22"/>
          <w:u w:val="none"/>
        </w:rPr>
      </w:pPr>
      <w:r>
        <w:rPr>
          <w:sz w:val="22"/>
          <w:u w:val="none"/>
        </w:rPr>
        <w:t xml:space="preserve">Несмотря на принятие на национальном уровне документов, которые должны были бы помочь расширить права и возможности женщин, например Закона о позитивных действиях и национальной гендерной политики, женщины по-прежнему остаются недостаточно представленными в различных организациях. </w:t>
      </w:r>
    </w:p>
    <w:p w:rsidR="00000000" w:rsidRDefault="00000000">
      <w:pPr>
        <w:pStyle w:val="BodyText"/>
        <w:tabs>
          <w:tab w:val="left" w:pos="680"/>
          <w:tab w:val="left" w:pos="1134"/>
        </w:tabs>
        <w:spacing w:before="240"/>
        <w:jc w:val="both"/>
        <w:rPr>
          <w:b/>
          <w:sz w:val="22"/>
          <w:u w:val="none"/>
        </w:rPr>
      </w:pPr>
      <w:r>
        <w:rPr>
          <w:b/>
          <w:sz w:val="22"/>
          <w:u w:val="none"/>
        </w:rPr>
        <w:t>7.2</w:t>
      </w:r>
      <w:r>
        <w:rPr>
          <w:b/>
          <w:sz w:val="22"/>
          <w:u w:val="none"/>
        </w:rPr>
        <w:tab/>
        <w:t>Женщины в парламенте</w:t>
      </w:r>
    </w:p>
    <w:p w:rsidR="00000000" w:rsidRDefault="00000000">
      <w:pPr>
        <w:pStyle w:val="BodyText"/>
        <w:tabs>
          <w:tab w:val="left" w:pos="680"/>
          <w:tab w:val="left" w:pos="1134"/>
        </w:tabs>
        <w:jc w:val="both"/>
        <w:rPr>
          <w:sz w:val="22"/>
          <w:u w:val="none"/>
        </w:rP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993"/>
        <w:gridCol w:w="1438"/>
        <w:gridCol w:w="1418"/>
        <w:gridCol w:w="1438"/>
        <w:gridCol w:w="1418"/>
      </w:tblGrid>
      <w:tr w:rsidR="00000000">
        <w:tblPrEx>
          <w:tblCellMar>
            <w:top w:w="0" w:type="dxa"/>
            <w:bottom w:w="0" w:type="dxa"/>
          </w:tblCellMar>
        </w:tblPrEx>
        <w:tc>
          <w:tcPr>
            <w:tcW w:w="1134" w:type="dxa"/>
          </w:tcPr>
          <w:p w:rsidR="00000000" w:rsidRDefault="00000000">
            <w:pPr>
              <w:pStyle w:val="Footer"/>
              <w:tabs>
                <w:tab w:val="left" w:pos="680"/>
                <w:tab w:val="left" w:pos="1134"/>
              </w:tabs>
              <w:spacing w:before="60" w:after="60"/>
              <w:jc w:val="center"/>
              <w:rPr>
                <w:b/>
                <w:sz w:val="22"/>
              </w:rPr>
            </w:pPr>
            <w:r>
              <w:rPr>
                <w:b/>
                <w:sz w:val="22"/>
              </w:rPr>
              <w:t>Год</w:t>
            </w:r>
          </w:p>
        </w:tc>
        <w:tc>
          <w:tcPr>
            <w:tcW w:w="993" w:type="dxa"/>
          </w:tcPr>
          <w:p w:rsidR="00000000" w:rsidRDefault="00000000">
            <w:pPr>
              <w:pStyle w:val="Footer"/>
              <w:tabs>
                <w:tab w:val="left" w:pos="680"/>
                <w:tab w:val="left" w:pos="1134"/>
              </w:tabs>
              <w:spacing w:before="60" w:after="60"/>
              <w:jc w:val="center"/>
              <w:rPr>
                <w:b/>
                <w:sz w:val="22"/>
              </w:rPr>
            </w:pPr>
            <w:r>
              <w:rPr>
                <w:b/>
                <w:sz w:val="22"/>
              </w:rPr>
              <w:t>Всего</w:t>
            </w:r>
          </w:p>
        </w:tc>
        <w:tc>
          <w:tcPr>
            <w:tcW w:w="1438" w:type="dxa"/>
          </w:tcPr>
          <w:p w:rsidR="00000000" w:rsidRDefault="00000000">
            <w:pPr>
              <w:pStyle w:val="Footer"/>
              <w:tabs>
                <w:tab w:val="left" w:pos="680"/>
                <w:tab w:val="left" w:pos="1134"/>
              </w:tabs>
              <w:spacing w:before="60" w:after="60"/>
              <w:jc w:val="center"/>
              <w:rPr>
                <w:b/>
                <w:sz w:val="22"/>
              </w:rPr>
            </w:pPr>
            <w:r>
              <w:rPr>
                <w:b/>
                <w:sz w:val="22"/>
              </w:rPr>
              <w:t>Женщины</w:t>
            </w:r>
          </w:p>
        </w:tc>
        <w:tc>
          <w:tcPr>
            <w:tcW w:w="1418" w:type="dxa"/>
          </w:tcPr>
          <w:p w:rsidR="00000000" w:rsidRDefault="00000000">
            <w:pPr>
              <w:pStyle w:val="Footer"/>
              <w:tabs>
                <w:tab w:val="left" w:pos="680"/>
                <w:tab w:val="left" w:pos="1134"/>
              </w:tabs>
              <w:spacing w:before="60" w:after="60"/>
              <w:jc w:val="center"/>
              <w:rPr>
                <w:b/>
                <w:sz w:val="22"/>
              </w:rPr>
            </w:pPr>
            <w:r>
              <w:rPr>
                <w:b/>
                <w:sz w:val="22"/>
              </w:rPr>
              <w:t>Мужчины</w:t>
            </w:r>
          </w:p>
        </w:tc>
        <w:tc>
          <w:tcPr>
            <w:tcW w:w="1438" w:type="dxa"/>
          </w:tcPr>
          <w:p w:rsidR="00000000" w:rsidRDefault="00000000">
            <w:pPr>
              <w:pStyle w:val="Footer"/>
              <w:tabs>
                <w:tab w:val="left" w:pos="680"/>
                <w:tab w:val="left" w:pos="1134"/>
              </w:tabs>
              <w:spacing w:before="60" w:after="60"/>
              <w:jc w:val="center"/>
              <w:rPr>
                <w:b/>
                <w:sz w:val="22"/>
              </w:rPr>
            </w:pPr>
            <w:r>
              <w:rPr>
                <w:b/>
                <w:sz w:val="22"/>
              </w:rPr>
              <w:t>Женщины</w:t>
            </w:r>
          </w:p>
        </w:tc>
        <w:tc>
          <w:tcPr>
            <w:tcW w:w="1418" w:type="dxa"/>
          </w:tcPr>
          <w:p w:rsidR="00000000" w:rsidRDefault="00000000">
            <w:pPr>
              <w:pStyle w:val="Footer"/>
              <w:tabs>
                <w:tab w:val="left" w:pos="680"/>
                <w:tab w:val="left" w:pos="1134"/>
              </w:tabs>
              <w:spacing w:before="60" w:after="60"/>
              <w:jc w:val="center"/>
              <w:rPr>
                <w:b/>
                <w:sz w:val="22"/>
              </w:rPr>
            </w:pPr>
            <w:r>
              <w:rPr>
                <w:b/>
                <w:sz w:val="22"/>
              </w:rPr>
              <w:t>Мужчины</w:t>
            </w:r>
          </w:p>
        </w:tc>
      </w:tr>
      <w:tr w:rsidR="00000000">
        <w:tblPrEx>
          <w:tblCellMar>
            <w:top w:w="0" w:type="dxa"/>
            <w:bottom w:w="0" w:type="dxa"/>
          </w:tblCellMar>
        </w:tblPrEx>
        <w:tc>
          <w:tcPr>
            <w:tcW w:w="1134" w:type="dxa"/>
          </w:tcPr>
          <w:p w:rsidR="00000000" w:rsidRDefault="00000000">
            <w:pPr>
              <w:pStyle w:val="Footer"/>
              <w:tabs>
                <w:tab w:val="left" w:pos="680"/>
                <w:tab w:val="left" w:pos="1134"/>
              </w:tabs>
              <w:spacing w:before="60" w:after="60"/>
              <w:jc w:val="center"/>
              <w:rPr>
                <w:sz w:val="22"/>
              </w:rPr>
            </w:pPr>
            <w:r>
              <w:rPr>
                <w:sz w:val="22"/>
              </w:rPr>
              <w:t>1996</w:t>
            </w:r>
          </w:p>
        </w:tc>
        <w:tc>
          <w:tcPr>
            <w:tcW w:w="993" w:type="dxa"/>
          </w:tcPr>
          <w:p w:rsidR="00000000" w:rsidRDefault="00000000">
            <w:pPr>
              <w:pStyle w:val="Footer"/>
              <w:tabs>
                <w:tab w:val="left" w:pos="680"/>
                <w:tab w:val="left" w:pos="1134"/>
              </w:tabs>
              <w:spacing w:before="60" w:after="60"/>
              <w:jc w:val="center"/>
              <w:rPr>
                <w:sz w:val="22"/>
              </w:rPr>
            </w:pPr>
            <w:r>
              <w:rPr>
                <w:sz w:val="22"/>
              </w:rPr>
              <w:t>104</w:t>
            </w:r>
          </w:p>
        </w:tc>
        <w:tc>
          <w:tcPr>
            <w:tcW w:w="1438" w:type="dxa"/>
          </w:tcPr>
          <w:p w:rsidR="00000000" w:rsidRDefault="00000000">
            <w:pPr>
              <w:pStyle w:val="Footer"/>
              <w:tabs>
                <w:tab w:val="left" w:pos="680"/>
                <w:tab w:val="left" w:pos="1134"/>
              </w:tabs>
              <w:spacing w:before="60" w:after="60"/>
              <w:jc w:val="center"/>
              <w:rPr>
                <w:sz w:val="22"/>
              </w:rPr>
            </w:pPr>
            <w:r>
              <w:rPr>
                <w:sz w:val="22"/>
              </w:rPr>
              <w:t>13</w:t>
            </w:r>
          </w:p>
        </w:tc>
        <w:tc>
          <w:tcPr>
            <w:tcW w:w="1418" w:type="dxa"/>
          </w:tcPr>
          <w:p w:rsidR="00000000" w:rsidRDefault="00000000">
            <w:pPr>
              <w:pStyle w:val="Footer"/>
              <w:tabs>
                <w:tab w:val="left" w:pos="680"/>
                <w:tab w:val="left" w:pos="1134"/>
              </w:tabs>
              <w:spacing w:before="60" w:after="60"/>
              <w:jc w:val="center"/>
              <w:rPr>
                <w:sz w:val="22"/>
              </w:rPr>
            </w:pPr>
            <w:r>
              <w:rPr>
                <w:sz w:val="22"/>
              </w:rPr>
              <w:t>91</w:t>
            </w:r>
          </w:p>
        </w:tc>
        <w:tc>
          <w:tcPr>
            <w:tcW w:w="1438" w:type="dxa"/>
          </w:tcPr>
          <w:p w:rsidR="00000000" w:rsidRDefault="00000000">
            <w:pPr>
              <w:pStyle w:val="Footer"/>
              <w:tabs>
                <w:tab w:val="left" w:pos="680"/>
                <w:tab w:val="left" w:pos="1134"/>
              </w:tabs>
              <w:spacing w:before="60" w:after="60"/>
              <w:jc w:val="center"/>
              <w:rPr>
                <w:sz w:val="22"/>
              </w:rPr>
            </w:pPr>
            <w:r>
              <w:rPr>
                <w:sz w:val="22"/>
              </w:rPr>
              <w:t>12,5</w:t>
            </w:r>
          </w:p>
        </w:tc>
        <w:tc>
          <w:tcPr>
            <w:tcW w:w="1418" w:type="dxa"/>
          </w:tcPr>
          <w:p w:rsidR="00000000" w:rsidRDefault="00000000">
            <w:pPr>
              <w:pStyle w:val="Footer"/>
              <w:tabs>
                <w:tab w:val="left" w:pos="680"/>
                <w:tab w:val="left" w:pos="1134"/>
              </w:tabs>
              <w:spacing w:before="60" w:after="60"/>
              <w:jc w:val="center"/>
              <w:rPr>
                <w:sz w:val="22"/>
              </w:rPr>
            </w:pPr>
            <w:r>
              <w:rPr>
                <w:sz w:val="22"/>
              </w:rPr>
              <w:t>87,5</w:t>
            </w:r>
          </w:p>
        </w:tc>
      </w:tr>
      <w:tr w:rsidR="00000000">
        <w:tblPrEx>
          <w:tblCellMar>
            <w:top w:w="0" w:type="dxa"/>
            <w:bottom w:w="0" w:type="dxa"/>
          </w:tblCellMar>
        </w:tblPrEx>
        <w:tc>
          <w:tcPr>
            <w:tcW w:w="1134" w:type="dxa"/>
          </w:tcPr>
          <w:p w:rsidR="00000000" w:rsidRDefault="00000000">
            <w:pPr>
              <w:pStyle w:val="Footer"/>
              <w:tabs>
                <w:tab w:val="left" w:pos="680"/>
                <w:tab w:val="left" w:pos="1134"/>
              </w:tabs>
              <w:spacing w:before="60" w:after="60"/>
              <w:jc w:val="center"/>
              <w:rPr>
                <w:sz w:val="22"/>
              </w:rPr>
            </w:pPr>
            <w:r>
              <w:rPr>
                <w:sz w:val="22"/>
              </w:rPr>
              <w:t>1997</w:t>
            </w:r>
          </w:p>
        </w:tc>
        <w:tc>
          <w:tcPr>
            <w:tcW w:w="993" w:type="dxa"/>
          </w:tcPr>
          <w:p w:rsidR="00000000" w:rsidRDefault="00000000">
            <w:pPr>
              <w:pStyle w:val="Footer"/>
              <w:tabs>
                <w:tab w:val="left" w:pos="680"/>
                <w:tab w:val="left" w:pos="1134"/>
              </w:tabs>
              <w:spacing w:before="60" w:after="60"/>
              <w:jc w:val="center"/>
              <w:rPr>
                <w:sz w:val="22"/>
              </w:rPr>
            </w:pPr>
            <w:r>
              <w:rPr>
                <w:sz w:val="22"/>
              </w:rPr>
              <w:t>104</w:t>
            </w:r>
          </w:p>
        </w:tc>
        <w:tc>
          <w:tcPr>
            <w:tcW w:w="1438" w:type="dxa"/>
          </w:tcPr>
          <w:p w:rsidR="00000000" w:rsidRDefault="00000000">
            <w:pPr>
              <w:pStyle w:val="Footer"/>
              <w:tabs>
                <w:tab w:val="left" w:pos="680"/>
                <w:tab w:val="left" w:pos="1134"/>
              </w:tabs>
              <w:spacing w:before="60" w:after="60"/>
              <w:jc w:val="center"/>
              <w:rPr>
                <w:sz w:val="22"/>
              </w:rPr>
            </w:pPr>
            <w:r>
              <w:rPr>
                <w:sz w:val="22"/>
              </w:rPr>
              <w:t>16</w:t>
            </w:r>
          </w:p>
        </w:tc>
        <w:tc>
          <w:tcPr>
            <w:tcW w:w="1418" w:type="dxa"/>
          </w:tcPr>
          <w:p w:rsidR="00000000" w:rsidRDefault="00000000">
            <w:pPr>
              <w:pStyle w:val="Footer"/>
              <w:tabs>
                <w:tab w:val="left" w:pos="680"/>
                <w:tab w:val="left" w:pos="1134"/>
              </w:tabs>
              <w:spacing w:before="60" w:after="60"/>
              <w:jc w:val="center"/>
              <w:rPr>
                <w:sz w:val="22"/>
              </w:rPr>
            </w:pPr>
            <w:r>
              <w:rPr>
                <w:sz w:val="22"/>
              </w:rPr>
              <w:t>88</w:t>
            </w:r>
          </w:p>
        </w:tc>
        <w:tc>
          <w:tcPr>
            <w:tcW w:w="1438" w:type="dxa"/>
          </w:tcPr>
          <w:p w:rsidR="00000000" w:rsidRDefault="00000000">
            <w:pPr>
              <w:pStyle w:val="Footer"/>
              <w:tabs>
                <w:tab w:val="left" w:pos="680"/>
                <w:tab w:val="left" w:pos="1134"/>
              </w:tabs>
              <w:spacing w:before="60" w:after="60"/>
              <w:jc w:val="center"/>
              <w:rPr>
                <w:sz w:val="22"/>
              </w:rPr>
            </w:pPr>
            <w:r>
              <w:rPr>
                <w:sz w:val="22"/>
              </w:rPr>
              <w:t>15,4</w:t>
            </w:r>
          </w:p>
        </w:tc>
        <w:tc>
          <w:tcPr>
            <w:tcW w:w="1418" w:type="dxa"/>
          </w:tcPr>
          <w:p w:rsidR="00000000" w:rsidRDefault="00000000">
            <w:pPr>
              <w:pStyle w:val="Footer"/>
              <w:tabs>
                <w:tab w:val="left" w:pos="680"/>
                <w:tab w:val="left" w:pos="1134"/>
              </w:tabs>
              <w:spacing w:before="60" w:after="60"/>
              <w:jc w:val="center"/>
              <w:rPr>
                <w:sz w:val="22"/>
              </w:rPr>
            </w:pPr>
            <w:r>
              <w:rPr>
                <w:sz w:val="22"/>
              </w:rPr>
              <w:t>84,6</w:t>
            </w:r>
          </w:p>
        </w:tc>
      </w:tr>
      <w:tr w:rsidR="00000000">
        <w:tblPrEx>
          <w:tblCellMar>
            <w:top w:w="0" w:type="dxa"/>
            <w:bottom w:w="0" w:type="dxa"/>
          </w:tblCellMar>
        </w:tblPrEx>
        <w:tc>
          <w:tcPr>
            <w:tcW w:w="1134" w:type="dxa"/>
          </w:tcPr>
          <w:p w:rsidR="00000000" w:rsidRDefault="00000000">
            <w:pPr>
              <w:pStyle w:val="Footer"/>
              <w:tabs>
                <w:tab w:val="left" w:pos="680"/>
                <w:tab w:val="left" w:pos="1134"/>
              </w:tabs>
              <w:spacing w:before="60" w:after="60"/>
              <w:jc w:val="center"/>
              <w:rPr>
                <w:sz w:val="22"/>
              </w:rPr>
            </w:pPr>
            <w:r>
              <w:rPr>
                <w:sz w:val="22"/>
              </w:rPr>
              <w:t>1998</w:t>
            </w:r>
          </w:p>
        </w:tc>
        <w:tc>
          <w:tcPr>
            <w:tcW w:w="993" w:type="dxa"/>
          </w:tcPr>
          <w:p w:rsidR="00000000" w:rsidRDefault="00000000">
            <w:pPr>
              <w:pStyle w:val="Footer"/>
              <w:tabs>
                <w:tab w:val="left" w:pos="680"/>
                <w:tab w:val="left" w:pos="1134"/>
              </w:tabs>
              <w:spacing w:before="60" w:after="60"/>
              <w:jc w:val="center"/>
              <w:rPr>
                <w:sz w:val="22"/>
              </w:rPr>
            </w:pPr>
            <w:r>
              <w:rPr>
                <w:sz w:val="22"/>
              </w:rPr>
              <w:t>104</w:t>
            </w:r>
          </w:p>
        </w:tc>
        <w:tc>
          <w:tcPr>
            <w:tcW w:w="1438" w:type="dxa"/>
          </w:tcPr>
          <w:p w:rsidR="00000000" w:rsidRDefault="00000000">
            <w:pPr>
              <w:pStyle w:val="Footer"/>
              <w:tabs>
                <w:tab w:val="left" w:pos="680"/>
                <w:tab w:val="left" w:pos="1134"/>
              </w:tabs>
              <w:spacing w:before="60" w:after="60"/>
              <w:jc w:val="center"/>
              <w:rPr>
                <w:sz w:val="22"/>
              </w:rPr>
            </w:pPr>
            <w:r>
              <w:rPr>
                <w:sz w:val="22"/>
              </w:rPr>
              <w:t>16</w:t>
            </w:r>
          </w:p>
        </w:tc>
        <w:tc>
          <w:tcPr>
            <w:tcW w:w="1418" w:type="dxa"/>
          </w:tcPr>
          <w:p w:rsidR="00000000" w:rsidRDefault="00000000">
            <w:pPr>
              <w:pStyle w:val="Footer"/>
              <w:tabs>
                <w:tab w:val="left" w:pos="680"/>
                <w:tab w:val="left" w:pos="1134"/>
              </w:tabs>
              <w:spacing w:before="60" w:after="60"/>
              <w:jc w:val="center"/>
              <w:rPr>
                <w:sz w:val="22"/>
              </w:rPr>
            </w:pPr>
            <w:r>
              <w:rPr>
                <w:sz w:val="22"/>
              </w:rPr>
              <w:t>88</w:t>
            </w:r>
          </w:p>
        </w:tc>
        <w:tc>
          <w:tcPr>
            <w:tcW w:w="1438" w:type="dxa"/>
          </w:tcPr>
          <w:p w:rsidR="00000000" w:rsidRDefault="00000000">
            <w:pPr>
              <w:pStyle w:val="Footer"/>
              <w:tabs>
                <w:tab w:val="left" w:pos="680"/>
                <w:tab w:val="left" w:pos="1134"/>
              </w:tabs>
              <w:spacing w:before="60" w:after="60"/>
              <w:jc w:val="center"/>
              <w:rPr>
                <w:sz w:val="22"/>
              </w:rPr>
            </w:pPr>
            <w:r>
              <w:rPr>
                <w:sz w:val="22"/>
              </w:rPr>
              <w:t>15,4</w:t>
            </w:r>
          </w:p>
        </w:tc>
        <w:tc>
          <w:tcPr>
            <w:tcW w:w="1418" w:type="dxa"/>
          </w:tcPr>
          <w:p w:rsidR="00000000" w:rsidRDefault="00000000">
            <w:pPr>
              <w:pStyle w:val="Footer"/>
              <w:tabs>
                <w:tab w:val="left" w:pos="680"/>
                <w:tab w:val="left" w:pos="1134"/>
              </w:tabs>
              <w:spacing w:before="60" w:after="60"/>
              <w:jc w:val="center"/>
              <w:rPr>
                <w:sz w:val="22"/>
              </w:rPr>
            </w:pPr>
            <w:r>
              <w:rPr>
                <w:sz w:val="22"/>
              </w:rPr>
              <w:t>84,6</w:t>
            </w:r>
          </w:p>
        </w:tc>
      </w:tr>
      <w:tr w:rsidR="00000000">
        <w:tblPrEx>
          <w:tblCellMar>
            <w:top w:w="0" w:type="dxa"/>
            <w:bottom w:w="0" w:type="dxa"/>
          </w:tblCellMar>
        </w:tblPrEx>
        <w:tc>
          <w:tcPr>
            <w:tcW w:w="1134" w:type="dxa"/>
          </w:tcPr>
          <w:p w:rsidR="00000000" w:rsidRDefault="00000000">
            <w:pPr>
              <w:pStyle w:val="Footer"/>
              <w:tabs>
                <w:tab w:val="left" w:pos="680"/>
                <w:tab w:val="left" w:pos="1134"/>
              </w:tabs>
              <w:spacing w:before="60" w:after="60"/>
              <w:jc w:val="center"/>
              <w:rPr>
                <w:sz w:val="22"/>
              </w:rPr>
            </w:pPr>
            <w:r>
              <w:rPr>
                <w:sz w:val="22"/>
              </w:rPr>
              <w:t>1999</w:t>
            </w:r>
          </w:p>
        </w:tc>
        <w:tc>
          <w:tcPr>
            <w:tcW w:w="993" w:type="dxa"/>
          </w:tcPr>
          <w:p w:rsidR="00000000" w:rsidRDefault="00000000">
            <w:pPr>
              <w:pStyle w:val="Footer"/>
              <w:tabs>
                <w:tab w:val="left" w:pos="680"/>
                <w:tab w:val="left" w:pos="1134"/>
              </w:tabs>
              <w:spacing w:before="60" w:after="60"/>
              <w:jc w:val="center"/>
              <w:rPr>
                <w:sz w:val="22"/>
              </w:rPr>
            </w:pPr>
            <w:r>
              <w:rPr>
                <w:sz w:val="22"/>
              </w:rPr>
              <w:t>104</w:t>
            </w:r>
          </w:p>
        </w:tc>
        <w:tc>
          <w:tcPr>
            <w:tcW w:w="1438" w:type="dxa"/>
          </w:tcPr>
          <w:p w:rsidR="00000000" w:rsidRDefault="00000000">
            <w:pPr>
              <w:pStyle w:val="Footer"/>
              <w:tabs>
                <w:tab w:val="left" w:pos="680"/>
                <w:tab w:val="left" w:pos="1134"/>
              </w:tabs>
              <w:spacing w:before="60" w:after="60"/>
              <w:jc w:val="center"/>
              <w:rPr>
                <w:sz w:val="22"/>
              </w:rPr>
            </w:pPr>
            <w:r>
              <w:rPr>
                <w:sz w:val="22"/>
              </w:rPr>
              <w:t>16</w:t>
            </w:r>
          </w:p>
        </w:tc>
        <w:tc>
          <w:tcPr>
            <w:tcW w:w="1418" w:type="dxa"/>
          </w:tcPr>
          <w:p w:rsidR="00000000" w:rsidRDefault="00000000">
            <w:pPr>
              <w:pStyle w:val="Footer"/>
              <w:tabs>
                <w:tab w:val="left" w:pos="680"/>
                <w:tab w:val="left" w:pos="1134"/>
              </w:tabs>
              <w:spacing w:before="60" w:after="60"/>
              <w:jc w:val="center"/>
              <w:rPr>
                <w:sz w:val="22"/>
              </w:rPr>
            </w:pPr>
            <w:r>
              <w:rPr>
                <w:sz w:val="22"/>
              </w:rPr>
              <w:t>88</w:t>
            </w:r>
          </w:p>
        </w:tc>
        <w:tc>
          <w:tcPr>
            <w:tcW w:w="1438" w:type="dxa"/>
          </w:tcPr>
          <w:p w:rsidR="00000000" w:rsidRDefault="00000000">
            <w:pPr>
              <w:pStyle w:val="Footer"/>
              <w:tabs>
                <w:tab w:val="left" w:pos="680"/>
                <w:tab w:val="left" w:pos="1134"/>
              </w:tabs>
              <w:spacing w:before="60" w:after="60"/>
              <w:jc w:val="center"/>
              <w:rPr>
                <w:sz w:val="22"/>
              </w:rPr>
            </w:pPr>
            <w:r>
              <w:rPr>
                <w:sz w:val="22"/>
              </w:rPr>
              <w:t>15,4</w:t>
            </w:r>
          </w:p>
        </w:tc>
        <w:tc>
          <w:tcPr>
            <w:tcW w:w="1418" w:type="dxa"/>
          </w:tcPr>
          <w:p w:rsidR="00000000" w:rsidRDefault="00000000">
            <w:pPr>
              <w:pStyle w:val="Footer"/>
              <w:tabs>
                <w:tab w:val="left" w:pos="680"/>
                <w:tab w:val="left" w:pos="1134"/>
              </w:tabs>
              <w:spacing w:before="60" w:after="60"/>
              <w:jc w:val="center"/>
              <w:rPr>
                <w:sz w:val="22"/>
              </w:rPr>
            </w:pPr>
            <w:r>
              <w:rPr>
                <w:sz w:val="22"/>
              </w:rPr>
              <w:t>84,6</w:t>
            </w:r>
          </w:p>
        </w:tc>
      </w:tr>
      <w:tr w:rsidR="00000000">
        <w:tblPrEx>
          <w:tblCellMar>
            <w:top w:w="0" w:type="dxa"/>
            <w:bottom w:w="0" w:type="dxa"/>
          </w:tblCellMar>
        </w:tblPrEx>
        <w:tc>
          <w:tcPr>
            <w:tcW w:w="1134" w:type="dxa"/>
          </w:tcPr>
          <w:p w:rsidR="00000000" w:rsidRDefault="00000000">
            <w:pPr>
              <w:pStyle w:val="Footer"/>
              <w:tabs>
                <w:tab w:val="left" w:pos="680"/>
                <w:tab w:val="left" w:pos="1134"/>
              </w:tabs>
              <w:spacing w:before="60" w:after="60"/>
              <w:jc w:val="center"/>
              <w:rPr>
                <w:sz w:val="22"/>
              </w:rPr>
            </w:pPr>
            <w:r>
              <w:rPr>
                <w:sz w:val="22"/>
              </w:rPr>
              <w:t>2000</w:t>
            </w:r>
          </w:p>
        </w:tc>
        <w:tc>
          <w:tcPr>
            <w:tcW w:w="993" w:type="dxa"/>
          </w:tcPr>
          <w:p w:rsidR="00000000" w:rsidRDefault="00000000">
            <w:pPr>
              <w:pStyle w:val="Footer"/>
              <w:tabs>
                <w:tab w:val="left" w:pos="680"/>
                <w:tab w:val="left" w:pos="1134"/>
              </w:tabs>
              <w:spacing w:before="60" w:after="60"/>
              <w:jc w:val="center"/>
              <w:rPr>
                <w:sz w:val="22"/>
              </w:rPr>
            </w:pPr>
            <w:r>
              <w:rPr>
                <w:sz w:val="22"/>
              </w:rPr>
              <w:t>104</w:t>
            </w:r>
          </w:p>
        </w:tc>
        <w:tc>
          <w:tcPr>
            <w:tcW w:w="1438" w:type="dxa"/>
          </w:tcPr>
          <w:p w:rsidR="00000000" w:rsidRDefault="00000000">
            <w:pPr>
              <w:pStyle w:val="Footer"/>
              <w:tabs>
                <w:tab w:val="left" w:pos="680"/>
                <w:tab w:val="left" w:pos="1134"/>
              </w:tabs>
              <w:spacing w:before="60" w:after="60"/>
              <w:jc w:val="center"/>
              <w:rPr>
                <w:sz w:val="22"/>
              </w:rPr>
            </w:pPr>
            <w:r>
              <w:rPr>
                <w:sz w:val="22"/>
              </w:rPr>
              <w:t>20</w:t>
            </w:r>
          </w:p>
        </w:tc>
        <w:tc>
          <w:tcPr>
            <w:tcW w:w="1418" w:type="dxa"/>
          </w:tcPr>
          <w:p w:rsidR="00000000" w:rsidRDefault="00000000">
            <w:pPr>
              <w:pStyle w:val="Footer"/>
              <w:tabs>
                <w:tab w:val="left" w:pos="680"/>
                <w:tab w:val="left" w:pos="1134"/>
              </w:tabs>
              <w:spacing w:before="60" w:after="60"/>
              <w:jc w:val="center"/>
              <w:rPr>
                <w:sz w:val="22"/>
              </w:rPr>
            </w:pPr>
            <w:r>
              <w:rPr>
                <w:sz w:val="22"/>
              </w:rPr>
              <w:t>84</w:t>
            </w:r>
          </w:p>
        </w:tc>
        <w:tc>
          <w:tcPr>
            <w:tcW w:w="1438" w:type="dxa"/>
          </w:tcPr>
          <w:p w:rsidR="00000000" w:rsidRDefault="00000000">
            <w:pPr>
              <w:pStyle w:val="Footer"/>
              <w:tabs>
                <w:tab w:val="left" w:pos="680"/>
                <w:tab w:val="left" w:pos="1134"/>
              </w:tabs>
              <w:spacing w:before="60" w:after="60"/>
              <w:jc w:val="center"/>
              <w:rPr>
                <w:sz w:val="22"/>
              </w:rPr>
            </w:pPr>
            <w:r>
              <w:rPr>
                <w:sz w:val="22"/>
              </w:rPr>
              <w:t>19,2</w:t>
            </w:r>
          </w:p>
        </w:tc>
        <w:tc>
          <w:tcPr>
            <w:tcW w:w="1418" w:type="dxa"/>
          </w:tcPr>
          <w:p w:rsidR="00000000" w:rsidRDefault="00000000">
            <w:pPr>
              <w:pStyle w:val="Footer"/>
              <w:tabs>
                <w:tab w:val="left" w:pos="680"/>
                <w:tab w:val="left" w:pos="1134"/>
              </w:tabs>
              <w:spacing w:before="60" w:after="60"/>
              <w:jc w:val="center"/>
              <w:rPr>
                <w:sz w:val="22"/>
              </w:rPr>
            </w:pPr>
            <w:r>
              <w:rPr>
                <w:sz w:val="22"/>
              </w:rPr>
              <w:t>80,8</w:t>
            </w:r>
          </w:p>
        </w:tc>
      </w:tr>
      <w:tr w:rsidR="00000000">
        <w:tblPrEx>
          <w:tblCellMar>
            <w:top w:w="0" w:type="dxa"/>
            <w:bottom w:w="0" w:type="dxa"/>
          </w:tblCellMar>
        </w:tblPrEx>
        <w:tc>
          <w:tcPr>
            <w:tcW w:w="1134" w:type="dxa"/>
          </w:tcPr>
          <w:p w:rsidR="00000000" w:rsidRDefault="00000000">
            <w:pPr>
              <w:pStyle w:val="Footer"/>
              <w:tabs>
                <w:tab w:val="left" w:pos="680"/>
                <w:tab w:val="left" w:pos="1134"/>
              </w:tabs>
              <w:spacing w:before="60" w:after="60"/>
              <w:jc w:val="center"/>
              <w:rPr>
                <w:sz w:val="22"/>
              </w:rPr>
            </w:pPr>
            <w:r>
              <w:rPr>
                <w:sz w:val="22"/>
              </w:rPr>
              <w:t>2001</w:t>
            </w:r>
          </w:p>
        </w:tc>
        <w:tc>
          <w:tcPr>
            <w:tcW w:w="993" w:type="dxa"/>
          </w:tcPr>
          <w:p w:rsidR="00000000" w:rsidRDefault="00000000">
            <w:pPr>
              <w:pStyle w:val="Footer"/>
              <w:tabs>
                <w:tab w:val="left" w:pos="680"/>
                <w:tab w:val="left" w:pos="1134"/>
              </w:tabs>
              <w:spacing w:before="60" w:after="60"/>
              <w:jc w:val="center"/>
              <w:rPr>
                <w:sz w:val="22"/>
              </w:rPr>
            </w:pPr>
            <w:r>
              <w:rPr>
                <w:sz w:val="22"/>
              </w:rPr>
              <w:t>104</w:t>
            </w:r>
          </w:p>
        </w:tc>
        <w:tc>
          <w:tcPr>
            <w:tcW w:w="1438" w:type="dxa"/>
          </w:tcPr>
          <w:p w:rsidR="00000000" w:rsidRDefault="00000000">
            <w:pPr>
              <w:pStyle w:val="Footer"/>
              <w:tabs>
                <w:tab w:val="left" w:pos="680"/>
                <w:tab w:val="left" w:pos="1134"/>
              </w:tabs>
              <w:spacing w:before="60" w:after="60"/>
              <w:jc w:val="center"/>
              <w:rPr>
                <w:sz w:val="22"/>
              </w:rPr>
            </w:pPr>
            <w:r>
              <w:rPr>
                <w:sz w:val="22"/>
              </w:rPr>
              <w:t>23</w:t>
            </w:r>
          </w:p>
        </w:tc>
        <w:tc>
          <w:tcPr>
            <w:tcW w:w="1418" w:type="dxa"/>
          </w:tcPr>
          <w:p w:rsidR="00000000" w:rsidRDefault="00000000">
            <w:pPr>
              <w:pStyle w:val="Footer"/>
              <w:tabs>
                <w:tab w:val="left" w:pos="680"/>
                <w:tab w:val="left" w:pos="1134"/>
              </w:tabs>
              <w:spacing w:before="60" w:after="60"/>
              <w:jc w:val="center"/>
              <w:rPr>
                <w:sz w:val="22"/>
              </w:rPr>
            </w:pPr>
            <w:r>
              <w:rPr>
                <w:sz w:val="22"/>
              </w:rPr>
              <w:t>81</w:t>
            </w:r>
          </w:p>
        </w:tc>
        <w:tc>
          <w:tcPr>
            <w:tcW w:w="1438" w:type="dxa"/>
          </w:tcPr>
          <w:p w:rsidR="00000000" w:rsidRDefault="00000000">
            <w:pPr>
              <w:pStyle w:val="Footer"/>
              <w:tabs>
                <w:tab w:val="left" w:pos="680"/>
                <w:tab w:val="left" w:pos="1134"/>
              </w:tabs>
              <w:spacing w:before="60" w:after="60"/>
              <w:jc w:val="center"/>
              <w:rPr>
                <w:sz w:val="22"/>
              </w:rPr>
            </w:pPr>
            <w:r>
              <w:rPr>
                <w:sz w:val="22"/>
              </w:rPr>
              <w:t>22,1</w:t>
            </w:r>
          </w:p>
        </w:tc>
        <w:tc>
          <w:tcPr>
            <w:tcW w:w="1418" w:type="dxa"/>
          </w:tcPr>
          <w:p w:rsidR="00000000" w:rsidRDefault="00000000">
            <w:pPr>
              <w:pStyle w:val="Footer"/>
              <w:tabs>
                <w:tab w:val="left" w:pos="680"/>
                <w:tab w:val="left" w:pos="1134"/>
              </w:tabs>
              <w:spacing w:before="60" w:after="60"/>
              <w:jc w:val="center"/>
              <w:rPr>
                <w:sz w:val="22"/>
              </w:rPr>
            </w:pPr>
            <w:r>
              <w:rPr>
                <w:sz w:val="22"/>
              </w:rPr>
              <w:t>77,9</w:t>
            </w:r>
          </w:p>
        </w:tc>
      </w:tr>
      <w:tr w:rsidR="00000000">
        <w:tblPrEx>
          <w:tblCellMar>
            <w:top w:w="0" w:type="dxa"/>
            <w:bottom w:w="0" w:type="dxa"/>
          </w:tblCellMar>
        </w:tblPrEx>
        <w:tc>
          <w:tcPr>
            <w:tcW w:w="1134" w:type="dxa"/>
          </w:tcPr>
          <w:p w:rsidR="00000000" w:rsidRDefault="00000000">
            <w:pPr>
              <w:pStyle w:val="Footer"/>
              <w:tabs>
                <w:tab w:val="left" w:pos="680"/>
                <w:tab w:val="left" w:pos="1134"/>
              </w:tabs>
              <w:spacing w:before="60" w:after="60"/>
              <w:jc w:val="center"/>
              <w:rPr>
                <w:sz w:val="22"/>
              </w:rPr>
            </w:pPr>
            <w:r>
              <w:rPr>
                <w:sz w:val="22"/>
              </w:rPr>
              <w:t>2002</w:t>
            </w:r>
          </w:p>
        </w:tc>
        <w:tc>
          <w:tcPr>
            <w:tcW w:w="993" w:type="dxa"/>
          </w:tcPr>
          <w:p w:rsidR="00000000" w:rsidRDefault="00000000">
            <w:pPr>
              <w:pStyle w:val="Footer"/>
              <w:tabs>
                <w:tab w:val="left" w:pos="680"/>
                <w:tab w:val="left" w:pos="1134"/>
              </w:tabs>
              <w:spacing w:before="60" w:after="60"/>
              <w:jc w:val="center"/>
              <w:rPr>
                <w:sz w:val="22"/>
              </w:rPr>
            </w:pPr>
            <w:r>
              <w:rPr>
                <w:sz w:val="22"/>
              </w:rPr>
              <w:t>104</w:t>
            </w:r>
          </w:p>
        </w:tc>
        <w:tc>
          <w:tcPr>
            <w:tcW w:w="1438" w:type="dxa"/>
          </w:tcPr>
          <w:p w:rsidR="00000000" w:rsidRDefault="00000000">
            <w:pPr>
              <w:pStyle w:val="Footer"/>
              <w:tabs>
                <w:tab w:val="left" w:pos="680"/>
                <w:tab w:val="left" w:pos="1134"/>
              </w:tabs>
              <w:spacing w:before="60" w:after="60"/>
              <w:jc w:val="center"/>
              <w:rPr>
                <w:sz w:val="22"/>
              </w:rPr>
            </w:pPr>
            <w:r>
              <w:rPr>
                <w:sz w:val="22"/>
              </w:rPr>
              <w:t>23</w:t>
            </w:r>
          </w:p>
        </w:tc>
        <w:tc>
          <w:tcPr>
            <w:tcW w:w="1418" w:type="dxa"/>
          </w:tcPr>
          <w:p w:rsidR="00000000" w:rsidRDefault="00000000">
            <w:pPr>
              <w:pStyle w:val="Footer"/>
              <w:tabs>
                <w:tab w:val="left" w:pos="680"/>
                <w:tab w:val="left" w:pos="1134"/>
              </w:tabs>
              <w:spacing w:before="60" w:after="60"/>
              <w:jc w:val="center"/>
              <w:rPr>
                <w:sz w:val="22"/>
              </w:rPr>
            </w:pPr>
            <w:r>
              <w:rPr>
                <w:sz w:val="22"/>
              </w:rPr>
              <w:t>81</w:t>
            </w:r>
          </w:p>
        </w:tc>
        <w:tc>
          <w:tcPr>
            <w:tcW w:w="1438" w:type="dxa"/>
          </w:tcPr>
          <w:p w:rsidR="00000000" w:rsidRDefault="00000000">
            <w:pPr>
              <w:pStyle w:val="Footer"/>
              <w:tabs>
                <w:tab w:val="left" w:pos="680"/>
                <w:tab w:val="left" w:pos="1134"/>
              </w:tabs>
              <w:spacing w:before="60" w:after="60"/>
              <w:jc w:val="center"/>
              <w:rPr>
                <w:sz w:val="22"/>
              </w:rPr>
            </w:pPr>
            <w:r>
              <w:rPr>
                <w:sz w:val="22"/>
              </w:rPr>
              <w:t>22,1</w:t>
            </w:r>
          </w:p>
        </w:tc>
        <w:tc>
          <w:tcPr>
            <w:tcW w:w="1418" w:type="dxa"/>
          </w:tcPr>
          <w:p w:rsidR="00000000" w:rsidRDefault="00000000">
            <w:pPr>
              <w:pStyle w:val="Footer"/>
              <w:tabs>
                <w:tab w:val="left" w:pos="680"/>
                <w:tab w:val="left" w:pos="1134"/>
              </w:tabs>
              <w:spacing w:before="60" w:after="60"/>
              <w:jc w:val="center"/>
              <w:rPr>
                <w:sz w:val="22"/>
              </w:rPr>
            </w:pPr>
            <w:r>
              <w:rPr>
                <w:sz w:val="22"/>
              </w:rPr>
              <w:t>77,9</w:t>
            </w:r>
          </w:p>
        </w:tc>
      </w:tr>
      <w:tr w:rsidR="00000000">
        <w:tblPrEx>
          <w:tblCellMar>
            <w:top w:w="0" w:type="dxa"/>
            <w:bottom w:w="0" w:type="dxa"/>
          </w:tblCellMar>
        </w:tblPrEx>
        <w:tc>
          <w:tcPr>
            <w:tcW w:w="1134" w:type="dxa"/>
          </w:tcPr>
          <w:p w:rsidR="00000000" w:rsidRDefault="00000000">
            <w:pPr>
              <w:pStyle w:val="Footer"/>
              <w:tabs>
                <w:tab w:val="left" w:pos="680"/>
                <w:tab w:val="left" w:pos="1134"/>
              </w:tabs>
              <w:spacing w:before="60" w:after="60"/>
              <w:jc w:val="center"/>
              <w:rPr>
                <w:sz w:val="22"/>
              </w:rPr>
            </w:pPr>
            <w:r>
              <w:rPr>
                <w:sz w:val="22"/>
              </w:rPr>
              <w:t>2003</w:t>
            </w:r>
          </w:p>
        </w:tc>
        <w:tc>
          <w:tcPr>
            <w:tcW w:w="993" w:type="dxa"/>
          </w:tcPr>
          <w:p w:rsidR="00000000" w:rsidRDefault="00000000">
            <w:pPr>
              <w:pStyle w:val="Footer"/>
              <w:tabs>
                <w:tab w:val="left" w:pos="680"/>
                <w:tab w:val="left" w:pos="1134"/>
              </w:tabs>
              <w:spacing w:before="60" w:after="60"/>
              <w:jc w:val="center"/>
              <w:rPr>
                <w:sz w:val="22"/>
              </w:rPr>
            </w:pPr>
            <w:r>
              <w:rPr>
                <w:sz w:val="22"/>
              </w:rPr>
              <w:t>104</w:t>
            </w:r>
          </w:p>
        </w:tc>
        <w:tc>
          <w:tcPr>
            <w:tcW w:w="1438" w:type="dxa"/>
          </w:tcPr>
          <w:p w:rsidR="00000000" w:rsidRDefault="00000000">
            <w:pPr>
              <w:pStyle w:val="Footer"/>
              <w:tabs>
                <w:tab w:val="left" w:pos="680"/>
                <w:tab w:val="left" w:pos="1134"/>
              </w:tabs>
              <w:spacing w:before="60" w:after="60"/>
              <w:jc w:val="center"/>
              <w:rPr>
                <w:sz w:val="22"/>
              </w:rPr>
            </w:pPr>
            <w:r>
              <w:rPr>
                <w:sz w:val="22"/>
              </w:rPr>
              <w:t>23</w:t>
            </w:r>
          </w:p>
        </w:tc>
        <w:tc>
          <w:tcPr>
            <w:tcW w:w="1418" w:type="dxa"/>
          </w:tcPr>
          <w:p w:rsidR="00000000" w:rsidRDefault="00000000">
            <w:pPr>
              <w:pStyle w:val="Footer"/>
              <w:tabs>
                <w:tab w:val="left" w:pos="680"/>
                <w:tab w:val="left" w:pos="1134"/>
              </w:tabs>
              <w:spacing w:before="60" w:after="60"/>
              <w:jc w:val="center"/>
              <w:rPr>
                <w:sz w:val="22"/>
              </w:rPr>
            </w:pPr>
            <w:r>
              <w:rPr>
                <w:sz w:val="22"/>
              </w:rPr>
              <w:t>81</w:t>
            </w:r>
          </w:p>
        </w:tc>
        <w:tc>
          <w:tcPr>
            <w:tcW w:w="1438" w:type="dxa"/>
          </w:tcPr>
          <w:p w:rsidR="00000000" w:rsidRDefault="00000000">
            <w:pPr>
              <w:pStyle w:val="Footer"/>
              <w:tabs>
                <w:tab w:val="left" w:pos="680"/>
                <w:tab w:val="left" w:pos="1134"/>
              </w:tabs>
              <w:spacing w:before="60" w:after="60"/>
              <w:jc w:val="center"/>
              <w:rPr>
                <w:sz w:val="22"/>
              </w:rPr>
            </w:pPr>
            <w:r>
              <w:rPr>
                <w:sz w:val="22"/>
              </w:rPr>
              <w:t>22,1</w:t>
            </w:r>
          </w:p>
        </w:tc>
        <w:tc>
          <w:tcPr>
            <w:tcW w:w="1418" w:type="dxa"/>
          </w:tcPr>
          <w:p w:rsidR="00000000" w:rsidRDefault="00000000">
            <w:pPr>
              <w:pStyle w:val="Footer"/>
              <w:tabs>
                <w:tab w:val="left" w:pos="680"/>
                <w:tab w:val="left" w:pos="1134"/>
              </w:tabs>
              <w:spacing w:before="60" w:after="60"/>
              <w:jc w:val="center"/>
              <w:rPr>
                <w:sz w:val="22"/>
              </w:rPr>
            </w:pPr>
            <w:r>
              <w:rPr>
                <w:sz w:val="22"/>
              </w:rPr>
              <w:t>77,9</w:t>
            </w:r>
          </w:p>
        </w:tc>
      </w:tr>
    </w:tbl>
    <w:p w:rsidR="00000000" w:rsidRDefault="00000000">
      <w:pPr>
        <w:pStyle w:val="BodyText"/>
        <w:tabs>
          <w:tab w:val="left" w:pos="680"/>
          <w:tab w:val="left" w:pos="1134"/>
        </w:tabs>
        <w:spacing w:before="240"/>
        <w:jc w:val="both"/>
        <w:rPr>
          <w:sz w:val="20"/>
          <w:u w:val="none"/>
        </w:rPr>
      </w:pPr>
      <w:r>
        <w:rPr>
          <w:b/>
          <w:i/>
          <w:sz w:val="22"/>
          <w:u w:val="none"/>
        </w:rPr>
        <w:tab/>
      </w:r>
      <w:r>
        <w:rPr>
          <w:i/>
          <w:sz w:val="20"/>
          <w:u w:val="none"/>
        </w:rPr>
        <w:t>Источник:</w:t>
      </w:r>
      <w:r>
        <w:rPr>
          <w:sz w:val="20"/>
          <w:u w:val="none"/>
        </w:rPr>
        <w:t xml:space="preserve">  Namibia minutes and proceeding of the National Assembly</w:t>
      </w:r>
    </w:p>
    <w:p w:rsidR="00000000" w:rsidRDefault="00000000">
      <w:pPr>
        <w:pStyle w:val="BodyText"/>
        <w:tabs>
          <w:tab w:val="left" w:pos="680"/>
          <w:tab w:val="left" w:pos="1134"/>
        </w:tabs>
        <w:spacing w:before="240"/>
        <w:jc w:val="both"/>
        <w:rPr>
          <w:sz w:val="22"/>
          <w:u w:val="none"/>
        </w:rPr>
      </w:pPr>
      <w:r>
        <w:rPr>
          <w:sz w:val="22"/>
          <w:u w:val="none"/>
        </w:rPr>
        <w:t>В Намибии продолжается постепенное расширенное участие женщин в политической жизни. Как видно из таблицы, доля мест, занимаемых женщинами, выросла с 12,5 процентов в 1996 году до 22 процентов в 2003 году.</w:t>
      </w:r>
    </w:p>
    <w:p w:rsidR="00000000" w:rsidRDefault="00000000">
      <w:pPr>
        <w:pStyle w:val="BodyText"/>
        <w:tabs>
          <w:tab w:val="left" w:pos="680"/>
          <w:tab w:val="left" w:pos="1134"/>
        </w:tabs>
        <w:spacing w:before="240" w:after="240"/>
        <w:jc w:val="both"/>
        <w:rPr>
          <w:b/>
          <w:sz w:val="22"/>
          <w:u w:val="none"/>
        </w:rPr>
      </w:pPr>
      <w:r>
        <w:rPr>
          <w:b/>
          <w:sz w:val="22"/>
          <w:u w:val="none"/>
        </w:rPr>
        <w:t>7.3</w:t>
      </w:r>
      <w:r>
        <w:rPr>
          <w:b/>
          <w:sz w:val="22"/>
          <w:u w:val="none"/>
        </w:rPr>
        <w:tab/>
        <w:t xml:space="preserve">Женщины в кабинете министров, региональных и местных советах </w:t>
      </w:r>
    </w:p>
    <w:tbl>
      <w:tblPr>
        <w:tblW w:w="0" w:type="auto"/>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1701"/>
        <w:gridCol w:w="1701"/>
        <w:gridCol w:w="1418"/>
      </w:tblGrid>
      <w:tr w:rsidR="00000000">
        <w:tblPrEx>
          <w:tblCellMar>
            <w:top w:w="0" w:type="dxa"/>
            <w:bottom w:w="0" w:type="dxa"/>
          </w:tblCellMar>
        </w:tblPrEx>
        <w:tc>
          <w:tcPr>
            <w:tcW w:w="2972" w:type="dxa"/>
          </w:tcPr>
          <w:p w:rsidR="00000000" w:rsidRDefault="00000000">
            <w:pPr>
              <w:pStyle w:val="Footer"/>
              <w:tabs>
                <w:tab w:val="left" w:pos="680"/>
                <w:tab w:val="left" w:pos="1134"/>
              </w:tabs>
              <w:spacing w:before="60" w:after="60"/>
              <w:rPr>
                <w:b/>
                <w:sz w:val="22"/>
              </w:rPr>
            </w:pPr>
            <w:r>
              <w:rPr>
                <w:b/>
                <w:sz w:val="22"/>
              </w:rPr>
              <w:t>Государственный орган</w:t>
            </w:r>
          </w:p>
        </w:tc>
        <w:tc>
          <w:tcPr>
            <w:tcW w:w="1701" w:type="dxa"/>
          </w:tcPr>
          <w:p w:rsidR="00000000" w:rsidRDefault="00000000">
            <w:pPr>
              <w:pStyle w:val="Footer"/>
              <w:tabs>
                <w:tab w:val="left" w:pos="680"/>
                <w:tab w:val="left" w:pos="1134"/>
              </w:tabs>
              <w:spacing w:before="60" w:after="60"/>
              <w:jc w:val="center"/>
              <w:rPr>
                <w:b/>
                <w:sz w:val="22"/>
              </w:rPr>
            </w:pPr>
            <w:r>
              <w:rPr>
                <w:b/>
                <w:sz w:val="22"/>
              </w:rPr>
              <w:t>Женщины</w:t>
            </w:r>
          </w:p>
        </w:tc>
        <w:tc>
          <w:tcPr>
            <w:tcW w:w="1701" w:type="dxa"/>
          </w:tcPr>
          <w:p w:rsidR="00000000" w:rsidRDefault="00000000">
            <w:pPr>
              <w:pStyle w:val="Footer"/>
              <w:tabs>
                <w:tab w:val="left" w:pos="680"/>
                <w:tab w:val="left" w:pos="1134"/>
              </w:tabs>
              <w:spacing w:before="60" w:after="60"/>
              <w:jc w:val="center"/>
              <w:rPr>
                <w:b/>
                <w:sz w:val="22"/>
              </w:rPr>
            </w:pPr>
            <w:r>
              <w:rPr>
                <w:b/>
                <w:sz w:val="22"/>
              </w:rPr>
              <w:t>Мужчины</w:t>
            </w:r>
          </w:p>
        </w:tc>
        <w:tc>
          <w:tcPr>
            <w:tcW w:w="1418" w:type="dxa"/>
          </w:tcPr>
          <w:p w:rsidR="00000000" w:rsidRDefault="00000000">
            <w:pPr>
              <w:pStyle w:val="Footer"/>
              <w:tabs>
                <w:tab w:val="left" w:pos="680"/>
                <w:tab w:val="left" w:pos="1134"/>
              </w:tabs>
              <w:spacing w:before="60" w:after="60"/>
              <w:jc w:val="center"/>
              <w:rPr>
                <w:b/>
                <w:sz w:val="22"/>
              </w:rPr>
            </w:pPr>
            <w:r>
              <w:rPr>
                <w:b/>
                <w:sz w:val="22"/>
              </w:rPr>
              <w:t>Всего</w:t>
            </w:r>
          </w:p>
        </w:tc>
      </w:tr>
      <w:tr w:rsidR="00000000">
        <w:tblPrEx>
          <w:tblCellMar>
            <w:top w:w="0" w:type="dxa"/>
            <w:bottom w:w="0" w:type="dxa"/>
          </w:tblCellMar>
        </w:tblPrEx>
        <w:tc>
          <w:tcPr>
            <w:tcW w:w="2972" w:type="dxa"/>
          </w:tcPr>
          <w:p w:rsidR="00000000" w:rsidRDefault="00000000">
            <w:pPr>
              <w:pStyle w:val="Footer"/>
              <w:tabs>
                <w:tab w:val="left" w:pos="680"/>
                <w:tab w:val="left" w:pos="1134"/>
              </w:tabs>
              <w:spacing w:before="60" w:after="60"/>
              <w:rPr>
                <w:sz w:val="22"/>
              </w:rPr>
            </w:pPr>
            <w:r>
              <w:rPr>
                <w:sz w:val="22"/>
              </w:rPr>
              <w:t>Члены кабинета (министры)</w:t>
            </w:r>
          </w:p>
        </w:tc>
        <w:tc>
          <w:tcPr>
            <w:tcW w:w="1701" w:type="dxa"/>
          </w:tcPr>
          <w:p w:rsidR="00000000" w:rsidRDefault="00000000">
            <w:pPr>
              <w:pStyle w:val="Footer"/>
              <w:tabs>
                <w:tab w:val="clear" w:pos="4677"/>
                <w:tab w:val="clear" w:pos="9355"/>
                <w:tab w:val="decimal" w:pos="567"/>
              </w:tabs>
              <w:spacing w:before="60" w:after="60"/>
              <w:jc w:val="both"/>
              <w:rPr>
                <w:sz w:val="22"/>
              </w:rPr>
            </w:pPr>
            <w:r>
              <w:rPr>
                <w:sz w:val="22"/>
              </w:rPr>
              <w:t>5  (18,5%)</w:t>
            </w:r>
          </w:p>
        </w:tc>
        <w:tc>
          <w:tcPr>
            <w:tcW w:w="1701" w:type="dxa"/>
          </w:tcPr>
          <w:p w:rsidR="00000000" w:rsidRDefault="00000000">
            <w:pPr>
              <w:pStyle w:val="Footer"/>
              <w:tabs>
                <w:tab w:val="clear" w:pos="4677"/>
                <w:tab w:val="clear" w:pos="9355"/>
                <w:tab w:val="decimal" w:pos="567"/>
              </w:tabs>
              <w:spacing w:before="60" w:after="60"/>
              <w:jc w:val="both"/>
              <w:rPr>
                <w:sz w:val="22"/>
              </w:rPr>
            </w:pPr>
            <w:r>
              <w:rPr>
                <w:sz w:val="22"/>
              </w:rPr>
              <w:t>22  (81,5%)</w:t>
            </w:r>
          </w:p>
        </w:tc>
        <w:tc>
          <w:tcPr>
            <w:tcW w:w="1418" w:type="dxa"/>
          </w:tcPr>
          <w:p w:rsidR="00000000" w:rsidRDefault="00000000">
            <w:pPr>
              <w:pStyle w:val="Footer"/>
              <w:tabs>
                <w:tab w:val="clear" w:pos="4677"/>
                <w:tab w:val="clear" w:pos="9355"/>
                <w:tab w:val="right" w:pos="284"/>
              </w:tabs>
              <w:spacing w:before="60" w:after="60"/>
              <w:ind w:right="454"/>
              <w:jc w:val="right"/>
              <w:rPr>
                <w:sz w:val="22"/>
              </w:rPr>
            </w:pPr>
            <w:r>
              <w:rPr>
                <w:sz w:val="22"/>
              </w:rPr>
              <w:t>27</w:t>
            </w:r>
          </w:p>
        </w:tc>
      </w:tr>
      <w:tr w:rsidR="00000000">
        <w:tblPrEx>
          <w:tblCellMar>
            <w:top w:w="0" w:type="dxa"/>
            <w:bottom w:w="0" w:type="dxa"/>
          </w:tblCellMar>
        </w:tblPrEx>
        <w:tc>
          <w:tcPr>
            <w:tcW w:w="2972" w:type="dxa"/>
          </w:tcPr>
          <w:p w:rsidR="00000000" w:rsidRDefault="00000000">
            <w:pPr>
              <w:pStyle w:val="Footer"/>
              <w:tabs>
                <w:tab w:val="left" w:pos="680"/>
                <w:tab w:val="left" w:pos="1134"/>
              </w:tabs>
              <w:spacing w:before="60" w:after="60"/>
              <w:rPr>
                <w:sz w:val="22"/>
              </w:rPr>
            </w:pPr>
            <w:r>
              <w:rPr>
                <w:sz w:val="22"/>
              </w:rPr>
              <w:t>Региональные губернаторы</w:t>
            </w:r>
          </w:p>
        </w:tc>
        <w:tc>
          <w:tcPr>
            <w:tcW w:w="1701" w:type="dxa"/>
          </w:tcPr>
          <w:p w:rsidR="00000000" w:rsidRDefault="00000000">
            <w:pPr>
              <w:pStyle w:val="Footer"/>
              <w:tabs>
                <w:tab w:val="clear" w:pos="4677"/>
                <w:tab w:val="clear" w:pos="9355"/>
                <w:tab w:val="decimal" w:pos="567"/>
              </w:tabs>
              <w:spacing w:before="60" w:after="60"/>
              <w:jc w:val="both"/>
              <w:rPr>
                <w:sz w:val="22"/>
              </w:rPr>
            </w:pPr>
            <w:r>
              <w:rPr>
                <w:sz w:val="22"/>
              </w:rPr>
              <w:t>1  (7,7%)</w:t>
            </w:r>
          </w:p>
        </w:tc>
        <w:tc>
          <w:tcPr>
            <w:tcW w:w="1701" w:type="dxa"/>
          </w:tcPr>
          <w:p w:rsidR="00000000" w:rsidRDefault="00000000">
            <w:pPr>
              <w:pStyle w:val="Footer"/>
              <w:tabs>
                <w:tab w:val="clear" w:pos="4677"/>
                <w:tab w:val="clear" w:pos="9355"/>
                <w:tab w:val="decimal" w:pos="567"/>
              </w:tabs>
              <w:spacing w:before="60" w:after="60"/>
              <w:jc w:val="both"/>
              <w:rPr>
                <w:sz w:val="22"/>
              </w:rPr>
            </w:pPr>
            <w:r>
              <w:rPr>
                <w:sz w:val="22"/>
              </w:rPr>
              <w:t>12  (92,3%)</w:t>
            </w:r>
          </w:p>
        </w:tc>
        <w:tc>
          <w:tcPr>
            <w:tcW w:w="1418" w:type="dxa"/>
          </w:tcPr>
          <w:p w:rsidR="00000000" w:rsidRDefault="00000000">
            <w:pPr>
              <w:pStyle w:val="Footer"/>
              <w:tabs>
                <w:tab w:val="clear" w:pos="4677"/>
                <w:tab w:val="clear" w:pos="9355"/>
                <w:tab w:val="right" w:pos="284"/>
              </w:tabs>
              <w:spacing w:before="60" w:after="60"/>
              <w:ind w:right="454"/>
              <w:jc w:val="right"/>
              <w:rPr>
                <w:sz w:val="22"/>
              </w:rPr>
            </w:pPr>
            <w:r>
              <w:rPr>
                <w:sz w:val="22"/>
              </w:rPr>
              <w:t>13</w:t>
            </w:r>
          </w:p>
        </w:tc>
      </w:tr>
      <w:tr w:rsidR="00000000">
        <w:tblPrEx>
          <w:tblCellMar>
            <w:top w:w="0" w:type="dxa"/>
            <w:bottom w:w="0" w:type="dxa"/>
          </w:tblCellMar>
        </w:tblPrEx>
        <w:tc>
          <w:tcPr>
            <w:tcW w:w="2972" w:type="dxa"/>
          </w:tcPr>
          <w:p w:rsidR="00000000" w:rsidRDefault="00000000">
            <w:pPr>
              <w:pStyle w:val="Footer"/>
              <w:tabs>
                <w:tab w:val="left" w:pos="680"/>
                <w:tab w:val="left" w:pos="1134"/>
              </w:tabs>
              <w:spacing w:before="60" w:after="60"/>
              <w:rPr>
                <w:sz w:val="22"/>
              </w:rPr>
            </w:pPr>
            <w:r>
              <w:rPr>
                <w:sz w:val="22"/>
              </w:rPr>
              <w:t>Региональные советники</w:t>
            </w:r>
          </w:p>
        </w:tc>
        <w:tc>
          <w:tcPr>
            <w:tcW w:w="1701" w:type="dxa"/>
          </w:tcPr>
          <w:p w:rsidR="00000000" w:rsidRDefault="00000000">
            <w:pPr>
              <w:pStyle w:val="Footer"/>
              <w:tabs>
                <w:tab w:val="clear" w:pos="4677"/>
                <w:tab w:val="clear" w:pos="9355"/>
                <w:tab w:val="decimal" w:pos="567"/>
              </w:tabs>
              <w:spacing w:before="60" w:after="60"/>
              <w:jc w:val="both"/>
              <w:rPr>
                <w:sz w:val="22"/>
              </w:rPr>
            </w:pPr>
            <w:r>
              <w:rPr>
                <w:sz w:val="22"/>
              </w:rPr>
              <w:t>7  (6,9%)</w:t>
            </w:r>
          </w:p>
        </w:tc>
        <w:tc>
          <w:tcPr>
            <w:tcW w:w="1701" w:type="dxa"/>
          </w:tcPr>
          <w:p w:rsidR="00000000" w:rsidRDefault="00000000">
            <w:pPr>
              <w:pStyle w:val="Footer"/>
              <w:tabs>
                <w:tab w:val="clear" w:pos="4677"/>
                <w:tab w:val="clear" w:pos="9355"/>
                <w:tab w:val="decimal" w:pos="567"/>
              </w:tabs>
              <w:spacing w:before="60" w:after="60"/>
              <w:jc w:val="both"/>
              <w:rPr>
                <w:sz w:val="22"/>
              </w:rPr>
            </w:pPr>
            <w:r>
              <w:rPr>
                <w:sz w:val="22"/>
              </w:rPr>
              <w:t>95  (93,1%)</w:t>
            </w:r>
          </w:p>
        </w:tc>
        <w:tc>
          <w:tcPr>
            <w:tcW w:w="1418" w:type="dxa"/>
          </w:tcPr>
          <w:p w:rsidR="00000000" w:rsidRDefault="00000000">
            <w:pPr>
              <w:pStyle w:val="Footer"/>
              <w:tabs>
                <w:tab w:val="clear" w:pos="4677"/>
                <w:tab w:val="clear" w:pos="9355"/>
                <w:tab w:val="right" w:pos="284"/>
              </w:tabs>
              <w:spacing w:before="60" w:after="60"/>
              <w:ind w:right="454"/>
              <w:jc w:val="right"/>
              <w:rPr>
                <w:sz w:val="22"/>
              </w:rPr>
            </w:pPr>
            <w:r>
              <w:rPr>
                <w:sz w:val="22"/>
              </w:rPr>
              <w:t>102</w:t>
            </w:r>
          </w:p>
        </w:tc>
      </w:tr>
      <w:tr w:rsidR="00000000">
        <w:tblPrEx>
          <w:tblCellMar>
            <w:top w:w="0" w:type="dxa"/>
            <w:bottom w:w="0" w:type="dxa"/>
          </w:tblCellMar>
        </w:tblPrEx>
        <w:tc>
          <w:tcPr>
            <w:tcW w:w="2972" w:type="dxa"/>
          </w:tcPr>
          <w:p w:rsidR="00000000" w:rsidRDefault="00000000">
            <w:pPr>
              <w:pStyle w:val="Footer"/>
              <w:tabs>
                <w:tab w:val="left" w:pos="680"/>
                <w:tab w:val="left" w:pos="1134"/>
              </w:tabs>
              <w:spacing w:before="60" w:after="60"/>
              <w:rPr>
                <w:sz w:val="22"/>
              </w:rPr>
            </w:pPr>
            <w:r>
              <w:rPr>
                <w:sz w:val="22"/>
              </w:rPr>
              <w:t>Местные советники</w:t>
            </w:r>
          </w:p>
        </w:tc>
        <w:tc>
          <w:tcPr>
            <w:tcW w:w="1701" w:type="dxa"/>
          </w:tcPr>
          <w:p w:rsidR="00000000" w:rsidRDefault="00000000">
            <w:pPr>
              <w:pStyle w:val="Footer"/>
              <w:tabs>
                <w:tab w:val="clear" w:pos="4677"/>
                <w:tab w:val="clear" w:pos="9355"/>
                <w:tab w:val="decimal" w:pos="567"/>
              </w:tabs>
              <w:spacing w:before="60" w:after="60"/>
              <w:jc w:val="both"/>
              <w:rPr>
                <w:sz w:val="22"/>
              </w:rPr>
            </w:pPr>
            <w:r>
              <w:rPr>
                <w:sz w:val="22"/>
              </w:rPr>
              <w:t>135  (44%)</w:t>
            </w:r>
          </w:p>
        </w:tc>
        <w:tc>
          <w:tcPr>
            <w:tcW w:w="1701" w:type="dxa"/>
          </w:tcPr>
          <w:p w:rsidR="00000000" w:rsidRDefault="00000000">
            <w:pPr>
              <w:pStyle w:val="Footer"/>
              <w:tabs>
                <w:tab w:val="clear" w:pos="4677"/>
                <w:tab w:val="clear" w:pos="9355"/>
                <w:tab w:val="decimal" w:pos="567"/>
              </w:tabs>
              <w:spacing w:before="60" w:after="60"/>
              <w:jc w:val="both"/>
              <w:rPr>
                <w:sz w:val="22"/>
              </w:rPr>
            </w:pPr>
            <w:r>
              <w:rPr>
                <w:sz w:val="22"/>
              </w:rPr>
              <w:t>169  (56%)</w:t>
            </w:r>
          </w:p>
        </w:tc>
        <w:tc>
          <w:tcPr>
            <w:tcW w:w="1418" w:type="dxa"/>
          </w:tcPr>
          <w:p w:rsidR="00000000" w:rsidRDefault="00000000">
            <w:pPr>
              <w:pStyle w:val="Footer"/>
              <w:tabs>
                <w:tab w:val="clear" w:pos="4677"/>
                <w:tab w:val="clear" w:pos="9355"/>
                <w:tab w:val="right" w:pos="284"/>
              </w:tabs>
              <w:spacing w:before="60" w:after="60"/>
              <w:ind w:right="454"/>
              <w:jc w:val="right"/>
              <w:rPr>
                <w:sz w:val="22"/>
              </w:rPr>
            </w:pPr>
            <w:r>
              <w:rPr>
                <w:sz w:val="22"/>
              </w:rPr>
              <w:t>304</w:t>
            </w:r>
          </w:p>
        </w:tc>
      </w:tr>
    </w:tbl>
    <w:p w:rsidR="00000000" w:rsidRDefault="00000000">
      <w:pPr>
        <w:pStyle w:val="BodyText"/>
        <w:tabs>
          <w:tab w:val="left" w:pos="680"/>
          <w:tab w:val="left" w:pos="1134"/>
        </w:tabs>
        <w:spacing w:before="120"/>
        <w:jc w:val="both"/>
        <w:rPr>
          <w:sz w:val="20"/>
          <w:u w:val="none"/>
        </w:rPr>
      </w:pPr>
      <w:r>
        <w:rPr>
          <w:i/>
          <w:sz w:val="22"/>
          <w:u w:val="none"/>
        </w:rPr>
        <w:tab/>
      </w:r>
      <w:r>
        <w:rPr>
          <w:i/>
          <w:sz w:val="20"/>
          <w:u w:val="none"/>
        </w:rPr>
        <w:t>Источник:</w:t>
      </w:r>
      <w:r>
        <w:rPr>
          <w:sz w:val="20"/>
          <w:u w:val="none"/>
        </w:rPr>
        <w:t xml:space="preserve"> MWACW, 2003 </w:t>
      </w:r>
    </w:p>
    <w:p w:rsidR="00000000" w:rsidRDefault="00000000">
      <w:pPr>
        <w:pStyle w:val="BodyText"/>
        <w:tabs>
          <w:tab w:val="left" w:pos="680"/>
          <w:tab w:val="left" w:pos="1134"/>
        </w:tabs>
        <w:spacing w:before="240"/>
        <w:jc w:val="both"/>
        <w:rPr>
          <w:sz w:val="22"/>
          <w:u w:val="none"/>
        </w:rPr>
      </w:pPr>
      <w:r>
        <w:rPr>
          <w:sz w:val="22"/>
          <w:u w:val="none"/>
        </w:rPr>
        <w:t>Из вышеприведенной таблицы следует, что женщины составляют большинство только в местных советах. Это можно объяснить тем фактом, что позитивные действия, которые применялись на первых двух выборах, привели к высоким показателям численности женщин в местных органах самоуправления в настоящее время. В то же время в региональных советах, где позитивные действия не применялись, женщин очень мало.</w:t>
      </w:r>
    </w:p>
    <w:p w:rsidR="00000000" w:rsidRDefault="00000000">
      <w:pPr>
        <w:pStyle w:val="BodyText"/>
        <w:tabs>
          <w:tab w:val="left" w:pos="680"/>
          <w:tab w:val="left" w:pos="1134"/>
        </w:tabs>
        <w:spacing w:before="240"/>
        <w:jc w:val="both"/>
        <w:rPr>
          <w:b/>
          <w:sz w:val="22"/>
          <w:u w:val="none"/>
        </w:rPr>
      </w:pPr>
      <w:r>
        <w:rPr>
          <w:b/>
          <w:sz w:val="22"/>
          <w:u w:val="none"/>
        </w:rPr>
        <w:t>7.4</w:t>
      </w:r>
      <w:r>
        <w:rPr>
          <w:b/>
          <w:sz w:val="22"/>
          <w:u w:val="none"/>
        </w:rPr>
        <w:tab/>
        <w:t>Женщины на государственной службе</w:t>
      </w:r>
    </w:p>
    <w:p w:rsidR="00000000" w:rsidRDefault="00000000">
      <w:pPr>
        <w:pStyle w:val="BodyText"/>
        <w:tabs>
          <w:tab w:val="left" w:pos="680"/>
          <w:tab w:val="left" w:pos="1134"/>
        </w:tabs>
        <w:spacing w:before="240"/>
        <w:jc w:val="both"/>
        <w:rPr>
          <w:sz w:val="22"/>
          <w:u w:val="none"/>
        </w:rPr>
      </w:pPr>
      <w:r>
        <w:rPr>
          <w:sz w:val="22"/>
          <w:u w:val="none"/>
        </w:rPr>
        <w:t>Несмотря на то что доля женщин, занимающих высшие руководящие посты, значительно возросла со времени предыдущего доклада, они все еще недостаточно представлены на высших постах. Например, женщины занимают 108 (24,1 процента) из в общей сложности 449 должностей руководителей высшего звена на государственной службе</w:t>
      </w:r>
      <w:r>
        <w:rPr>
          <w:rStyle w:val="FootnoteReference"/>
          <w:sz w:val="22"/>
          <w:u w:val="none"/>
        </w:rPr>
        <w:footnoteReference w:customMarkFollows="1" w:id="61"/>
        <w:t>60</w:t>
      </w:r>
      <w:r>
        <w:rPr>
          <w:sz w:val="22"/>
          <w:u w:val="none"/>
        </w:rPr>
        <w:t>. Заметным исключением является канцелярия премьер-министра, где женщины занимают 12 из 30 постов на уровне руководителей высшего звена.</w:t>
      </w:r>
    </w:p>
    <w:p w:rsidR="00000000" w:rsidRDefault="00000000">
      <w:pPr>
        <w:pStyle w:val="BodyText"/>
        <w:tabs>
          <w:tab w:val="left" w:pos="680"/>
          <w:tab w:val="left" w:pos="1134"/>
        </w:tabs>
        <w:spacing w:before="240"/>
        <w:jc w:val="both"/>
        <w:rPr>
          <w:sz w:val="22"/>
          <w:u w:val="none"/>
        </w:rPr>
      </w:pPr>
      <w:r>
        <w:rPr>
          <w:sz w:val="22"/>
          <w:u w:val="none"/>
        </w:rPr>
        <w:t>Однако на уровне руководителей среднего звена картина иная, так как из 2814 постов женщины занимают 1156, или 41,1 процента.</w:t>
      </w:r>
    </w:p>
    <w:p w:rsidR="00000000" w:rsidRDefault="00000000">
      <w:pPr>
        <w:pStyle w:val="BodyText"/>
        <w:tabs>
          <w:tab w:val="left" w:pos="680"/>
          <w:tab w:val="left" w:pos="1134"/>
        </w:tabs>
        <w:spacing w:before="240"/>
        <w:jc w:val="both"/>
        <w:rPr>
          <w:b/>
          <w:sz w:val="22"/>
          <w:u w:val="none"/>
        </w:rPr>
      </w:pPr>
      <w:r>
        <w:rPr>
          <w:b/>
          <w:sz w:val="22"/>
          <w:u w:val="none"/>
        </w:rPr>
        <w:t>7.5</w:t>
      </w:r>
      <w:r>
        <w:rPr>
          <w:b/>
          <w:sz w:val="22"/>
          <w:u w:val="none"/>
        </w:rPr>
        <w:tab/>
        <w:t>Женщины в правоохранительных органах и в области отправления правосудия</w:t>
      </w:r>
    </w:p>
    <w:p w:rsidR="00000000" w:rsidRDefault="00000000">
      <w:pPr>
        <w:pStyle w:val="BodyText2"/>
        <w:tabs>
          <w:tab w:val="left" w:pos="680"/>
          <w:tab w:val="left" w:pos="1134"/>
        </w:tabs>
        <w:spacing w:before="240"/>
        <w:jc w:val="both"/>
        <w:rPr>
          <w:b w:val="0"/>
          <w:sz w:val="22"/>
        </w:rPr>
      </w:pPr>
      <w:r>
        <w:rPr>
          <w:b w:val="0"/>
          <w:sz w:val="22"/>
        </w:rPr>
        <w:t>Имеется значительное число данных (хотя статистические данные об этом получить нелегко), свидетельствующих о том, что по сравнению с предыдущими 5 годами процентная доля женщин, работающих в полиции, существенно выросла. То же самое можно сказать и о женщинах, занимающих должности магистратов, прокуроров и адвокатов. В таблице 2 показана доля мужчин и женщин, занимающих высокие посты в Министерстве юстиции. Из таблицы 2 видно, что в 1998 году число женщин на этих должностях значительно увеличилось по сравнению с ситуацией в 1995 году.</w:t>
      </w:r>
    </w:p>
    <w:p w:rsidR="00000000" w:rsidRDefault="00000000">
      <w:pPr>
        <w:tabs>
          <w:tab w:val="left" w:pos="680"/>
          <w:tab w:val="left" w:pos="1134"/>
        </w:tabs>
        <w:spacing w:before="360" w:after="240"/>
        <w:rPr>
          <w:b/>
          <w:sz w:val="22"/>
        </w:rPr>
      </w:pPr>
      <w:r>
        <w:rPr>
          <w:b/>
          <w:sz w:val="22"/>
        </w:rPr>
        <w:t>Таблица 2: Высокие должности в Министерстве юстиции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701"/>
        <w:gridCol w:w="1843"/>
        <w:gridCol w:w="1843"/>
        <w:gridCol w:w="1701"/>
      </w:tblGrid>
      <w:tr w:rsidR="00000000">
        <w:tblPrEx>
          <w:tblCellMar>
            <w:top w:w="0" w:type="dxa"/>
            <w:bottom w:w="0" w:type="dxa"/>
          </w:tblCellMar>
        </w:tblPrEx>
        <w:trPr>
          <w:cantSplit/>
        </w:trPr>
        <w:tc>
          <w:tcPr>
            <w:tcW w:w="2268" w:type="dxa"/>
            <w:vMerge w:val="restart"/>
          </w:tcPr>
          <w:p w:rsidR="00000000" w:rsidRDefault="00000000">
            <w:pPr>
              <w:tabs>
                <w:tab w:val="left" w:pos="680"/>
                <w:tab w:val="left" w:pos="1134"/>
              </w:tabs>
              <w:jc w:val="both"/>
              <w:rPr>
                <w:b/>
                <w:sz w:val="22"/>
              </w:rPr>
            </w:pPr>
            <w:r>
              <w:rPr>
                <w:b/>
                <w:sz w:val="22"/>
              </w:rPr>
              <w:t>Должность</w:t>
            </w:r>
          </w:p>
        </w:tc>
        <w:tc>
          <w:tcPr>
            <w:tcW w:w="3544" w:type="dxa"/>
            <w:gridSpan w:val="2"/>
          </w:tcPr>
          <w:p w:rsidR="00000000" w:rsidRDefault="00000000">
            <w:pPr>
              <w:tabs>
                <w:tab w:val="left" w:pos="680"/>
                <w:tab w:val="left" w:pos="1134"/>
              </w:tabs>
              <w:jc w:val="center"/>
              <w:rPr>
                <w:b/>
                <w:sz w:val="22"/>
              </w:rPr>
            </w:pPr>
            <w:r>
              <w:rPr>
                <w:b/>
                <w:sz w:val="22"/>
              </w:rPr>
              <w:t>Июль 1995 года</w:t>
            </w:r>
          </w:p>
        </w:tc>
        <w:tc>
          <w:tcPr>
            <w:tcW w:w="3544" w:type="dxa"/>
            <w:gridSpan w:val="2"/>
          </w:tcPr>
          <w:p w:rsidR="00000000" w:rsidRDefault="00000000">
            <w:pPr>
              <w:tabs>
                <w:tab w:val="left" w:pos="680"/>
                <w:tab w:val="left" w:pos="1134"/>
              </w:tabs>
              <w:jc w:val="center"/>
              <w:rPr>
                <w:b/>
                <w:sz w:val="22"/>
              </w:rPr>
            </w:pPr>
            <w:r>
              <w:rPr>
                <w:b/>
                <w:sz w:val="22"/>
              </w:rPr>
              <w:t>Март 1998 года</w:t>
            </w:r>
          </w:p>
        </w:tc>
      </w:tr>
      <w:tr w:rsidR="00000000">
        <w:tblPrEx>
          <w:tblCellMar>
            <w:top w:w="0" w:type="dxa"/>
            <w:bottom w:w="0" w:type="dxa"/>
          </w:tblCellMar>
        </w:tblPrEx>
        <w:trPr>
          <w:cantSplit/>
        </w:trPr>
        <w:tc>
          <w:tcPr>
            <w:tcW w:w="2268" w:type="dxa"/>
            <w:vMerge/>
          </w:tcPr>
          <w:p w:rsidR="00000000" w:rsidRDefault="00000000">
            <w:pPr>
              <w:tabs>
                <w:tab w:val="left" w:pos="680"/>
                <w:tab w:val="left" w:pos="1134"/>
              </w:tabs>
              <w:ind w:left="720"/>
              <w:jc w:val="both"/>
              <w:rPr>
                <w:b/>
                <w:sz w:val="22"/>
              </w:rPr>
            </w:pPr>
          </w:p>
        </w:tc>
        <w:tc>
          <w:tcPr>
            <w:tcW w:w="1701" w:type="dxa"/>
          </w:tcPr>
          <w:p w:rsidR="00000000" w:rsidRDefault="00000000">
            <w:pPr>
              <w:tabs>
                <w:tab w:val="left" w:pos="680"/>
                <w:tab w:val="left" w:pos="1134"/>
              </w:tabs>
              <w:jc w:val="center"/>
              <w:rPr>
                <w:b/>
                <w:sz w:val="22"/>
              </w:rPr>
            </w:pPr>
            <w:r>
              <w:rPr>
                <w:b/>
                <w:sz w:val="22"/>
              </w:rPr>
              <w:t>Мужчины (%)</w:t>
            </w:r>
          </w:p>
        </w:tc>
        <w:tc>
          <w:tcPr>
            <w:tcW w:w="1843" w:type="dxa"/>
          </w:tcPr>
          <w:p w:rsidR="00000000" w:rsidRDefault="00000000">
            <w:pPr>
              <w:tabs>
                <w:tab w:val="left" w:pos="680"/>
                <w:tab w:val="left" w:pos="1134"/>
              </w:tabs>
              <w:jc w:val="center"/>
              <w:rPr>
                <w:b/>
                <w:sz w:val="22"/>
              </w:rPr>
            </w:pPr>
            <w:r>
              <w:rPr>
                <w:b/>
                <w:sz w:val="22"/>
              </w:rPr>
              <w:t>Женщины (%)</w:t>
            </w:r>
          </w:p>
        </w:tc>
        <w:tc>
          <w:tcPr>
            <w:tcW w:w="1843" w:type="dxa"/>
          </w:tcPr>
          <w:p w:rsidR="00000000" w:rsidRDefault="00000000">
            <w:pPr>
              <w:tabs>
                <w:tab w:val="left" w:pos="680"/>
                <w:tab w:val="left" w:pos="1134"/>
              </w:tabs>
              <w:jc w:val="center"/>
              <w:rPr>
                <w:b/>
                <w:sz w:val="22"/>
              </w:rPr>
            </w:pPr>
            <w:r>
              <w:rPr>
                <w:b/>
                <w:sz w:val="22"/>
              </w:rPr>
              <w:t>Мужчины (%)</w:t>
            </w:r>
          </w:p>
        </w:tc>
        <w:tc>
          <w:tcPr>
            <w:tcW w:w="1701" w:type="dxa"/>
          </w:tcPr>
          <w:p w:rsidR="00000000" w:rsidRDefault="00000000">
            <w:pPr>
              <w:tabs>
                <w:tab w:val="left" w:pos="680"/>
                <w:tab w:val="left" w:pos="1134"/>
              </w:tabs>
              <w:jc w:val="center"/>
              <w:rPr>
                <w:b/>
                <w:sz w:val="22"/>
              </w:rPr>
            </w:pPr>
            <w:r>
              <w:rPr>
                <w:b/>
                <w:sz w:val="22"/>
              </w:rPr>
              <w:t>Женщины (%)</w:t>
            </w:r>
          </w:p>
        </w:tc>
      </w:tr>
      <w:tr w:rsidR="00000000">
        <w:tblPrEx>
          <w:tblCellMar>
            <w:top w:w="0" w:type="dxa"/>
            <w:bottom w:w="0" w:type="dxa"/>
          </w:tblCellMar>
        </w:tblPrEx>
        <w:tc>
          <w:tcPr>
            <w:tcW w:w="2268" w:type="dxa"/>
          </w:tcPr>
          <w:p w:rsidR="00000000" w:rsidRDefault="00000000">
            <w:pPr>
              <w:tabs>
                <w:tab w:val="left" w:pos="680"/>
                <w:tab w:val="left" w:pos="1134"/>
              </w:tabs>
              <w:jc w:val="both"/>
              <w:rPr>
                <w:sz w:val="22"/>
              </w:rPr>
            </w:pPr>
            <w:r>
              <w:rPr>
                <w:sz w:val="22"/>
              </w:rPr>
              <w:t>Магистраты</w:t>
            </w:r>
          </w:p>
        </w:tc>
        <w:tc>
          <w:tcPr>
            <w:tcW w:w="1701" w:type="dxa"/>
          </w:tcPr>
          <w:p w:rsidR="00000000" w:rsidRDefault="00000000">
            <w:pPr>
              <w:tabs>
                <w:tab w:val="left" w:pos="680"/>
                <w:tab w:val="left" w:pos="1134"/>
              </w:tabs>
              <w:ind w:left="720"/>
              <w:jc w:val="both"/>
              <w:rPr>
                <w:sz w:val="22"/>
                <w:lang w:val="en-US"/>
              </w:rPr>
            </w:pPr>
            <w:r>
              <w:rPr>
                <w:sz w:val="22"/>
                <w:lang w:val="en-US"/>
              </w:rPr>
              <w:t>80</w:t>
            </w:r>
          </w:p>
        </w:tc>
        <w:tc>
          <w:tcPr>
            <w:tcW w:w="1843" w:type="dxa"/>
          </w:tcPr>
          <w:p w:rsidR="00000000" w:rsidRDefault="00000000">
            <w:pPr>
              <w:tabs>
                <w:tab w:val="left" w:pos="680"/>
                <w:tab w:val="left" w:pos="1134"/>
              </w:tabs>
              <w:ind w:left="720"/>
              <w:jc w:val="both"/>
              <w:rPr>
                <w:sz w:val="22"/>
                <w:lang w:val="en-US"/>
              </w:rPr>
            </w:pPr>
            <w:r>
              <w:rPr>
                <w:sz w:val="22"/>
                <w:lang w:val="en-US"/>
              </w:rPr>
              <w:t>20</w:t>
            </w:r>
          </w:p>
        </w:tc>
        <w:tc>
          <w:tcPr>
            <w:tcW w:w="1843" w:type="dxa"/>
          </w:tcPr>
          <w:p w:rsidR="00000000" w:rsidRDefault="00000000">
            <w:pPr>
              <w:tabs>
                <w:tab w:val="left" w:pos="680"/>
                <w:tab w:val="left" w:pos="1134"/>
              </w:tabs>
              <w:ind w:left="720"/>
              <w:jc w:val="both"/>
              <w:rPr>
                <w:sz w:val="22"/>
                <w:lang w:val="en-US"/>
              </w:rPr>
            </w:pPr>
            <w:r>
              <w:rPr>
                <w:sz w:val="22"/>
                <w:lang w:val="en-US"/>
              </w:rPr>
              <w:t>70,21</w:t>
            </w:r>
          </w:p>
        </w:tc>
        <w:tc>
          <w:tcPr>
            <w:tcW w:w="1701" w:type="dxa"/>
          </w:tcPr>
          <w:p w:rsidR="00000000" w:rsidRDefault="00000000">
            <w:pPr>
              <w:tabs>
                <w:tab w:val="left" w:pos="680"/>
                <w:tab w:val="left" w:pos="1134"/>
              </w:tabs>
              <w:ind w:left="720"/>
              <w:jc w:val="both"/>
              <w:rPr>
                <w:sz w:val="22"/>
                <w:lang w:val="en-US"/>
              </w:rPr>
            </w:pPr>
            <w:r>
              <w:rPr>
                <w:sz w:val="22"/>
                <w:lang w:val="en-US"/>
              </w:rPr>
              <w:t>29,79</w:t>
            </w:r>
          </w:p>
        </w:tc>
      </w:tr>
      <w:tr w:rsidR="00000000">
        <w:tblPrEx>
          <w:tblCellMar>
            <w:top w:w="0" w:type="dxa"/>
            <w:bottom w:w="0" w:type="dxa"/>
          </w:tblCellMar>
        </w:tblPrEx>
        <w:tc>
          <w:tcPr>
            <w:tcW w:w="2268" w:type="dxa"/>
          </w:tcPr>
          <w:p w:rsidR="00000000" w:rsidRDefault="00000000">
            <w:pPr>
              <w:tabs>
                <w:tab w:val="left" w:pos="680"/>
                <w:tab w:val="left" w:pos="1134"/>
              </w:tabs>
              <w:jc w:val="both"/>
              <w:rPr>
                <w:sz w:val="22"/>
              </w:rPr>
            </w:pPr>
            <w:r>
              <w:rPr>
                <w:sz w:val="22"/>
              </w:rPr>
              <w:t>Государственные прокуроры</w:t>
            </w:r>
          </w:p>
        </w:tc>
        <w:tc>
          <w:tcPr>
            <w:tcW w:w="1701" w:type="dxa"/>
          </w:tcPr>
          <w:p w:rsidR="00000000" w:rsidRDefault="00000000">
            <w:pPr>
              <w:tabs>
                <w:tab w:val="left" w:pos="680"/>
                <w:tab w:val="left" w:pos="1134"/>
              </w:tabs>
              <w:ind w:left="720"/>
              <w:jc w:val="both"/>
              <w:rPr>
                <w:sz w:val="22"/>
                <w:lang w:val="en-US"/>
              </w:rPr>
            </w:pPr>
            <w:r>
              <w:rPr>
                <w:sz w:val="22"/>
                <w:lang w:val="en-US"/>
              </w:rPr>
              <w:t>60</w:t>
            </w:r>
          </w:p>
        </w:tc>
        <w:tc>
          <w:tcPr>
            <w:tcW w:w="1843" w:type="dxa"/>
          </w:tcPr>
          <w:p w:rsidR="00000000" w:rsidRDefault="00000000">
            <w:pPr>
              <w:tabs>
                <w:tab w:val="left" w:pos="680"/>
                <w:tab w:val="left" w:pos="1134"/>
              </w:tabs>
              <w:ind w:left="720"/>
              <w:jc w:val="both"/>
              <w:rPr>
                <w:sz w:val="22"/>
                <w:lang w:val="en-US"/>
              </w:rPr>
            </w:pPr>
            <w:r>
              <w:rPr>
                <w:sz w:val="22"/>
                <w:lang w:val="en-US"/>
              </w:rPr>
              <w:t>40</w:t>
            </w:r>
          </w:p>
        </w:tc>
        <w:tc>
          <w:tcPr>
            <w:tcW w:w="1843" w:type="dxa"/>
          </w:tcPr>
          <w:p w:rsidR="00000000" w:rsidRDefault="00000000">
            <w:pPr>
              <w:tabs>
                <w:tab w:val="left" w:pos="680"/>
                <w:tab w:val="left" w:pos="1134"/>
              </w:tabs>
              <w:ind w:left="720"/>
              <w:jc w:val="both"/>
              <w:rPr>
                <w:sz w:val="22"/>
                <w:lang w:val="en-US"/>
              </w:rPr>
            </w:pPr>
            <w:r>
              <w:rPr>
                <w:sz w:val="22"/>
                <w:lang w:val="en-US"/>
              </w:rPr>
              <w:t>55,41</w:t>
            </w:r>
          </w:p>
        </w:tc>
        <w:tc>
          <w:tcPr>
            <w:tcW w:w="1701" w:type="dxa"/>
          </w:tcPr>
          <w:p w:rsidR="00000000" w:rsidRDefault="00000000">
            <w:pPr>
              <w:tabs>
                <w:tab w:val="left" w:pos="680"/>
                <w:tab w:val="left" w:pos="1134"/>
              </w:tabs>
              <w:ind w:left="720"/>
              <w:jc w:val="both"/>
              <w:rPr>
                <w:sz w:val="22"/>
                <w:lang w:val="en-US"/>
              </w:rPr>
            </w:pPr>
            <w:r>
              <w:rPr>
                <w:sz w:val="22"/>
                <w:lang w:val="en-US"/>
              </w:rPr>
              <w:t>44,59</w:t>
            </w:r>
          </w:p>
        </w:tc>
      </w:tr>
      <w:tr w:rsidR="00000000">
        <w:tblPrEx>
          <w:tblCellMar>
            <w:top w:w="0" w:type="dxa"/>
            <w:bottom w:w="0" w:type="dxa"/>
          </w:tblCellMar>
        </w:tblPrEx>
        <w:tc>
          <w:tcPr>
            <w:tcW w:w="2268" w:type="dxa"/>
          </w:tcPr>
          <w:p w:rsidR="00000000" w:rsidRDefault="00000000">
            <w:pPr>
              <w:tabs>
                <w:tab w:val="left" w:pos="680"/>
                <w:tab w:val="left" w:pos="1134"/>
              </w:tabs>
              <w:jc w:val="both"/>
              <w:rPr>
                <w:sz w:val="22"/>
              </w:rPr>
            </w:pPr>
            <w:r>
              <w:rPr>
                <w:sz w:val="22"/>
              </w:rPr>
              <w:t>Юрисконсульты</w:t>
            </w:r>
          </w:p>
        </w:tc>
        <w:tc>
          <w:tcPr>
            <w:tcW w:w="1701" w:type="dxa"/>
          </w:tcPr>
          <w:p w:rsidR="00000000" w:rsidRDefault="00000000">
            <w:pPr>
              <w:tabs>
                <w:tab w:val="left" w:pos="680"/>
                <w:tab w:val="left" w:pos="1134"/>
              </w:tabs>
              <w:ind w:left="720"/>
              <w:jc w:val="both"/>
              <w:rPr>
                <w:sz w:val="22"/>
                <w:lang w:val="en-US"/>
              </w:rPr>
            </w:pPr>
            <w:r>
              <w:rPr>
                <w:sz w:val="22"/>
                <w:lang w:val="en-US"/>
              </w:rPr>
              <w:t>60</w:t>
            </w:r>
          </w:p>
        </w:tc>
        <w:tc>
          <w:tcPr>
            <w:tcW w:w="1843" w:type="dxa"/>
          </w:tcPr>
          <w:p w:rsidR="00000000" w:rsidRDefault="00000000">
            <w:pPr>
              <w:tabs>
                <w:tab w:val="left" w:pos="680"/>
                <w:tab w:val="left" w:pos="1134"/>
              </w:tabs>
              <w:ind w:left="720"/>
              <w:jc w:val="both"/>
              <w:rPr>
                <w:sz w:val="22"/>
                <w:lang w:val="en-US"/>
              </w:rPr>
            </w:pPr>
            <w:r>
              <w:rPr>
                <w:sz w:val="22"/>
                <w:lang w:val="en-US"/>
              </w:rPr>
              <w:t>40</w:t>
            </w:r>
          </w:p>
        </w:tc>
        <w:tc>
          <w:tcPr>
            <w:tcW w:w="1843" w:type="dxa"/>
          </w:tcPr>
          <w:p w:rsidR="00000000" w:rsidRDefault="00000000">
            <w:pPr>
              <w:tabs>
                <w:tab w:val="left" w:pos="680"/>
                <w:tab w:val="left" w:pos="1134"/>
              </w:tabs>
              <w:ind w:left="720"/>
              <w:jc w:val="both"/>
              <w:rPr>
                <w:sz w:val="22"/>
                <w:lang w:val="en-US"/>
              </w:rPr>
            </w:pPr>
            <w:r>
              <w:rPr>
                <w:sz w:val="22"/>
                <w:lang w:val="en-US"/>
              </w:rPr>
              <w:t>40,00</w:t>
            </w:r>
          </w:p>
        </w:tc>
        <w:tc>
          <w:tcPr>
            <w:tcW w:w="1701" w:type="dxa"/>
          </w:tcPr>
          <w:p w:rsidR="00000000" w:rsidRDefault="00000000">
            <w:pPr>
              <w:tabs>
                <w:tab w:val="left" w:pos="680"/>
                <w:tab w:val="left" w:pos="1134"/>
              </w:tabs>
              <w:ind w:left="720"/>
              <w:jc w:val="both"/>
              <w:rPr>
                <w:sz w:val="22"/>
                <w:lang w:val="en-US"/>
              </w:rPr>
            </w:pPr>
            <w:r>
              <w:rPr>
                <w:sz w:val="22"/>
                <w:lang w:val="en-US"/>
              </w:rPr>
              <w:t>60,00</w:t>
            </w:r>
          </w:p>
        </w:tc>
      </w:tr>
      <w:tr w:rsidR="00000000">
        <w:tblPrEx>
          <w:tblCellMar>
            <w:top w:w="0" w:type="dxa"/>
            <w:bottom w:w="0" w:type="dxa"/>
          </w:tblCellMar>
        </w:tblPrEx>
        <w:tc>
          <w:tcPr>
            <w:tcW w:w="2268" w:type="dxa"/>
          </w:tcPr>
          <w:p w:rsidR="00000000" w:rsidRDefault="00000000">
            <w:pPr>
              <w:tabs>
                <w:tab w:val="left" w:pos="680"/>
                <w:tab w:val="left" w:pos="1134"/>
              </w:tabs>
              <w:jc w:val="both"/>
              <w:rPr>
                <w:sz w:val="22"/>
              </w:rPr>
            </w:pPr>
            <w:r>
              <w:rPr>
                <w:sz w:val="22"/>
              </w:rPr>
              <w:t>Составители законопроектов</w:t>
            </w:r>
          </w:p>
        </w:tc>
        <w:tc>
          <w:tcPr>
            <w:tcW w:w="1701" w:type="dxa"/>
          </w:tcPr>
          <w:p w:rsidR="00000000" w:rsidRDefault="00000000">
            <w:pPr>
              <w:tabs>
                <w:tab w:val="left" w:pos="680"/>
                <w:tab w:val="left" w:pos="1134"/>
              </w:tabs>
              <w:ind w:left="720"/>
              <w:jc w:val="both"/>
              <w:rPr>
                <w:sz w:val="22"/>
                <w:lang w:val="en-US"/>
              </w:rPr>
            </w:pPr>
            <w:r>
              <w:rPr>
                <w:sz w:val="22"/>
                <w:lang w:val="en-US"/>
              </w:rPr>
              <w:t>79</w:t>
            </w:r>
          </w:p>
        </w:tc>
        <w:tc>
          <w:tcPr>
            <w:tcW w:w="1843" w:type="dxa"/>
          </w:tcPr>
          <w:p w:rsidR="00000000" w:rsidRDefault="00000000">
            <w:pPr>
              <w:tabs>
                <w:tab w:val="left" w:pos="680"/>
                <w:tab w:val="left" w:pos="1134"/>
              </w:tabs>
              <w:ind w:left="720"/>
              <w:jc w:val="both"/>
              <w:rPr>
                <w:sz w:val="22"/>
                <w:lang w:val="en-US"/>
              </w:rPr>
            </w:pPr>
            <w:r>
              <w:rPr>
                <w:sz w:val="22"/>
                <w:lang w:val="en-US"/>
              </w:rPr>
              <w:t>21</w:t>
            </w:r>
          </w:p>
        </w:tc>
        <w:tc>
          <w:tcPr>
            <w:tcW w:w="1843" w:type="dxa"/>
          </w:tcPr>
          <w:p w:rsidR="00000000" w:rsidRDefault="00000000">
            <w:pPr>
              <w:tabs>
                <w:tab w:val="left" w:pos="680"/>
                <w:tab w:val="left" w:pos="1134"/>
              </w:tabs>
              <w:ind w:left="720"/>
              <w:jc w:val="both"/>
              <w:rPr>
                <w:sz w:val="22"/>
                <w:lang w:val="en-US"/>
              </w:rPr>
            </w:pPr>
            <w:r>
              <w:rPr>
                <w:sz w:val="22"/>
                <w:lang w:val="en-US"/>
              </w:rPr>
              <w:t>72,73</w:t>
            </w:r>
          </w:p>
        </w:tc>
        <w:tc>
          <w:tcPr>
            <w:tcW w:w="1701" w:type="dxa"/>
          </w:tcPr>
          <w:p w:rsidR="00000000" w:rsidRDefault="00000000">
            <w:pPr>
              <w:tabs>
                <w:tab w:val="left" w:pos="680"/>
                <w:tab w:val="left" w:pos="1134"/>
              </w:tabs>
              <w:ind w:left="720"/>
              <w:jc w:val="both"/>
              <w:rPr>
                <w:sz w:val="22"/>
                <w:lang w:val="en-US"/>
              </w:rPr>
            </w:pPr>
            <w:r>
              <w:rPr>
                <w:sz w:val="22"/>
                <w:lang w:val="en-US"/>
              </w:rPr>
              <w:t>27,27</w:t>
            </w:r>
          </w:p>
        </w:tc>
      </w:tr>
      <w:tr w:rsidR="00000000">
        <w:tblPrEx>
          <w:tblCellMar>
            <w:top w:w="0" w:type="dxa"/>
            <w:bottom w:w="0" w:type="dxa"/>
          </w:tblCellMar>
        </w:tblPrEx>
        <w:tc>
          <w:tcPr>
            <w:tcW w:w="2268" w:type="dxa"/>
          </w:tcPr>
          <w:p w:rsidR="00000000" w:rsidRDefault="00000000">
            <w:pPr>
              <w:tabs>
                <w:tab w:val="left" w:pos="680"/>
                <w:tab w:val="left" w:pos="1134"/>
              </w:tabs>
              <w:jc w:val="both"/>
              <w:rPr>
                <w:sz w:val="22"/>
              </w:rPr>
            </w:pPr>
            <w:r>
              <w:rPr>
                <w:sz w:val="22"/>
              </w:rPr>
              <w:t>Государственные адвокаты</w:t>
            </w:r>
          </w:p>
        </w:tc>
        <w:tc>
          <w:tcPr>
            <w:tcW w:w="1701" w:type="dxa"/>
          </w:tcPr>
          <w:p w:rsidR="00000000" w:rsidRDefault="00000000">
            <w:pPr>
              <w:tabs>
                <w:tab w:val="left" w:pos="680"/>
                <w:tab w:val="left" w:pos="1134"/>
              </w:tabs>
              <w:ind w:left="720"/>
              <w:jc w:val="both"/>
              <w:rPr>
                <w:sz w:val="22"/>
                <w:lang w:val="en-US"/>
              </w:rPr>
            </w:pPr>
            <w:r>
              <w:rPr>
                <w:sz w:val="22"/>
                <w:lang w:val="en-US"/>
              </w:rPr>
              <w:t>60</w:t>
            </w:r>
          </w:p>
        </w:tc>
        <w:tc>
          <w:tcPr>
            <w:tcW w:w="1843" w:type="dxa"/>
          </w:tcPr>
          <w:p w:rsidR="00000000" w:rsidRDefault="00000000">
            <w:pPr>
              <w:tabs>
                <w:tab w:val="left" w:pos="680"/>
                <w:tab w:val="left" w:pos="1134"/>
              </w:tabs>
              <w:ind w:left="720"/>
              <w:jc w:val="both"/>
              <w:rPr>
                <w:sz w:val="22"/>
                <w:lang w:val="en-US"/>
              </w:rPr>
            </w:pPr>
            <w:r>
              <w:rPr>
                <w:sz w:val="22"/>
                <w:lang w:val="en-US"/>
              </w:rPr>
              <w:t>40</w:t>
            </w:r>
          </w:p>
        </w:tc>
        <w:tc>
          <w:tcPr>
            <w:tcW w:w="1843" w:type="dxa"/>
          </w:tcPr>
          <w:p w:rsidR="00000000" w:rsidRDefault="00000000">
            <w:pPr>
              <w:tabs>
                <w:tab w:val="left" w:pos="680"/>
                <w:tab w:val="left" w:pos="1134"/>
              </w:tabs>
              <w:ind w:left="720"/>
              <w:jc w:val="both"/>
              <w:rPr>
                <w:sz w:val="22"/>
                <w:lang w:val="en-US"/>
              </w:rPr>
            </w:pPr>
            <w:r>
              <w:rPr>
                <w:sz w:val="22"/>
                <w:lang w:val="en-US"/>
              </w:rPr>
              <w:t>50,00</w:t>
            </w:r>
          </w:p>
        </w:tc>
        <w:tc>
          <w:tcPr>
            <w:tcW w:w="1701" w:type="dxa"/>
          </w:tcPr>
          <w:p w:rsidR="00000000" w:rsidRDefault="00000000">
            <w:pPr>
              <w:tabs>
                <w:tab w:val="left" w:pos="680"/>
                <w:tab w:val="left" w:pos="1134"/>
              </w:tabs>
              <w:ind w:left="720"/>
              <w:jc w:val="both"/>
              <w:rPr>
                <w:sz w:val="22"/>
                <w:lang w:val="en-US"/>
              </w:rPr>
            </w:pPr>
            <w:r>
              <w:rPr>
                <w:sz w:val="22"/>
                <w:lang w:val="en-US"/>
              </w:rPr>
              <w:t>50,00</w:t>
            </w:r>
          </w:p>
        </w:tc>
      </w:tr>
      <w:tr w:rsidR="00000000">
        <w:tblPrEx>
          <w:tblCellMar>
            <w:top w:w="0" w:type="dxa"/>
            <w:bottom w:w="0" w:type="dxa"/>
          </w:tblCellMar>
        </w:tblPrEx>
        <w:tc>
          <w:tcPr>
            <w:tcW w:w="2268" w:type="dxa"/>
          </w:tcPr>
          <w:p w:rsidR="00000000" w:rsidRDefault="00000000">
            <w:pPr>
              <w:tabs>
                <w:tab w:val="left" w:pos="680"/>
                <w:tab w:val="left" w:pos="1134"/>
              </w:tabs>
              <w:jc w:val="both"/>
              <w:rPr>
                <w:sz w:val="22"/>
              </w:rPr>
            </w:pPr>
            <w:r>
              <w:rPr>
                <w:sz w:val="22"/>
              </w:rPr>
              <w:t>Администраторы</w:t>
            </w:r>
          </w:p>
        </w:tc>
        <w:tc>
          <w:tcPr>
            <w:tcW w:w="1701" w:type="dxa"/>
          </w:tcPr>
          <w:p w:rsidR="00000000" w:rsidRDefault="00000000">
            <w:pPr>
              <w:tabs>
                <w:tab w:val="left" w:pos="680"/>
                <w:tab w:val="left" w:pos="1134"/>
              </w:tabs>
              <w:ind w:left="720"/>
              <w:jc w:val="both"/>
              <w:rPr>
                <w:sz w:val="22"/>
              </w:rPr>
            </w:pPr>
            <w:r>
              <w:rPr>
                <w:sz w:val="22"/>
              </w:rPr>
              <w:t>43</w:t>
            </w:r>
          </w:p>
        </w:tc>
        <w:tc>
          <w:tcPr>
            <w:tcW w:w="1843" w:type="dxa"/>
          </w:tcPr>
          <w:p w:rsidR="00000000" w:rsidRDefault="00000000">
            <w:pPr>
              <w:tabs>
                <w:tab w:val="left" w:pos="680"/>
                <w:tab w:val="left" w:pos="1134"/>
              </w:tabs>
              <w:ind w:left="720"/>
              <w:jc w:val="both"/>
              <w:rPr>
                <w:sz w:val="22"/>
              </w:rPr>
            </w:pPr>
            <w:r>
              <w:rPr>
                <w:sz w:val="22"/>
              </w:rPr>
              <w:t>57</w:t>
            </w:r>
          </w:p>
        </w:tc>
        <w:tc>
          <w:tcPr>
            <w:tcW w:w="1843" w:type="dxa"/>
          </w:tcPr>
          <w:p w:rsidR="00000000" w:rsidRDefault="00000000">
            <w:pPr>
              <w:tabs>
                <w:tab w:val="left" w:pos="680"/>
                <w:tab w:val="left" w:pos="1134"/>
              </w:tabs>
              <w:ind w:left="720"/>
              <w:jc w:val="both"/>
              <w:rPr>
                <w:sz w:val="22"/>
              </w:rPr>
            </w:pPr>
            <w:r>
              <w:rPr>
                <w:sz w:val="22"/>
              </w:rPr>
              <w:t>42,20</w:t>
            </w:r>
          </w:p>
        </w:tc>
        <w:tc>
          <w:tcPr>
            <w:tcW w:w="1701" w:type="dxa"/>
          </w:tcPr>
          <w:p w:rsidR="00000000" w:rsidRDefault="00000000">
            <w:pPr>
              <w:tabs>
                <w:tab w:val="left" w:pos="680"/>
                <w:tab w:val="left" w:pos="1134"/>
              </w:tabs>
              <w:ind w:left="720"/>
              <w:jc w:val="both"/>
              <w:rPr>
                <w:sz w:val="22"/>
              </w:rPr>
            </w:pPr>
            <w:r>
              <w:rPr>
                <w:sz w:val="22"/>
              </w:rPr>
              <w:t>57,80</w:t>
            </w:r>
          </w:p>
        </w:tc>
      </w:tr>
    </w:tbl>
    <w:p w:rsidR="00000000" w:rsidRDefault="00000000">
      <w:pPr>
        <w:pStyle w:val="BodyText"/>
        <w:tabs>
          <w:tab w:val="left" w:pos="680"/>
          <w:tab w:val="left" w:pos="1134"/>
        </w:tabs>
        <w:spacing w:before="120"/>
        <w:jc w:val="both"/>
        <w:rPr>
          <w:sz w:val="20"/>
          <w:u w:val="none"/>
        </w:rPr>
      </w:pPr>
      <w:r>
        <w:rPr>
          <w:i/>
          <w:sz w:val="20"/>
          <w:u w:val="none"/>
        </w:rPr>
        <w:t>Источник:</w:t>
      </w:r>
      <w:r>
        <w:rPr>
          <w:sz w:val="20"/>
          <w:u w:val="none"/>
        </w:rPr>
        <w:t xml:space="preserve"> Министерство юстиции (2001–2002 гг.)</w:t>
      </w:r>
    </w:p>
    <w:p w:rsidR="00000000" w:rsidRDefault="00000000">
      <w:pPr>
        <w:tabs>
          <w:tab w:val="left" w:pos="680"/>
          <w:tab w:val="left" w:pos="1134"/>
        </w:tabs>
        <w:spacing w:before="240"/>
        <w:jc w:val="both"/>
        <w:rPr>
          <w:sz w:val="22"/>
        </w:rPr>
      </w:pPr>
      <w:r>
        <w:rPr>
          <w:sz w:val="22"/>
        </w:rPr>
        <w:t>Помимо должности омбудсмена, занимаемой женщиной, и на должность Генерального атторнея назначена женщина. В 2000 учебном году Университет Намибии сообщил о приеме на факультет права 150 студентов, из которых девушки составляли 79 человек, а юноши – 71</w:t>
      </w:r>
      <w:r>
        <w:rPr>
          <w:rStyle w:val="FootnoteReference"/>
          <w:sz w:val="22"/>
        </w:rPr>
        <w:footnoteReference w:customMarkFollows="1" w:id="62"/>
        <w:t>61</w:t>
      </w:r>
      <w:r>
        <w:rPr>
          <w:sz w:val="22"/>
        </w:rPr>
        <w:t>. В 1999 году на том же факультете из в общей сложности 113 студентов девушек было только 50</w:t>
      </w:r>
      <w:r>
        <w:rPr>
          <w:rStyle w:val="FootnoteReference"/>
          <w:sz w:val="22"/>
        </w:rPr>
        <w:footnoteReference w:customMarkFollows="1" w:id="63"/>
        <w:t>62</w:t>
      </w:r>
      <w:r>
        <w:rPr>
          <w:sz w:val="22"/>
        </w:rPr>
        <w:t>.</w:t>
      </w:r>
    </w:p>
    <w:p w:rsidR="00000000" w:rsidRDefault="00000000">
      <w:pPr>
        <w:tabs>
          <w:tab w:val="left" w:pos="680"/>
          <w:tab w:val="left" w:pos="1134"/>
        </w:tabs>
        <w:spacing w:before="240"/>
        <w:jc w:val="both"/>
        <w:rPr>
          <w:b/>
          <w:sz w:val="22"/>
        </w:rPr>
      </w:pPr>
      <w:r>
        <w:rPr>
          <w:b/>
          <w:sz w:val="22"/>
        </w:rPr>
        <w:t>7.6</w:t>
      </w:r>
      <w:r>
        <w:rPr>
          <w:b/>
          <w:sz w:val="22"/>
        </w:rPr>
        <w:tab/>
        <w:t>Женщины в традиционных органах власти</w:t>
      </w:r>
    </w:p>
    <w:p w:rsidR="00000000" w:rsidRDefault="00000000">
      <w:pPr>
        <w:pStyle w:val="BodyText2"/>
        <w:tabs>
          <w:tab w:val="left" w:pos="680"/>
          <w:tab w:val="left" w:pos="1134"/>
        </w:tabs>
        <w:spacing w:before="240"/>
        <w:jc w:val="both"/>
        <w:rPr>
          <w:b w:val="0"/>
          <w:sz w:val="22"/>
        </w:rPr>
      </w:pPr>
      <w:r>
        <w:rPr>
          <w:b w:val="0"/>
          <w:sz w:val="22"/>
        </w:rPr>
        <w:t>На отношении традиционных органов власти к вопросам, касающимся семьи и экономической деятельности женщин, оказывает влияние то, что женщины практически отстранены от участия в традиционных структурах управления</w:t>
      </w:r>
      <w:r>
        <w:rPr>
          <w:rStyle w:val="FootnoteReference"/>
          <w:b w:val="0"/>
          <w:sz w:val="22"/>
        </w:rPr>
        <w:footnoteReference w:customMarkFollows="1" w:id="64"/>
        <w:t>63</w:t>
      </w:r>
      <w:r>
        <w:rPr>
          <w:b w:val="0"/>
          <w:sz w:val="22"/>
        </w:rPr>
        <w:t>. Всего лишь в двух намибийских общинах женщины занимают положение главного вождя (общины самбю и бондельсвартс). Кроме того, небольшое число женщин занимают положение вождя и традиционных советников в некоторых общинах Каванго, Овамбо и Гереро. За этими немногочисленными исключениями в традиционных органах власти и традиционных судах продолжают доминировать мужчины.</w:t>
      </w:r>
    </w:p>
    <w:p w:rsidR="00000000" w:rsidRDefault="00000000">
      <w:pPr>
        <w:tabs>
          <w:tab w:val="left" w:pos="680"/>
          <w:tab w:val="left" w:pos="1134"/>
        </w:tabs>
        <w:spacing w:before="240"/>
        <w:jc w:val="both"/>
        <w:rPr>
          <w:b/>
          <w:sz w:val="22"/>
        </w:rPr>
      </w:pPr>
      <w:r>
        <w:rPr>
          <w:b/>
          <w:sz w:val="22"/>
        </w:rPr>
        <w:t>7.7</w:t>
      </w:r>
      <w:r>
        <w:rPr>
          <w:b/>
          <w:sz w:val="22"/>
        </w:rPr>
        <w:tab/>
        <w:t>Женщины в местных органах власти</w:t>
      </w:r>
    </w:p>
    <w:p w:rsidR="00000000" w:rsidRDefault="00000000">
      <w:pPr>
        <w:pStyle w:val="BodyText2"/>
        <w:tabs>
          <w:tab w:val="left" w:pos="680"/>
          <w:tab w:val="left" w:pos="1134"/>
        </w:tabs>
        <w:spacing w:before="240"/>
        <w:jc w:val="both"/>
        <w:rPr>
          <w:b w:val="0"/>
          <w:sz w:val="22"/>
        </w:rPr>
      </w:pPr>
      <w:r>
        <w:rPr>
          <w:b w:val="0"/>
          <w:sz w:val="22"/>
        </w:rPr>
        <w:t>В настоящее время женщины имеют большинство мест в 11 местных органах власти по сравнению с 4 местными органами власти после первых выборов. Женщины входят в число членов всех советов местных органов власти без исключения. В двух советах из 7 членов только 1 женщина, и еще в двух из 7 членов совета только 2 женщины. Исполнение женщинами своих обязанностей не обусловливается какими-то схемами в зависимости от региона или числа членов в местном органе власти. Правящая партия СВАПО проводит такую политику, которая обеспечивает возможность участия женщин в каждом местном совете.</w:t>
      </w:r>
    </w:p>
    <w:p w:rsidR="00000000" w:rsidRDefault="00000000">
      <w:pPr>
        <w:pStyle w:val="BodyText2"/>
        <w:tabs>
          <w:tab w:val="left" w:pos="680"/>
          <w:tab w:val="left" w:pos="1134"/>
        </w:tabs>
        <w:spacing w:before="240"/>
        <w:jc w:val="both"/>
        <w:rPr>
          <w:b w:val="0"/>
          <w:sz w:val="22"/>
        </w:rPr>
      </w:pPr>
      <w:r>
        <w:rPr>
          <w:b w:val="0"/>
          <w:sz w:val="22"/>
        </w:rPr>
        <w:t>Число женщин в местных советах по-прежнему превышает число женщин на других ключевых государственных постах. В региональных советах на долю женщин приходится 3 места из 95.</w:t>
      </w:r>
    </w:p>
    <w:p w:rsidR="00000000" w:rsidRDefault="00000000">
      <w:pPr>
        <w:pStyle w:val="BodyText2"/>
        <w:tabs>
          <w:tab w:val="left" w:pos="680"/>
          <w:tab w:val="left" w:pos="1134"/>
        </w:tabs>
        <w:spacing w:before="240"/>
        <w:jc w:val="both"/>
        <w:rPr>
          <w:sz w:val="22"/>
        </w:rPr>
      </w:pPr>
      <w:r>
        <w:rPr>
          <w:sz w:val="22"/>
        </w:rPr>
        <w:t>7.8</w:t>
      </w:r>
      <w:r>
        <w:rPr>
          <w:sz w:val="22"/>
        </w:rPr>
        <w:tab/>
        <w:t>Женщины в средствах массовой информации</w:t>
      </w:r>
    </w:p>
    <w:p w:rsidR="00000000" w:rsidRDefault="00000000">
      <w:pPr>
        <w:pStyle w:val="BodyText2"/>
        <w:tabs>
          <w:tab w:val="left" w:pos="680"/>
          <w:tab w:val="left" w:pos="1134"/>
        </w:tabs>
        <w:spacing w:before="240"/>
        <w:jc w:val="both"/>
        <w:rPr>
          <w:b w:val="0"/>
          <w:sz w:val="22"/>
        </w:rPr>
      </w:pPr>
      <w:r>
        <w:rPr>
          <w:b w:val="0"/>
          <w:sz w:val="22"/>
        </w:rPr>
        <w:t>Согласно статистическим данным, опубликованным Организацией Объединенных Наций, доля женщин, работающих в средствах массовой информации в Намибии, высока</w:t>
      </w:r>
      <w:r>
        <w:rPr>
          <w:rStyle w:val="FootnoteReference"/>
          <w:b w:val="0"/>
          <w:sz w:val="22"/>
        </w:rPr>
        <w:footnoteReference w:customMarkFollows="1" w:id="65"/>
        <w:t>64</w:t>
      </w:r>
      <w:r>
        <w:rPr>
          <w:b w:val="0"/>
          <w:sz w:val="22"/>
        </w:rPr>
        <w:t>. Даже в отсутствие новейших статистических данных есть все основания полагать, что женщины достаточно широко представлены в средствах массовой информации, хотя их и не так много на руководящих постах. Ситуация улучшается, так как в настоящее время по 2 женщины входят в Совет директоров Национальной радиовещательной корпорации (НРК), состоящий из 6 членов, и в Совет директоров газеты "Нью ира"</w:t>
      </w:r>
      <w:r>
        <w:rPr>
          <w:rStyle w:val="FootnoteReference"/>
          <w:b w:val="0"/>
          <w:sz w:val="22"/>
        </w:rPr>
        <w:footnoteReference w:customMarkFollows="1" w:id="66"/>
        <w:t>65</w:t>
      </w:r>
      <w:r>
        <w:rPr>
          <w:b w:val="0"/>
          <w:sz w:val="22"/>
        </w:rPr>
        <w:t>, состоящий из 5 членов. Редакторами одной крупной местной газеты "Намибия" и ежеквартального журнала "Намибия ревью" также являются женщины.</w:t>
      </w:r>
    </w:p>
    <w:p w:rsidR="00000000" w:rsidRDefault="00000000">
      <w:pPr>
        <w:pStyle w:val="BodyText2"/>
        <w:tabs>
          <w:tab w:val="left" w:pos="680"/>
          <w:tab w:val="left" w:pos="1134"/>
        </w:tabs>
        <w:spacing w:before="480"/>
        <w:jc w:val="both"/>
        <w:rPr>
          <w:sz w:val="22"/>
        </w:rPr>
      </w:pPr>
      <w:r>
        <w:rPr>
          <w:sz w:val="22"/>
        </w:rPr>
        <w:t>СТАТЬЯ 8:</w:t>
      </w:r>
      <w:r>
        <w:rPr>
          <w:sz w:val="22"/>
        </w:rPr>
        <w:tab/>
        <w:t>Международное представительство</w:t>
      </w:r>
    </w:p>
    <w:p w:rsidR="00000000" w:rsidRDefault="00000000">
      <w:pPr>
        <w:pStyle w:val="BodyText2"/>
        <w:tabs>
          <w:tab w:val="left" w:pos="680"/>
          <w:tab w:val="left" w:pos="1134"/>
        </w:tabs>
        <w:spacing w:before="240"/>
        <w:jc w:val="both"/>
        <w:rPr>
          <w:sz w:val="22"/>
        </w:rPr>
      </w:pPr>
      <w:r>
        <w:rPr>
          <w:sz w:val="22"/>
        </w:rPr>
        <w:t>8.1</w:t>
      </w:r>
      <w:r>
        <w:rPr>
          <w:sz w:val="22"/>
        </w:rPr>
        <w:tab/>
        <w:t>Представительство в зарубежных миссиях с разбивкой по полу</w:t>
      </w:r>
    </w:p>
    <w:p w:rsidR="00000000" w:rsidRDefault="00000000">
      <w:pPr>
        <w:pStyle w:val="BodyText2"/>
        <w:tabs>
          <w:tab w:val="left" w:pos="680"/>
          <w:tab w:val="left" w:pos="1134"/>
        </w:tabs>
        <w:spacing w:before="240"/>
        <w:jc w:val="both"/>
        <w:rPr>
          <w:b w:val="0"/>
          <w:sz w:val="22"/>
        </w:rPr>
      </w:pPr>
      <w:r>
        <w:rPr>
          <w:b w:val="0"/>
          <w:sz w:val="22"/>
        </w:rPr>
        <w:t>В настоящее время имеется 21 зарубежное представительство, 5 из них возглавляют женщины. Однако, как видно из следующей таблицы, женщины в основном занимают должности на нижнем уровне пирамиды.</w:t>
      </w:r>
    </w:p>
    <w:p w:rsidR="00000000" w:rsidRDefault="00000000">
      <w:pPr>
        <w:pStyle w:val="BodyText2"/>
        <w:tabs>
          <w:tab w:val="left" w:pos="680"/>
          <w:tab w:val="left" w:pos="1134"/>
        </w:tabs>
        <w:spacing w:after="240"/>
        <w:rPr>
          <w:sz w:val="22"/>
        </w:rPr>
      </w:pPr>
      <w:r>
        <w:rPr>
          <w:b w:val="0"/>
          <w:sz w:val="22"/>
        </w:rPr>
        <w:br w:type="page"/>
      </w:r>
      <w:r>
        <w:rPr>
          <w:sz w:val="22"/>
        </w:rPr>
        <w:t>Таблица 3: Представительство в зарубежных миссиях с разбивкой по полу</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985"/>
        <w:gridCol w:w="3260"/>
      </w:tblGrid>
      <w:tr w:rsidR="00000000">
        <w:tblPrEx>
          <w:tblCellMar>
            <w:top w:w="0" w:type="dxa"/>
            <w:bottom w:w="0" w:type="dxa"/>
          </w:tblCellMar>
        </w:tblPrEx>
        <w:trPr>
          <w:tblHeader/>
        </w:trPr>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center"/>
              <w:rPr>
                <w:b/>
                <w:caps/>
                <w:sz w:val="22"/>
              </w:rPr>
            </w:pPr>
            <w:r>
              <w:rPr>
                <w:b/>
                <w:sz w:val="22"/>
              </w:rPr>
              <w:t>Место расположения миссии</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center"/>
              <w:rPr>
                <w:b/>
                <w:sz w:val="22"/>
              </w:rPr>
            </w:pPr>
            <w:r>
              <w:rPr>
                <w:b/>
                <w:sz w:val="22"/>
              </w:rPr>
              <w:t>Пол</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center"/>
              <w:rPr>
                <w:b/>
                <w:sz w:val="22"/>
              </w:rPr>
            </w:pPr>
            <w:r>
              <w:rPr>
                <w:b/>
                <w:sz w:val="22"/>
              </w:rPr>
              <w:t>Ранг</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Аддис-Абеба</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center"/>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center"/>
              <w:rPr>
                <w:sz w:val="22"/>
                <w:lang w:val="en-US"/>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lang w:val="en-US"/>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Посол</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Советник-посланник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Пекин</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Посол</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Советник-посланник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Берлин</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Посол</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Советник-посланник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Париж</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Посол</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Второй секретарь </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Брюссель</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Посол</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Москва</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Посол</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Лондон</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Специальный уполномоченный</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pageBreakBefore/>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Хараре</w:t>
            </w:r>
          </w:p>
        </w:tc>
        <w:tc>
          <w:tcPr>
            <w:tcW w:w="1985" w:type="dxa"/>
          </w:tcPr>
          <w:p w:rsidR="00000000" w:rsidRDefault="00000000">
            <w:pPr>
              <w:pStyle w:val="BodyTextIndent"/>
              <w:pageBreakBefore/>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pageBreakBefore/>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Специальный уполномоченный</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Лагос</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Специальный уполномоченный</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Гавана</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Посол </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Луанда</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Посол </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Претория</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Специальный уполномоченный</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Советник-посланник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Первый секретарь </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Нью-Йорк</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Постоянный представитель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Советник-посланник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Вашингтон</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Посол</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Советник-посланник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pageBreakBefore/>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Лусака</w:t>
            </w:r>
          </w:p>
        </w:tc>
        <w:tc>
          <w:tcPr>
            <w:tcW w:w="1985" w:type="dxa"/>
          </w:tcPr>
          <w:p w:rsidR="00000000" w:rsidRDefault="00000000">
            <w:pPr>
              <w:pStyle w:val="BodyTextIndent"/>
              <w:pageBreakBefore/>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pageBreakBefore/>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Специальный уполномоченный</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Женщина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Стокгольм</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Посол </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Киншаса</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Посол </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Советник-посланник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Габороне</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Специальный уполномоченный</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rPr>
                <w:sz w:val="22"/>
              </w:rPr>
            </w:pPr>
            <w:r>
              <w:rPr>
                <w:sz w:val="22"/>
              </w:rPr>
              <w:t>Заместитель специального уполномоченного</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Мужчина</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Второй секретарь </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Куала-Лумпур</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Специальный уполномоченный</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Первый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Первый секретарь </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Дели</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Специальный уполномоченный</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Советник</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Второй секретарь </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Вена</w:t>
            </w: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Мужчина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Поверенный в делах</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Первый секретарь </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Второй секретарь</w:t>
            </w:r>
          </w:p>
        </w:tc>
      </w:tr>
      <w:tr w:rsidR="00000000">
        <w:tblPrEx>
          <w:tblCellMar>
            <w:top w:w="0" w:type="dxa"/>
            <w:bottom w:w="0" w:type="dxa"/>
          </w:tblCellMar>
        </w:tblPrEx>
        <w:tc>
          <w:tcPr>
            <w:tcW w:w="241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p>
        </w:tc>
        <w:tc>
          <w:tcPr>
            <w:tcW w:w="1985"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 xml:space="preserve">Женщина </w:t>
            </w:r>
          </w:p>
        </w:tc>
        <w:tc>
          <w:tcPr>
            <w:tcW w:w="3260" w:type="dxa"/>
          </w:tcPr>
          <w:p w:rsidR="00000000" w:rsidRDefault="00000000">
            <w:pPr>
              <w:pStyle w:val="BodyTextIndent"/>
              <w:tabs>
                <w:tab w:val="clear" w:pos="709"/>
                <w:tab w:val="clear" w:pos="1276"/>
                <w:tab w:val="clear" w:pos="1559"/>
                <w:tab w:val="clear" w:pos="2268"/>
                <w:tab w:val="clear" w:pos="9072"/>
                <w:tab w:val="left" w:pos="680"/>
                <w:tab w:val="left" w:pos="1134"/>
              </w:tabs>
              <w:spacing w:line="240" w:lineRule="auto"/>
              <w:ind w:left="0" w:firstLine="0"/>
              <w:jc w:val="both"/>
              <w:rPr>
                <w:sz w:val="22"/>
              </w:rPr>
            </w:pPr>
            <w:r>
              <w:rPr>
                <w:sz w:val="22"/>
              </w:rPr>
              <w:t>Третий секретарь</w:t>
            </w:r>
          </w:p>
        </w:tc>
      </w:tr>
    </w:tbl>
    <w:p w:rsidR="00000000" w:rsidRDefault="00000000">
      <w:pPr>
        <w:pStyle w:val="BodyText2"/>
        <w:tabs>
          <w:tab w:val="left" w:pos="680"/>
          <w:tab w:val="left" w:pos="1134"/>
        </w:tabs>
        <w:spacing w:before="120"/>
        <w:jc w:val="both"/>
        <w:rPr>
          <w:b w:val="0"/>
          <w:sz w:val="20"/>
        </w:rPr>
      </w:pPr>
      <w:r>
        <w:rPr>
          <w:b w:val="0"/>
          <w:i/>
          <w:sz w:val="20"/>
        </w:rPr>
        <w:t>Источник:</w:t>
      </w:r>
      <w:r>
        <w:rPr>
          <w:b w:val="0"/>
          <w:sz w:val="20"/>
        </w:rPr>
        <w:t xml:space="preserve"> Министерство иностранных дел, 2003 г.</w:t>
      </w:r>
    </w:p>
    <w:p w:rsidR="00000000" w:rsidRDefault="00000000">
      <w:pPr>
        <w:pStyle w:val="BodyText2"/>
        <w:tabs>
          <w:tab w:val="left" w:pos="680"/>
          <w:tab w:val="left" w:pos="1134"/>
        </w:tabs>
        <w:spacing w:before="240"/>
        <w:jc w:val="both"/>
        <w:rPr>
          <w:b w:val="0"/>
          <w:sz w:val="22"/>
        </w:rPr>
      </w:pPr>
      <w:r>
        <w:rPr>
          <w:b w:val="0"/>
          <w:sz w:val="22"/>
        </w:rPr>
        <w:t>Можно надеяться, что благодаря эффективному осуществлению национальной гендерной политики число женщин на более высоком уровне пирамиды возрастет и в конце концов будет соответствовать числу мужчин, занимающих такие высокие посты.</w:t>
      </w:r>
    </w:p>
    <w:p w:rsidR="00000000" w:rsidRDefault="00000000">
      <w:pPr>
        <w:pStyle w:val="BodyText2"/>
        <w:tabs>
          <w:tab w:val="left" w:pos="680"/>
          <w:tab w:val="left" w:pos="1134"/>
        </w:tabs>
        <w:spacing w:before="240"/>
        <w:jc w:val="both"/>
        <w:rPr>
          <w:b w:val="0"/>
          <w:sz w:val="22"/>
        </w:rPr>
      </w:pPr>
    </w:p>
    <w:p w:rsidR="00000000" w:rsidRDefault="00000000">
      <w:pPr>
        <w:pStyle w:val="BodyText2"/>
        <w:tabs>
          <w:tab w:val="left" w:pos="680"/>
          <w:tab w:val="left" w:pos="1134"/>
        </w:tabs>
        <w:jc w:val="both"/>
        <w:rPr>
          <w:sz w:val="22"/>
        </w:rPr>
      </w:pPr>
      <w:r>
        <w:rPr>
          <w:sz w:val="22"/>
        </w:rPr>
        <w:br w:type="page"/>
        <w:t>СТАТЬЯ 9:</w:t>
      </w:r>
      <w:r>
        <w:rPr>
          <w:sz w:val="22"/>
        </w:rPr>
        <w:tab/>
        <w:t>Гражданство</w:t>
      </w:r>
    </w:p>
    <w:p w:rsidR="00000000" w:rsidRDefault="00000000">
      <w:pPr>
        <w:pStyle w:val="BodyText2"/>
        <w:tabs>
          <w:tab w:val="left" w:pos="680"/>
          <w:tab w:val="left" w:pos="1134"/>
        </w:tabs>
        <w:spacing w:before="240"/>
        <w:jc w:val="both"/>
        <w:rPr>
          <w:sz w:val="22"/>
        </w:rPr>
      </w:pPr>
      <w:r>
        <w:rPr>
          <w:sz w:val="22"/>
        </w:rPr>
        <w:t>9.1</w:t>
      </w:r>
      <w:r>
        <w:rPr>
          <w:sz w:val="22"/>
        </w:rPr>
        <w:tab/>
        <w:t>Приобретение и утрата намибийского гражданства</w:t>
      </w:r>
    </w:p>
    <w:p w:rsidR="00000000" w:rsidRDefault="00000000">
      <w:pPr>
        <w:pStyle w:val="BodyText2"/>
        <w:tabs>
          <w:tab w:val="left" w:pos="680"/>
          <w:tab w:val="left" w:pos="1134"/>
        </w:tabs>
        <w:spacing w:before="240"/>
        <w:jc w:val="both"/>
        <w:rPr>
          <w:b w:val="0"/>
          <w:sz w:val="22"/>
        </w:rPr>
      </w:pPr>
      <w:r>
        <w:rPr>
          <w:b w:val="0"/>
          <w:sz w:val="22"/>
        </w:rPr>
        <w:t>Как сообщалось в первом страновом докладе, правила Намибии, регулирующие вопросы гражданства, являются совершенно нейтральными с гендерной точки зрения.</w:t>
      </w:r>
    </w:p>
    <w:p w:rsidR="00000000" w:rsidRDefault="00000000">
      <w:pPr>
        <w:pStyle w:val="BodyText2"/>
        <w:tabs>
          <w:tab w:val="left" w:pos="680"/>
          <w:tab w:val="left" w:pos="1134"/>
        </w:tabs>
        <w:spacing w:before="240"/>
        <w:jc w:val="both"/>
        <w:rPr>
          <w:sz w:val="22"/>
        </w:rPr>
      </w:pPr>
      <w:r>
        <w:rPr>
          <w:sz w:val="22"/>
        </w:rPr>
        <w:t>9.2</w:t>
      </w:r>
      <w:r>
        <w:rPr>
          <w:sz w:val="22"/>
        </w:rPr>
        <w:tab/>
        <w:t>Женщины, ищущие убежища</w:t>
      </w:r>
    </w:p>
    <w:p w:rsidR="00000000" w:rsidRDefault="00000000">
      <w:pPr>
        <w:pStyle w:val="BodyText2"/>
        <w:tabs>
          <w:tab w:val="left" w:pos="680"/>
          <w:tab w:val="left" w:pos="1134"/>
        </w:tabs>
        <w:spacing w:before="240"/>
        <w:jc w:val="both"/>
        <w:rPr>
          <w:b w:val="0"/>
          <w:sz w:val="22"/>
        </w:rPr>
      </w:pPr>
      <w:r>
        <w:rPr>
          <w:b w:val="0"/>
          <w:sz w:val="22"/>
        </w:rPr>
        <w:t>Если иностранец хочет получить статус беженца, он или она должны подать ходатайство о предоставлении ему или ей убежища и зарегистрироваться в Министерстве внутренних дел и Управлении Верховного комиссара Организации Объединенных Наций по делам беженцев (УВКБ ООН). Примерно раз в три месяца межведомственный Подкомитет по статусу беженцев собирается для проведения собеседований, принятия решений по ходатайствам и заслушивания апелляций. В состав этого подкомитета входит представитель УВКБ ООН, который выступает в качестве консультанта.</w:t>
      </w:r>
    </w:p>
    <w:p w:rsidR="00000000" w:rsidRDefault="00000000">
      <w:pPr>
        <w:pStyle w:val="BodyText2"/>
        <w:tabs>
          <w:tab w:val="left" w:pos="680"/>
          <w:tab w:val="left" w:pos="1134"/>
        </w:tabs>
        <w:spacing w:before="480"/>
        <w:jc w:val="both"/>
        <w:rPr>
          <w:sz w:val="22"/>
        </w:rPr>
      </w:pPr>
      <w:r>
        <w:rPr>
          <w:sz w:val="22"/>
        </w:rPr>
        <w:t>СТАТЬЯ 10:</w:t>
      </w:r>
      <w:r>
        <w:rPr>
          <w:sz w:val="22"/>
        </w:rPr>
        <w:tab/>
        <w:t>Образование</w:t>
      </w:r>
    </w:p>
    <w:p w:rsidR="00000000" w:rsidRDefault="00000000">
      <w:pPr>
        <w:pStyle w:val="BodyText2"/>
        <w:tabs>
          <w:tab w:val="left" w:pos="680"/>
          <w:tab w:val="left" w:pos="1134"/>
        </w:tabs>
        <w:spacing w:before="240"/>
        <w:jc w:val="both"/>
        <w:rPr>
          <w:sz w:val="22"/>
        </w:rPr>
      </w:pPr>
      <w:r>
        <w:rPr>
          <w:sz w:val="22"/>
        </w:rPr>
        <w:t>10.1</w:t>
      </w:r>
      <w:r>
        <w:rPr>
          <w:sz w:val="22"/>
        </w:rPr>
        <w:tab/>
        <w:t>Положения Конституции, касающиеся образования</w:t>
      </w:r>
    </w:p>
    <w:p w:rsidR="00000000" w:rsidRDefault="00000000">
      <w:pPr>
        <w:pStyle w:val="BodyText2"/>
        <w:tabs>
          <w:tab w:val="left" w:pos="680"/>
          <w:tab w:val="left" w:pos="1134"/>
        </w:tabs>
        <w:spacing w:before="240"/>
        <w:jc w:val="both"/>
        <w:rPr>
          <w:b w:val="0"/>
          <w:sz w:val="22"/>
        </w:rPr>
      </w:pPr>
      <w:r>
        <w:rPr>
          <w:b w:val="0"/>
          <w:sz w:val="22"/>
        </w:rPr>
        <w:t>Статья 20 Конституции Намибии гласит, что:</w:t>
      </w:r>
    </w:p>
    <w:p w:rsidR="00000000" w:rsidRDefault="00000000">
      <w:pPr>
        <w:pStyle w:val="BodyText2"/>
        <w:tabs>
          <w:tab w:val="left" w:pos="624"/>
          <w:tab w:val="left" w:pos="1134"/>
        </w:tabs>
        <w:spacing w:before="240"/>
        <w:ind w:left="1134" w:hanging="1134"/>
        <w:jc w:val="both"/>
        <w:rPr>
          <w:b w:val="0"/>
          <w:sz w:val="22"/>
        </w:rPr>
      </w:pPr>
      <w:r>
        <w:rPr>
          <w:b w:val="0"/>
          <w:sz w:val="22"/>
        </w:rPr>
        <w:tab/>
        <w:t xml:space="preserve">"1) </w:t>
      </w:r>
      <w:r>
        <w:rPr>
          <w:b w:val="0"/>
          <w:sz w:val="22"/>
        </w:rPr>
        <w:tab/>
        <w:t>Все лица имеют право на образование.</w:t>
      </w:r>
    </w:p>
    <w:p w:rsidR="00000000" w:rsidRDefault="00000000">
      <w:pPr>
        <w:pStyle w:val="BodyText2"/>
        <w:tabs>
          <w:tab w:val="left" w:pos="680"/>
          <w:tab w:val="left" w:pos="1134"/>
        </w:tabs>
        <w:spacing w:before="240"/>
        <w:ind w:left="1134" w:hanging="1134"/>
        <w:jc w:val="both"/>
        <w:rPr>
          <w:b w:val="0"/>
          <w:sz w:val="22"/>
        </w:rPr>
      </w:pPr>
      <w:r>
        <w:rPr>
          <w:b w:val="0"/>
          <w:sz w:val="22"/>
        </w:rPr>
        <w:tab/>
        <w:t xml:space="preserve">2) </w:t>
      </w:r>
      <w:r>
        <w:rPr>
          <w:b w:val="0"/>
          <w:sz w:val="22"/>
        </w:rPr>
        <w:tab/>
        <w:t>Начальное образование является обязательным, и государство обеспечивает разумные возможности для эффективного осуществления этого права каждым жителем Намибии посредством создания и содержания государственных школ, в которых начальное образование будет предоставляться бесплатно.</w:t>
      </w:r>
    </w:p>
    <w:p w:rsidR="00000000" w:rsidRDefault="00000000">
      <w:pPr>
        <w:pStyle w:val="BodyText2"/>
        <w:tabs>
          <w:tab w:val="left" w:pos="680"/>
          <w:tab w:val="left" w:pos="1134"/>
        </w:tabs>
        <w:spacing w:before="240"/>
        <w:ind w:left="1134" w:hanging="1134"/>
        <w:jc w:val="both"/>
        <w:rPr>
          <w:b w:val="0"/>
          <w:sz w:val="22"/>
        </w:rPr>
      </w:pPr>
      <w:r>
        <w:rPr>
          <w:b w:val="0"/>
          <w:sz w:val="22"/>
        </w:rPr>
        <w:tab/>
        <w:t>3)</w:t>
      </w:r>
      <w:r>
        <w:rPr>
          <w:b w:val="0"/>
          <w:sz w:val="22"/>
        </w:rPr>
        <w:tab/>
        <w:t>Детям не разрешается прекращать учебу в школе до тех пор, пока они не закончат курс начального образования или не достигнут возраста 16 лет, вне зависимости от того, что произойдет раньше…"</w:t>
      </w:r>
    </w:p>
    <w:p w:rsidR="00000000" w:rsidRDefault="00000000">
      <w:pPr>
        <w:pStyle w:val="BodyText2"/>
        <w:tabs>
          <w:tab w:val="left" w:pos="680"/>
          <w:tab w:val="left" w:pos="1134"/>
        </w:tabs>
        <w:spacing w:before="240"/>
        <w:jc w:val="both"/>
        <w:rPr>
          <w:b w:val="0"/>
          <w:sz w:val="22"/>
        </w:rPr>
      </w:pPr>
      <w:r>
        <w:rPr>
          <w:b w:val="0"/>
          <w:sz w:val="22"/>
        </w:rPr>
        <w:t>В национальной гендерной политике признается "важность сохранения численности девочек и женщин среди учащихся на всех уровнях образования…".</w:t>
      </w:r>
    </w:p>
    <w:p w:rsidR="00000000" w:rsidRDefault="00000000">
      <w:pPr>
        <w:pStyle w:val="BodyText2"/>
        <w:tabs>
          <w:tab w:val="left" w:pos="680"/>
          <w:tab w:val="left" w:pos="1134"/>
        </w:tabs>
        <w:spacing w:before="240"/>
        <w:jc w:val="both"/>
        <w:rPr>
          <w:b w:val="0"/>
          <w:sz w:val="22"/>
        </w:rPr>
      </w:pPr>
      <w:r>
        <w:rPr>
          <w:b w:val="0"/>
          <w:sz w:val="22"/>
        </w:rPr>
        <w:t>Решая вопрос о неравенстве возможностей получения образования для женщин, правительство приняло стратегии для обеспечения доступа к образованию и сохранения доли девочек и женщин среди учащихся на начальном, среднем и высшем уровнях образования, а также для поддержания усилий, направленных на улучшение выполнения программы ликвидации неграмотности, и т. д.</w:t>
      </w:r>
    </w:p>
    <w:p w:rsidR="00000000" w:rsidRDefault="00000000">
      <w:pPr>
        <w:pStyle w:val="BodyText2"/>
        <w:tabs>
          <w:tab w:val="left" w:pos="680"/>
          <w:tab w:val="left" w:pos="1134"/>
        </w:tabs>
        <w:spacing w:before="240"/>
        <w:jc w:val="both"/>
        <w:rPr>
          <w:sz w:val="22"/>
        </w:rPr>
      </w:pPr>
      <w:r>
        <w:rPr>
          <w:sz w:val="22"/>
        </w:rPr>
        <w:t>10.2</w:t>
      </w:r>
      <w:r>
        <w:rPr>
          <w:sz w:val="22"/>
        </w:rPr>
        <w:tab/>
        <w:t>Численность учащихся в школах</w:t>
      </w:r>
    </w:p>
    <w:p w:rsidR="00000000" w:rsidRDefault="00000000">
      <w:pPr>
        <w:pStyle w:val="BodyText2"/>
        <w:tabs>
          <w:tab w:val="left" w:pos="680"/>
          <w:tab w:val="left" w:pos="1134"/>
        </w:tabs>
        <w:spacing w:before="240"/>
        <w:jc w:val="both"/>
        <w:rPr>
          <w:b w:val="0"/>
          <w:sz w:val="22"/>
        </w:rPr>
      </w:pPr>
      <w:r>
        <w:rPr>
          <w:b w:val="0"/>
          <w:sz w:val="22"/>
        </w:rPr>
        <w:t>В общенациональном масштабе каких-либо значимых различий в составе учащихся начальных и средних школ, как показывает таблица 4, не существует.</w:t>
      </w:r>
    </w:p>
    <w:p w:rsidR="00000000" w:rsidRDefault="00000000">
      <w:pPr>
        <w:pStyle w:val="BodyText2"/>
        <w:tabs>
          <w:tab w:val="left" w:pos="680"/>
          <w:tab w:val="left" w:pos="1134"/>
        </w:tabs>
        <w:spacing w:after="240"/>
        <w:jc w:val="both"/>
        <w:rPr>
          <w:sz w:val="22"/>
        </w:rPr>
      </w:pPr>
      <w:r>
        <w:rPr>
          <w:b w:val="0"/>
          <w:sz w:val="22"/>
        </w:rPr>
        <w:br w:type="page"/>
      </w:r>
      <w:r>
        <w:rPr>
          <w:sz w:val="22"/>
        </w:rPr>
        <w:t>Таблица 4:  Доля девочек-учащихся на различных этапах обучения по каждому учебному округу в 2001 году</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9"/>
        <w:gridCol w:w="865"/>
        <w:gridCol w:w="1276"/>
        <w:gridCol w:w="1256"/>
        <w:gridCol w:w="1213"/>
        <w:gridCol w:w="1171"/>
        <w:gridCol w:w="896"/>
      </w:tblGrid>
      <w:tr w:rsidR="00000000">
        <w:tblPrEx>
          <w:tblCellMar>
            <w:top w:w="0" w:type="dxa"/>
            <w:bottom w:w="0" w:type="dxa"/>
          </w:tblCellMar>
        </w:tblPrEx>
        <w:tc>
          <w:tcPr>
            <w:tcW w:w="2679" w:type="dxa"/>
          </w:tcPr>
          <w:p w:rsidR="00000000" w:rsidRDefault="00000000">
            <w:pPr>
              <w:pStyle w:val="BodyText"/>
              <w:tabs>
                <w:tab w:val="left" w:pos="680"/>
                <w:tab w:val="left" w:pos="1134"/>
              </w:tabs>
              <w:jc w:val="both"/>
              <w:rPr>
                <w:b/>
                <w:sz w:val="20"/>
                <w:lang w:val="en-US"/>
              </w:rPr>
            </w:pPr>
          </w:p>
        </w:tc>
        <w:tc>
          <w:tcPr>
            <w:tcW w:w="865" w:type="dxa"/>
          </w:tcPr>
          <w:p w:rsidR="00000000" w:rsidRDefault="00000000">
            <w:pPr>
              <w:tabs>
                <w:tab w:val="left" w:pos="680"/>
                <w:tab w:val="left" w:pos="1134"/>
              </w:tabs>
              <w:jc w:val="both"/>
              <w:rPr>
                <w:b/>
              </w:rPr>
            </w:pPr>
            <w:r>
              <w:rPr>
                <w:b/>
              </w:rPr>
              <w:t>Всего</w:t>
            </w:r>
          </w:p>
        </w:tc>
        <w:tc>
          <w:tcPr>
            <w:tcW w:w="1276" w:type="dxa"/>
          </w:tcPr>
          <w:p w:rsidR="00000000" w:rsidRDefault="00000000">
            <w:pPr>
              <w:tabs>
                <w:tab w:val="left" w:pos="680"/>
                <w:tab w:val="left" w:pos="1134"/>
              </w:tabs>
              <w:jc w:val="both"/>
              <w:rPr>
                <w:b/>
              </w:rPr>
            </w:pPr>
            <w:r>
              <w:rPr>
                <w:b/>
              </w:rPr>
              <w:t>Младшие классы начальной школы</w:t>
            </w:r>
          </w:p>
        </w:tc>
        <w:tc>
          <w:tcPr>
            <w:tcW w:w="1256" w:type="dxa"/>
          </w:tcPr>
          <w:p w:rsidR="00000000" w:rsidRDefault="00000000">
            <w:pPr>
              <w:tabs>
                <w:tab w:val="left" w:pos="680"/>
                <w:tab w:val="left" w:pos="1134"/>
              </w:tabs>
              <w:jc w:val="both"/>
              <w:rPr>
                <w:b/>
              </w:rPr>
            </w:pPr>
            <w:r>
              <w:rPr>
                <w:b/>
              </w:rPr>
              <w:t>Старшие классы начальной школы</w:t>
            </w:r>
          </w:p>
        </w:tc>
        <w:tc>
          <w:tcPr>
            <w:tcW w:w="1213" w:type="dxa"/>
          </w:tcPr>
          <w:p w:rsidR="00000000" w:rsidRDefault="00000000">
            <w:pPr>
              <w:tabs>
                <w:tab w:val="left" w:pos="680"/>
                <w:tab w:val="left" w:pos="1134"/>
              </w:tabs>
              <w:jc w:val="both"/>
              <w:rPr>
                <w:b/>
              </w:rPr>
            </w:pPr>
            <w:r>
              <w:rPr>
                <w:b/>
              </w:rPr>
              <w:t>Младшие классы средней школы</w:t>
            </w:r>
          </w:p>
        </w:tc>
        <w:tc>
          <w:tcPr>
            <w:tcW w:w="1171" w:type="dxa"/>
          </w:tcPr>
          <w:p w:rsidR="00000000" w:rsidRDefault="00000000">
            <w:pPr>
              <w:tabs>
                <w:tab w:val="left" w:pos="680"/>
                <w:tab w:val="left" w:pos="1134"/>
              </w:tabs>
              <w:jc w:val="both"/>
              <w:rPr>
                <w:b/>
              </w:rPr>
            </w:pPr>
            <w:r>
              <w:rPr>
                <w:b/>
              </w:rPr>
              <w:t>Старшие классы средней школы</w:t>
            </w:r>
          </w:p>
        </w:tc>
        <w:tc>
          <w:tcPr>
            <w:tcW w:w="896" w:type="dxa"/>
          </w:tcPr>
          <w:p w:rsidR="00000000" w:rsidRDefault="00000000">
            <w:pPr>
              <w:tabs>
                <w:tab w:val="left" w:pos="680"/>
                <w:tab w:val="left" w:pos="1134"/>
              </w:tabs>
              <w:jc w:val="both"/>
              <w:rPr>
                <w:b/>
              </w:rPr>
            </w:pPr>
            <w:r>
              <w:rPr>
                <w:b/>
              </w:rPr>
              <w:t>Другие</w:t>
            </w:r>
          </w:p>
        </w:tc>
      </w:tr>
      <w:tr w:rsidR="00000000">
        <w:tblPrEx>
          <w:tblCellMar>
            <w:top w:w="0" w:type="dxa"/>
            <w:bottom w:w="0" w:type="dxa"/>
          </w:tblCellMar>
        </w:tblPrEx>
        <w:tc>
          <w:tcPr>
            <w:tcW w:w="2679" w:type="dxa"/>
          </w:tcPr>
          <w:p w:rsidR="00000000" w:rsidRDefault="00000000">
            <w:pPr>
              <w:pStyle w:val="BodyText2"/>
              <w:tabs>
                <w:tab w:val="left" w:pos="680"/>
                <w:tab w:val="left" w:pos="1134"/>
              </w:tabs>
              <w:rPr>
                <w:b w:val="0"/>
                <w:sz w:val="20"/>
              </w:rPr>
            </w:pPr>
            <w:r>
              <w:rPr>
                <w:b w:val="0"/>
                <w:sz w:val="20"/>
              </w:rPr>
              <w:t>Всего по стране</w:t>
            </w:r>
          </w:p>
        </w:tc>
        <w:tc>
          <w:tcPr>
            <w:tcW w:w="865" w:type="dxa"/>
          </w:tcPr>
          <w:p w:rsidR="00000000" w:rsidRDefault="00000000">
            <w:pPr>
              <w:pStyle w:val="BodyText"/>
              <w:tabs>
                <w:tab w:val="left" w:pos="680"/>
                <w:tab w:val="left" w:pos="1134"/>
              </w:tabs>
              <w:jc w:val="both"/>
              <w:rPr>
                <w:sz w:val="20"/>
                <w:u w:val="none"/>
                <w:lang w:val="en-US"/>
              </w:rPr>
            </w:pPr>
            <w:r>
              <w:rPr>
                <w:sz w:val="20"/>
                <w:u w:val="none"/>
                <w:lang w:val="en-US"/>
              </w:rPr>
              <w:t>50,8%</w:t>
            </w:r>
          </w:p>
        </w:tc>
        <w:tc>
          <w:tcPr>
            <w:tcW w:w="1276" w:type="dxa"/>
          </w:tcPr>
          <w:p w:rsidR="00000000" w:rsidRDefault="00000000">
            <w:pPr>
              <w:pStyle w:val="BodyText"/>
              <w:tabs>
                <w:tab w:val="left" w:pos="680"/>
                <w:tab w:val="left" w:pos="1134"/>
              </w:tabs>
              <w:jc w:val="both"/>
              <w:rPr>
                <w:sz w:val="20"/>
                <w:u w:val="none"/>
                <w:lang w:val="en-US"/>
              </w:rPr>
            </w:pPr>
            <w:r>
              <w:rPr>
                <w:sz w:val="20"/>
                <w:u w:val="none"/>
                <w:lang w:val="en-US"/>
              </w:rPr>
              <w:t xml:space="preserve">49,5 % </w:t>
            </w:r>
          </w:p>
        </w:tc>
        <w:tc>
          <w:tcPr>
            <w:tcW w:w="1256" w:type="dxa"/>
          </w:tcPr>
          <w:p w:rsidR="00000000" w:rsidRDefault="00000000">
            <w:pPr>
              <w:pStyle w:val="BodyText"/>
              <w:tabs>
                <w:tab w:val="left" w:pos="680"/>
                <w:tab w:val="left" w:pos="1134"/>
              </w:tabs>
              <w:jc w:val="both"/>
              <w:rPr>
                <w:sz w:val="20"/>
                <w:u w:val="none"/>
                <w:lang w:val="en-US"/>
              </w:rPr>
            </w:pPr>
            <w:r>
              <w:rPr>
                <w:sz w:val="20"/>
                <w:u w:val="none"/>
                <w:lang w:val="en-US"/>
              </w:rPr>
              <w:t>50,7%</w:t>
            </w:r>
          </w:p>
        </w:tc>
        <w:tc>
          <w:tcPr>
            <w:tcW w:w="1213" w:type="dxa"/>
          </w:tcPr>
          <w:p w:rsidR="00000000" w:rsidRDefault="00000000">
            <w:pPr>
              <w:pStyle w:val="BodyText"/>
              <w:tabs>
                <w:tab w:val="left" w:pos="680"/>
                <w:tab w:val="left" w:pos="1134"/>
              </w:tabs>
              <w:jc w:val="both"/>
              <w:rPr>
                <w:sz w:val="20"/>
                <w:u w:val="none"/>
                <w:lang w:val="en-US"/>
              </w:rPr>
            </w:pPr>
            <w:r>
              <w:rPr>
                <w:sz w:val="20"/>
                <w:u w:val="none"/>
                <w:lang w:val="en-US"/>
              </w:rPr>
              <w:t>53,6%</w:t>
            </w:r>
          </w:p>
        </w:tc>
        <w:tc>
          <w:tcPr>
            <w:tcW w:w="1171" w:type="dxa"/>
          </w:tcPr>
          <w:p w:rsidR="00000000" w:rsidRDefault="00000000">
            <w:pPr>
              <w:pStyle w:val="BodyText"/>
              <w:tabs>
                <w:tab w:val="left" w:pos="680"/>
                <w:tab w:val="left" w:pos="1134"/>
              </w:tabs>
              <w:jc w:val="both"/>
              <w:rPr>
                <w:sz w:val="20"/>
                <w:u w:val="none"/>
                <w:lang w:val="en-US"/>
              </w:rPr>
            </w:pPr>
            <w:r>
              <w:rPr>
                <w:sz w:val="20"/>
                <w:u w:val="none"/>
                <w:lang w:val="en-US"/>
              </w:rPr>
              <w:t>51,4%</w:t>
            </w:r>
          </w:p>
        </w:tc>
        <w:tc>
          <w:tcPr>
            <w:tcW w:w="896" w:type="dxa"/>
          </w:tcPr>
          <w:p w:rsidR="00000000" w:rsidRDefault="00000000">
            <w:pPr>
              <w:pStyle w:val="BodyText"/>
              <w:tabs>
                <w:tab w:val="left" w:pos="680"/>
                <w:tab w:val="left" w:pos="1134"/>
              </w:tabs>
              <w:jc w:val="both"/>
              <w:rPr>
                <w:sz w:val="20"/>
                <w:u w:val="none"/>
                <w:lang w:val="en-US"/>
              </w:rPr>
            </w:pPr>
            <w:r>
              <w:rPr>
                <w:sz w:val="20"/>
                <w:u w:val="none"/>
                <w:lang w:val="en-US"/>
              </w:rPr>
              <w:t>42,7%</w:t>
            </w:r>
          </w:p>
        </w:tc>
      </w:tr>
      <w:tr w:rsidR="00000000">
        <w:tblPrEx>
          <w:tblCellMar>
            <w:top w:w="0" w:type="dxa"/>
            <w:bottom w:w="0" w:type="dxa"/>
          </w:tblCellMar>
        </w:tblPrEx>
        <w:tc>
          <w:tcPr>
            <w:tcW w:w="2679" w:type="dxa"/>
          </w:tcPr>
          <w:p w:rsidR="00000000" w:rsidRDefault="00000000">
            <w:pPr>
              <w:pStyle w:val="BodyText2"/>
              <w:tabs>
                <w:tab w:val="left" w:pos="680"/>
                <w:tab w:val="left" w:pos="1134"/>
              </w:tabs>
              <w:rPr>
                <w:b w:val="0"/>
                <w:sz w:val="20"/>
              </w:rPr>
            </w:pPr>
            <w:r>
              <w:rPr>
                <w:b w:val="0"/>
                <w:sz w:val="20"/>
              </w:rPr>
              <w:t>Учебные округа</w:t>
            </w:r>
          </w:p>
        </w:tc>
        <w:tc>
          <w:tcPr>
            <w:tcW w:w="865" w:type="dxa"/>
          </w:tcPr>
          <w:p w:rsidR="00000000" w:rsidRDefault="00000000">
            <w:pPr>
              <w:pStyle w:val="BodyText"/>
              <w:tabs>
                <w:tab w:val="left" w:pos="680"/>
                <w:tab w:val="left" w:pos="1134"/>
              </w:tabs>
              <w:jc w:val="both"/>
              <w:rPr>
                <w:sz w:val="20"/>
                <w:u w:val="none"/>
              </w:rPr>
            </w:pPr>
          </w:p>
        </w:tc>
        <w:tc>
          <w:tcPr>
            <w:tcW w:w="1276" w:type="dxa"/>
          </w:tcPr>
          <w:p w:rsidR="00000000" w:rsidRDefault="00000000">
            <w:pPr>
              <w:pStyle w:val="BodyText"/>
              <w:tabs>
                <w:tab w:val="left" w:pos="680"/>
                <w:tab w:val="left" w:pos="1134"/>
              </w:tabs>
              <w:jc w:val="both"/>
              <w:rPr>
                <w:sz w:val="20"/>
                <w:u w:val="none"/>
              </w:rPr>
            </w:pPr>
          </w:p>
        </w:tc>
        <w:tc>
          <w:tcPr>
            <w:tcW w:w="1256" w:type="dxa"/>
          </w:tcPr>
          <w:p w:rsidR="00000000" w:rsidRDefault="00000000">
            <w:pPr>
              <w:pStyle w:val="BodyText"/>
              <w:tabs>
                <w:tab w:val="left" w:pos="680"/>
                <w:tab w:val="left" w:pos="1134"/>
              </w:tabs>
              <w:jc w:val="both"/>
              <w:rPr>
                <w:sz w:val="20"/>
                <w:u w:val="none"/>
              </w:rPr>
            </w:pPr>
          </w:p>
        </w:tc>
        <w:tc>
          <w:tcPr>
            <w:tcW w:w="1213" w:type="dxa"/>
          </w:tcPr>
          <w:p w:rsidR="00000000" w:rsidRDefault="00000000">
            <w:pPr>
              <w:pStyle w:val="BodyText"/>
              <w:tabs>
                <w:tab w:val="left" w:pos="680"/>
                <w:tab w:val="left" w:pos="1134"/>
              </w:tabs>
              <w:jc w:val="both"/>
              <w:rPr>
                <w:sz w:val="20"/>
                <w:u w:val="none"/>
              </w:rPr>
            </w:pPr>
          </w:p>
        </w:tc>
        <w:tc>
          <w:tcPr>
            <w:tcW w:w="1171" w:type="dxa"/>
          </w:tcPr>
          <w:p w:rsidR="00000000" w:rsidRDefault="00000000">
            <w:pPr>
              <w:pStyle w:val="BodyText"/>
              <w:tabs>
                <w:tab w:val="left" w:pos="680"/>
                <w:tab w:val="left" w:pos="1134"/>
              </w:tabs>
              <w:jc w:val="both"/>
              <w:rPr>
                <w:sz w:val="20"/>
                <w:u w:val="none"/>
              </w:rPr>
            </w:pPr>
          </w:p>
        </w:tc>
        <w:tc>
          <w:tcPr>
            <w:tcW w:w="896" w:type="dxa"/>
          </w:tcPr>
          <w:p w:rsidR="00000000" w:rsidRDefault="00000000">
            <w:pPr>
              <w:pStyle w:val="BodyText"/>
              <w:tabs>
                <w:tab w:val="left" w:pos="680"/>
                <w:tab w:val="left" w:pos="1134"/>
              </w:tabs>
              <w:jc w:val="both"/>
              <w:rPr>
                <w:sz w:val="20"/>
                <w:u w:val="none"/>
              </w:rPr>
            </w:pPr>
          </w:p>
        </w:tc>
      </w:tr>
      <w:tr w:rsidR="00000000">
        <w:tblPrEx>
          <w:tblCellMar>
            <w:top w:w="0" w:type="dxa"/>
            <w:bottom w:w="0" w:type="dxa"/>
          </w:tblCellMar>
        </w:tblPrEx>
        <w:tc>
          <w:tcPr>
            <w:tcW w:w="2679" w:type="dxa"/>
          </w:tcPr>
          <w:p w:rsidR="00000000" w:rsidRDefault="00000000">
            <w:pPr>
              <w:pStyle w:val="BodyText2"/>
              <w:tabs>
                <w:tab w:val="left" w:pos="680"/>
                <w:tab w:val="left" w:pos="1134"/>
              </w:tabs>
              <w:rPr>
                <w:b w:val="0"/>
                <w:sz w:val="20"/>
              </w:rPr>
            </w:pPr>
            <w:r>
              <w:rPr>
                <w:b w:val="0"/>
                <w:sz w:val="20"/>
              </w:rPr>
              <w:t>Катима-Мулило</w:t>
            </w:r>
          </w:p>
        </w:tc>
        <w:tc>
          <w:tcPr>
            <w:tcW w:w="865" w:type="dxa"/>
          </w:tcPr>
          <w:p w:rsidR="00000000" w:rsidRDefault="00000000">
            <w:pPr>
              <w:pStyle w:val="BodyText"/>
              <w:tabs>
                <w:tab w:val="left" w:pos="680"/>
                <w:tab w:val="left" w:pos="1134"/>
              </w:tabs>
              <w:jc w:val="both"/>
              <w:rPr>
                <w:sz w:val="20"/>
                <w:u w:val="none"/>
                <w:lang w:val="en-US"/>
              </w:rPr>
            </w:pPr>
            <w:r>
              <w:rPr>
                <w:sz w:val="20"/>
                <w:u w:val="none"/>
                <w:lang w:val="en-US"/>
              </w:rPr>
              <w:t>48,8%</w:t>
            </w:r>
          </w:p>
        </w:tc>
        <w:tc>
          <w:tcPr>
            <w:tcW w:w="1276" w:type="dxa"/>
          </w:tcPr>
          <w:p w:rsidR="00000000" w:rsidRDefault="00000000">
            <w:pPr>
              <w:pStyle w:val="BodyText"/>
              <w:tabs>
                <w:tab w:val="left" w:pos="680"/>
                <w:tab w:val="left" w:pos="1134"/>
              </w:tabs>
              <w:jc w:val="both"/>
              <w:rPr>
                <w:sz w:val="20"/>
                <w:u w:val="none"/>
                <w:lang w:val="en-US"/>
              </w:rPr>
            </w:pPr>
            <w:r>
              <w:rPr>
                <w:sz w:val="20"/>
                <w:u w:val="none"/>
                <w:lang w:val="en-US"/>
              </w:rPr>
              <w:t>48,8%</w:t>
            </w:r>
          </w:p>
        </w:tc>
        <w:tc>
          <w:tcPr>
            <w:tcW w:w="1256" w:type="dxa"/>
          </w:tcPr>
          <w:p w:rsidR="00000000" w:rsidRDefault="00000000">
            <w:pPr>
              <w:pStyle w:val="BodyText"/>
              <w:tabs>
                <w:tab w:val="left" w:pos="680"/>
                <w:tab w:val="left" w:pos="1134"/>
              </w:tabs>
              <w:jc w:val="both"/>
              <w:rPr>
                <w:sz w:val="20"/>
                <w:u w:val="none"/>
                <w:lang w:val="en-US"/>
              </w:rPr>
            </w:pPr>
            <w:r>
              <w:rPr>
                <w:sz w:val="20"/>
                <w:u w:val="none"/>
                <w:lang w:val="en-US"/>
              </w:rPr>
              <w:t>49,1%</w:t>
            </w:r>
          </w:p>
        </w:tc>
        <w:tc>
          <w:tcPr>
            <w:tcW w:w="1213" w:type="dxa"/>
          </w:tcPr>
          <w:p w:rsidR="00000000" w:rsidRDefault="00000000">
            <w:pPr>
              <w:pStyle w:val="BodyText"/>
              <w:tabs>
                <w:tab w:val="left" w:pos="680"/>
                <w:tab w:val="left" w:pos="1134"/>
              </w:tabs>
              <w:jc w:val="both"/>
              <w:rPr>
                <w:sz w:val="20"/>
                <w:u w:val="none"/>
                <w:lang w:val="en-US"/>
              </w:rPr>
            </w:pPr>
            <w:r>
              <w:rPr>
                <w:sz w:val="20"/>
                <w:u w:val="none"/>
                <w:lang w:val="en-US"/>
              </w:rPr>
              <w:t>48,9%</w:t>
            </w:r>
          </w:p>
        </w:tc>
        <w:tc>
          <w:tcPr>
            <w:tcW w:w="1171" w:type="dxa"/>
          </w:tcPr>
          <w:p w:rsidR="00000000" w:rsidRDefault="00000000">
            <w:pPr>
              <w:pStyle w:val="BodyText"/>
              <w:tabs>
                <w:tab w:val="left" w:pos="680"/>
                <w:tab w:val="left" w:pos="1134"/>
              </w:tabs>
              <w:jc w:val="both"/>
              <w:rPr>
                <w:sz w:val="20"/>
                <w:u w:val="none"/>
                <w:lang w:val="en-US"/>
              </w:rPr>
            </w:pPr>
            <w:r>
              <w:rPr>
                <w:sz w:val="20"/>
                <w:u w:val="none"/>
                <w:lang w:val="en-US"/>
              </w:rPr>
              <w:t>46,8%</w:t>
            </w:r>
          </w:p>
        </w:tc>
        <w:tc>
          <w:tcPr>
            <w:tcW w:w="896" w:type="dxa"/>
          </w:tcPr>
          <w:p w:rsidR="00000000" w:rsidRDefault="00000000">
            <w:pPr>
              <w:pStyle w:val="BodyText"/>
              <w:tabs>
                <w:tab w:val="left" w:pos="680"/>
                <w:tab w:val="left" w:pos="1134"/>
              </w:tabs>
              <w:jc w:val="both"/>
              <w:rPr>
                <w:sz w:val="20"/>
                <w:u w:val="none"/>
                <w:lang w:val="en-US"/>
              </w:rPr>
            </w:pPr>
            <w:r>
              <w:rPr>
                <w:sz w:val="20"/>
                <w:u w:val="none"/>
                <w:lang w:val="en-US"/>
              </w:rPr>
              <w:t>22,2%</w:t>
            </w:r>
          </w:p>
        </w:tc>
      </w:tr>
      <w:tr w:rsidR="00000000">
        <w:tblPrEx>
          <w:tblCellMar>
            <w:top w:w="0" w:type="dxa"/>
            <w:bottom w:w="0" w:type="dxa"/>
          </w:tblCellMar>
        </w:tblPrEx>
        <w:tc>
          <w:tcPr>
            <w:tcW w:w="2679" w:type="dxa"/>
          </w:tcPr>
          <w:p w:rsidR="00000000" w:rsidRDefault="00000000">
            <w:pPr>
              <w:pStyle w:val="BodyText2"/>
              <w:tabs>
                <w:tab w:val="left" w:pos="680"/>
                <w:tab w:val="left" w:pos="1134"/>
              </w:tabs>
              <w:rPr>
                <w:b w:val="0"/>
                <w:sz w:val="20"/>
              </w:rPr>
            </w:pPr>
            <w:r>
              <w:rPr>
                <w:b w:val="0"/>
                <w:sz w:val="20"/>
              </w:rPr>
              <w:t>Рунду</w:t>
            </w:r>
          </w:p>
        </w:tc>
        <w:tc>
          <w:tcPr>
            <w:tcW w:w="865" w:type="dxa"/>
          </w:tcPr>
          <w:p w:rsidR="00000000" w:rsidRDefault="00000000">
            <w:pPr>
              <w:pStyle w:val="BodyText"/>
              <w:tabs>
                <w:tab w:val="left" w:pos="680"/>
                <w:tab w:val="left" w:pos="1134"/>
              </w:tabs>
              <w:jc w:val="both"/>
              <w:rPr>
                <w:sz w:val="20"/>
                <w:u w:val="none"/>
                <w:lang w:val="en-US"/>
              </w:rPr>
            </w:pPr>
            <w:r>
              <w:rPr>
                <w:sz w:val="20"/>
                <w:u w:val="none"/>
                <w:lang w:val="en-US"/>
              </w:rPr>
              <w:t>48,7%</w:t>
            </w:r>
          </w:p>
        </w:tc>
        <w:tc>
          <w:tcPr>
            <w:tcW w:w="1276" w:type="dxa"/>
          </w:tcPr>
          <w:p w:rsidR="00000000" w:rsidRDefault="00000000">
            <w:pPr>
              <w:pStyle w:val="BodyText"/>
              <w:tabs>
                <w:tab w:val="left" w:pos="680"/>
                <w:tab w:val="left" w:pos="1134"/>
              </w:tabs>
              <w:jc w:val="both"/>
              <w:rPr>
                <w:sz w:val="20"/>
                <w:u w:val="none"/>
                <w:lang w:val="en-US"/>
              </w:rPr>
            </w:pPr>
            <w:r>
              <w:rPr>
                <w:sz w:val="20"/>
                <w:u w:val="none"/>
                <w:lang w:val="en-US"/>
              </w:rPr>
              <w:t>49,8%</w:t>
            </w:r>
          </w:p>
        </w:tc>
        <w:tc>
          <w:tcPr>
            <w:tcW w:w="1256" w:type="dxa"/>
          </w:tcPr>
          <w:p w:rsidR="00000000" w:rsidRDefault="00000000">
            <w:pPr>
              <w:pStyle w:val="BodyText"/>
              <w:tabs>
                <w:tab w:val="left" w:pos="680"/>
                <w:tab w:val="left" w:pos="1134"/>
              </w:tabs>
              <w:jc w:val="both"/>
              <w:rPr>
                <w:sz w:val="20"/>
                <w:u w:val="none"/>
                <w:lang w:val="en-US"/>
              </w:rPr>
            </w:pPr>
            <w:r>
              <w:rPr>
                <w:sz w:val="20"/>
                <w:u w:val="none"/>
                <w:lang w:val="en-US"/>
              </w:rPr>
              <w:t xml:space="preserve">49,3 </w:t>
            </w:r>
          </w:p>
        </w:tc>
        <w:tc>
          <w:tcPr>
            <w:tcW w:w="1213" w:type="dxa"/>
          </w:tcPr>
          <w:p w:rsidR="00000000" w:rsidRDefault="00000000">
            <w:pPr>
              <w:pStyle w:val="BodyText"/>
              <w:tabs>
                <w:tab w:val="left" w:pos="680"/>
                <w:tab w:val="left" w:pos="1134"/>
              </w:tabs>
              <w:jc w:val="both"/>
              <w:rPr>
                <w:sz w:val="20"/>
                <w:u w:val="none"/>
                <w:lang w:val="en-US"/>
              </w:rPr>
            </w:pPr>
            <w:r>
              <w:rPr>
                <w:sz w:val="20"/>
                <w:u w:val="none"/>
                <w:lang w:val="en-US"/>
              </w:rPr>
              <w:t>45,5%</w:t>
            </w:r>
          </w:p>
        </w:tc>
        <w:tc>
          <w:tcPr>
            <w:tcW w:w="1171" w:type="dxa"/>
          </w:tcPr>
          <w:p w:rsidR="00000000" w:rsidRDefault="00000000">
            <w:pPr>
              <w:pStyle w:val="BodyText"/>
              <w:tabs>
                <w:tab w:val="left" w:pos="680"/>
                <w:tab w:val="left" w:pos="1134"/>
              </w:tabs>
              <w:jc w:val="both"/>
              <w:rPr>
                <w:sz w:val="20"/>
                <w:u w:val="none"/>
                <w:lang w:val="en-US"/>
              </w:rPr>
            </w:pPr>
            <w:r>
              <w:rPr>
                <w:sz w:val="20"/>
                <w:u w:val="none"/>
                <w:lang w:val="en-US"/>
              </w:rPr>
              <w:t>38,8%</w:t>
            </w:r>
          </w:p>
        </w:tc>
        <w:tc>
          <w:tcPr>
            <w:tcW w:w="896" w:type="dxa"/>
          </w:tcPr>
          <w:p w:rsidR="00000000" w:rsidRDefault="00000000">
            <w:pPr>
              <w:pStyle w:val="BodyText"/>
              <w:tabs>
                <w:tab w:val="left" w:pos="680"/>
                <w:tab w:val="left" w:pos="1134"/>
              </w:tabs>
              <w:jc w:val="both"/>
              <w:rPr>
                <w:sz w:val="20"/>
                <w:u w:val="none"/>
                <w:lang w:val="en-US"/>
              </w:rPr>
            </w:pPr>
            <w:r>
              <w:rPr>
                <w:sz w:val="20"/>
                <w:u w:val="none"/>
                <w:lang w:val="en-US"/>
              </w:rPr>
              <w:t>–</w:t>
            </w:r>
          </w:p>
        </w:tc>
      </w:tr>
      <w:tr w:rsidR="00000000">
        <w:tblPrEx>
          <w:tblCellMar>
            <w:top w:w="0" w:type="dxa"/>
            <w:bottom w:w="0" w:type="dxa"/>
          </w:tblCellMar>
        </w:tblPrEx>
        <w:tc>
          <w:tcPr>
            <w:tcW w:w="2679" w:type="dxa"/>
          </w:tcPr>
          <w:p w:rsidR="00000000" w:rsidRDefault="00000000">
            <w:pPr>
              <w:pStyle w:val="BodyText2"/>
              <w:tabs>
                <w:tab w:val="left" w:pos="680"/>
                <w:tab w:val="left" w:pos="1134"/>
              </w:tabs>
              <w:rPr>
                <w:b w:val="0"/>
                <w:sz w:val="20"/>
              </w:rPr>
            </w:pPr>
            <w:r>
              <w:rPr>
                <w:b w:val="0"/>
                <w:sz w:val="20"/>
              </w:rPr>
              <w:t>Ондангва (восточная часть)</w:t>
            </w:r>
          </w:p>
        </w:tc>
        <w:tc>
          <w:tcPr>
            <w:tcW w:w="865" w:type="dxa"/>
          </w:tcPr>
          <w:p w:rsidR="00000000" w:rsidRDefault="00000000">
            <w:pPr>
              <w:pStyle w:val="BodyText"/>
              <w:tabs>
                <w:tab w:val="left" w:pos="680"/>
                <w:tab w:val="left" w:pos="1134"/>
              </w:tabs>
              <w:jc w:val="both"/>
              <w:rPr>
                <w:sz w:val="20"/>
                <w:u w:val="none"/>
                <w:lang w:val="en-US"/>
              </w:rPr>
            </w:pPr>
            <w:r>
              <w:rPr>
                <w:sz w:val="20"/>
                <w:u w:val="none"/>
                <w:lang w:val="en-US"/>
              </w:rPr>
              <w:t>51,7%</w:t>
            </w:r>
          </w:p>
        </w:tc>
        <w:tc>
          <w:tcPr>
            <w:tcW w:w="1276" w:type="dxa"/>
          </w:tcPr>
          <w:p w:rsidR="00000000" w:rsidRDefault="00000000">
            <w:pPr>
              <w:pStyle w:val="BodyText"/>
              <w:tabs>
                <w:tab w:val="left" w:pos="680"/>
                <w:tab w:val="left" w:pos="1134"/>
              </w:tabs>
              <w:jc w:val="both"/>
              <w:rPr>
                <w:sz w:val="20"/>
                <w:u w:val="none"/>
                <w:lang w:val="en-US"/>
              </w:rPr>
            </w:pPr>
            <w:r>
              <w:rPr>
                <w:sz w:val="20"/>
                <w:u w:val="none"/>
                <w:lang w:val="en-US"/>
              </w:rPr>
              <w:t>49,5%</w:t>
            </w:r>
          </w:p>
        </w:tc>
        <w:tc>
          <w:tcPr>
            <w:tcW w:w="1256" w:type="dxa"/>
          </w:tcPr>
          <w:p w:rsidR="00000000" w:rsidRDefault="00000000">
            <w:pPr>
              <w:pStyle w:val="BodyText"/>
              <w:tabs>
                <w:tab w:val="left" w:pos="680"/>
                <w:tab w:val="left" w:pos="1134"/>
              </w:tabs>
              <w:jc w:val="both"/>
              <w:rPr>
                <w:sz w:val="20"/>
                <w:u w:val="none"/>
                <w:lang w:val="en-US"/>
              </w:rPr>
            </w:pPr>
            <w:r>
              <w:rPr>
                <w:sz w:val="20"/>
                <w:u w:val="none"/>
                <w:lang w:val="en-US"/>
              </w:rPr>
              <w:t>52,4%</w:t>
            </w:r>
          </w:p>
        </w:tc>
        <w:tc>
          <w:tcPr>
            <w:tcW w:w="1213" w:type="dxa"/>
          </w:tcPr>
          <w:p w:rsidR="00000000" w:rsidRDefault="00000000">
            <w:pPr>
              <w:pStyle w:val="BodyText"/>
              <w:tabs>
                <w:tab w:val="left" w:pos="680"/>
                <w:tab w:val="left" w:pos="1134"/>
              </w:tabs>
              <w:jc w:val="both"/>
              <w:rPr>
                <w:sz w:val="20"/>
                <w:u w:val="none"/>
                <w:lang w:val="en-US"/>
              </w:rPr>
            </w:pPr>
            <w:r>
              <w:rPr>
                <w:sz w:val="20"/>
                <w:u w:val="none"/>
                <w:lang w:val="en-US"/>
              </w:rPr>
              <w:t>55,6%</w:t>
            </w:r>
          </w:p>
        </w:tc>
        <w:tc>
          <w:tcPr>
            <w:tcW w:w="1171" w:type="dxa"/>
          </w:tcPr>
          <w:p w:rsidR="00000000" w:rsidRDefault="00000000">
            <w:pPr>
              <w:pStyle w:val="BodyText"/>
              <w:tabs>
                <w:tab w:val="left" w:pos="680"/>
                <w:tab w:val="left" w:pos="1134"/>
              </w:tabs>
              <w:jc w:val="both"/>
              <w:rPr>
                <w:sz w:val="20"/>
                <w:u w:val="none"/>
                <w:lang w:val="en-US"/>
              </w:rPr>
            </w:pPr>
            <w:r>
              <w:rPr>
                <w:sz w:val="20"/>
                <w:u w:val="none"/>
                <w:lang w:val="en-US"/>
              </w:rPr>
              <w:t>52,1%</w:t>
            </w:r>
          </w:p>
        </w:tc>
        <w:tc>
          <w:tcPr>
            <w:tcW w:w="896" w:type="dxa"/>
          </w:tcPr>
          <w:p w:rsidR="00000000" w:rsidRDefault="00000000">
            <w:pPr>
              <w:pStyle w:val="BodyText"/>
              <w:tabs>
                <w:tab w:val="left" w:pos="680"/>
                <w:tab w:val="left" w:pos="1134"/>
              </w:tabs>
              <w:jc w:val="both"/>
              <w:rPr>
                <w:sz w:val="20"/>
                <w:u w:val="none"/>
                <w:lang w:val="en-US"/>
              </w:rPr>
            </w:pPr>
            <w:r>
              <w:rPr>
                <w:sz w:val="20"/>
                <w:u w:val="none"/>
                <w:lang w:val="en-US"/>
              </w:rPr>
              <w:t>32,5%</w:t>
            </w:r>
          </w:p>
        </w:tc>
      </w:tr>
      <w:tr w:rsidR="00000000">
        <w:tblPrEx>
          <w:tblCellMar>
            <w:top w:w="0" w:type="dxa"/>
            <w:bottom w:w="0" w:type="dxa"/>
          </w:tblCellMar>
        </w:tblPrEx>
        <w:tc>
          <w:tcPr>
            <w:tcW w:w="2679" w:type="dxa"/>
          </w:tcPr>
          <w:p w:rsidR="00000000" w:rsidRDefault="00000000">
            <w:pPr>
              <w:pStyle w:val="BodyText2"/>
              <w:tabs>
                <w:tab w:val="left" w:pos="680"/>
                <w:tab w:val="left" w:pos="1134"/>
              </w:tabs>
              <w:rPr>
                <w:b w:val="0"/>
                <w:sz w:val="20"/>
              </w:rPr>
            </w:pPr>
            <w:r>
              <w:rPr>
                <w:b w:val="0"/>
                <w:sz w:val="20"/>
              </w:rPr>
              <w:t>Ондангва (западная часть)</w:t>
            </w:r>
          </w:p>
        </w:tc>
        <w:tc>
          <w:tcPr>
            <w:tcW w:w="865" w:type="dxa"/>
          </w:tcPr>
          <w:p w:rsidR="00000000" w:rsidRDefault="00000000">
            <w:pPr>
              <w:pStyle w:val="BodyText"/>
              <w:tabs>
                <w:tab w:val="left" w:pos="680"/>
                <w:tab w:val="left" w:pos="1134"/>
              </w:tabs>
              <w:jc w:val="both"/>
              <w:rPr>
                <w:sz w:val="20"/>
                <w:u w:val="none"/>
              </w:rPr>
            </w:pPr>
            <w:r>
              <w:rPr>
                <w:sz w:val="20"/>
                <w:u w:val="none"/>
              </w:rPr>
              <w:t>51,4%</w:t>
            </w:r>
          </w:p>
        </w:tc>
        <w:tc>
          <w:tcPr>
            <w:tcW w:w="1276" w:type="dxa"/>
          </w:tcPr>
          <w:p w:rsidR="00000000" w:rsidRDefault="00000000">
            <w:pPr>
              <w:pStyle w:val="BodyText"/>
              <w:tabs>
                <w:tab w:val="left" w:pos="680"/>
                <w:tab w:val="left" w:pos="1134"/>
              </w:tabs>
              <w:jc w:val="both"/>
              <w:rPr>
                <w:sz w:val="20"/>
                <w:u w:val="none"/>
              </w:rPr>
            </w:pPr>
            <w:r>
              <w:rPr>
                <w:sz w:val="20"/>
                <w:u w:val="none"/>
              </w:rPr>
              <w:t>49,0%</w:t>
            </w:r>
          </w:p>
        </w:tc>
        <w:tc>
          <w:tcPr>
            <w:tcW w:w="1256" w:type="dxa"/>
          </w:tcPr>
          <w:p w:rsidR="00000000" w:rsidRDefault="00000000">
            <w:pPr>
              <w:pStyle w:val="BodyText"/>
              <w:tabs>
                <w:tab w:val="left" w:pos="680"/>
                <w:tab w:val="left" w:pos="1134"/>
              </w:tabs>
              <w:jc w:val="both"/>
              <w:rPr>
                <w:sz w:val="20"/>
                <w:u w:val="none"/>
              </w:rPr>
            </w:pPr>
            <w:r>
              <w:rPr>
                <w:sz w:val="20"/>
                <w:u w:val="none"/>
              </w:rPr>
              <w:t>50,4%</w:t>
            </w:r>
          </w:p>
        </w:tc>
        <w:tc>
          <w:tcPr>
            <w:tcW w:w="1213" w:type="dxa"/>
          </w:tcPr>
          <w:p w:rsidR="00000000" w:rsidRDefault="00000000">
            <w:pPr>
              <w:pStyle w:val="BodyText"/>
              <w:tabs>
                <w:tab w:val="left" w:pos="680"/>
                <w:tab w:val="left" w:pos="1134"/>
              </w:tabs>
              <w:jc w:val="both"/>
              <w:rPr>
                <w:sz w:val="20"/>
                <w:u w:val="none"/>
              </w:rPr>
            </w:pPr>
            <w:r>
              <w:rPr>
                <w:sz w:val="20"/>
                <w:u w:val="none"/>
              </w:rPr>
              <w:t>56,7%</w:t>
            </w:r>
          </w:p>
        </w:tc>
        <w:tc>
          <w:tcPr>
            <w:tcW w:w="1171" w:type="dxa"/>
          </w:tcPr>
          <w:p w:rsidR="00000000" w:rsidRDefault="00000000">
            <w:pPr>
              <w:pStyle w:val="BodyText"/>
              <w:tabs>
                <w:tab w:val="left" w:pos="680"/>
                <w:tab w:val="left" w:pos="1134"/>
              </w:tabs>
              <w:jc w:val="both"/>
              <w:rPr>
                <w:sz w:val="20"/>
                <w:u w:val="none"/>
              </w:rPr>
            </w:pPr>
            <w:r>
              <w:rPr>
                <w:sz w:val="20"/>
                <w:u w:val="none"/>
              </w:rPr>
              <w:t>54,5%</w:t>
            </w:r>
          </w:p>
        </w:tc>
        <w:tc>
          <w:tcPr>
            <w:tcW w:w="896" w:type="dxa"/>
          </w:tcPr>
          <w:p w:rsidR="00000000" w:rsidRDefault="00000000">
            <w:pPr>
              <w:pStyle w:val="BodyText"/>
              <w:tabs>
                <w:tab w:val="left" w:pos="680"/>
                <w:tab w:val="left" w:pos="1134"/>
              </w:tabs>
              <w:jc w:val="both"/>
              <w:rPr>
                <w:sz w:val="20"/>
                <w:u w:val="none"/>
              </w:rPr>
            </w:pPr>
            <w:r>
              <w:rPr>
                <w:sz w:val="20"/>
                <w:u w:val="none"/>
              </w:rPr>
              <w:t>48,2%</w:t>
            </w:r>
          </w:p>
        </w:tc>
      </w:tr>
      <w:tr w:rsidR="00000000">
        <w:tblPrEx>
          <w:tblCellMar>
            <w:top w:w="0" w:type="dxa"/>
            <w:bottom w:w="0" w:type="dxa"/>
          </w:tblCellMar>
        </w:tblPrEx>
        <w:tc>
          <w:tcPr>
            <w:tcW w:w="2679" w:type="dxa"/>
          </w:tcPr>
          <w:p w:rsidR="00000000" w:rsidRDefault="00000000">
            <w:pPr>
              <w:pStyle w:val="BodyText2"/>
              <w:tabs>
                <w:tab w:val="left" w:pos="680"/>
                <w:tab w:val="left" w:pos="1134"/>
              </w:tabs>
              <w:rPr>
                <w:b w:val="0"/>
                <w:sz w:val="20"/>
              </w:rPr>
            </w:pPr>
            <w:r>
              <w:rPr>
                <w:b w:val="0"/>
                <w:sz w:val="20"/>
              </w:rPr>
              <w:t>Кхорихас</w:t>
            </w:r>
          </w:p>
        </w:tc>
        <w:tc>
          <w:tcPr>
            <w:tcW w:w="865" w:type="dxa"/>
          </w:tcPr>
          <w:p w:rsidR="00000000" w:rsidRDefault="00000000">
            <w:pPr>
              <w:pStyle w:val="BodyText"/>
              <w:tabs>
                <w:tab w:val="left" w:pos="680"/>
                <w:tab w:val="left" w:pos="1134"/>
              </w:tabs>
              <w:jc w:val="both"/>
              <w:rPr>
                <w:sz w:val="20"/>
                <w:u w:val="none"/>
              </w:rPr>
            </w:pPr>
            <w:r>
              <w:rPr>
                <w:sz w:val="20"/>
                <w:u w:val="none"/>
              </w:rPr>
              <w:t>50,7%</w:t>
            </w:r>
          </w:p>
        </w:tc>
        <w:tc>
          <w:tcPr>
            <w:tcW w:w="1276" w:type="dxa"/>
          </w:tcPr>
          <w:p w:rsidR="00000000" w:rsidRDefault="00000000">
            <w:pPr>
              <w:pStyle w:val="BodyText"/>
              <w:tabs>
                <w:tab w:val="left" w:pos="680"/>
                <w:tab w:val="left" w:pos="1134"/>
              </w:tabs>
              <w:jc w:val="both"/>
              <w:rPr>
                <w:sz w:val="20"/>
                <w:u w:val="none"/>
              </w:rPr>
            </w:pPr>
            <w:r>
              <w:rPr>
                <w:sz w:val="20"/>
                <w:u w:val="none"/>
              </w:rPr>
              <w:t>49,2%</w:t>
            </w:r>
          </w:p>
        </w:tc>
        <w:tc>
          <w:tcPr>
            <w:tcW w:w="1256" w:type="dxa"/>
          </w:tcPr>
          <w:p w:rsidR="00000000" w:rsidRDefault="00000000">
            <w:pPr>
              <w:pStyle w:val="BodyText"/>
              <w:tabs>
                <w:tab w:val="left" w:pos="680"/>
                <w:tab w:val="left" w:pos="1134"/>
              </w:tabs>
              <w:jc w:val="both"/>
              <w:rPr>
                <w:sz w:val="20"/>
                <w:u w:val="none"/>
              </w:rPr>
            </w:pPr>
            <w:r>
              <w:rPr>
                <w:sz w:val="20"/>
                <w:u w:val="none"/>
              </w:rPr>
              <w:t>51,8%</w:t>
            </w:r>
          </w:p>
        </w:tc>
        <w:tc>
          <w:tcPr>
            <w:tcW w:w="1213" w:type="dxa"/>
          </w:tcPr>
          <w:p w:rsidR="00000000" w:rsidRDefault="00000000">
            <w:pPr>
              <w:pStyle w:val="BodyText"/>
              <w:tabs>
                <w:tab w:val="left" w:pos="680"/>
                <w:tab w:val="left" w:pos="1134"/>
              </w:tabs>
              <w:jc w:val="both"/>
              <w:rPr>
                <w:sz w:val="20"/>
                <w:u w:val="none"/>
              </w:rPr>
            </w:pPr>
            <w:r>
              <w:rPr>
                <w:sz w:val="20"/>
                <w:u w:val="none"/>
              </w:rPr>
              <w:t>52,5%</w:t>
            </w:r>
          </w:p>
        </w:tc>
        <w:tc>
          <w:tcPr>
            <w:tcW w:w="1171" w:type="dxa"/>
          </w:tcPr>
          <w:p w:rsidR="00000000" w:rsidRDefault="00000000">
            <w:pPr>
              <w:pStyle w:val="BodyText"/>
              <w:tabs>
                <w:tab w:val="left" w:pos="680"/>
                <w:tab w:val="left" w:pos="1134"/>
              </w:tabs>
              <w:jc w:val="both"/>
              <w:rPr>
                <w:sz w:val="20"/>
                <w:u w:val="none"/>
              </w:rPr>
            </w:pPr>
            <w:r>
              <w:rPr>
                <w:sz w:val="20"/>
                <w:u w:val="none"/>
              </w:rPr>
              <w:t>51,7%</w:t>
            </w:r>
          </w:p>
        </w:tc>
        <w:tc>
          <w:tcPr>
            <w:tcW w:w="896" w:type="dxa"/>
          </w:tcPr>
          <w:p w:rsidR="00000000" w:rsidRDefault="00000000">
            <w:pPr>
              <w:pStyle w:val="BodyText"/>
              <w:tabs>
                <w:tab w:val="left" w:pos="680"/>
                <w:tab w:val="left" w:pos="1134"/>
              </w:tabs>
              <w:jc w:val="both"/>
              <w:rPr>
                <w:sz w:val="20"/>
                <w:u w:val="none"/>
              </w:rPr>
            </w:pPr>
            <w:r>
              <w:rPr>
                <w:sz w:val="20"/>
                <w:u w:val="none"/>
              </w:rPr>
              <w:t>40,2%</w:t>
            </w:r>
          </w:p>
        </w:tc>
      </w:tr>
      <w:tr w:rsidR="00000000">
        <w:tblPrEx>
          <w:tblCellMar>
            <w:top w:w="0" w:type="dxa"/>
            <w:bottom w:w="0" w:type="dxa"/>
          </w:tblCellMar>
        </w:tblPrEx>
        <w:tc>
          <w:tcPr>
            <w:tcW w:w="2679" w:type="dxa"/>
          </w:tcPr>
          <w:p w:rsidR="00000000" w:rsidRDefault="00000000">
            <w:pPr>
              <w:pStyle w:val="BodyText2"/>
              <w:tabs>
                <w:tab w:val="left" w:pos="680"/>
                <w:tab w:val="left" w:pos="1134"/>
              </w:tabs>
              <w:rPr>
                <w:b w:val="0"/>
                <w:sz w:val="20"/>
              </w:rPr>
            </w:pPr>
            <w:r>
              <w:rPr>
                <w:b w:val="0"/>
                <w:sz w:val="20"/>
              </w:rPr>
              <w:t>Виндхук</w:t>
            </w:r>
          </w:p>
        </w:tc>
        <w:tc>
          <w:tcPr>
            <w:tcW w:w="865" w:type="dxa"/>
          </w:tcPr>
          <w:p w:rsidR="00000000" w:rsidRDefault="00000000">
            <w:pPr>
              <w:pStyle w:val="BodyText"/>
              <w:tabs>
                <w:tab w:val="left" w:pos="680"/>
                <w:tab w:val="left" w:pos="1134"/>
              </w:tabs>
              <w:jc w:val="both"/>
              <w:rPr>
                <w:sz w:val="20"/>
                <w:u w:val="none"/>
              </w:rPr>
            </w:pPr>
            <w:r>
              <w:rPr>
                <w:sz w:val="20"/>
                <w:u w:val="none"/>
              </w:rPr>
              <w:t>50,6%</w:t>
            </w:r>
          </w:p>
        </w:tc>
        <w:tc>
          <w:tcPr>
            <w:tcW w:w="1276" w:type="dxa"/>
          </w:tcPr>
          <w:p w:rsidR="00000000" w:rsidRDefault="00000000">
            <w:pPr>
              <w:pStyle w:val="BodyText"/>
              <w:tabs>
                <w:tab w:val="left" w:pos="680"/>
                <w:tab w:val="left" w:pos="1134"/>
              </w:tabs>
              <w:jc w:val="both"/>
              <w:rPr>
                <w:sz w:val="20"/>
                <w:u w:val="none"/>
              </w:rPr>
            </w:pPr>
            <w:r>
              <w:rPr>
                <w:sz w:val="20"/>
                <w:u w:val="none"/>
              </w:rPr>
              <w:t>50,4%</w:t>
            </w:r>
          </w:p>
        </w:tc>
        <w:tc>
          <w:tcPr>
            <w:tcW w:w="1256" w:type="dxa"/>
          </w:tcPr>
          <w:p w:rsidR="00000000" w:rsidRDefault="00000000">
            <w:pPr>
              <w:pStyle w:val="BodyText"/>
              <w:tabs>
                <w:tab w:val="left" w:pos="680"/>
                <w:tab w:val="left" w:pos="1134"/>
              </w:tabs>
              <w:jc w:val="both"/>
              <w:rPr>
                <w:sz w:val="20"/>
                <w:u w:val="none"/>
              </w:rPr>
            </w:pPr>
            <w:r>
              <w:rPr>
                <w:sz w:val="20"/>
                <w:u w:val="none"/>
              </w:rPr>
              <w:t>49,6%</w:t>
            </w:r>
          </w:p>
        </w:tc>
        <w:tc>
          <w:tcPr>
            <w:tcW w:w="1213" w:type="dxa"/>
          </w:tcPr>
          <w:p w:rsidR="00000000" w:rsidRDefault="00000000">
            <w:pPr>
              <w:pStyle w:val="BodyText"/>
              <w:tabs>
                <w:tab w:val="left" w:pos="680"/>
                <w:tab w:val="left" w:pos="1134"/>
              </w:tabs>
              <w:jc w:val="both"/>
              <w:rPr>
                <w:sz w:val="20"/>
                <w:u w:val="none"/>
              </w:rPr>
            </w:pPr>
            <w:r>
              <w:rPr>
                <w:sz w:val="20"/>
                <w:u w:val="none"/>
              </w:rPr>
              <w:t>52,4%</w:t>
            </w:r>
          </w:p>
        </w:tc>
        <w:tc>
          <w:tcPr>
            <w:tcW w:w="1171" w:type="dxa"/>
          </w:tcPr>
          <w:p w:rsidR="00000000" w:rsidRDefault="00000000">
            <w:pPr>
              <w:pStyle w:val="BodyText"/>
              <w:tabs>
                <w:tab w:val="left" w:pos="680"/>
                <w:tab w:val="left" w:pos="1134"/>
              </w:tabs>
              <w:jc w:val="both"/>
              <w:rPr>
                <w:sz w:val="20"/>
                <w:u w:val="none"/>
              </w:rPr>
            </w:pPr>
            <w:r>
              <w:rPr>
                <w:sz w:val="20"/>
                <w:u w:val="none"/>
              </w:rPr>
              <w:t>51,2%</w:t>
            </w:r>
          </w:p>
        </w:tc>
        <w:tc>
          <w:tcPr>
            <w:tcW w:w="896" w:type="dxa"/>
          </w:tcPr>
          <w:p w:rsidR="00000000" w:rsidRDefault="00000000">
            <w:pPr>
              <w:pStyle w:val="BodyText"/>
              <w:tabs>
                <w:tab w:val="left" w:pos="680"/>
                <w:tab w:val="left" w:pos="1134"/>
              </w:tabs>
              <w:jc w:val="both"/>
              <w:rPr>
                <w:sz w:val="20"/>
                <w:u w:val="none"/>
              </w:rPr>
            </w:pPr>
            <w:r>
              <w:rPr>
                <w:sz w:val="20"/>
                <w:u w:val="none"/>
              </w:rPr>
              <w:t>40,4%</w:t>
            </w:r>
          </w:p>
        </w:tc>
      </w:tr>
      <w:tr w:rsidR="00000000">
        <w:tblPrEx>
          <w:tblCellMar>
            <w:top w:w="0" w:type="dxa"/>
            <w:bottom w:w="0" w:type="dxa"/>
          </w:tblCellMar>
        </w:tblPrEx>
        <w:tc>
          <w:tcPr>
            <w:tcW w:w="2679" w:type="dxa"/>
          </w:tcPr>
          <w:p w:rsidR="00000000" w:rsidRDefault="00000000">
            <w:pPr>
              <w:pStyle w:val="BodyText2"/>
              <w:tabs>
                <w:tab w:val="left" w:pos="680"/>
                <w:tab w:val="left" w:pos="1134"/>
              </w:tabs>
              <w:rPr>
                <w:b w:val="0"/>
                <w:sz w:val="20"/>
              </w:rPr>
            </w:pPr>
            <w:r>
              <w:rPr>
                <w:b w:val="0"/>
                <w:sz w:val="20"/>
              </w:rPr>
              <w:t>Китмансхуп</w:t>
            </w:r>
          </w:p>
        </w:tc>
        <w:tc>
          <w:tcPr>
            <w:tcW w:w="865" w:type="dxa"/>
          </w:tcPr>
          <w:p w:rsidR="00000000" w:rsidRDefault="00000000">
            <w:pPr>
              <w:pStyle w:val="BodyText"/>
              <w:tabs>
                <w:tab w:val="left" w:pos="680"/>
                <w:tab w:val="left" w:pos="1134"/>
              </w:tabs>
              <w:jc w:val="both"/>
              <w:rPr>
                <w:sz w:val="20"/>
                <w:u w:val="none"/>
              </w:rPr>
            </w:pPr>
            <w:r>
              <w:rPr>
                <w:sz w:val="20"/>
                <w:u w:val="none"/>
              </w:rPr>
              <w:t>50,6%</w:t>
            </w:r>
          </w:p>
        </w:tc>
        <w:tc>
          <w:tcPr>
            <w:tcW w:w="1276" w:type="dxa"/>
          </w:tcPr>
          <w:p w:rsidR="00000000" w:rsidRDefault="00000000">
            <w:pPr>
              <w:pStyle w:val="BodyText"/>
              <w:tabs>
                <w:tab w:val="left" w:pos="680"/>
                <w:tab w:val="left" w:pos="1134"/>
              </w:tabs>
              <w:jc w:val="both"/>
              <w:rPr>
                <w:sz w:val="20"/>
                <w:u w:val="none"/>
              </w:rPr>
            </w:pPr>
            <w:r>
              <w:rPr>
                <w:sz w:val="20"/>
                <w:u w:val="none"/>
              </w:rPr>
              <w:t>49,4%</w:t>
            </w:r>
          </w:p>
        </w:tc>
        <w:tc>
          <w:tcPr>
            <w:tcW w:w="1256" w:type="dxa"/>
          </w:tcPr>
          <w:p w:rsidR="00000000" w:rsidRDefault="00000000">
            <w:pPr>
              <w:pStyle w:val="BodyText"/>
              <w:tabs>
                <w:tab w:val="left" w:pos="680"/>
                <w:tab w:val="left" w:pos="1134"/>
              </w:tabs>
              <w:jc w:val="both"/>
              <w:rPr>
                <w:sz w:val="20"/>
                <w:u w:val="none"/>
              </w:rPr>
            </w:pPr>
            <w:r>
              <w:rPr>
                <w:sz w:val="20"/>
                <w:u w:val="none"/>
              </w:rPr>
              <w:t>50,6%</w:t>
            </w:r>
          </w:p>
        </w:tc>
        <w:tc>
          <w:tcPr>
            <w:tcW w:w="1213" w:type="dxa"/>
          </w:tcPr>
          <w:p w:rsidR="00000000" w:rsidRDefault="00000000">
            <w:pPr>
              <w:pStyle w:val="BodyText"/>
              <w:tabs>
                <w:tab w:val="left" w:pos="680"/>
                <w:tab w:val="left" w:pos="1134"/>
              </w:tabs>
              <w:jc w:val="both"/>
              <w:rPr>
                <w:sz w:val="20"/>
                <w:u w:val="none"/>
              </w:rPr>
            </w:pPr>
            <w:r>
              <w:rPr>
                <w:sz w:val="20"/>
                <w:u w:val="none"/>
              </w:rPr>
              <w:t>52,8%</w:t>
            </w:r>
          </w:p>
        </w:tc>
        <w:tc>
          <w:tcPr>
            <w:tcW w:w="1171" w:type="dxa"/>
          </w:tcPr>
          <w:p w:rsidR="00000000" w:rsidRDefault="00000000">
            <w:pPr>
              <w:pStyle w:val="BodyText"/>
              <w:tabs>
                <w:tab w:val="left" w:pos="680"/>
                <w:tab w:val="left" w:pos="1134"/>
              </w:tabs>
              <w:jc w:val="both"/>
              <w:rPr>
                <w:sz w:val="20"/>
                <w:u w:val="none"/>
              </w:rPr>
            </w:pPr>
            <w:r>
              <w:rPr>
                <w:sz w:val="20"/>
                <w:u w:val="none"/>
              </w:rPr>
              <w:t>53,0%</w:t>
            </w:r>
          </w:p>
        </w:tc>
        <w:tc>
          <w:tcPr>
            <w:tcW w:w="896" w:type="dxa"/>
          </w:tcPr>
          <w:p w:rsidR="00000000" w:rsidRDefault="00000000">
            <w:pPr>
              <w:pStyle w:val="BodyText"/>
              <w:tabs>
                <w:tab w:val="left" w:pos="680"/>
                <w:tab w:val="left" w:pos="1134"/>
              </w:tabs>
              <w:jc w:val="both"/>
              <w:rPr>
                <w:sz w:val="20"/>
                <w:u w:val="none"/>
              </w:rPr>
            </w:pPr>
            <w:r>
              <w:rPr>
                <w:sz w:val="20"/>
                <w:u w:val="none"/>
              </w:rPr>
              <w:t>44,9%</w:t>
            </w:r>
          </w:p>
        </w:tc>
      </w:tr>
      <w:tr w:rsidR="00000000">
        <w:tblPrEx>
          <w:tblCellMar>
            <w:top w:w="0" w:type="dxa"/>
            <w:bottom w:w="0" w:type="dxa"/>
          </w:tblCellMar>
        </w:tblPrEx>
        <w:tc>
          <w:tcPr>
            <w:tcW w:w="2679" w:type="dxa"/>
          </w:tcPr>
          <w:p w:rsidR="00000000" w:rsidRDefault="00000000">
            <w:pPr>
              <w:tabs>
                <w:tab w:val="left" w:pos="680"/>
                <w:tab w:val="left" w:pos="1134"/>
              </w:tabs>
            </w:pPr>
            <w:r>
              <w:t>Главное управление</w:t>
            </w:r>
          </w:p>
        </w:tc>
        <w:tc>
          <w:tcPr>
            <w:tcW w:w="865" w:type="dxa"/>
          </w:tcPr>
          <w:p w:rsidR="00000000" w:rsidRDefault="00000000">
            <w:pPr>
              <w:pStyle w:val="BodyText"/>
              <w:tabs>
                <w:tab w:val="left" w:pos="680"/>
                <w:tab w:val="left" w:pos="1134"/>
              </w:tabs>
              <w:jc w:val="both"/>
              <w:rPr>
                <w:sz w:val="20"/>
                <w:u w:val="none"/>
              </w:rPr>
            </w:pPr>
            <w:r>
              <w:rPr>
                <w:sz w:val="20"/>
                <w:u w:val="none"/>
              </w:rPr>
              <w:t>42,9%</w:t>
            </w:r>
          </w:p>
        </w:tc>
        <w:tc>
          <w:tcPr>
            <w:tcW w:w="1276" w:type="dxa"/>
          </w:tcPr>
          <w:p w:rsidR="00000000" w:rsidRDefault="00000000">
            <w:pPr>
              <w:pStyle w:val="BodyText"/>
              <w:tabs>
                <w:tab w:val="left" w:pos="680"/>
                <w:tab w:val="left" w:pos="1134"/>
              </w:tabs>
              <w:jc w:val="both"/>
              <w:rPr>
                <w:sz w:val="20"/>
                <w:u w:val="none"/>
              </w:rPr>
            </w:pPr>
            <w:r>
              <w:rPr>
                <w:sz w:val="20"/>
                <w:u w:val="none"/>
              </w:rPr>
              <w:t>42,4%</w:t>
            </w:r>
          </w:p>
        </w:tc>
        <w:tc>
          <w:tcPr>
            <w:tcW w:w="1256" w:type="dxa"/>
          </w:tcPr>
          <w:p w:rsidR="00000000" w:rsidRDefault="00000000">
            <w:pPr>
              <w:pStyle w:val="BodyText"/>
              <w:tabs>
                <w:tab w:val="left" w:pos="680"/>
                <w:tab w:val="left" w:pos="1134"/>
              </w:tabs>
              <w:jc w:val="both"/>
              <w:rPr>
                <w:sz w:val="20"/>
                <w:u w:val="none"/>
              </w:rPr>
            </w:pPr>
            <w:r>
              <w:rPr>
                <w:sz w:val="20"/>
                <w:u w:val="none"/>
              </w:rPr>
              <w:t>40,5%</w:t>
            </w:r>
          </w:p>
        </w:tc>
        <w:tc>
          <w:tcPr>
            <w:tcW w:w="1213" w:type="dxa"/>
          </w:tcPr>
          <w:p w:rsidR="00000000" w:rsidRDefault="00000000">
            <w:pPr>
              <w:pStyle w:val="BodyText"/>
              <w:tabs>
                <w:tab w:val="left" w:pos="680"/>
                <w:tab w:val="left" w:pos="1134"/>
              </w:tabs>
              <w:jc w:val="both"/>
              <w:rPr>
                <w:sz w:val="20"/>
                <w:u w:val="none"/>
              </w:rPr>
            </w:pPr>
            <w:r>
              <w:rPr>
                <w:sz w:val="20"/>
                <w:u w:val="none"/>
              </w:rPr>
              <w:t>39,5%</w:t>
            </w:r>
          </w:p>
        </w:tc>
        <w:tc>
          <w:tcPr>
            <w:tcW w:w="1171" w:type="dxa"/>
          </w:tcPr>
          <w:p w:rsidR="00000000" w:rsidRDefault="00000000">
            <w:pPr>
              <w:pStyle w:val="BodyText"/>
              <w:tabs>
                <w:tab w:val="left" w:pos="680"/>
                <w:tab w:val="left" w:pos="1134"/>
              </w:tabs>
              <w:jc w:val="both"/>
              <w:rPr>
                <w:sz w:val="20"/>
                <w:u w:val="none"/>
              </w:rPr>
            </w:pPr>
            <w:r>
              <w:rPr>
                <w:sz w:val="20"/>
                <w:u w:val="none"/>
              </w:rPr>
              <w:t xml:space="preserve"> –</w:t>
            </w:r>
          </w:p>
        </w:tc>
        <w:tc>
          <w:tcPr>
            <w:tcW w:w="896" w:type="dxa"/>
          </w:tcPr>
          <w:p w:rsidR="00000000" w:rsidRDefault="00000000">
            <w:pPr>
              <w:pStyle w:val="BodyText"/>
              <w:tabs>
                <w:tab w:val="left" w:pos="680"/>
                <w:tab w:val="left" w:pos="1134"/>
              </w:tabs>
              <w:jc w:val="both"/>
              <w:rPr>
                <w:sz w:val="20"/>
                <w:u w:val="none"/>
              </w:rPr>
            </w:pPr>
            <w:r>
              <w:rPr>
                <w:sz w:val="20"/>
                <w:u w:val="none"/>
              </w:rPr>
              <w:t>44,4%</w:t>
            </w:r>
          </w:p>
        </w:tc>
      </w:tr>
    </w:tbl>
    <w:p w:rsidR="00000000" w:rsidRDefault="00000000">
      <w:pPr>
        <w:pStyle w:val="BodyText2"/>
        <w:tabs>
          <w:tab w:val="left" w:pos="680"/>
          <w:tab w:val="left" w:pos="1134"/>
        </w:tabs>
        <w:spacing w:before="120"/>
        <w:jc w:val="both"/>
        <w:rPr>
          <w:b w:val="0"/>
          <w:sz w:val="20"/>
        </w:rPr>
      </w:pPr>
      <w:r>
        <w:rPr>
          <w:b w:val="0"/>
          <w:i/>
          <w:sz w:val="20"/>
        </w:rPr>
        <w:t>Источник:</w:t>
      </w:r>
      <w:r>
        <w:rPr>
          <w:b w:val="0"/>
          <w:sz w:val="20"/>
        </w:rPr>
        <w:t xml:space="preserve"> Информационные системы по вопросам управления в области образования (Министерство базового образования и культуры)</w:t>
      </w:r>
    </w:p>
    <w:p w:rsidR="00000000" w:rsidRDefault="00000000">
      <w:pPr>
        <w:pStyle w:val="BodyText2"/>
        <w:tabs>
          <w:tab w:val="left" w:pos="680"/>
          <w:tab w:val="left" w:pos="1134"/>
        </w:tabs>
        <w:spacing w:before="240"/>
        <w:jc w:val="both"/>
        <w:rPr>
          <w:b w:val="0"/>
          <w:sz w:val="22"/>
        </w:rPr>
      </w:pPr>
      <w:r>
        <w:rPr>
          <w:b w:val="0"/>
          <w:sz w:val="22"/>
        </w:rPr>
        <w:t>Этот факт был также подтвержден исследованием, проведенным Университетом Намибии в 2000 году. Согласно полученным результатам, приблизительно 1161 (50,6 процента) респондентов отправили учиться в школу мальчиков и 1135 (49,4 процента) – девочек. Таким образом, существенного различия в численности мальчиков и девочек среди учащихся в намибийских школах не наблюдается</w:t>
      </w:r>
      <w:r>
        <w:rPr>
          <w:rStyle w:val="FootnoteReference"/>
          <w:b w:val="0"/>
          <w:sz w:val="22"/>
        </w:rPr>
        <w:footnoteReference w:customMarkFollows="1" w:id="67"/>
        <w:t>66</w:t>
      </w:r>
      <w:r>
        <w:rPr>
          <w:b w:val="0"/>
          <w:sz w:val="22"/>
        </w:rPr>
        <w:t>.</w:t>
      </w:r>
    </w:p>
    <w:p w:rsidR="00000000" w:rsidRDefault="00000000">
      <w:pPr>
        <w:pStyle w:val="BodyText2"/>
        <w:tabs>
          <w:tab w:val="left" w:pos="680"/>
          <w:tab w:val="left" w:pos="1134"/>
        </w:tabs>
        <w:spacing w:before="240"/>
        <w:jc w:val="both"/>
        <w:rPr>
          <w:b w:val="0"/>
          <w:sz w:val="22"/>
        </w:rPr>
      </w:pPr>
      <w:r>
        <w:rPr>
          <w:b w:val="0"/>
          <w:sz w:val="22"/>
        </w:rPr>
        <w:t>Что касается приема в колледжи в Намибии, в 1999 году было принято в общей сложности 2111 учащихся, из них 972 (46 процентов) девушки</w:t>
      </w:r>
      <w:r>
        <w:rPr>
          <w:rStyle w:val="FootnoteReference"/>
          <w:b w:val="0"/>
          <w:sz w:val="22"/>
        </w:rPr>
        <w:footnoteReference w:customMarkFollows="1" w:id="68"/>
        <w:t>67</w:t>
      </w:r>
      <w:r>
        <w:rPr>
          <w:b w:val="0"/>
          <w:sz w:val="22"/>
        </w:rPr>
        <w:t>. В 2001 году из принятых 1983 учащихся девушки составляли примерно 936 человек (47,2 процента). По сравнению с 1999 годом это прирост на 1 процент.</w:t>
      </w:r>
    </w:p>
    <w:p w:rsidR="00000000" w:rsidRDefault="00000000">
      <w:pPr>
        <w:pStyle w:val="BodyText2"/>
        <w:tabs>
          <w:tab w:val="left" w:pos="680"/>
          <w:tab w:val="left" w:pos="1134"/>
        </w:tabs>
        <w:spacing w:before="240"/>
        <w:jc w:val="both"/>
        <w:rPr>
          <w:b w:val="0"/>
          <w:sz w:val="22"/>
        </w:rPr>
      </w:pPr>
      <w:r>
        <w:rPr>
          <w:b w:val="0"/>
          <w:sz w:val="22"/>
        </w:rPr>
        <w:t>В государственных центрах профессиональной подготовки общее число обучающихся в 1998 году составляло 1064 человека; из них девушек было 193 человека (18 процентов). В 1999 году число обучавшихся выросло до 1610 человека, а число девушек-учащихся достигло 335 человек, или 21 процента от общего числа обучавшихся</w:t>
      </w:r>
      <w:r>
        <w:rPr>
          <w:rStyle w:val="FootnoteReference"/>
          <w:b w:val="0"/>
          <w:sz w:val="22"/>
        </w:rPr>
        <w:footnoteReference w:customMarkFollows="1" w:id="69"/>
        <w:t>68</w:t>
      </w:r>
      <w:r>
        <w:rPr>
          <w:b w:val="0"/>
          <w:sz w:val="22"/>
        </w:rPr>
        <w:t>. Это означает, что рост числа девушек среди обучавшихся по сравнению с 1998 годом составил 3 процента. Эта тенденция роста сохранилась, когда в 2001 году из 1633 обучавшихся девушки составляли 441 человек (27 процентов)</w:t>
      </w:r>
      <w:r>
        <w:rPr>
          <w:rStyle w:val="FootnoteReference"/>
          <w:b w:val="0"/>
          <w:sz w:val="22"/>
        </w:rPr>
        <w:footnoteReference w:customMarkFollows="1" w:id="70"/>
        <w:t>69</w:t>
      </w:r>
      <w:r>
        <w:rPr>
          <w:b w:val="0"/>
          <w:sz w:val="22"/>
        </w:rPr>
        <w:t>. Такие показатели свидетельствуют о том, что государственная политика по соблюдению гендерного баланса приносит свои плоды.</w:t>
      </w:r>
    </w:p>
    <w:p w:rsidR="00000000" w:rsidRDefault="00000000">
      <w:pPr>
        <w:pStyle w:val="BodyText2"/>
        <w:tabs>
          <w:tab w:val="left" w:pos="680"/>
          <w:tab w:val="left" w:pos="1134"/>
        </w:tabs>
        <w:spacing w:before="240"/>
        <w:jc w:val="both"/>
        <w:rPr>
          <w:b w:val="0"/>
          <w:sz w:val="22"/>
        </w:rPr>
      </w:pPr>
      <w:r>
        <w:rPr>
          <w:b w:val="0"/>
          <w:sz w:val="22"/>
        </w:rPr>
        <w:t>В ежегодном докладе Университета Намибии за 2002 год</w:t>
      </w:r>
      <w:r>
        <w:rPr>
          <w:rStyle w:val="FootnoteReference"/>
          <w:b w:val="0"/>
          <w:sz w:val="22"/>
        </w:rPr>
        <w:footnoteReference w:customMarkFollows="1" w:id="71"/>
        <w:t>70</w:t>
      </w:r>
      <w:r>
        <w:rPr>
          <w:b w:val="0"/>
          <w:sz w:val="22"/>
        </w:rPr>
        <w:t xml:space="preserve"> сообщалось, что в 2002 учебном году на сельскохозяйственном факультете обучалось 164 студента, из них 63 (38 процентов) девушки и 101 юноша. В том же году на факультете экономики и управления численность студентов составляла 888 человек, из них 412 (46 процентов) девушек и 476 юношей.</w:t>
      </w:r>
    </w:p>
    <w:p w:rsidR="00000000" w:rsidRDefault="00000000">
      <w:pPr>
        <w:pStyle w:val="BodyText2"/>
        <w:tabs>
          <w:tab w:val="left" w:pos="680"/>
          <w:tab w:val="left" w:pos="1134"/>
        </w:tabs>
        <w:spacing w:before="240"/>
        <w:jc w:val="both"/>
        <w:rPr>
          <w:b w:val="0"/>
          <w:sz w:val="22"/>
        </w:rPr>
      </w:pPr>
      <w:r>
        <w:rPr>
          <w:b w:val="0"/>
          <w:sz w:val="22"/>
        </w:rPr>
        <w:t>На педагогическом факультете в 2002 году, по сообщениям, обучалось 673 человек, из которых девушки составляли 309 человек, или 46 процентов. Это является еще одним свидетельством того, что все больше девушек теперь пробует свои силы в получении высшего образования. По всей стране отмечается тенденция роста числа девушек, заканчивающих колледжи и университеты.</w:t>
      </w:r>
    </w:p>
    <w:p w:rsidR="00000000" w:rsidRDefault="00000000">
      <w:pPr>
        <w:pStyle w:val="BodyText2"/>
        <w:tabs>
          <w:tab w:val="left" w:pos="680"/>
          <w:tab w:val="left" w:pos="1134"/>
        </w:tabs>
        <w:spacing w:before="240"/>
        <w:jc w:val="both"/>
        <w:rPr>
          <w:sz w:val="22"/>
        </w:rPr>
      </w:pPr>
      <w:r>
        <w:rPr>
          <w:sz w:val="22"/>
        </w:rPr>
        <w:t>10.3</w:t>
      </w:r>
      <w:r>
        <w:rPr>
          <w:sz w:val="22"/>
        </w:rPr>
        <w:tab/>
        <w:t>Национальная программа ликвидации неграмотности</w:t>
      </w:r>
    </w:p>
    <w:p w:rsidR="00000000" w:rsidRDefault="00000000">
      <w:pPr>
        <w:pStyle w:val="BodyText2"/>
        <w:tabs>
          <w:tab w:val="left" w:pos="680"/>
          <w:tab w:val="left" w:pos="1134"/>
        </w:tabs>
        <w:spacing w:before="240"/>
        <w:jc w:val="both"/>
        <w:rPr>
          <w:b w:val="0"/>
          <w:sz w:val="22"/>
        </w:rPr>
      </w:pPr>
      <w:r>
        <w:rPr>
          <w:b w:val="0"/>
          <w:sz w:val="22"/>
        </w:rPr>
        <w:t>Вскоре после обретения страной независимости Министерство базового образования и культуры учредило Директорат по вопросам образования для взрослых и непрерывному обучению, который должен был удовлетворить потребности в получении образования как взрослых, так и молодых людей, закончивших школу. С 1991 года число обучающихся по этой программе существенно выросло, при этом большинство составляют женщины.</w:t>
      </w:r>
    </w:p>
    <w:p w:rsidR="00000000" w:rsidRDefault="00000000">
      <w:pPr>
        <w:pStyle w:val="BodyText2"/>
        <w:tabs>
          <w:tab w:val="left" w:pos="680"/>
          <w:tab w:val="left" w:pos="1134"/>
        </w:tabs>
        <w:spacing w:before="240" w:after="240"/>
        <w:jc w:val="both"/>
        <w:rPr>
          <w:sz w:val="22"/>
        </w:rPr>
      </w:pPr>
      <w:r>
        <w:rPr>
          <w:sz w:val="22"/>
        </w:rPr>
        <w:t>Таблица 5:</w:t>
      </w:r>
      <w:r>
        <w:rPr>
          <w:sz w:val="22"/>
        </w:rPr>
        <w:tab/>
        <w:t>Число лиц, охваченных Национальной программой ликвидации неграмотности в 2001 году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63"/>
        <w:gridCol w:w="958"/>
        <w:gridCol w:w="841"/>
        <w:gridCol w:w="869"/>
        <w:gridCol w:w="987"/>
        <w:gridCol w:w="846"/>
        <w:gridCol w:w="988"/>
        <w:gridCol w:w="987"/>
        <w:gridCol w:w="820"/>
        <w:gridCol w:w="897"/>
      </w:tblGrid>
      <w:tr w:rsidR="00000000">
        <w:tblPrEx>
          <w:tblCellMar>
            <w:top w:w="0" w:type="dxa"/>
            <w:bottom w:w="0" w:type="dxa"/>
          </w:tblCellMar>
        </w:tblPrEx>
        <w:trPr>
          <w:jc w:val="center"/>
        </w:trPr>
        <w:tc>
          <w:tcPr>
            <w:tcW w:w="1163" w:type="dxa"/>
          </w:tcPr>
          <w:p w:rsidR="00000000" w:rsidRDefault="00000000">
            <w:pPr>
              <w:tabs>
                <w:tab w:val="left" w:pos="680"/>
                <w:tab w:val="left" w:pos="1134"/>
              </w:tabs>
              <w:jc w:val="both"/>
              <w:rPr>
                <w:b/>
                <w:sz w:val="18"/>
              </w:rPr>
            </w:pPr>
            <w:r>
              <w:rPr>
                <w:b/>
                <w:sz w:val="18"/>
              </w:rPr>
              <w:t>Учебный округ</w:t>
            </w:r>
          </w:p>
        </w:tc>
        <w:tc>
          <w:tcPr>
            <w:tcW w:w="958" w:type="dxa"/>
          </w:tcPr>
          <w:p w:rsidR="00000000" w:rsidRDefault="00000000">
            <w:pPr>
              <w:pStyle w:val="FootnoteText"/>
              <w:tabs>
                <w:tab w:val="left" w:pos="680"/>
                <w:tab w:val="left" w:pos="1134"/>
              </w:tabs>
              <w:rPr>
                <w:b/>
                <w:sz w:val="18"/>
              </w:rPr>
            </w:pPr>
            <w:r>
              <w:rPr>
                <w:b/>
                <w:sz w:val="18"/>
              </w:rPr>
              <w:t>Этап 1 Число протести-рованных</w:t>
            </w:r>
          </w:p>
        </w:tc>
        <w:tc>
          <w:tcPr>
            <w:tcW w:w="841" w:type="dxa"/>
          </w:tcPr>
          <w:p w:rsidR="00000000" w:rsidRDefault="00000000">
            <w:pPr>
              <w:tabs>
                <w:tab w:val="left" w:pos="680"/>
                <w:tab w:val="left" w:pos="1134"/>
              </w:tabs>
              <w:rPr>
                <w:b/>
                <w:sz w:val="18"/>
              </w:rPr>
            </w:pPr>
            <w:r>
              <w:rPr>
                <w:b/>
                <w:sz w:val="18"/>
              </w:rPr>
              <w:t>Процент женщин</w:t>
            </w:r>
          </w:p>
        </w:tc>
        <w:tc>
          <w:tcPr>
            <w:tcW w:w="869" w:type="dxa"/>
          </w:tcPr>
          <w:p w:rsidR="00000000" w:rsidRDefault="00000000">
            <w:pPr>
              <w:tabs>
                <w:tab w:val="left" w:pos="680"/>
                <w:tab w:val="left" w:pos="1134"/>
              </w:tabs>
              <w:rPr>
                <w:b/>
                <w:sz w:val="18"/>
              </w:rPr>
            </w:pPr>
            <w:r>
              <w:rPr>
                <w:b/>
                <w:sz w:val="18"/>
              </w:rPr>
              <w:t>Процент сдавших экзамен</w:t>
            </w:r>
          </w:p>
        </w:tc>
        <w:tc>
          <w:tcPr>
            <w:tcW w:w="987" w:type="dxa"/>
          </w:tcPr>
          <w:p w:rsidR="00000000" w:rsidRDefault="00000000">
            <w:pPr>
              <w:tabs>
                <w:tab w:val="left" w:pos="680"/>
                <w:tab w:val="left" w:pos="1134"/>
              </w:tabs>
              <w:rPr>
                <w:b/>
                <w:sz w:val="18"/>
              </w:rPr>
            </w:pPr>
            <w:r>
              <w:rPr>
                <w:b/>
                <w:sz w:val="18"/>
              </w:rPr>
              <w:t>Этап 2 Число протести-рованных</w:t>
            </w:r>
          </w:p>
        </w:tc>
        <w:tc>
          <w:tcPr>
            <w:tcW w:w="846" w:type="dxa"/>
          </w:tcPr>
          <w:p w:rsidR="00000000" w:rsidRDefault="00000000">
            <w:pPr>
              <w:tabs>
                <w:tab w:val="left" w:pos="680"/>
                <w:tab w:val="left" w:pos="1134"/>
              </w:tabs>
              <w:rPr>
                <w:b/>
                <w:sz w:val="18"/>
              </w:rPr>
            </w:pPr>
            <w:r>
              <w:rPr>
                <w:b/>
                <w:sz w:val="18"/>
              </w:rPr>
              <w:t>Процент женщин</w:t>
            </w:r>
          </w:p>
        </w:tc>
        <w:tc>
          <w:tcPr>
            <w:tcW w:w="988" w:type="dxa"/>
          </w:tcPr>
          <w:p w:rsidR="00000000" w:rsidRDefault="00000000">
            <w:pPr>
              <w:tabs>
                <w:tab w:val="left" w:pos="680"/>
                <w:tab w:val="left" w:pos="1134"/>
              </w:tabs>
              <w:rPr>
                <w:b/>
                <w:sz w:val="18"/>
              </w:rPr>
            </w:pPr>
            <w:r>
              <w:rPr>
                <w:b/>
                <w:sz w:val="18"/>
              </w:rPr>
              <w:t>Процент сдавших экзамен</w:t>
            </w:r>
          </w:p>
        </w:tc>
        <w:tc>
          <w:tcPr>
            <w:tcW w:w="987" w:type="dxa"/>
          </w:tcPr>
          <w:p w:rsidR="00000000" w:rsidRDefault="00000000">
            <w:pPr>
              <w:tabs>
                <w:tab w:val="left" w:pos="680"/>
                <w:tab w:val="left" w:pos="1134"/>
              </w:tabs>
              <w:rPr>
                <w:b/>
                <w:sz w:val="18"/>
              </w:rPr>
            </w:pPr>
            <w:r>
              <w:rPr>
                <w:b/>
                <w:sz w:val="18"/>
              </w:rPr>
              <w:t>Этап 3 Число протести-рованных</w:t>
            </w:r>
          </w:p>
        </w:tc>
        <w:tc>
          <w:tcPr>
            <w:tcW w:w="820" w:type="dxa"/>
          </w:tcPr>
          <w:p w:rsidR="00000000" w:rsidRDefault="00000000">
            <w:pPr>
              <w:tabs>
                <w:tab w:val="left" w:pos="680"/>
                <w:tab w:val="left" w:pos="1134"/>
              </w:tabs>
              <w:rPr>
                <w:b/>
                <w:sz w:val="18"/>
              </w:rPr>
            </w:pPr>
            <w:r>
              <w:rPr>
                <w:b/>
                <w:sz w:val="18"/>
              </w:rPr>
              <w:t>Процент женщин</w:t>
            </w:r>
          </w:p>
        </w:tc>
        <w:tc>
          <w:tcPr>
            <w:tcW w:w="897" w:type="dxa"/>
          </w:tcPr>
          <w:p w:rsidR="00000000" w:rsidRDefault="00000000">
            <w:pPr>
              <w:tabs>
                <w:tab w:val="left" w:pos="680"/>
                <w:tab w:val="left" w:pos="1134"/>
              </w:tabs>
              <w:rPr>
                <w:b/>
                <w:sz w:val="18"/>
              </w:rPr>
            </w:pPr>
            <w:r>
              <w:rPr>
                <w:b/>
                <w:sz w:val="18"/>
              </w:rPr>
              <w:t>Процент сдавших экзамен</w:t>
            </w:r>
          </w:p>
        </w:tc>
      </w:tr>
      <w:tr w:rsidR="00000000">
        <w:tblPrEx>
          <w:tblCellMar>
            <w:top w:w="0" w:type="dxa"/>
            <w:bottom w:w="0" w:type="dxa"/>
          </w:tblCellMar>
        </w:tblPrEx>
        <w:trPr>
          <w:jc w:val="center"/>
        </w:trPr>
        <w:tc>
          <w:tcPr>
            <w:tcW w:w="1163" w:type="dxa"/>
          </w:tcPr>
          <w:p w:rsidR="00000000" w:rsidRDefault="00000000">
            <w:pPr>
              <w:pStyle w:val="BodyText2"/>
              <w:tabs>
                <w:tab w:val="left" w:pos="680"/>
                <w:tab w:val="left" w:pos="1134"/>
              </w:tabs>
              <w:jc w:val="both"/>
              <w:rPr>
                <w:b w:val="0"/>
                <w:sz w:val="18"/>
              </w:rPr>
            </w:pPr>
            <w:r>
              <w:rPr>
                <w:b w:val="0"/>
                <w:sz w:val="18"/>
              </w:rPr>
              <w:t>Всего</w:t>
            </w:r>
          </w:p>
        </w:tc>
        <w:tc>
          <w:tcPr>
            <w:tcW w:w="958" w:type="dxa"/>
          </w:tcPr>
          <w:p w:rsidR="00000000" w:rsidRDefault="00000000">
            <w:pPr>
              <w:tabs>
                <w:tab w:val="left" w:pos="680"/>
                <w:tab w:val="left" w:pos="1134"/>
              </w:tabs>
              <w:jc w:val="both"/>
              <w:rPr>
                <w:sz w:val="18"/>
              </w:rPr>
            </w:pPr>
            <w:r>
              <w:rPr>
                <w:sz w:val="18"/>
              </w:rPr>
              <w:t>12 952</w:t>
            </w:r>
          </w:p>
        </w:tc>
        <w:tc>
          <w:tcPr>
            <w:tcW w:w="841" w:type="dxa"/>
          </w:tcPr>
          <w:p w:rsidR="00000000" w:rsidRDefault="00000000">
            <w:pPr>
              <w:tabs>
                <w:tab w:val="left" w:pos="680"/>
                <w:tab w:val="left" w:pos="1134"/>
              </w:tabs>
              <w:jc w:val="both"/>
              <w:rPr>
                <w:sz w:val="18"/>
              </w:rPr>
            </w:pPr>
            <w:r>
              <w:rPr>
                <w:sz w:val="18"/>
              </w:rPr>
              <w:t>63,2</w:t>
            </w:r>
          </w:p>
        </w:tc>
        <w:tc>
          <w:tcPr>
            <w:tcW w:w="869" w:type="dxa"/>
          </w:tcPr>
          <w:p w:rsidR="00000000" w:rsidRDefault="00000000">
            <w:pPr>
              <w:tabs>
                <w:tab w:val="left" w:pos="680"/>
                <w:tab w:val="left" w:pos="1134"/>
              </w:tabs>
              <w:jc w:val="both"/>
              <w:rPr>
                <w:sz w:val="18"/>
              </w:rPr>
            </w:pPr>
            <w:r>
              <w:rPr>
                <w:sz w:val="18"/>
              </w:rPr>
              <w:t>71,8</w:t>
            </w:r>
          </w:p>
        </w:tc>
        <w:tc>
          <w:tcPr>
            <w:tcW w:w="987" w:type="dxa"/>
          </w:tcPr>
          <w:p w:rsidR="00000000" w:rsidRDefault="00000000">
            <w:pPr>
              <w:tabs>
                <w:tab w:val="left" w:pos="680"/>
                <w:tab w:val="left" w:pos="1134"/>
              </w:tabs>
              <w:jc w:val="both"/>
              <w:rPr>
                <w:sz w:val="18"/>
              </w:rPr>
            </w:pPr>
            <w:r>
              <w:rPr>
                <w:sz w:val="18"/>
              </w:rPr>
              <w:t>10 335</w:t>
            </w:r>
          </w:p>
        </w:tc>
        <w:tc>
          <w:tcPr>
            <w:tcW w:w="846" w:type="dxa"/>
          </w:tcPr>
          <w:p w:rsidR="00000000" w:rsidRDefault="00000000">
            <w:pPr>
              <w:tabs>
                <w:tab w:val="left" w:pos="680"/>
                <w:tab w:val="left" w:pos="1134"/>
              </w:tabs>
              <w:jc w:val="both"/>
              <w:rPr>
                <w:sz w:val="18"/>
              </w:rPr>
            </w:pPr>
            <w:r>
              <w:rPr>
                <w:sz w:val="18"/>
              </w:rPr>
              <w:t>66,3</w:t>
            </w:r>
          </w:p>
        </w:tc>
        <w:tc>
          <w:tcPr>
            <w:tcW w:w="988" w:type="dxa"/>
          </w:tcPr>
          <w:p w:rsidR="00000000" w:rsidRDefault="00000000">
            <w:pPr>
              <w:tabs>
                <w:tab w:val="left" w:pos="680"/>
                <w:tab w:val="left" w:pos="1134"/>
              </w:tabs>
              <w:jc w:val="both"/>
              <w:rPr>
                <w:sz w:val="18"/>
              </w:rPr>
            </w:pPr>
            <w:r>
              <w:rPr>
                <w:sz w:val="18"/>
              </w:rPr>
              <w:t></w:t>
            </w:r>
            <w:r>
              <w:rPr>
                <w:sz w:val="18"/>
              </w:rPr>
              <w:t></w:t>
            </w:r>
            <w:r>
              <w:rPr>
                <w:sz w:val="18"/>
              </w:rPr>
              <w:t></w:t>
            </w:r>
            <w:r>
              <w:rPr>
                <w:sz w:val="18"/>
              </w:rPr>
              <w:t></w:t>
            </w:r>
            <w:r>
              <w:rPr>
                <w:sz w:val="18"/>
              </w:rPr>
              <w:t></w:t>
            </w:r>
            <w:r>
              <w:rPr>
                <w:sz w:val="18"/>
              </w:rPr>
              <w:t></w:t>
            </w:r>
          </w:p>
        </w:tc>
        <w:tc>
          <w:tcPr>
            <w:tcW w:w="987" w:type="dxa"/>
          </w:tcPr>
          <w:p w:rsidR="00000000" w:rsidRDefault="00000000">
            <w:pPr>
              <w:tabs>
                <w:tab w:val="left" w:pos="680"/>
                <w:tab w:val="left" w:pos="1134"/>
              </w:tabs>
              <w:jc w:val="both"/>
              <w:rPr>
                <w:sz w:val="18"/>
              </w:rPr>
            </w:pPr>
            <w:r>
              <w:rPr>
                <w:sz w:val="18"/>
              </w:rPr>
              <w:t xml:space="preserve">11 405 </w:t>
            </w:r>
          </w:p>
        </w:tc>
        <w:tc>
          <w:tcPr>
            <w:tcW w:w="820" w:type="dxa"/>
          </w:tcPr>
          <w:p w:rsidR="00000000" w:rsidRDefault="00000000">
            <w:pPr>
              <w:tabs>
                <w:tab w:val="left" w:pos="680"/>
                <w:tab w:val="left" w:pos="1134"/>
              </w:tabs>
              <w:jc w:val="both"/>
              <w:rPr>
                <w:sz w:val="18"/>
              </w:rPr>
            </w:pPr>
            <w:r>
              <w:rPr>
                <w:sz w:val="18"/>
              </w:rPr>
              <w:t>69,5</w:t>
            </w:r>
          </w:p>
        </w:tc>
        <w:tc>
          <w:tcPr>
            <w:tcW w:w="897" w:type="dxa"/>
          </w:tcPr>
          <w:p w:rsidR="00000000" w:rsidRDefault="00000000">
            <w:pPr>
              <w:pStyle w:val="IndexHeading"/>
              <w:tabs>
                <w:tab w:val="left" w:pos="680"/>
                <w:tab w:val="left" w:pos="1134"/>
              </w:tabs>
              <w:jc w:val="both"/>
              <w:rPr>
                <w:sz w:val="18"/>
                <w:lang w:val="ru-RU"/>
              </w:rPr>
            </w:pPr>
            <w:r>
              <w:rPr>
                <w:sz w:val="18"/>
                <w:lang w:val="ru-RU"/>
              </w:rPr>
              <w:t>86,5</w:t>
            </w:r>
          </w:p>
        </w:tc>
      </w:tr>
      <w:tr w:rsidR="00000000">
        <w:tblPrEx>
          <w:tblCellMar>
            <w:top w:w="0" w:type="dxa"/>
            <w:bottom w:w="0" w:type="dxa"/>
          </w:tblCellMar>
        </w:tblPrEx>
        <w:trPr>
          <w:jc w:val="center"/>
        </w:trPr>
        <w:tc>
          <w:tcPr>
            <w:tcW w:w="1163" w:type="dxa"/>
          </w:tcPr>
          <w:p w:rsidR="00000000" w:rsidRDefault="00000000">
            <w:pPr>
              <w:pStyle w:val="BodyText2"/>
              <w:tabs>
                <w:tab w:val="left" w:pos="680"/>
                <w:tab w:val="left" w:pos="1134"/>
              </w:tabs>
              <w:jc w:val="both"/>
              <w:rPr>
                <w:b w:val="0"/>
                <w:sz w:val="18"/>
              </w:rPr>
            </w:pPr>
            <w:r>
              <w:rPr>
                <w:b w:val="0"/>
                <w:sz w:val="18"/>
              </w:rPr>
              <w:t>Катима-Мулило</w:t>
            </w:r>
          </w:p>
        </w:tc>
        <w:tc>
          <w:tcPr>
            <w:tcW w:w="958" w:type="dxa"/>
          </w:tcPr>
          <w:p w:rsidR="00000000" w:rsidRDefault="00000000">
            <w:pPr>
              <w:tabs>
                <w:tab w:val="left" w:pos="680"/>
                <w:tab w:val="left" w:pos="1134"/>
              </w:tabs>
              <w:jc w:val="both"/>
              <w:rPr>
                <w:sz w:val="18"/>
                <w:lang w:val="en-US"/>
              </w:rPr>
            </w:pPr>
            <w:r>
              <w:rPr>
                <w:sz w:val="18"/>
                <w:lang w:val="en-US"/>
              </w:rPr>
              <w:t>328</w:t>
            </w:r>
          </w:p>
        </w:tc>
        <w:tc>
          <w:tcPr>
            <w:tcW w:w="841" w:type="dxa"/>
          </w:tcPr>
          <w:p w:rsidR="00000000" w:rsidRDefault="00000000">
            <w:pPr>
              <w:tabs>
                <w:tab w:val="left" w:pos="680"/>
                <w:tab w:val="left" w:pos="1134"/>
              </w:tabs>
              <w:jc w:val="both"/>
              <w:rPr>
                <w:sz w:val="18"/>
                <w:lang w:val="en-US"/>
              </w:rPr>
            </w:pPr>
            <w:r>
              <w:rPr>
                <w:sz w:val="18"/>
                <w:lang w:val="en-US"/>
              </w:rPr>
              <w:t>71</w:t>
            </w:r>
          </w:p>
        </w:tc>
        <w:tc>
          <w:tcPr>
            <w:tcW w:w="869" w:type="dxa"/>
          </w:tcPr>
          <w:p w:rsidR="00000000" w:rsidRDefault="00000000">
            <w:pPr>
              <w:tabs>
                <w:tab w:val="left" w:pos="680"/>
                <w:tab w:val="left" w:pos="1134"/>
              </w:tabs>
              <w:jc w:val="both"/>
              <w:rPr>
                <w:sz w:val="18"/>
                <w:lang w:val="en-US"/>
              </w:rPr>
            </w:pPr>
            <w:r>
              <w:rPr>
                <w:sz w:val="18"/>
                <w:lang w:val="en-US"/>
              </w:rPr>
              <w:t>76</w:t>
            </w:r>
          </w:p>
        </w:tc>
        <w:tc>
          <w:tcPr>
            <w:tcW w:w="987" w:type="dxa"/>
          </w:tcPr>
          <w:p w:rsidR="00000000" w:rsidRDefault="00000000">
            <w:pPr>
              <w:tabs>
                <w:tab w:val="left" w:pos="680"/>
                <w:tab w:val="left" w:pos="1134"/>
              </w:tabs>
              <w:jc w:val="both"/>
              <w:rPr>
                <w:sz w:val="18"/>
                <w:lang w:val="en-US"/>
              </w:rPr>
            </w:pPr>
            <w:r>
              <w:rPr>
                <w:sz w:val="18"/>
                <w:lang w:val="en-US"/>
              </w:rPr>
              <w:t>211</w:t>
            </w:r>
          </w:p>
        </w:tc>
        <w:tc>
          <w:tcPr>
            <w:tcW w:w="846" w:type="dxa"/>
          </w:tcPr>
          <w:p w:rsidR="00000000" w:rsidRDefault="00000000">
            <w:pPr>
              <w:tabs>
                <w:tab w:val="left" w:pos="680"/>
                <w:tab w:val="left" w:pos="1134"/>
              </w:tabs>
              <w:jc w:val="both"/>
              <w:rPr>
                <w:sz w:val="18"/>
                <w:lang w:val="en-US"/>
              </w:rPr>
            </w:pPr>
            <w:r>
              <w:rPr>
                <w:sz w:val="18"/>
                <w:lang w:val="en-US"/>
              </w:rPr>
              <w:t>73,0</w:t>
            </w:r>
          </w:p>
        </w:tc>
        <w:tc>
          <w:tcPr>
            <w:tcW w:w="988" w:type="dxa"/>
          </w:tcPr>
          <w:p w:rsidR="00000000" w:rsidRDefault="00000000">
            <w:pPr>
              <w:tabs>
                <w:tab w:val="left" w:pos="680"/>
                <w:tab w:val="left" w:pos="1134"/>
              </w:tabs>
              <w:jc w:val="both"/>
              <w:rPr>
                <w:sz w:val="18"/>
                <w:lang w:val="en-US"/>
              </w:rPr>
            </w:pPr>
            <w:r>
              <w:rPr>
                <w:sz w:val="18"/>
                <w:lang w:val="en-US"/>
              </w:rPr>
              <w:t>76,8</w:t>
            </w:r>
          </w:p>
        </w:tc>
        <w:tc>
          <w:tcPr>
            <w:tcW w:w="987" w:type="dxa"/>
          </w:tcPr>
          <w:p w:rsidR="00000000" w:rsidRDefault="00000000">
            <w:pPr>
              <w:tabs>
                <w:tab w:val="left" w:pos="680"/>
                <w:tab w:val="left" w:pos="1134"/>
              </w:tabs>
              <w:jc w:val="both"/>
              <w:rPr>
                <w:sz w:val="18"/>
                <w:lang w:val="en-US"/>
              </w:rPr>
            </w:pPr>
            <w:r>
              <w:rPr>
                <w:sz w:val="18"/>
                <w:lang w:val="en-US"/>
              </w:rPr>
              <w:t xml:space="preserve">202  </w:t>
            </w:r>
          </w:p>
        </w:tc>
        <w:tc>
          <w:tcPr>
            <w:tcW w:w="820" w:type="dxa"/>
          </w:tcPr>
          <w:p w:rsidR="00000000" w:rsidRDefault="00000000">
            <w:pPr>
              <w:tabs>
                <w:tab w:val="left" w:pos="680"/>
                <w:tab w:val="left" w:pos="1134"/>
              </w:tabs>
              <w:jc w:val="both"/>
              <w:rPr>
                <w:sz w:val="18"/>
                <w:lang w:val="en-US"/>
              </w:rPr>
            </w:pPr>
            <w:r>
              <w:rPr>
                <w:sz w:val="18"/>
                <w:lang w:val="en-US"/>
              </w:rPr>
              <w:t>66</w:t>
            </w:r>
          </w:p>
        </w:tc>
        <w:tc>
          <w:tcPr>
            <w:tcW w:w="897" w:type="dxa"/>
          </w:tcPr>
          <w:p w:rsidR="00000000" w:rsidRDefault="00000000">
            <w:pPr>
              <w:tabs>
                <w:tab w:val="left" w:pos="680"/>
                <w:tab w:val="left" w:pos="1134"/>
              </w:tabs>
              <w:jc w:val="both"/>
              <w:rPr>
                <w:sz w:val="18"/>
                <w:lang w:val="en-US"/>
              </w:rPr>
            </w:pPr>
            <w:r>
              <w:rPr>
                <w:sz w:val="18"/>
                <w:lang w:val="en-US"/>
              </w:rPr>
              <w:t>78,2</w:t>
            </w:r>
          </w:p>
        </w:tc>
      </w:tr>
      <w:tr w:rsidR="00000000">
        <w:tblPrEx>
          <w:tblCellMar>
            <w:top w:w="0" w:type="dxa"/>
            <w:bottom w:w="0" w:type="dxa"/>
          </w:tblCellMar>
        </w:tblPrEx>
        <w:trPr>
          <w:jc w:val="center"/>
        </w:trPr>
        <w:tc>
          <w:tcPr>
            <w:tcW w:w="1163" w:type="dxa"/>
          </w:tcPr>
          <w:p w:rsidR="00000000" w:rsidRDefault="00000000">
            <w:pPr>
              <w:pStyle w:val="BodyText2"/>
              <w:tabs>
                <w:tab w:val="left" w:pos="680"/>
                <w:tab w:val="left" w:pos="1134"/>
              </w:tabs>
              <w:jc w:val="both"/>
              <w:rPr>
                <w:b w:val="0"/>
                <w:sz w:val="18"/>
              </w:rPr>
            </w:pPr>
            <w:r>
              <w:rPr>
                <w:b w:val="0"/>
                <w:sz w:val="18"/>
              </w:rPr>
              <w:t>Рунду</w:t>
            </w:r>
          </w:p>
        </w:tc>
        <w:tc>
          <w:tcPr>
            <w:tcW w:w="958" w:type="dxa"/>
          </w:tcPr>
          <w:p w:rsidR="00000000" w:rsidRDefault="00000000">
            <w:pPr>
              <w:tabs>
                <w:tab w:val="left" w:pos="680"/>
                <w:tab w:val="left" w:pos="1134"/>
              </w:tabs>
              <w:jc w:val="both"/>
              <w:rPr>
                <w:sz w:val="18"/>
                <w:lang w:val="en-US"/>
              </w:rPr>
            </w:pPr>
            <w:r>
              <w:rPr>
                <w:sz w:val="18"/>
                <w:lang w:val="en-US"/>
              </w:rPr>
              <w:t>3</w:t>
            </w:r>
            <w:r>
              <w:rPr>
                <w:sz w:val="18"/>
              </w:rPr>
              <w:t xml:space="preserve"> </w:t>
            </w:r>
            <w:r>
              <w:rPr>
                <w:sz w:val="18"/>
                <w:lang w:val="en-US"/>
              </w:rPr>
              <w:t>054</w:t>
            </w:r>
          </w:p>
        </w:tc>
        <w:tc>
          <w:tcPr>
            <w:tcW w:w="841" w:type="dxa"/>
          </w:tcPr>
          <w:p w:rsidR="00000000" w:rsidRDefault="00000000">
            <w:pPr>
              <w:tabs>
                <w:tab w:val="left" w:pos="680"/>
                <w:tab w:val="left" w:pos="1134"/>
              </w:tabs>
              <w:jc w:val="both"/>
              <w:rPr>
                <w:sz w:val="18"/>
                <w:lang w:val="en-US"/>
              </w:rPr>
            </w:pPr>
            <w:r>
              <w:rPr>
                <w:sz w:val="18"/>
                <w:lang w:val="en-US"/>
              </w:rPr>
              <w:t>79,1</w:t>
            </w:r>
          </w:p>
        </w:tc>
        <w:tc>
          <w:tcPr>
            <w:tcW w:w="869" w:type="dxa"/>
          </w:tcPr>
          <w:p w:rsidR="00000000" w:rsidRDefault="00000000">
            <w:pPr>
              <w:tabs>
                <w:tab w:val="left" w:pos="680"/>
                <w:tab w:val="left" w:pos="1134"/>
              </w:tabs>
              <w:jc w:val="both"/>
              <w:rPr>
                <w:sz w:val="18"/>
                <w:lang w:val="en-US"/>
              </w:rPr>
            </w:pPr>
            <w:r>
              <w:rPr>
                <w:sz w:val="18"/>
                <w:lang w:val="en-US"/>
              </w:rPr>
              <w:t>74,0</w:t>
            </w:r>
          </w:p>
        </w:tc>
        <w:tc>
          <w:tcPr>
            <w:tcW w:w="987" w:type="dxa"/>
          </w:tcPr>
          <w:p w:rsidR="00000000" w:rsidRDefault="00000000">
            <w:pPr>
              <w:tabs>
                <w:tab w:val="left" w:pos="680"/>
                <w:tab w:val="left" w:pos="1134"/>
              </w:tabs>
              <w:jc w:val="both"/>
              <w:rPr>
                <w:sz w:val="18"/>
                <w:lang w:val="en-US"/>
              </w:rPr>
            </w:pPr>
            <w:r>
              <w:rPr>
                <w:sz w:val="18"/>
                <w:lang w:val="en-US"/>
              </w:rPr>
              <w:t>1870</w:t>
            </w:r>
          </w:p>
        </w:tc>
        <w:tc>
          <w:tcPr>
            <w:tcW w:w="846" w:type="dxa"/>
          </w:tcPr>
          <w:p w:rsidR="00000000" w:rsidRDefault="00000000">
            <w:pPr>
              <w:tabs>
                <w:tab w:val="left" w:pos="680"/>
                <w:tab w:val="left" w:pos="1134"/>
              </w:tabs>
              <w:jc w:val="both"/>
              <w:rPr>
                <w:sz w:val="18"/>
                <w:lang w:val="en-US"/>
              </w:rPr>
            </w:pPr>
            <w:r>
              <w:rPr>
                <w:sz w:val="18"/>
                <w:lang w:val="en-US"/>
              </w:rPr>
              <w:t>72,9</w:t>
            </w:r>
          </w:p>
        </w:tc>
        <w:tc>
          <w:tcPr>
            <w:tcW w:w="988" w:type="dxa"/>
          </w:tcPr>
          <w:p w:rsidR="00000000" w:rsidRDefault="00000000">
            <w:pPr>
              <w:tabs>
                <w:tab w:val="left" w:pos="680"/>
                <w:tab w:val="left" w:pos="1134"/>
              </w:tabs>
              <w:jc w:val="both"/>
              <w:rPr>
                <w:sz w:val="18"/>
                <w:lang w:val="en-US"/>
              </w:rPr>
            </w:pPr>
            <w:r>
              <w:rPr>
                <w:sz w:val="18"/>
                <w:lang w:val="en-US"/>
              </w:rPr>
              <w:t>84,9</w:t>
            </w:r>
          </w:p>
        </w:tc>
        <w:tc>
          <w:tcPr>
            <w:tcW w:w="987" w:type="dxa"/>
          </w:tcPr>
          <w:p w:rsidR="00000000" w:rsidRDefault="00000000">
            <w:pPr>
              <w:tabs>
                <w:tab w:val="left" w:pos="680"/>
                <w:tab w:val="left" w:pos="1134"/>
              </w:tabs>
              <w:jc w:val="both"/>
              <w:rPr>
                <w:sz w:val="18"/>
                <w:lang w:val="en-US"/>
              </w:rPr>
            </w:pPr>
            <w:r>
              <w:rPr>
                <w:sz w:val="18"/>
                <w:lang w:val="en-US"/>
              </w:rPr>
              <w:t>122</w:t>
            </w:r>
            <w:r>
              <w:rPr>
                <w:sz w:val="18"/>
              </w:rPr>
              <w:t xml:space="preserve"> </w:t>
            </w:r>
            <w:r>
              <w:rPr>
                <w:sz w:val="18"/>
                <w:lang w:val="en-US"/>
              </w:rPr>
              <w:t>269</w:t>
            </w:r>
          </w:p>
        </w:tc>
        <w:tc>
          <w:tcPr>
            <w:tcW w:w="820" w:type="dxa"/>
          </w:tcPr>
          <w:p w:rsidR="00000000" w:rsidRDefault="00000000">
            <w:pPr>
              <w:tabs>
                <w:tab w:val="left" w:pos="680"/>
                <w:tab w:val="left" w:pos="1134"/>
              </w:tabs>
              <w:jc w:val="both"/>
              <w:rPr>
                <w:sz w:val="18"/>
                <w:lang w:val="en-US"/>
              </w:rPr>
            </w:pPr>
            <w:r>
              <w:rPr>
                <w:sz w:val="18"/>
                <w:lang w:val="en-US"/>
              </w:rPr>
              <w:t>59,1</w:t>
            </w:r>
          </w:p>
        </w:tc>
        <w:tc>
          <w:tcPr>
            <w:tcW w:w="897" w:type="dxa"/>
          </w:tcPr>
          <w:p w:rsidR="00000000" w:rsidRDefault="00000000">
            <w:pPr>
              <w:tabs>
                <w:tab w:val="left" w:pos="680"/>
                <w:tab w:val="left" w:pos="1134"/>
              </w:tabs>
              <w:jc w:val="both"/>
              <w:rPr>
                <w:sz w:val="18"/>
                <w:lang w:val="en-US"/>
              </w:rPr>
            </w:pPr>
            <w:r>
              <w:rPr>
                <w:sz w:val="18"/>
                <w:lang w:val="en-US"/>
              </w:rPr>
              <w:t>84,2</w:t>
            </w:r>
          </w:p>
        </w:tc>
      </w:tr>
      <w:tr w:rsidR="00000000">
        <w:tblPrEx>
          <w:tblCellMar>
            <w:top w:w="0" w:type="dxa"/>
            <w:bottom w:w="0" w:type="dxa"/>
          </w:tblCellMar>
        </w:tblPrEx>
        <w:trPr>
          <w:jc w:val="center"/>
        </w:trPr>
        <w:tc>
          <w:tcPr>
            <w:tcW w:w="1163" w:type="dxa"/>
          </w:tcPr>
          <w:p w:rsidR="00000000" w:rsidRDefault="00000000">
            <w:pPr>
              <w:pStyle w:val="BodyText2"/>
              <w:tabs>
                <w:tab w:val="left" w:pos="680"/>
                <w:tab w:val="left" w:pos="1134"/>
              </w:tabs>
              <w:jc w:val="both"/>
              <w:rPr>
                <w:b w:val="0"/>
                <w:sz w:val="18"/>
              </w:rPr>
            </w:pPr>
            <w:r>
              <w:rPr>
                <w:b w:val="0"/>
                <w:sz w:val="18"/>
              </w:rPr>
              <w:t>Ондангва (восточная часть)</w:t>
            </w:r>
          </w:p>
        </w:tc>
        <w:tc>
          <w:tcPr>
            <w:tcW w:w="958" w:type="dxa"/>
          </w:tcPr>
          <w:p w:rsidR="00000000" w:rsidRDefault="00000000">
            <w:pPr>
              <w:tabs>
                <w:tab w:val="left" w:pos="680"/>
                <w:tab w:val="left" w:pos="1134"/>
              </w:tabs>
              <w:jc w:val="both"/>
              <w:rPr>
                <w:sz w:val="18"/>
              </w:rPr>
            </w:pPr>
          </w:p>
          <w:p w:rsidR="00000000" w:rsidRDefault="00000000">
            <w:pPr>
              <w:tabs>
                <w:tab w:val="left" w:pos="680"/>
                <w:tab w:val="left" w:pos="1134"/>
              </w:tabs>
              <w:jc w:val="both"/>
              <w:rPr>
                <w:sz w:val="18"/>
                <w:lang w:val="en-US"/>
              </w:rPr>
            </w:pPr>
            <w:r>
              <w:rPr>
                <w:sz w:val="18"/>
                <w:lang w:val="en-US"/>
              </w:rPr>
              <w:t>4</w:t>
            </w:r>
            <w:r>
              <w:rPr>
                <w:sz w:val="18"/>
              </w:rPr>
              <w:t xml:space="preserve"> </w:t>
            </w:r>
            <w:r>
              <w:rPr>
                <w:sz w:val="18"/>
                <w:lang w:val="en-US"/>
              </w:rPr>
              <w:t>562</w:t>
            </w:r>
          </w:p>
        </w:tc>
        <w:tc>
          <w:tcPr>
            <w:tcW w:w="841"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56,1</w:t>
            </w:r>
          </w:p>
        </w:tc>
        <w:tc>
          <w:tcPr>
            <w:tcW w:w="869"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62,9</w:t>
            </w:r>
          </w:p>
        </w:tc>
        <w:tc>
          <w:tcPr>
            <w:tcW w:w="987"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3609</w:t>
            </w:r>
          </w:p>
        </w:tc>
        <w:tc>
          <w:tcPr>
            <w:tcW w:w="846"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69,7</w:t>
            </w:r>
          </w:p>
        </w:tc>
        <w:tc>
          <w:tcPr>
            <w:tcW w:w="988"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82,9</w:t>
            </w:r>
          </w:p>
        </w:tc>
        <w:tc>
          <w:tcPr>
            <w:tcW w:w="987"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4</w:t>
            </w:r>
            <w:r>
              <w:rPr>
                <w:sz w:val="18"/>
              </w:rPr>
              <w:t xml:space="preserve"> </w:t>
            </w:r>
            <w:r>
              <w:rPr>
                <w:sz w:val="18"/>
                <w:lang w:val="en-US"/>
              </w:rPr>
              <w:t>632</w:t>
            </w:r>
          </w:p>
        </w:tc>
        <w:tc>
          <w:tcPr>
            <w:tcW w:w="820"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75,9</w:t>
            </w:r>
          </w:p>
        </w:tc>
        <w:tc>
          <w:tcPr>
            <w:tcW w:w="897"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86,4</w:t>
            </w:r>
          </w:p>
        </w:tc>
      </w:tr>
      <w:tr w:rsidR="00000000">
        <w:tblPrEx>
          <w:tblCellMar>
            <w:top w:w="0" w:type="dxa"/>
            <w:bottom w:w="0" w:type="dxa"/>
          </w:tblCellMar>
        </w:tblPrEx>
        <w:trPr>
          <w:jc w:val="center"/>
        </w:trPr>
        <w:tc>
          <w:tcPr>
            <w:tcW w:w="1163" w:type="dxa"/>
          </w:tcPr>
          <w:p w:rsidR="00000000" w:rsidRDefault="00000000">
            <w:pPr>
              <w:pStyle w:val="BodyText2"/>
              <w:tabs>
                <w:tab w:val="left" w:pos="680"/>
                <w:tab w:val="left" w:pos="1134"/>
              </w:tabs>
              <w:jc w:val="both"/>
              <w:rPr>
                <w:b w:val="0"/>
                <w:sz w:val="18"/>
              </w:rPr>
            </w:pPr>
            <w:r>
              <w:rPr>
                <w:b w:val="0"/>
                <w:sz w:val="18"/>
              </w:rPr>
              <w:t>Ондангва (западная часть)</w:t>
            </w:r>
          </w:p>
        </w:tc>
        <w:tc>
          <w:tcPr>
            <w:tcW w:w="958" w:type="dxa"/>
          </w:tcPr>
          <w:p w:rsidR="00000000" w:rsidRDefault="00000000">
            <w:pPr>
              <w:tabs>
                <w:tab w:val="left" w:pos="680"/>
                <w:tab w:val="left" w:pos="1134"/>
              </w:tabs>
              <w:jc w:val="both"/>
              <w:rPr>
                <w:sz w:val="18"/>
              </w:rPr>
            </w:pPr>
          </w:p>
          <w:p w:rsidR="00000000" w:rsidRDefault="00000000">
            <w:pPr>
              <w:tabs>
                <w:tab w:val="left" w:pos="680"/>
                <w:tab w:val="left" w:pos="1134"/>
              </w:tabs>
              <w:jc w:val="both"/>
              <w:rPr>
                <w:sz w:val="18"/>
                <w:lang w:val="en-US"/>
              </w:rPr>
            </w:pPr>
            <w:r>
              <w:rPr>
                <w:sz w:val="18"/>
                <w:lang w:val="en-US"/>
              </w:rPr>
              <w:t>2</w:t>
            </w:r>
            <w:r>
              <w:rPr>
                <w:sz w:val="18"/>
              </w:rPr>
              <w:t xml:space="preserve"> </w:t>
            </w:r>
            <w:r>
              <w:rPr>
                <w:sz w:val="18"/>
                <w:lang w:val="en-US"/>
              </w:rPr>
              <w:t>338</w:t>
            </w:r>
          </w:p>
        </w:tc>
        <w:tc>
          <w:tcPr>
            <w:tcW w:w="841"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68,8</w:t>
            </w:r>
          </w:p>
        </w:tc>
        <w:tc>
          <w:tcPr>
            <w:tcW w:w="869"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74,9</w:t>
            </w:r>
          </w:p>
        </w:tc>
        <w:tc>
          <w:tcPr>
            <w:tcW w:w="987"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1970</w:t>
            </w:r>
          </w:p>
        </w:tc>
        <w:tc>
          <w:tcPr>
            <w:tcW w:w="846"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75,8</w:t>
            </w:r>
          </w:p>
        </w:tc>
        <w:tc>
          <w:tcPr>
            <w:tcW w:w="988"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80,7</w:t>
            </w:r>
          </w:p>
        </w:tc>
        <w:tc>
          <w:tcPr>
            <w:tcW w:w="987"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2</w:t>
            </w:r>
            <w:r>
              <w:rPr>
                <w:sz w:val="18"/>
              </w:rPr>
              <w:t xml:space="preserve"> </w:t>
            </w:r>
            <w:r>
              <w:rPr>
                <w:sz w:val="18"/>
                <w:lang w:val="en-US"/>
              </w:rPr>
              <w:t>752</w:t>
            </w:r>
          </w:p>
        </w:tc>
        <w:tc>
          <w:tcPr>
            <w:tcW w:w="820"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81,6</w:t>
            </w:r>
          </w:p>
        </w:tc>
        <w:tc>
          <w:tcPr>
            <w:tcW w:w="897" w:type="dxa"/>
          </w:tcPr>
          <w:p w:rsidR="00000000" w:rsidRDefault="00000000">
            <w:pPr>
              <w:tabs>
                <w:tab w:val="left" w:pos="680"/>
                <w:tab w:val="left" w:pos="1134"/>
              </w:tabs>
              <w:jc w:val="both"/>
              <w:rPr>
                <w:sz w:val="18"/>
                <w:lang w:val="en-US"/>
              </w:rPr>
            </w:pPr>
          </w:p>
          <w:p w:rsidR="00000000" w:rsidRDefault="00000000">
            <w:pPr>
              <w:tabs>
                <w:tab w:val="left" w:pos="680"/>
                <w:tab w:val="left" w:pos="1134"/>
              </w:tabs>
              <w:jc w:val="both"/>
              <w:rPr>
                <w:sz w:val="18"/>
                <w:lang w:val="en-US"/>
              </w:rPr>
            </w:pPr>
            <w:r>
              <w:rPr>
                <w:sz w:val="18"/>
                <w:lang w:val="en-US"/>
              </w:rPr>
              <w:t>86,4</w:t>
            </w:r>
          </w:p>
        </w:tc>
      </w:tr>
      <w:tr w:rsidR="00000000">
        <w:tblPrEx>
          <w:tblCellMar>
            <w:top w:w="0" w:type="dxa"/>
            <w:bottom w:w="0" w:type="dxa"/>
          </w:tblCellMar>
        </w:tblPrEx>
        <w:trPr>
          <w:jc w:val="center"/>
        </w:trPr>
        <w:tc>
          <w:tcPr>
            <w:tcW w:w="1163" w:type="dxa"/>
          </w:tcPr>
          <w:p w:rsidR="00000000" w:rsidRDefault="00000000">
            <w:pPr>
              <w:pStyle w:val="BodyText2"/>
              <w:tabs>
                <w:tab w:val="left" w:pos="680"/>
                <w:tab w:val="left" w:pos="1134"/>
              </w:tabs>
              <w:jc w:val="both"/>
              <w:rPr>
                <w:b w:val="0"/>
                <w:sz w:val="18"/>
              </w:rPr>
            </w:pPr>
            <w:r>
              <w:rPr>
                <w:b w:val="0"/>
                <w:sz w:val="18"/>
              </w:rPr>
              <w:t>Кхорихас</w:t>
            </w:r>
          </w:p>
        </w:tc>
        <w:tc>
          <w:tcPr>
            <w:tcW w:w="958" w:type="dxa"/>
          </w:tcPr>
          <w:p w:rsidR="00000000" w:rsidRDefault="00000000">
            <w:pPr>
              <w:tabs>
                <w:tab w:val="left" w:pos="680"/>
                <w:tab w:val="left" w:pos="1134"/>
              </w:tabs>
              <w:jc w:val="both"/>
              <w:rPr>
                <w:sz w:val="18"/>
                <w:lang w:val="en-US"/>
              </w:rPr>
            </w:pPr>
            <w:r>
              <w:rPr>
                <w:sz w:val="18"/>
                <w:lang w:val="en-US"/>
              </w:rPr>
              <w:t>545</w:t>
            </w:r>
          </w:p>
        </w:tc>
        <w:tc>
          <w:tcPr>
            <w:tcW w:w="841" w:type="dxa"/>
          </w:tcPr>
          <w:p w:rsidR="00000000" w:rsidRDefault="00000000">
            <w:pPr>
              <w:tabs>
                <w:tab w:val="left" w:pos="680"/>
                <w:tab w:val="left" w:pos="1134"/>
              </w:tabs>
              <w:jc w:val="both"/>
              <w:rPr>
                <w:sz w:val="18"/>
                <w:lang w:val="en-US"/>
              </w:rPr>
            </w:pPr>
            <w:r>
              <w:rPr>
                <w:sz w:val="18"/>
                <w:lang w:val="en-US"/>
              </w:rPr>
              <w:t>54,9</w:t>
            </w:r>
          </w:p>
        </w:tc>
        <w:tc>
          <w:tcPr>
            <w:tcW w:w="869" w:type="dxa"/>
          </w:tcPr>
          <w:p w:rsidR="00000000" w:rsidRDefault="00000000">
            <w:pPr>
              <w:tabs>
                <w:tab w:val="left" w:pos="680"/>
                <w:tab w:val="left" w:pos="1134"/>
              </w:tabs>
              <w:jc w:val="both"/>
              <w:rPr>
                <w:sz w:val="18"/>
                <w:lang w:val="en-US"/>
              </w:rPr>
            </w:pPr>
            <w:r>
              <w:rPr>
                <w:sz w:val="18"/>
                <w:lang w:val="en-US"/>
              </w:rPr>
              <w:t>80,9</w:t>
            </w:r>
          </w:p>
        </w:tc>
        <w:tc>
          <w:tcPr>
            <w:tcW w:w="987" w:type="dxa"/>
          </w:tcPr>
          <w:p w:rsidR="00000000" w:rsidRDefault="00000000">
            <w:pPr>
              <w:tabs>
                <w:tab w:val="left" w:pos="680"/>
                <w:tab w:val="left" w:pos="1134"/>
              </w:tabs>
              <w:jc w:val="both"/>
              <w:rPr>
                <w:sz w:val="18"/>
                <w:lang w:val="en-US"/>
              </w:rPr>
            </w:pPr>
            <w:r>
              <w:rPr>
                <w:sz w:val="18"/>
                <w:lang w:val="en-US"/>
              </w:rPr>
              <w:t>881</w:t>
            </w:r>
          </w:p>
        </w:tc>
        <w:tc>
          <w:tcPr>
            <w:tcW w:w="846" w:type="dxa"/>
          </w:tcPr>
          <w:p w:rsidR="00000000" w:rsidRDefault="00000000">
            <w:pPr>
              <w:tabs>
                <w:tab w:val="left" w:pos="680"/>
                <w:tab w:val="left" w:pos="1134"/>
              </w:tabs>
              <w:jc w:val="both"/>
              <w:rPr>
                <w:sz w:val="18"/>
                <w:lang w:val="en-US"/>
              </w:rPr>
            </w:pPr>
            <w:r>
              <w:rPr>
                <w:sz w:val="18"/>
                <w:lang w:val="en-US"/>
              </w:rPr>
              <w:t>50,3</w:t>
            </w:r>
          </w:p>
        </w:tc>
        <w:tc>
          <w:tcPr>
            <w:tcW w:w="988" w:type="dxa"/>
          </w:tcPr>
          <w:p w:rsidR="00000000" w:rsidRDefault="00000000">
            <w:pPr>
              <w:tabs>
                <w:tab w:val="left" w:pos="680"/>
                <w:tab w:val="left" w:pos="1134"/>
              </w:tabs>
              <w:jc w:val="both"/>
              <w:rPr>
                <w:sz w:val="18"/>
                <w:lang w:val="en-US"/>
              </w:rPr>
            </w:pPr>
            <w:r>
              <w:rPr>
                <w:sz w:val="18"/>
                <w:lang w:val="en-US"/>
              </w:rPr>
              <w:t>89,6</w:t>
            </w:r>
          </w:p>
        </w:tc>
        <w:tc>
          <w:tcPr>
            <w:tcW w:w="987" w:type="dxa"/>
          </w:tcPr>
          <w:p w:rsidR="00000000" w:rsidRDefault="00000000">
            <w:pPr>
              <w:tabs>
                <w:tab w:val="left" w:pos="680"/>
                <w:tab w:val="left" w:pos="1134"/>
              </w:tabs>
              <w:jc w:val="both"/>
              <w:rPr>
                <w:sz w:val="18"/>
                <w:lang w:val="en-US"/>
              </w:rPr>
            </w:pPr>
            <w:r>
              <w:rPr>
                <w:sz w:val="18"/>
                <w:lang w:val="en-US"/>
              </w:rPr>
              <w:t>637</w:t>
            </w:r>
          </w:p>
        </w:tc>
        <w:tc>
          <w:tcPr>
            <w:tcW w:w="820" w:type="dxa"/>
          </w:tcPr>
          <w:p w:rsidR="00000000" w:rsidRDefault="00000000">
            <w:pPr>
              <w:tabs>
                <w:tab w:val="left" w:pos="680"/>
                <w:tab w:val="left" w:pos="1134"/>
              </w:tabs>
              <w:jc w:val="both"/>
              <w:rPr>
                <w:sz w:val="18"/>
                <w:lang w:val="en-US"/>
              </w:rPr>
            </w:pPr>
            <w:r>
              <w:rPr>
                <w:sz w:val="18"/>
                <w:lang w:val="en-US"/>
              </w:rPr>
              <w:t>44,4</w:t>
            </w:r>
          </w:p>
        </w:tc>
        <w:tc>
          <w:tcPr>
            <w:tcW w:w="897" w:type="dxa"/>
          </w:tcPr>
          <w:p w:rsidR="00000000" w:rsidRDefault="00000000">
            <w:pPr>
              <w:tabs>
                <w:tab w:val="left" w:pos="680"/>
                <w:tab w:val="left" w:pos="1134"/>
              </w:tabs>
              <w:jc w:val="both"/>
              <w:rPr>
                <w:sz w:val="18"/>
                <w:lang w:val="en-US"/>
              </w:rPr>
            </w:pPr>
            <w:r>
              <w:rPr>
                <w:sz w:val="18"/>
                <w:lang w:val="en-US"/>
              </w:rPr>
              <w:t>80,8</w:t>
            </w:r>
          </w:p>
        </w:tc>
      </w:tr>
      <w:tr w:rsidR="00000000">
        <w:tblPrEx>
          <w:tblCellMar>
            <w:top w:w="0" w:type="dxa"/>
            <w:bottom w:w="0" w:type="dxa"/>
          </w:tblCellMar>
        </w:tblPrEx>
        <w:trPr>
          <w:jc w:val="center"/>
        </w:trPr>
        <w:tc>
          <w:tcPr>
            <w:tcW w:w="1163" w:type="dxa"/>
          </w:tcPr>
          <w:p w:rsidR="00000000" w:rsidRDefault="00000000">
            <w:pPr>
              <w:pStyle w:val="BodyText2"/>
              <w:tabs>
                <w:tab w:val="left" w:pos="680"/>
                <w:tab w:val="left" w:pos="1134"/>
              </w:tabs>
              <w:jc w:val="both"/>
              <w:rPr>
                <w:b w:val="0"/>
                <w:sz w:val="18"/>
              </w:rPr>
            </w:pPr>
            <w:r>
              <w:rPr>
                <w:b w:val="0"/>
                <w:sz w:val="18"/>
              </w:rPr>
              <w:t>Виндхук</w:t>
            </w:r>
          </w:p>
        </w:tc>
        <w:tc>
          <w:tcPr>
            <w:tcW w:w="958" w:type="dxa"/>
          </w:tcPr>
          <w:p w:rsidR="00000000" w:rsidRDefault="00000000">
            <w:pPr>
              <w:tabs>
                <w:tab w:val="left" w:pos="680"/>
                <w:tab w:val="left" w:pos="1134"/>
              </w:tabs>
              <w:jc w:val="both"/>
              <w:rPr>
                <w:sz w:val="18"/>
                <w:lang w:val="en-US"/>
              </w:rPr>
            </w:pPr>
            <w:r>
              <w:rPr>
                <w:sz w:val="18"/>
                <w:lang w:val="en-US"/>
              </w:rPr>
              <w:t>1</w:t>
            </w:r>
            <w:r>
              <w:rPr>
                <w:sz w:val="18"/>
              </w:rPr>
              <w:t xml:space="preserve"> </w:t>
            </w:r>
            <w:r>
              <w:rPr>
                <w:sz w:val="18"/>
                <w:lang w:val="en-US"/>
              </w:rPr>
              <w:t>925</w:t>
            </w:r>
          </w:p>
        </w:tc>
        <w:tc>
          <w:tcPr>
            <w:tcW w:w="841" w:type="dxa"/>
          </w:tcPr>
          <w:p w:rsidR="00000000" w:rsidRDefault="00000000">
            <w:pPr>
              <w:tabs>
                <w:tab w:val="left" w:pos="680"/>
                <w:tab w:val="left" w:pos="1134"/>
              </w:tabs>
              <w:jc w:val="both"/>
              <w:rPr>
                <w:sz w:val="18"/>
                <w:lang w:val="en-US"/>
              </w:rPr>
            </w:pPr>
            <w:r>
              <w:rPr>
                <w:sz w:val="18"/>
                <w:lang w:val="en-US"/>
              </w:rPr>
              <w:t>49,4</w:t>
            </w:r>
          </w:p>
        </w:tc>
        <w:tc>
          <w:tcPr>
            <w:tcW w:w="869" w:type="dxa"/>
          </w:tcPr>
          <w:p w:rsidR="00000000" w:rsidRDefault="00000000">
            <w:pPr>
              <w:tabs>
                <w:tab w:val="left" w:pos="680"/>
                <w:tab w:val="left" w:pos="1134"/>
              </w:tabs>
              <w:jc w:val="both"/>
              <w:rPr>
                <w:sz w:val="18"/>
                <w:lang w:val="en-US"/>
              </w:rPr>
            </w:pPr>
            <w:r>
              <w:rPr>
                <w:sz w:val="18"/>
                <w:lang w:val="en-US"/>
              </w:rPr>
              <w:t>81,1</w:t>
            </w:r>
          </w:p>
        </w:tc>
        <w:tc>
          <w:tcPr>
            <w:tcW w:w="987" w:type="dxa"/>
          </w:tcPr>
          <w:p w:rsidR="00000000" w:rsidRDefault="00000000">
            <w:pPr>
              <w:tabs>
                <w:tab w:val="left" w:pos="680"/>
                <w:tab w:val="left" w:pos="1134"/>
              </w:tabs>
              <w:jc w:val="both"/>
              <w:rPr>
                <w:sz w:val="18"/>
                <w:lang w:val="en-US"/>
              </w:rPr>
            </w:pPr>
            <w:r>
              <w:rPr>
                <w:sz w:val="18"/>
                <w:lang w:val="en-US"/>
              </w:rPr>
              <w:t>1662</w:t>
            </w:r>
          </w:p>
        </w:tc>
        <w:tc>
          <w:tcPr>
            <w:tcW w:w="846" w:type="dxa"/>
          </w:tcPr>
          <w:p w:rsidR="00000000" w:rsidRDefault="00000000">
            <w:pPr>
              <w:tabs>
                <w:tab w:val="left" w:pos="680"/>
                <w:tab w:val="left" w:pos="1134"/>
              </w:tabs>
              <w:jc w:val="both"/>
              <w:rPr>
                <w:sz w:val="18"/>
                <w:lang w:val="en-US"/>
              </w:rPr>
            </w:pPr>
            <w:r>
              <w:rPr>
                <w:sz w:val="18"/>
                <w:lang w:val="en-US"/>
              </w:rPr>
              <w:t>50,1</w:t>
            </w:r>
          </w:p>
        </w:tc>
        <w:tc>
          <w:tcPr>
            <w:tcW w:w="988" w:type="dxa"/>
          </w:tcPr>
          <w:p w:rsidR="00000000" w:rsidRDefault="00000000">
            <w:pPr>
              <w:tabs>
                <w:tab w:val="left" w:pos="680"/>
                <w:tab w:val="left" w:pos="1134"/>
              </w:tabs>
              <w:jc w:val="both"/>
              <w:rPr>
                <w:sz w:val="18"/>
                <w:lang w:val="en-US"/>
              </w:rPr>
            </w:pPr>
            <w:r>
              <w:rPr>
                <w:sz w:val="18"/>
                <w:lang w:val="en-US"/>
              </w:rPr>
              <w:t>87,7</w:t>
            </w:r>
          </w:p>
        </w:tc>
        <w:tc>
          <w:tcPr>
            <w:tcW w:w="987" w:type="dxa"/>
          </w:tcPr>
          <w:p w:rsidR="00000000" w:rsidRDefault="00000000">
            <w:pPr>
              <w:tabs>
                <w:tab w:val="left" w:pos="680"/>
                <w:tab w:val="left" w:pos="1134"/>
              </w:tabs>
              <w:jc w:val="both"/>
              <w:rPr>
                <w:sz w:val="18"/>
                <w:lang w:val="en-US"/>
              </w:rPr>
            </w:pPr>
            <w:r>
              <w:rPr>
                <w:sz w:val="18"/>
                <w:lang w:val="en-US"/>
              </w:rPr>
              <w:t>1</w:t>
            </w:r>
            <w:r>
              <w:rPr>
                <w:sz w:val="18"/>
              </w:rPr>
              <w:t xml:space="preserve"> </w:t>
            </w:r>
            <w:r>
              <w:rPr>
                <w:sz w:val="18"/>
                <w:lang w:val="en-US"/>
              </w:rPr>
              <w:t>640</w:t>
            </w:r>
          </w:p>
        </w:tc>
        <w:tc>
          <w:tcPr>
            <w:tcW w:w="820" w:type="dxa"/>
          </w:tcPr>
          <w:p w:rsidR="00000000" w:rsidRDefault="00000000">
            <w:pPr>
              <w:tabs>
                <w:tab w:val="left" w:pos="680"/>
                <w:tab w:val="left" w:pos="1134"/>
              </w:tabs>
              <w:jc w:val="both"/>
              <w:rPr>
                <w:sz w:val="18"/>
                <w:lang w:val="en-US"/>
              </w:rPr>
            </w:pPr>
            <w:r>
              <w:rPr>
                <w:sz w:val="18"/>
                <w:lang w:val="en-US"/>
              </w:rPr>
              <w:t>52,3</w:t>
            </w:r>
          </w:p>
        </w:tc>
        <w:tc>
          <w:tcPr>
            <w:tcW w:w="897" w:type="dxa"/>
          </w:tcPr>
          <w:p w:rsidR="00000000" w:rsidRDefault="00000000">
            <w:pPr>
              <w:tabs>
                <w:tab w:val="left" w:pos="680"/>
                <w:tab w:val="left" w:pos="1134"/>
              </w:tabs>
              <w:jc w:val="both"/>
              <w:rPr>
                <w:sz w:val="18"/>
                <w:lang w:val="en-US"/>
              </w:rPr>
            </w:pPr>
            <w:r>
              <w:rPr>
                <w:sz w:val="18"/>
                <w:lang w:val="en-US"/>
              </w:rPr>
              <w:t>91,8</w:t>
            </w:r>
          </w:p>
        </w:tc>
      </w:tr>
      <w:tr w:rsidR="00000000">
        <w:tblPrEx>
          <w:tblCellMar>
            <w:top w:w="0" w:type="dxa"/>
            <w:bottom w:w="0" w:type="dxa"/>
          </w:tblCellMar>
        </w:tblPrEx>
        <w:trPr>
          <w:jc w:val="center"/>
        </w:trPr>
        <w:tc>
          <w:tcPr>
            <w:tcW w:w="1163" w:type="dxa"/>
          </w:tcPr>
          <w:p w:rsidR="00000000" w:rsidRDefault="00000000">
            <w:pPr>
              <w:tabs>
                <w:tab w:val="left" w:pos="680"/>
                <w:tab w:val="left" w:pos="1134"/>
              </w:tabs>
              <w:jc w:val="both"/>
              <w:rPr>
                <w:sz w:val="18"/>
              </w:rPr>
            </w:pPr>
            <w:r>
              <w:rPr>
                <w:sz w:val="18"/>
              </w:rPr>
              <w:t>Китмансхуп</w:t>
            </w:r>
          </w:p>
        </w:tc>
        <w:tc>
          <w:tcPr>
            <w:tcW w:w="958" w:type="dxa"/>
          </w:tcPr>
          <w:p w:rsidR="00000000" w:rsidRDefault="00000000">
            <w:pPr>
              <w:tabs>
                <w:tab w:val="left" w:pos="680"/>
                <w:tab w:val="left" w:pos="1134"/>
              </w:tabs>
              <w:jc w:val="both"/>
              <w:rPr>
                <w:sz w:val="18"/>
              </w:rPr>
            </w:pPr>
            <w:r>
              <w:rPr>
                <w:sz w:val="18"/>
              </w:rPr>
              <w:t>200</w:t>
            </w:r>
          </w:p>
        </w:tc>
        <w:tc>
          <w:tcPr>
            <w:tcW w:w="841" w:type="dxa"/>
          </w:tcPr>
          <w:p w:rsidR="00000000" w:rsidRDefault="00000000">
            <w:pPr>
              <w:tabs>
                <w:tab w:val="left" w:pos="680"/>
                <w:tab w:val="left" w:pos="1134"/>
              </w:tabs>
              <w:jc w:val="both"/>
              <w:rPr>
                <w:sz w:val="18"/>
              </w:rPr>
            </w:pPr>
            <w:r>
              <w:rPr>
                <w:sz w:val="18"/>
              </w:rPr>
              <w:t>57,5</w:t>
            </w:r>
          </w:p>
        </w:tc>
        <w:tc>
          <w:tcPr>
            <w:tcW w:w="869" w:type="dxa"/>
          </w:tcPr>
          <w:p w:rsidR="00000000" w:rsidRDefault="00000000">
            <w:pPr>
              <w:tabs>
                <w:tab w:val="left" w:pos="680"/>
                <w:tab w:val="left" w:pos="1134"/>
              </w:tabs>
              <w:jc w:val="both"/>
              <w:rPr>
                <w:sz w:val="18"/>
              </w:rPr>
            </w:pPr>
            <w:r>
              <w:rPr>
                <w:sz w:val="18"/>
              </w:rPr>
              <w:t>83,5</w:t>
            </w:r>
          </w:p>
        </w:tc>
        <w:tc>
          <w:tcPr>
            <w:tcW w:w="987" w:type="dxa"/>
          </w:tcPr>
          <w:p w:rsidR="00000000" w:rsidRDefault="00000000">
            <w:pPr>
              <w:tabs>
                <w:tab w:val="left" w:pos="680"/>
                <w:tab w:val="left" w:pos="1134"/>
              </w:tabs>
              <w:jc w:val="both"/>
              <w:rPr>
                <w:sz w:val="18"/>
              </w:rPr>
            </w:pPr>
            <w:r>
              <w:rPr>
                <w:sz w:val="18"/>
              </w:rPr>
              <w:t>132</w:t>
            </w:r>
          </w:p>
        </w:tc>
        <w:tc>
          <w:tcPr>
            <w:tcW w:w="846" w:type="dxa"/>
          </w:tcPr>
          <w:p w:rsidR="00000000" w:rsidRDefault="00000000">
            <w:pPr>
              <w:tabs>
                <w:tab w:val="left" w:pos="680"/>
                <w:tab w:val="left" w:pos="1134"/>
              </w:tabs>
              <w:jc w:val="both"/>
              <w:rPr>
                <w:sz w:val="18"/>
              </w:rPr>
            </w:pPr>
            <w:r>
              <w:rPr>
                <w:sz w:val="18"/>
              </w:rPr>
              <w:t>41,7</w:t>
            </w:r>
          </w:p>
        </w:tc>
        <w:tc>
          <w:tcPr>
            <w:tcW w:w="988" w:type="dxa"/>
          </w:tcPr>
          <w:p w:rsidR="00000000" w:rsidRDefault="00000000">
            <w:pPr>
              <w:tabs>
                <w:tab w:val="left" w:pos="680"/>
                <w:tab w:val="left" w:pos="1134"/>
              </w:tabs>
              <w:jc w:val="both"/>
              <w:rPr>
                <w:sz w:val="18"/>
              </w:rPr>
            </w:pPr>
            <w:r>
              <w:rPr>
                <w:sz w:val="18"/>
              </w:rPr>
              <w:t>84,1</w:t>
            </w:r>
          </w:p>
        </w:tc>
        <w:tc>
          <w:tcPr>
            <w:tcW w:w="987" w:type="dxa"/>
          </w:tcPr>
          <w:p w:rsidR="00000000" w:rsidRDefault="00000000">
            <w:pPr>
              <w:tabs>
                <w:tab w:val="left" w:pos="680"/>
                <w:tab w:val="left" w:pos="1134"/>
              </w:tabs>
              <w:jc w:val="both"/>
              <w:rPr>
                <w:sz w:val="18"/>
              </w:rPr>
            </w:pPr>
            <w:r>
              <w:rPr>
                <w:sz w:val="18"/>
              </w:rPr>
              <w:t>273</w:t>
            </w:r>
          </w:p>
        </w:tc>
        <w:tc>
          <w:tcPr>
            <w:tcW w:w="820" w:type="dxa"/>
          </w:tcPr>
          <w:p w:rsidR="00000000" w:rsidRDefault="00000000">
            <w:pPr>
              <w:tabs>
                <w:tab w:val="left" w:pos="680"/>
                <w:tab w:val="left" w:pos="1134"/>
              </w:tabs>
              <w:jc w:val="both"/>
              <w:rPr>
                <w:sz w:val="18"/>
              </w:rPr>
            </w:pPr>
            <w:r>
              <w:rPr>
                <w:sz w:val="18"/>
              </w:rPr>
              <w:t>52,4</w:t>
            </w:r>
          </w:p>
        </w:tc>
        <w:tc>
          <w:tcPr>
            <w:tcW w:w="897" w:type="dxa"/>
          </w:tcPr>
          <w:p w:rsidR="00000000" w:rsidRDefault="00000000">
            <w:pPr>
              <w:tabs>
                <w:tab w:val="left" w:pos="680"/>
                <w:tab w:val="left" w:pos="1134"/>
              </w:tabs>
              <w:jc w:val="both"/>
              <w:rPr>
                <w:sz w:val="18"/>
              </w:rPr>
            </w:pPr>
            <w:r>
              <w:rPr>
                <w:sz w:val="18"/>
              </w:rPr>
              <w:t>89,0</w:t>
            </w:r>
          </w:p>
        </w:tc>
      </w:tr>
    </w:tbl>
    <w:p w:rsidR="00000000" w:rsidRDefault="00000000">
      <w:pPr>
        <w:pStyle w:val="BodyText2"/>
        <w:tabs>
          <w:tab w:val="left" w:pos="680"/>
          <w:tab w:val="left" w:pos="1134"/>
        </w:tabs>
        <w:spacing w:before="120"/>
        <w:jc w:val="both"/>
        <w:rPr>
          <w:b w:val="0"/>
          <w:sz w:val="20"/>
        </w:rPr>
      </w:pPr>
      <w:r>
        <w:rPr>
          <w:b w:val="0"/>
          <w:i/>
          <w:sz w:val="20"/>
        </w:rPr>
        <w:t>Источник:</w:t>
      </w:r>
      <w:r>
        <w:rPr>
          <w:b w:val="0"/>
          <w:sz w:val="20"/>
        </w:rPr>
        <w:t xml:space="preserve"> Информационные системы по вопросам управления в области образования (Министерство базового образования и культуры)</w:t>
      </w:r>
    </w:p>
    <w:p w:rsidR="00000000" w:rsidRDefault="00000000">
      <w:pPr>
        <w:pStyle w:val="BodyText2"/>
        <w:tabs>
          <w:tab w:val="left" w:pos="680"/>
          <w:tab w:val="left" w:pos="1134"/>
        </w:tabs>
        <w:spacing w:before="240"/>
        <w:jc w:val="both"/>
        <w:rPr>
          <w:sz w:val="22"/>
        </w:rPr>
      </w:pPr>
      <w:r>
        <w:rPr>
          <w:sz w:val="22"/>
        </w:rPr>
        <w:t>10.4</w:t>
      </w:r>
      <w:r>
        <w:rPr>
          <w:sz w:val="22"/>
        </w:rPr>
        <w:tab/>
        <w:t>Беременность среди учащихся-подростков</w:t>
      </w:r>
    </w:p>
    <w:p w:rsidR="00000000" w:rsidRDefault="00000000">
      <w:pPr>
        <w:pStyle w:val="BodyText2"/>
        <w:tabs>
          <w:tab w:val="left" w:pos="680"/>
          <w:tab w:val="left" w:pos="1134"/>
        </w:tabs>
        <w:spacing w:before="240"/>
        <w:jc w:val="both"/>
        <w:rPr>
          <w:b w:val="0"/>
          <w:sz w:val="22"/>
        </w:rPr>
      </w:pPr>
      <w:r>
        <w:rPr>
          <w:b w:val="0"/>
          <w:sz w:val="22"/>
        </w:rPr>
        <w:t>Беременность в подростковом возрасте является одной из социальных проблем, которые мешают девочкам продолжать свое образование. В 1994 году была создана исследовательская группа для изучения этого вопроса и подготовки рекомендаций по его решению. После консультаций с заинтересованными сторонами исследовательская группа подготовила проект политики по вопросам беременности среди учениц школ, который был представлен в кабинет министров для утверждения</w:t>
      </w:r>
      <w:r>
        <w:rPr>
          <w:rStyle w:val="FootnoteReference"/>
          <w:b w:val="0"/>
          <w:sz w:val="22"/>
        </w:rPr>
        <w:footnoteReference w:customMarkFollows="1" w:id="72"/>
        <w:t>71</w:t>
      </w:r>
      <w:r>
        <w:rPr>
          <w:b w:val="0"/>
          <w:sz w:val="22"/>
        </w:rPr>
        <w:t>.</w:t>
      </w:r>
    </w:p>
    <w:p w:rsidR="00000000" w:rsidRDefault="00000000">
      <w:pPr>
        <w:pStyle w:val="BodyText2"/>
        <w:tabs>
          <w:tab w:val="left" w:pos="680"/>
          <w:tab w:val="left" w:pos="1134"/>
        </w:tabs>
        <w:spacing w:before="240"/>
        <w:jc w:val="both"/>
        <w:rPr>
          <w:b w:val="0"/>
          <w:sz w:val="22"/>
        </w:rPr>
      </w:pPr>
      <w:r>
        <w:rPr>
          <w:b w:val="0"/>
          <w:sz w:val="22"/>
        </w:rPr>
        <w:t>В 1997 году политика по вопросам беременности среди учащихся-подростков была утверждена. Эта политика, среди прочего, предусматривает следующее:</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Беременность у учениц школ угрожает здоровью и социальному благополучию самих учениц, а также здоровью и благополучию родившихся у них детей. Беременность часто вынуждает учениц бросать учебу, что оставляет им очень ограниченный выбор возможностей для благополучной жизни для себя и своих детей.</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Школы должны работать по предупреждению таких ситуаций, оказывая помощь, а не наказывая учениц, которые должны стать матерями. Школьницам потребуется помощь для продолжения учебы до наступления родов и после них и одновременной заботы о благополучии и здоровье новорожденного ребенка.</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Школа должна также предоставлять забеременевшим ученицам информацию, которая может помочь им получить средства на содержание ребенка от мужчины, виновного в ее беременности, или его семьи.</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Поэтому необходимо принять следующие меры:</w:t>
      </w:r>
    </w:p>
    <w:p w:rsidR="00000000" w:rsidRDefault="00000000">
      <w:pPr>
        <w:pStyle w:val="BodyText2"/>
        <w:tabs>
          <w:tab w:val="left" w:pos="680"/>
          <w:tab w:val="left" w:pos="1134"/>
        </w:tabs>
        <w:spacing w:before="240"/>
        <w:jc w:val="both"/>
        <w:rPr>
          <w:b w:val="0"/>
          <w:sz w:val="22"/>
        </w:rPr>
      </w:pPr>
      <w:r>
        <w:rPr>
          <w:b w:val="0"/>
          <w:sz w:val="22"/>
        </w:rPr>
        <w:t>1.</w:t>
      </w:r>
      <w:r>
        <w:rPr>
          <w:b w:val="0"/>
          <w:sz w:val="22"/>
        </w:rPr>
        <w:tab/>
        <w:t>В отношении забеременевших учениц:</w:t>
      </w:r>
    </w:p>
    <w:p w:rsidR="00000000" w:rsidRDefault="00000000">
      <w:pPr>
        <w:pStyle w:val="BodyText2"/>
        <w:tabs>
          <w:tab w:val="left" w:pos="680"/>
          <w:tab w:val="left" w:pos="1134"/>
        </w:tabs>
        <w:spacing w:before="240"/>
        <w:ind w:left="1134" w:hanging="1134"/>
        <w:jc w:val="both"/>
        <w:rPr>
          <w:b w:val="0"/>
          <w:sz w:val="22"/>
        </w:rPr>
      </w:pPr>
      <w:r>
        <w:rPr>
          <w:b w:val="0"/>
          <w:sz w:val="22"/>
        </w:rPr>
        <w:tab/>
        <w:t>1.1</w:t>
      </w:r>
      <w:r>
        <w:rPr>
          <w:b w:val="0"/>
          <w:sz w:val="22"/>
        </w:rPr>
        <w:tab/>
        <w:t>В школе должен быть по крайней мере один сотрудник, с которым девушка могла бы обсудить свое положение.</w:t>
      </w:r>
    </w:p>
    <w:p w:rsidR="00000000" w:rsidRDefault="00000000">
      <w:pPr>
        <w:pStyle w:val="BodyText2"/>
        <w:tabs>
          <w:tab w:val="left" w:pos="680"/>
          <w:tab w:val="left" w:pos="1134"/>
        </w:tabs>
        <w:spacing w:before="240"/>
        <w:ind w:left="1134" w:hanging="1134"/>
        <w:jc w:val="both"/>
        <w:rPr>
          <w:b w:val="0"/>
          <w:sz w:val="22"/>
        </w:rPr>
      </w:pPr>
      <w:r>
        <w:rPr>
          <w:b w:val="0"/>
          <w:sz w:val="22"/>
        </w:rPr>
        <w:tab/>
        <w:t>1.2</w:t>
      </w:r>
      <w:r>
        <w:rPr>
          <w:b w:val="0"/>
          <w:sz w:val="22"/>
        </w:rPr>
        <w:tab/>
        <w:t>Девушка обязана назвать имя виновного мужчины.</w:t>
      </w:r>
    </w:p>
    <w:p w:rsidR="00000000" w:rsidRDefault="00000000">
      <w:pPr>
        <w:pStyle w:val="BodyText2"/>
        <w:tabs>
          <w:tab w:val="left" w:pos="680"/>
          <w:tab w:val="left" w:pos="1134"/>
        </w:tabs>
        <w:spacing w:before="240"/>
        <w:ind w:left="1134" w:hanging="1134"/>
        <w:jc w:val="both"/>
        <w:rPr>
          <w:b w:val="0"/>
          <w:sz w:val="22"/>
        </w:rPr>
      </w:pPr>
      <w:r>
        <w:rPr>
          <w:b w:val="0"/>
          <w:sz w:val="22"/>
        </w:rPr>
        <w:tab/>
        <w:t>1.3</w:t>
      </w:r>
      <w:r>
        <w:rPr>
          <w:b w:val="0"/>
          <w:sz w:val="22"/>
        </w:rPr>
        <w:tab/>
        <w:t>Девушка может продолжить свое обучение в школе до наступления родов или закончить его раньше по совету врача или медицинской сестры. После рождения ребенка девушка имеет право на прием в ту же школу в течение 12 месяцев с даты, когда она ушла из школы, независимо от ее возраста. Она имеет альтернативную возможность в течение этого же периода вернуться в другую школу.</w:t>
      </w:r>
    </w:p>
    <w:p w:rsidR="00000000" w:rsidRDefault="00000000">
      <w:pPr>
        <w:pStyle w:val="BodyText2"/>
        <w:tabs>
          <w:tab w:val="left" w:pos="680"/>
          <w:tab w:val="left" w:pos="1134"/>
        </w:tabs>
        <w:spacing w:before="240"/>
        <w:ind w:left="1134" w:hanging="1134"/>
        <w:jc w:val="both"/>
        <w:rPr>
          <w:b w:val="0"/>
          <w:sz w:val="22"/>
        </w:rPr>
      </w:pPr>
      <w:r>
        <w:rPr>
          <w:b w:val="0"/>
          <w:sz w:val="22"/>
        </w:rPr>
        <w:tab/>
        <w:t>1.4</w:t>
      </w:r>
      <w:r>
        <w:rPr>
          <w:b w:val="0"/>
          <w:sz w:val="22"/>
        </w:rPr>
        <w:tab/>
        <w:t>Девушка, которая бросила учебу по причине беременности, может сдавать письменные экзамены в конце учебного года при условии, что совет школы считает ее успеваемость отвечающей установленным нормам.</w:t>
      </w:r>
    </w:p>
    <w:p w:rsidR="00000000" w:rsidRDefault="00000000">
      <w:pPr>
        <w:pStyle w:val="BodyText2"/>
        <w:tabs>
          <w:tab w:val="left" w:pos="680"/>
          <w:tab w:val="left" w:pos="1134"/>
        </w:tabs>
        <w:spacing w:before="240"/>
        <w:ind w:left="1134" w:hanging="1134"/>
        <w:jc w:val="both"/>
        <w:rPr>
          <w:b w:val="0"/>
          <w:sz w:val="22"/>
        </w:rPr>
      </w:pPr>
      <w:r>
        <w:rPr>
          <w:b w:val="0"/>
          <w:sz w:val="22"/>
        </w:rPr>
        <w:tab/>
        <w:t>1.5</w:t>
      </w:r>
      <w:r>
        <w:rPr>
          <w:b w:val="0"/>
          <w:sz w:val="22"/>
        </w:rPr>
        <w:tab/>
        <w:t>Если девушка проживает в государственной школе-интернате, она имеет право оставаться там в течение периода обучения в школе на тех же условиях, которые применялись бы, если бы она не забеременела.</w:t>
      </w:r>
    </w:p>
    <w:p w:rsidR="00000000" w:rsidRDefault="00000000">
      <w:pPr>
        <w:pStyle w:val="BodyText2"/>
        <w:tabs>
          <w:tab w:val="left" w:pos="680"/>
          <w:tab w:val="left" w:pos="1134"/>
        </w:tabs>
        <w:spacing w:before="240"/>
        <w:jc w:val="both"/>
        <w:rPr>
          <w:b w:val="0"/>
          <w:sz w:val="22"/>
        </w:rPr>
      </w:pPr>
      <w:r>
        <w:rPr>
          <w:b w:val="0"/>
          <w:sz w:val="22"/>
        </w:rPr>
        <w:t>2.</w:t>
      </w:r>
      <w:r>
        <w:rPr>
          <w:b w:val="0"/>
          <w:sz w:val="22"/>
        </w:rPr>
        <w:tab/>
        <w:t>Если лицо мужского пола, от которого забеременела девушка, является учащимся школы (той же школы, где обучается эта девушка, или другой), при условии что не имело место изнасилование, применяются те же права и обязанности с соответствующими изменениями.</w:t>
      </w:r>
    </w:p>
    <w:p w:rsidR="00000000" w:rsidRDefault="00000000">
      <w:pPr>
        <w:pStyle w:val="BodyText2"/>
        <w:tabs>
          <w:tab w:val="left" w:pos="680"/>
          <w:tab w:val="left" w:pos="1134"/>
        </w:tabs>
        <w:spacing w:before="240"/>
        <w:jc w:val="both"/>
        <w:rPr>
          <w:b w:val="0"/>
          <w:sz w:val="22"/>
        </w:rPr>
      </w:pPr>
      <w:r>
        <w:rPr>
          <w:b w:val="0"/>
          <w:sz w:val="22"/>
        </w:rPr>
        <w:t>3.</w:t>
      </w:r>
      <w:r>
        <w:rPr>
          <w:b w:val="0"/>
          <w:sz w:val="22"/>
        </w:rPr>
        <w:tab/>
        <w:t>Преподаватель, вступивший в любовные или сексуальные отношения с учащимся, нарушает кодекс поведения для учителей, ему должно быть предъявлено обвинение в неправомерном поведении, и он должен быть отстранен от исполнения своих обязанностей вплоть до окончания дисциплинарного разбирательства. Принимаются дисциплинарные меры, которые могут привести к увольнению преподавателя. Во всех случаях, связанных с сексуальными отношениями между преподавателями и учащимися, предусматривается увольнение преподавателей. Даже в случае увольнения преподавателя расследование, тем не менее, следует довести до конца, и если преподаватель будет признан виновным, он или она не может быть принят вновь на преподавательскую работу в государственную или частично финансируемую государством школу.</w:t>
      </w:r>
    </w:p>
    <w:p w:rsidR="00000000" w:rsidRDefault="00000000">
      <w:pPr>
        <w:pStyle w:val="BodyText2"/>
        <w:tabs>
          <w:tab w:val="left" w:pos="680"/>
          <w:tab w:val="left" w:pos="1134"/>
        </w:tabs>
        <w:spacing w:before="240"/>
        <w:jc w:val="both"/>
        <w:rPr>
          <w:sz w:val="22"/>
        </w:rPr>
      </w:pPr>
      <w:r>
        <w:rPr>
          <w:sz w:val="22"/>
        </w:rPr>
        <w:t>10.5</w:t>
      </w:r>
      <w:r>
        <w:rPr>
          <w:sz w:val="22"/>
        </w:rPr>
        <w:tab/>
        <w:t>Просвещение по вопросам демографии и семейной жизни</w:t>
      </w:r>
    </w:p>
    <w:p w:rsidR="00000000" w:rsidRDefault="00000000">
      <w:pPr>
        <w:pStyle w:val="BodyText2"/>
        <w:tabs>
          <w:tab w:val="left" w:pos="680"/>
          <w:tab w:val="left" w:pos="1134"/>
        </w:tabs>
        <w:spacing w:before="240"/>
        <w:jc w:val="both"/>
        <w:rPr>
          <w:b w:val="0"/>
          <w:sz w:val="22"/>
        </w:rPr>
      </w:pPr>
      <w:r>
        <w:rPr>
          <w:b w:val="0"/>
          <w:sz w:val="22"/>
        </w:rPr>
        <w:t>Министерство базового образования, спорта и культуры крайне обеспокоено ростом случаев нежелательной беременности и числа ВИЧ-инфицированных среди учащихся, что является результатом вступления учащихся в половую связь без применения защитных средств.</w:t>
      </w:r>
    </w:p>
    <w:p w:rsidR="00000000" w:rsidRDefault="00000000">
      <w:pPr>
        <w:pStyle w:val="BodyText2"/>
        <w:tabs>
          <w:tab w:val="left" w:pos="680"/>
          <w:tab w:val="left" w:pos="1134"/>
        </w:tabs>
        <w:spacing w:before="240"/>
        <w:jc w:val="both"/>
        <w:rPr>
          <w:b w:val="0"/>
          <w:sz w:val="22"/>
        </w:rPr>
      </w:pPr>
      <w:r>
        <w:rPr>
          <w:b w:val="0"/>
          <w:sz w:val="22"/>
        </w:rPr>
        <w:t>Часто говорят, что просвещение по вопросам репродуктивности и сексуальных отношений подталкивает молодежь к началу активной половой жизни. Однако обследование, проведенное в 1993 году Всемирной программой по СПИДу Всемирной организации здравоохранения, свидетельствует о том, что просвещение по вопросам демографии и семейной жизни ведет либо к задержке начала активной половой жизни, либо к снижению общей сексуальной активности. Такое просвещение повышает также использование безопасной сексуальной практики теми, кто ведет активную половую жизнь.</w:t>
      </w:r>
    </w:p>
    <w:p w:rsidR="00000000" w:rsidRDefault="00000000">
      <w:pPr>
        <w:pStyle w:val="BodyText2"/>
        <w:tabs>
          <w:tab w:val="left" w:pos="680"/>
          <w:tab w:val="left" w:pos="1134"/>
        </w:tabs>
        <w:spacing w:before="240"/>
        <w:jc w:val="both"/>
        <w:rPr>
          <w:b w:val="0"/>
          <w:sz w:val="22"/>
        </w:rPr>
      </w:pPr>
      <w:r>
        <w:rPr>
          <w:b w:val="0"/>
          <w:sz w:val="22"/>
        </w:rPr>
        <w:t>В обследовании Всемирной организации здравоохранения подчеркивается, что доступ к консультированию и обеспечению противозачаточными средствами не способствует ни более раннему началу половой жизни, ни повышению сексуальной активности. Поэтому обязанностью Министерства базового образования, спорта и культуры, а также общин является обеспечение просвещения учащихся по вопросам демографии и семейной жизни и предоставление им информации о сути и последствиях сексуально активной жизни, с тем чтобы учащиеся могли принимать разумные и не наносящие ущерба здоровью решения относительно половой жизни.</w:t>
      </w:r>
    </w:p>
    <w:p w:rsidR="00000000" w:rsidRDefault="00000000">
      <w:pPr>
        <w:pStyle w:val="BodyText2"/>
        <w:tabs>
          <w:tab w:val="left" w:pos="680"/>
          <w:tab w:val="left" w:pos="1134"/>
        </w:tabs>
        <w:spacing w:before="240"/>
        <w:jc w:val="both"/>
        <w:rPr>
          <w:b w:val="0"/>
          <w:sz w:val="22"/>
        </w:rPr>
      </w:pPr>
      <w:r>
        <w:rPr>
          <w:b w:val="0"/>
          <w:sz w:val="22"/>
        </w:rPr>
        <w:t>С этой целью Министерство базового образования, спорта и культуры постановило, что:</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Основную роль в просвещении учащихся по вопросам, касающимся демографии и семейной жизни, должны играть родители.</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Решено, что Национальный институт по развитию образования в настоящее время работает над включением вопросов демографии и семейной жизни, в том числе и вопросов полового воспитания, в учебные программы начальной и средней школы. Возможно потребуется вторично пересмотреть уже пересмотренные ранее программы, например по биологическим наукам, в которых изучение трехлетнего курса биологии человека откладывается до 10 класса. В программу просвещения по вопросам демографии и семейной жизни должна входить информация о ВИЧ/СПИДе, других заболеваниях, передаваемых половым путем, и о контрацепции.</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Непрофилирующие предметы, такие как профессиональная ориентация, обучение жизненным навыкам, религиозное и этическое воспитание, основы информатики и физическое воспитание, должны рассматриваться как неотъемлемая часть школьных программ, и ими нельзя пренебрегать в школьном образовании. Все эти предметы предоставляют возможность ответственно относиться к вопросам просвещения в области демографии. В частности, заслуживает реализации в полном объеме программа "Здоровье молодежи" Специального директората министерства по вопросам образования. В штатном расписании школы должны быть предусмотрены преподаватели для ведения всех этих предметов.</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Подросткам следует дать в соответствующем объеме знания об уголовных преступлениях, связанных с жестоким обращением с детьми, сексуальным домогательством, изнасилованием и изнасилованием по статутному праву, и они должны иметь представление о возможных последствиях совершения или подстрекательства к совершению уголовного преступления. Им также должна быть предоставлена информация о том, куда и каким образом нужно сообщать о преступлении, какие требуются доказательства или какая помощь может быть оказана.</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В школьных библиотеках должна иметься просветительская информация по вопросам демографии и семейной жизни и конкретно по вопросам полового воспитания (включая методы контрацепции и информацию о том, как и где можно получить противозачаточные средства).</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В школах должны быть созданы возможности для обсуждения этих вопросов учащимися и их родителями.</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Когда это необходимо, в школах должны быть введены программы позитивных действий для девочек, чтобы они не были лишены возможности подготовиться к работе на руководящих постах в будущем. Учащихся, которые прошли через опыт подростковой беременности или стали родителями в этом возрасте, можно привлечь, где это возможно, к участию в консультировании других учеников.</w:t>
      </w:r>
    </w:p>
    <w:p w:rsidR="00000000" w:rsidRDefault="00000000">
      <w:pPr>
        <w:pStyle w:val="BodyText2"/>
        <w:tabs>
          <w:tab w:val="left" w:pos="680"/>
          <w:tab w:val="left" w:pos="1134"/>
        </w:tabs>
        <w:spacing w:before="240"/>
        <w:jc w:val="both"/>
        <w:rPr>
          <w:b w:val="0"/>
          <w:sz w:val="22"/>
        </w:rPr>
      </w:pPr>
      <w:r>
        <w:rPr>
          <w:b w:val="0"/>
          <w:sz w:val="22"/>
        </w:rPr>
        <w:t>Согласно докладу</w:t>
      </w:r>
      <w:r>
        <w:rPr>
          <w:rStyle w:val="FootnoteReference"/>
          <w:b w:val="0"/>
          <w:sz w:val="22"/>
        </w:rPr>
        <w:footnoteReference w:customMarkFollows="1" w:id="73"/>
        <w:t>72</w:t>
      </w:r>
      <w:r>
        <w:rPr>
          <w:b w:val="0"/>
          <w:sz w:val="22"/>
        </w:rPr>
        <w:t xml:space="preserve"> Министерства базового образования, спорта и культуры, показатель новых случаев ВИЧ-инфицирования среди молодежи (15–24 года) остается высоким, а 25 процентов девушек, бросивших школу в 2000 году, сделали это по причине беременности. Поэтому Форум африканских женщин-педагогов в Намибии, стремясь снизить число случаев ВИЧ-инфицирования, заболевания СПИДом, нежелательной беременности и инфекций, передаваемых половым путем, начал кампанию по расширению доступа девочек к информации о репродуктивном здоровье и безопасном сексе. На базе созданных клубов по проблемам ВИЧ/СПИДа в школах, во время проведения экскурсий для девочек из племени сан и занятий во время каникул Форум </w:t>
      </w:r>
      <w:r>
        <w:rPr>
          <w:b w:val="0"/>
          <w:sz w:val="22"/>
          <w:lang w:val="en-US"/>
        </w:rPr>
        <w:t>FAWENA</w:t>
      </w:r>
      <w:r>
        <w:rPr>
          <w:b w:val="0"/>
          <w:sz w:val="22"/>
        </w:rPr>
        <w:t xml:space="preserve"> организует семинары-практикумы и распространяет информацию, чтобы вооружить девушек и юношей знаниями, позволяющими им отстаивать изменения в своем поведении.</w:t>
      </w:r>
    </w:p>
    <w:p w:rsidR="00000000" w:rsidRDefault="00000000">
      <w:pPr>
        <w:pStyle w:val="BodyText2"/>
        <w:tabs>
          <w:tab w:val="left" w:pos="680"/>
          <w:tab w:val="left" w:pos="1134"/>
        </w:tabs>
        <w:spacing w:before="240"/>
        <w:jc w:val="both"/>
        <w:rPr>
          <w:b w:val="0"/>
          <w:sz w:val="22"/>
        </w:rPr>
      </w:pPr>
      <w:r>
        <w:rPr>
          <w:b w:val="0"/>
          <w:sz w:val="22"/>
        </w:rPr>
        <w:t>Ассоциация планируемого родительства Намибии (</w:t>
      </w:r>
      <w:r>
        <w:rPr>
          <w:b w:val="0"/>
          <w:sz w:val="22"/>
          <w:lang w:val="en-US"/>
        </w:rPr>
        <w:t>NAPPA</w:t>
      </w:r>
      <w:r>
        <w:rPr>
          <w:b w:val="0"/>
          <w:sz w:val="22"/>
        </w:rPr>
        <w:t>) является неправительственной организацией, задачами которой являются:</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Symbol" w:char="F0B7"/>
      </w:r>
      <w:r>
        <w:rPr>
          <w:b w:val="0"/>
          <w:sz w:val="22"/>
        </w:rPr>
        <w:tab/>
        <w:t>расширить доступ молодежи к информации и повысить осведомленность молодежи о сексуальном и репродуктивном здоровье, включая практику безопасного секса, с целью сокращения случаев заражения ИППП/ВИЧ и передачи ВИЧ от матери к ребенку;</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Symbol" w:char="F0B7"/>
      </w:r>
      <w:r>
        <w:rPr>
          <w:b w:val="0"/>
          <w:sz w:val="22"/>
        </w:rPr>
        <w:tab/>
        <w:t xml:space="preserve">создать в общинах каналы, через которые </w:t>
      </w:r>
      <w:r>
        <w:rPr>
          <w:b w:val="0"/>
          <w:sz w:val="22"/>
          <w:lang w:val="en-US"/>
        </w:rPr>
        <w:t>NAPPA</w:t>
      </w:r>
      <w:r>
        <w:rPr>
          <w:b w:val="0"/>
          <w:sz w:val="22"/>
        </w:rPr>
        <w:t xml:space="preserve"> могла бы осуществлять пропагандистскую деятельность и распространять информацию с целью оказания влияния на изменение политики, социальных установок и типов поведения, касающихся половой жизни молодежи и их положения в обществе;</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Symbol" w:char="F0B7"/>
      </w:r>
      <w:r>
        <w:rPr>
          <w:b w:val="0"/>
          <w:sz w:val="22"/>
        </w:rPr>
        <w:tab/>
        <w:t>расширить рамки, в которых женщины, мужчины и молодежь могут делать свободный и осознанный выбор в отношении сексуального и репродуктивного здоровья и пользоваться правами без какого-либо принуждения, дискриминации и насилия.</w:t>
      </w:r>
    </w:p>
    <w:p w:rsidR="00000000" w:rsidRDefault="00000000">
      <w:pPr>
        <w:pStyle w:val="BodyText2"/>
        <w:tabs>
          <w:tab w:val="left" w:pos="680"/>
          <w:tab w:val="left" w:pos="1134"/>
        </w:tabs>
        <w:spacing w:before="240"/>
        <w:jc w:val="both"/>
        <w:rPr>
          <w:sz w:val="22"/>
        </w:rPr>
      </w:pPr>
      <w:r>
        <w:rPr>
          <w:sz w:val="22"/>
        </w:rPr>
        <w:t>10.6</w:t>
      </w:r>
      <w:r>
        <w:rPr>
          <w:sz w:val="22"/>
        </w:rPr>
        <w:tab/>
        <w:t>Подготовка преподавателей до поступления на работу</w:t>
      </w:r>
    </w:p>
    <w:p w:rsidR="00000000" w:rsidRDefault="00000000">
      <w:pPr>
        <w:pStyle w:val="BodyText2"/>
        <w:tabs>
          <w:tab w:val="left" w:pos="680"/>
          <w:tab w:val="left" w:pos="1134"/>
        </w:tabs>
        <w:spacing w:before="240"/>
        <w:jc w:val="both"/>
        <w:rPr>
          <w:b w:val="0"/>
          <w:sz w:val="22"/>
        </w:rPr>
      </w:pPr>
      <w:r>
        <w:rPr>
          <w:b w:val="0"/>
          <w:sz w:val="22"/>
        </w:rPr>
        <w:t>Если преподаватели должны сыграть позитивную роль в сокращении числа случаев беременности среди учащихся и в пропаганде репродуктивного и сексуального здоровья, их необходимо готовить к этому во время их учебы в колледже или университете:</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Будущих учителей необходимо ориентировать на принятие во внимание гендерных факторов в своей будущей работе.</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Всех будущих учителей следует ознакомить с принципами просвещения по вопросам демографии и семейной жизни и способами включения этих вопросов в школьные программы, а также подготовить их (независимо от того, какой предмет они будут преподавать) к обсуждению этих тем с учащимися.</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 xml:space="preserve">Будущие преподаватели должны ознакомиться с профессиональной этикой преподавания, кодексом поведения, под которым они будут должны поставить свою подпись, со значением концепции </w:t>
      </w:r>
      <w:r>
        <w:rPr>
          <w:b w:val="0"/>
          <w:i/>
          <w:sz w:val="22"/>
          <w:lang w:val="en-US"/>
        </w:rPr>
        <w:t>in</w:t>
      </w:r>
      <w:r>
        <w:rPr>
          <w:b w:val="0"/>
          <w:i/>
          <w:sz w:val="22"/>
        </w:rPr>
        <w:t xml:space="preserve"> </w:t>
      </w:r>
      <w:r>
        <w:rPr>
          <w:b w:val="0"/>
          <w:i/>
          <w:sz w:val="22"/>
          <w:lang w:val="en-US"/>
        </w:rPr>
        <w:t>loco</w:t>
      </w:r>
      <w:r>
        <w:rPr>
          <w:b w:val="0"/>
          <w:i/>
          <w:sz w:val="22"/>
        </w:rPr>
        <w:t xml:space="preserve"> </w:t>
      </w:r>
      <w:r>
        <w:rPr>
          <w:b w:val="0"/>
          <w:i/>
          <w:sz w:val="22"/>
          <w:lang w:val="en-US"/>
        </w:rPr>
        <w:t>parentis</w:t>
      </w:r>
      <w:r>
        <w:rPr>
          <w:b w:val="0"/>
          <w:i/>
          <w:sz w:val="22"/>
        </w:rPr>
        <w:t xml:space="preserve"> </w:t>
      </w:r>
      <w:r>
        <w:rPr>
          <w:b w:val="0"/>
          <w:sz w:val="22"/>
        </w:rPr>
        <w:t>(на месте родителей), с юридическими условиями их найма на работу, включая толкование понятия неправомерного поведения и связанные с ним процедуры.</w:t>
      </w:r>
    </w:p>
    <w:p w:rsidR="00000000" w:rsidRDefault="00000000">
      <w:pPr>
        <w:pStyle w:val="BodyText2"/>
        <w:tabs>
          <w:tab w:val="left" w:pos="680"/>
          <w:tab w:val="left" w:pos="1134"/>
        </w:tabs>
        <w:spacing w:before="240"/>
        <w:jc w:val="both"/>
        <w:rPr>
          <w:sz w:val="22"/>
        </w:rPr>
      </w:pPr>
      <w:r>
        <w:rPr>
          <w:sz w:val="22"/>
        </w:rPr>
        <w:t>10.7</w:t>
      </w:r>
      <w:r>
        <w:rPr>
          <w:sz w:val="22"/>
        </w:rPr>
        <w:tab/>
        <w:t>Повышение квалификации практикующих учителей без отрыва от работы</w:t>
      </w:r>
    </w:p>
    <w:p w:rsidR="00000000" w:rsidRDefault="00000000">
      <w:pPr>
        <w:pStyle w:val="BodyText2"/>
        <w:tabs>
          <w:tab w:val="left" w:pos="680"/>
          <w:tab w:val="left" w:pos="1134"/>
        </w:tabs>
        <w:spacing w:before="240"/>
        <w:jc w:val="both"/>
        <w:rPr>
          <w:b w:val="0"/>
          <w:sz w:val="22"/>
        </w:rPr>
      </w:pPr>
      <w:r>
        <w:rPr>
          <w:b w:val="0"/>
          <w:sz w:val="22"/>
        </w:rPr>
        <w:t>Раньше преподавателей не готовили к обсуждению вопросов репродуктивного и сексуального здоровья. Поэтому подготовка преподавателей по этим вопросам без отрыва от работы имеет важное значение для всех директоров школ и преподавателей.</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На региональных семинарах-практикумах всех инспекторов учебных заведений и директоров школ знакомят с вопросами просвещения в области семейной жизни, а также политикой министерства по вопросам отношений полов и беременности в контексте школьной жизни.</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Такое же инструктирование проводится для всех преподавателей на выездных или проводимых в школах семинарах-практикумах.</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На собраниях сотрудников или семинарах-практикумах в школах необходимо ознакомить преподавателей с порядком направления учащихся конкретной школы для консультации или лечения, поскольку каждая школа связана с местной клиникой или больницей или центром социальных услуг.</w:t>
      </w:r>
    </w:p>
    <w:p w:rsidR="00000000" w:rsidRDefault="00000000">
      <w:pPr>
        <w:pStyle w:val="BodyText2"/>
        <w:tabs>
          <w:tab w:val="left" w:pos="680"/>
          <w:tab w:val="left" w:pos="1134"/>
        </w:tabs>
        <w:spacing w:before="240"/>
        <w:jc w:val="both"/>
        <w:rPr>
          <w:b w:val="0"/>
          <w:sz w:val="22"/>
        </w:rPr>
      </w:pPr>
      <w:r>
        <w:rPr>
          <w:b w:val="0"/>
          <w:sz w:val="22"/>
        </w:rPr>
        <w:sym w:font="Wingdings" w:char="F076"/>
      </w:r>
      <w:r>
        <w:rPr>
          <w:b w:val="0"/>
          <w:sz w:val="22"/>
        </w:rPr>
        <w:tab/>
        <w:t>Школам нужны преподаватели, обученные инструктированию и консультированию в вопросах, которые интересуют их учащихся.</w:t>
      </w:r>
    </w:p>
    <w:p w:rsidR="00000000" w:rsidRDefault="00000000">
      <w:pPr>
        <w:pStyle w:val="BodyText2"/>
        <w:tabs>
          <w:tab w:val="left" w:pos="680"/>
          <w:tab w:val="left" w:pos="1134"/>
        </w:tabs>
        <w:spacing w:before="240"/>
        <w:jc w:val="both"/>
        <w:rPr>
          <w:b w:val="0"/>
          <w:sz w:val="22"/>
        </w:rPr>
      </w:pPr>
      <w:r>
        <w:rPr>
          <w:b w:val="0"/>
          <w:sz w:val="22"/>
        </w:rPr>
        <w:t>Хотя государство гарантирует бесплатное начальное образование, для финансирования факультативных учебных мероприятий, таких как проведение спортивных соревнований на природе, создаются школьные фонды развития, однако механизма для контроля за этим основным правом нет. Поэтому родители должны сами вносить средства в школьные фонды развития. Однако, если у родителей нет средств для внесения в фонд развития какой-либо школы, они имеют право обратиться в конкретную школу с просьбой освободить их от уплаты взноса, объяснив свою ситуацию школьному совету.</w:t>
      </w:r>
    </w:p>
    <w:p w:rsidR="00000000" w:rsidRDefault="00000000">
      <w:pPr>
        <w:pStyle w:val="BodyText2"/>
        <w:tabs>
          <w:tab w:val="left" w:pos="680"/>
          <w:tab w:val="left" w:pos="1134"/>
        </w:tabs>
        <w:spacing w:before="360"/>
        <w:jc w:val="both"/>
        <w:rPr>
          <w:sz w:val="22"/>
        </w:rPr>
      </w:pPr>
      <w:r>
        <w:rPr>
          <w:sz w:val="22"/>
        </w:rPr>
        <w:t>СТАТЬЯ 11:</w:t>
      </w:r>
      <w:r>
        <w:rPr>
          <w:sz w:val="22"/>
        </w:rPr>
        <w:tab/>
        <w:t>Положение в области занятости</w:t>
      </w:r>
    </w:p>
    <w:p w:rsidR="00000000" w:rsidRDefault="00000000">
      <w:pPr>
        <w:pStyle w:val="BodyText2"/>
        <w:tabs>
          <w:tab w:val="left" w:pos="680"/>
          <w:tab w:val="left" w:pos="1134"/>
        </w:tabs>
        <w:spacing w:before="240"/>
        <w:jc w:val="both"/>
        <w:rPr>
          <w:sz w:val="22"/>
        </w:rPr>
      </w:pPr>
      <w:r>
        <w:rPr>
          <w:sz w:val="22"/>
        </w:rPr>
        <w:t>11.1</w:t>
      </w:r>
      <w:r>
        <w:rPr>
          <w:sz w:val="22"/>
        </w:rPr>
        <w:tab/>
        <w:t>Численность рабочей силы</w:t>
      </w:r>
    </w:p>
    <w:p w:rsidR="00000000" w:rsidRDefault="00000000">
      <w:pPr>
        <w:pStyle w:val="BodyText2"/>
        <w:tabs>
          <w:tab w:val="left" w:pos="680"/>
          <w:tab w:val="left" w:pos="1134"/>
        </w:tabs>
        <w:spacing w:before="240"/>
        <w:jc w:val="both"/>
        <w:rPr>
          <w:b w:val="0"/>
          <w:sz w:val="22"/>
        </w:rPr>
      </w:pPr>
      <w:r>
        <w:rPr>
          <w:b w:val="0"/>
          <w:sz w:val="22"/>
        </w:rPr>
        <w:t>Согласно обследованию трудовых ресурсов, проведенному в 2000 году, численность занятого населения составляет 401 203 человека, причем большую долю составляют мужчины (55 процентов) и городское население (56 процентов). Число безработных, однако, в значительной мере зависит от используемого критерия их подсчета ("широкого" или "строгого"). Согласно широкому критерию численность безработных, то есть лиц, которые являются работоспособными, но в данный момент могут активно или неактивно искать работу, составляет 211 416 человек. Если использовать строгое определение безработицы, число безработных уменьшится вдвое и составит 97 121 человек, которые являются работоспособными и активно ищут работу. Разницу в 114 295 человек фактически составляют те, кто не занят активными поисками работы.</w:t>
      </w:r>
    </w:p>
    <w:p w:rsidR="00000000" w:rsidRDefault="00000000">
      <w:pPr>
        <w:pStyle w:val="BodyText2"/>
        <w:tabs>
          <w:tab w:val="left" w:pos="680"/>
          <w:tab w:val="left" w:pos="1134"/>
        </w:tabs>
        <w:spacing w:before="240"/>
        <w:jc w:val="both"/>
        <w:rPr>
          <w:b w:val="0"/>
          <w:sz w:val="22"/>
        </w:rPr>
      </w:pPr>
      <w:r>
        <w:rPr>
          <w:b w:val="0"/>
          <w:sz w:val="22"/>
        </w:rPr>
        <w:t>Эта разница представляет собой также разницу в оценках рабочей силы согласно двум определениям безработицы.</w:t>
      </w:r>
    </w:p>
    <w:p w:rsidR="00000000" w:rsidRDefault="00000000">
      <w:pPr>
        <w:pStyle w:val="BodyText2"/>
        <w:tabs>
          <w:tab w:val="left" w:pos="680"/>
          <w:tab w:val="left" w:pos="1134"/>
        </w:tabs>
        <w:spacing w:before="240"/>
        <w:jc w:val="both"/>
        <w:rPr>
          <w:sz w:val="22"/>
        </w:rPr>
      </w:pPr>
      <w:r>
        <w:rPr>
          <w:sz w:val="22"/>
        </w:rPr>
        <w:t>11.2</w:t>
      </w:r>
      <w:r>
        <w:rPr>
          <w:sz w:val="22"/>
        </w:rPr>
        <w:tab/>
        <w:t>Уровень безработицы с разбивкой по районам, областям и полу</w:t>
      </w:r>
    </w:p>
    <w:p w:rsidR="00000000" w:rsidRDefault="00000000">
      <w:pPr>
        <w:pStyle w:val="BodyText2"/>
        <w:tabs>
          <w:tab w:val="left" w:pos="680"/>
          <w:tab w:val="left" w:pos="1134"/>
        </w:tabs>
        <w:spacing w:before="240"/>
        <w:jc w:val="both"/>
        <w:rPr>
          <w:b w:val="0"/>
          <w:sz w:val="22"/>
        </w:rPr>
      </w:pPr>
      <w:r>
        <w:rPr>
          <w:b w:val="0"/>
          <w:sz w:val="22"/>
        </w:rPr>
        <w:t>Безработица является одной из серьезных проблем. Из общей численности рабочей силы, составлявшей в 2000 году 612 616 человек (307 454 мужчин и 305 165 женщин), безработными были примерно 35 процентов</w:t>
      </w:r>
      <w:r>
        <w:rPr>
          <w:rStyle w:val="FootnoteReference"/>
          <w:b w:val="0"/>
          <w:sz w:val="22"/>
        </w:rPr>
        <w:footnoteReference w:customMarkFollows="1" w:id="74"/>
        <w:t>73</w:t>
      </w:r>
      <w:r>
        <w:rPr>
          <w:b w:val="0"/>
          <w:sz w:val="22"/>
        </w:rPr>
        <w:t>.</w:t>
      </w:r>
    </w:p>
    <w:p w:rsidR="00000000" w:rsidRDefault="00000000">
      <w:pPr>
        <w:pStyle w:val="BodyText2"/>
        <w:tabs>
          <w:tab w:val="left" w:pos="680"/>
          <w:tab w:val="left" w:pos="1134"/>
        </w:tabs>
        <w:spacing w:before="240"/>
        <w:jc w:val="both"/>
        <w:rPr>
          <w:b w:val="0"/>
          <w:sz w:val="22"/>
        </w:rPr>
      </w:pPr>
      <w:r>
        <w:rPr>
          <w:b w:val="0"/>
          <w:sz w:val="22"/>
        </w:rPr>
        <w:t>В обследовании трудовых ресурсов Намибии уровень безработицы также представлен на основании различных критериев. Согласно широкому определению безработицы уровень безработицы в Намибии составлял в 2000 году 34,5 процента. Это очень высокий уровень, но его нельзя напрямую сравнивать с гораздо более низкими показателями, полученными в ходе проводившихся в Намибии обследований в предыдущие годы. Действительно, если, как в предыдущие годы, применить строгое определение безработицы, то есть не считать безработными тех, кто не занят поисками работы, этот показатель существенно снизился бы и составил 19,5 процента. Доля безработных среди женщин гораздо выше и составляет 40 процентов по сравнению с 29 процентами для мужчин.</w:t>
      </w:r>
    </w:p>
    <w:p w:rsidR="00000000" w:rsidRDefault="00000000">
      <w:pPr>
        <w:pStyle w:val="BodyText2"/>
        <w:tabs>
          <w:tab w:val="left" w:pos="680"/>
          <w:tab w:val="left" w:pos="1134"/>
        </w:tabs>
        <w:spacing w:before="240"/>
        <w:jc w:val="both"/>
        <w:rPr>
          <w:b w:val="0"/>
          <w:sz w:val="22"/>
        </w:rPr>
      </w:pPr>
      <w:r>
        <w:rPr>
          <w:b w:val="0"/>
          <w:sz w:val="22"/>
        </w:rPr>
        <w:t>В таблице 6 представлены тенденции изменений в численности рабочей силы, занятости и безработицы на основе узкого и широкого определений безработицы, соответственно.</w:t>
      </w:r>
    </w:p>
    <w:p w:rsidR="00000000" w:rsidRDefault="00000000">
      <w:pPr>
        <w:pStyle w:val="BodyText2"/>
        <w:tabs>
          <w:tab w:val="left" w:pos="680"/>
          <w:tab w:val="left" w:pos="1134"/>
        </w:tabs>
        <w:jc w:val="both"/>
        <w:rPr>
          <w:sz w:val="22"/>
        </w:rPr>
      </w:pPr>
      <w:r>
        <w:rPr>
          <w:sz w:val="22"/>
        </w:rPr>
        <w:br w:type="page"/>
        <w:t>Таблица 6: Тенденции изменений в численности рабочей силы, занятости и безработицы в 1993/94 году и 2000 году* (СОГЛАСНО ШИРОКОМУ ОПРЕДЕЛЕНИЮ БЕЗРАБОТИЦЫ)</w:t>
      </w:r>
    </w:p>
    <w:p w:rsidR="00000000" w:rsidRDefault="00000000">
      <w:pPr>
        <w:pStyle w:val="BodyText2"/>
        <w:tabs>
          <w:tab w:val="left" w:pos="680"/>
          <w:tab w:val="left" w:pos="1134"/>
        </w:tabs>
        <w:jc w:val="both"/>
        <w:rPr>
          <w:b w:val="0"/>
          <w:sz w:val="22"/>
        </w:rPr>
      </w:pPr>
      <w:r>
        <w:rPr>
          <w:b w:val="0"/>
          <w:sz w:val="22"/>
        </w:rPr>
        <w:tab/>
      </w:r>
      <w:r>
        <w:rPr>
          <w:b w:val="0"/>
          <w:sz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28"/>
        <w:gridCol w:w="749"/>
        <w:gridCol w:w="627"/>
        <w:gridCol w:w="683"/>
        <w:gridCol w:w="638"/>
        <w:gridCol w:w="683"/>
        <w:gridCol w:w="627"/>
        <w:gridCol w:w="735"/>
        <w:gridCol w:w="683"/>
        <w:gridCol w:w="683"/>
        <w:gridCol w:w="688"/>
        <w:gridCol w:w="749"/>
        <w:gridCol w:w="683"/>
      </w:tblGrid>
      <w:tr w:rsidR="00000000">
        <w:tblPrEx>
          <w:tblCellMar>
            <w:top w:w="0" w:type="dxa"/>
            <w:bottom w:w="0" w:type="dxa"/>
          </w:tblCellMar>
        </w:tblPrEx>
        <w:trPr>
          <w:cantSplit/>
          <w:trHeight w:val="268"/>
          <w:jc w:val="center"/>
        </w:trPr>
        <w:tc>
          <w:tcPr>
            <w:tcW w:w="1128" w:type="dxa"/>
            <w:vMerge w:val="restart"/>
          </w:tcPr>
          <w:p w:rsidR="00000000" w:rsidRDefault="00000000">
            <w:pPr>
              <w:tabs>
                <w:tab w:val="left" w:pos="680"/>
                <w:tab w:val="left" w:pos="1134"/>
              </w:tabs>
              <w:jc w:val="both"/>
              <w:rPr>
                <w:b/>
                <w:sz w:val="16"/>
              </w:rPr>
            </w:pPr>
            <w:r>
              <w:rPr>
                <w:b/>
                <w:sz w:val="16"/>
              </w:rPr>
              <w:t>Обследование/область</w:t>
            </w:r>
          </w:p>
        </w:tc>
        <w:tc>
          <w:tcPr>
            <w:tcW w:w="2697" w:type="dxa"/>
            <w:gridSpan w:val="4"/>
          </w:tcPr>
          <w:p w:rsidR="00000000" w:rsidRDefault="00000000">
            <w:pPr>
              <w:tabs>
                <w:tab w:val="left" w:pos="680"/>
                <w:tab w:val="left" w:pos="1134"/>
              </w:tabs>
              <w:jc w:val="center"/>
              <w:rPr>
                <w:b/>
                <w:sz w:val="16"/>
              </w:rPr>
            </w:pPr>
            <w:r>
              <w:rPr>
                <w:b/>
                <w:sz w:val="16"/>
              </w:rPr>
              <w:t>ВСЕГО</w:t>
            </w:r>
          </w:p>
        </w:tc>
        <w:tc>
          <w:tcPr>
            <w:tcW w:w="2728" w:type="dxa"/>
            <w:gridSpan w:val="4"/>
          </w:tcPr>
          <w:p w:rsidR="00000000" w:rsidRDefault="00000000">
            <w:pPr>
              <w:tabs>
                <w:tab w:val="left" w:pos="680"/>
                <w:tab w:val="left" w:pos="1134"/>
              </w:tabs>
              <w:jc w:val="center"/>
              <w:rPr>
                <w:b/>
                <w:sz w:val="16"/>
              </w:rPr>
            </w:pPr>
            <w:r>
              <w:rPr>
                <w:b/>
                <w:sz w:val="16"/>
              </w:rPr>
              <w:t>ЖЕНЩИНЫ</w:t>
            </w:r>
          </w:p>
        </w:tc>
        <w:tc>
          <w:tcPr>
            <w:tcW w:w="2803" w:type="dxa"/>
            <w:gridSpan w:val="4"/>
          </w:tcPr>
          <w:p w:rsidR="00000000" w:rsidRDefault="00000000">
            <w:pPr>
              <w:tabs>
                <w:tab w:val="left" w:pos="680"/>
                <w:tab w:val="left" w:pos="1134"/>
              </w:tabs>
              <w:jc w:val="center"/>
              <w:rPr>
                <w:b/>
                <w:sz w:val="16"/>
              </w:rPr>
            </w:pPr>
            <w:r>
              <w:rPr>
                <w:b/>
                <w:sz w:val="16"/>
              </w:rPr>
              <w:t>МУЖЧИНЫ</w:t>
            </w:r>
          </w:p>
        </w:tc>
      </w:tr>
      <w:tr w:rsidR="00000000">
        <w:tblPrEx>
          <w:tblCellMar>
            <w:top w:w="0" w:type="dxa"/>
            <w:bottom w:w="0" w:type="dxa"/>
          </w:tblCellMar>
        </w:tblPrEx>
        <w:trPr>
          <w:cantSplit/>
          <w:trHeight w:val="825"/>
          <w:jc w:val="center"/>
        </w:trPr>
        <w:tc>
          <w:tcPr>
            <w:tcW w:w="1128" w:type="dxa"/>
            <w:vMerge/>
          </w:tcPr>
          <w:p w:rsidR="00000000" w:rsidRDefault="00000000">
            <w:pPr>
              <w:tabs>
                <w:tab w:val="left" w:pos="680"/>
                <w:tab w:val="left" w:pos="1134"/>
              </w:tabs>
              <w:jc w:val="both"/>
              <w:rPr>
                <w:b/>
                <w:sz w:val="16"/>
                <w:lang w:val="en-US"/>
              </w:rPr>
            </w:pPr>
          </w:p>
        </w:tc>
        <w:tc>
          <w:tcPr>
            <w:tcW w:w="749" w:type="dxa"/>
          </w:tcPr>
          <w:p w:rsidR="00000000" w:rsidRDefault="00000000">
            <w:pPr>
              <w:tabs>
                <w:tab w:val="left" w:pos="680"/>
                <w:tab w:val="left" w:pos="1134"/>
              </w:tabs>
              <w:rPr>
                <w:b/>
                <w:sz w:val="16"/>
              </w:rPr>
            </w:pPr>
            <w:r>
              <w:rPr>
                <w:b/>
                <w:sz w:val="16"/>
              </w:rPr>
              <w:t>Занятые (число)</w:t>
            </w:r>
          </w:p>
        </w:tc>
        <w:tc>
          <w:tcPr>
            <w:tcW w:w="627" w:type="dxa"/>
          </w:tcPr>
          <w:p w:rsidR="00000000" w:rsidRDefault="00000000">
            <w:pPr>
              <w:tabs>
                <w:tab w:val="left" w:pos="680"/>
                <w:tab w:val="left" w:pos="1134"/>
              </w:tabs>
              <w:rPr>
                <w:b/>
                <w:sz w:val="16"/>
              </w:rPr>
            </w:pPr>
            <w:r>
              <w:rPr>
                <w:b/>
                <w:sz w:val="16"/>
              </w:rPr>
              <w:t>Безра-ботные (число)</w:t>
            </w:r>
          </w:p>
        </w:tc>
        <w:tc>
          <w:tcPr>
            <w:tcW w:w="683" w:type="dxa"/>
          </w:tcPr>
          <w:p w:rsidR="00000000" w:rsidRDefault="00000000">
            <w:pPr>
              <w:tabs>
                <w:tab w:val="left" w:pos="680"/>
                <w:tab w:val="left" w:pos="1134"/>
              </w:tabs>
              <w:rPr>
                <w:b/>
                <w:sz w:val="16"/>
              </w:rPr>
            </w:pPr>
            <w:r>
              <w:rPr>
                <w:b/>
                <w:sz w:val="16"/>
              </w:rPr>
              <w:t>Рабочая сила (числен-ность)</w:t>
            </w:r>
          </w:p>
        </w:tc>
        <w:tc>
          <w:tcPr>
            <w:tcW w:w="638" w:type="dxa"/>
          </w:tcPr>
          <w:p w:rsidR="00000000" w:rsidRDefault="00000000">
            <w:pPr>
              <w:tabs>
                <w:tab w:val="left" w:pos="680"/>
                <w:tab w:val="left" w:pos="1134"/>
              </w:tabs>
              <w:rPr>
                <w:b/>
                <w:sz w:val="16"/>
              </w:rPr>
            </w:pPr>
            <w:r>
              <w:rPr>
                <w:b/>
                <w:sz w:val="16"/>
              </w:rPr>
              <w:t xml:space="preserve">Уро-вень безра-ботицы (%) </w:t>
            </w:r>
          </w:p>
        </w:tc>
        <w:tc>
          <w:tcPr>
            <w:tcW w:w="683" w:type="dxa"/>
          </w:tcPr>
          <w:p w:rsidR="00000000" w:rsidRDefault="00000000">
            <w:pPr>
              <w:tabs>
                <w:tab w:val="left" w:pos="680"/>
                <w:tab w:val="left" w:pos="1134"/>
              </w:tabs>
              <w:rPr>
                <w:b/>
                <w:sz w:val="16"/>
              </w:rPr>
            </w:pPr>
            <w:r>
              <w:rPr>
                <w:b/>
                <w:sz w:val="16"/>
              </w:rPr>
              <w:t>Занятые (число)</w:t>
            </w:r>
          </w:p>
        </w:tc>
        <w:tc>
          <w:tcPr>
            <w:tcW w:w="627" w:type="dxa"/>
          </w:tcPr>
          <w:p w:rsidR="00000000" w:rsidRDefault="00000000">
            <w:pPr>
              <w:tabs>
                <w:tab w:val="left" w:pos="680"/>
                <w:tab w:val="left" w:pos="1134"/>
              </w:tabs>
              <w:rPr>
                <w:b/>
                <w:sz w:val="16"/>
              </w:rPr>
            </w:pPr>
            <w:r>
              <w:rPr>
                <w:b/>
                <w:sz w:val="16"/>
              </w:rPr>
              <w:t>Безра-ботные (число)</w:t>
            </w:r>
          </w:p>
        </w:tc>
        <w:tc>
          <w:tcPr>
            <w:tcW w:w="735" w:type="dxa"/>
          </w:tcPr>
          <w:p w:rsidR="00000000" w:rsidRDefault="00000000">
            <w:pPr>
              <w:tabs>
                <w:tab w:val="left" w:pos="680"/>
                <w:tab w:val="left" w:pos="1134"/>
              </w:tabs>
              <w:rPr>
                <w:b/>
                <w:sz w:val="16"/>
              </w:rPr>
            </w:pPr>
            <w:r>
              <w:rPr>
                <w:b/>
                <w:sz w:val="16"/>
              </w:rPr>
              <w:t>Рабочая сила (числен-ность)</w:t>
            </w:r>
          </w:p>
        </w:tc>
        <w:tc>
          <w:tcPr>
            <w:tcW w:w="683" w:type="dxa"/>
          </w:tcPr>
          <w:p w:rsidR="00000000" w:rsidRDefault="00000000">
            <w:pPr>
              <w:tabs>
                <w:tab w:val="left" w:pos="680"/>
                <w:tab w:val="left" w:pos="1134"/>
              </w:tabs>
              <w:rPr>
                <w:b/>
                <w:sz w:val="16"/>
              </w:rPr>
            </w:pPr>
            <w:r>
              <w:rPr>
                <w:b/>
                <w:sz w:val="16"/>
              </w:rPr>
              <w:t xml:space="preserve">Уро-вень безрабо-тицы (%) </w:t>
            </w:r>
          </w:p>
        </w:tc>
        <w:tc>
          <w:tcPr>
            <w:tcW w:w="683" w:type="dxa"/>
          </w:tcPr>
          <w:p w:rsidR="00000000" w:rsidRDefault="00000000">
            <w:pPr>
              <w:tabs>
                <w:tab w:val="left" w:pos="680"/>
                <w:tab w:val="left" w:pos="1134"/>
              </w:tabs>
              <w:rPr>
                <w:b/>
                <w:sz w:val="16"/>
              </w:rPr>
            </w:pPr>
            <w:r>
              <w:rPr>
                <w:b/>
                <w:sz w:val="16"/>
              </w:rPr>
              <w:t>Занятые (число)</w:t>
            </w:r>
          </w:p>
        </w:tc>
        <w:tc>
          <w:tcPr>
            <w:tcW w:w="688" w:type="dxa"/>
          </w:tcPr>
          <w:p w:rsidR="00000000" w:rsidRDefault="00000000">
            <w:pPr>
              <w:tabs>
                <w:tab w:val="left" w:pos="680"/>
                <w:tab w:val="left" w:pos="1134"/>
              </w:tabs>
              <w:rPr>
                <w:b/>
                <w:sz w:val="16"/>
              </w:rPr>
            </w:pPr>
            <w:r>
              <w:rPr>
                <w:b/>
                <w:sz w:val="16"/>
              </w:rPr>
              <w:t>Безра-ботные (число)</w:t>
            </w:r>
          </w:p>
        </w:tc>
        <w:tc>
          <w:tcPr>
            <w:tcW w:w="749" w:type="dxa"/>
          </w:tcPr>
          <w:p w:rsidR="00000000" w:rsidRDefault="00000000">
            <w:pPr>
              <w:tabs>
                <w:tab w:val="left" w:pos="680"/>
                <w:tab w:val="left" w:pos="1134"/>
              </w:tabs>
              <w:rPr>
                <w:b/>
                <w:sz w:val="16"/>
              </w:rPr>
            </w:pPr>
            <w:r>
              <w:rPr>
                <w:b/>
                <w:sz w:val="16"/>
              </w:rPr>
              <w:t>Рабочая сила (числен-ность)</w:t>
            </w:r>
          </w:p>
        </w:tc>
        <w:tc>
          <w:tcPr>
            <w:tcW w:w="683" w:type="dxa"/>
          </w:tcPr>
          <w:p w:rsidR="00000000" w:rsidRDefault="00000000">
            <w:pPr>
              <w:tabs>
                <w:tab w:val="left" w:pos="680"/>
                <w:tab w:val="left" w:pos="1134"/>
              </w:tabs>
              <w:rPr>
                <w:b/>
                <w:sz w:val="16"/>
              </w:rPr>
            </w:pPr>
            <w:r>
              <w:rPr>
                <w:b/>
                <w:sz w:val="16"/>
              </w:rPr>
              <w:t xml:space="preserve">Уро-вень безра-ботицы (%) </w:t>
            </w:r>
          </w:p>
        </w:tc>
      </w:tr>
      <w:tr w:rsidR="00000000">
        <w:tblPrEx>
          <w:tblCellMar>
            <w:top w:w="0" w:type="dxa"/>
            <w:bottom w:w="0" w:type="dxa"/>
          </w:tblCellMar>
        </w:tblPrEx>
        <w:trPr>
          <w:jc w:val="center"/>
        </w:trPr>
        <w:tc>
          <w:tcPr>
            <w:tcW w:w="1128" w:type="dxa"/>
          </w:tcPr>
          <w:p w:rsidR="00000000" w:rsidRDefault="00000000">
            <w:pPr>
              <w:tabs>
                <w:tab w:val="left" w:pos="680"/>
                <w:tab w:val="left" w:pos="1134"/>
              </w:tabs>
              <w:rPr>
                <w:sz w:val="16"/>
              </w:rPr>
            </w:pPr>
          </w:p>
          <w:p w:rsidR="00000000" w:rsidRDefault="00000000">
            <w:pPr>
              <w:tabs>
                <w:tab w:val="left" w:pos="680"/>
                <w:tab w:val="left" w:pos="1134"/>
              </w:tabs>
              <w:rPr>
                <w:sz w:val="16"/>
              </w:rPr>
            </w:pPr>
            <w:r>
              <w:rPr>
                <w:sz w:val="16"/>
              </w:rPr>
              <w:t>1993/94 год</w:t>
            </w:r>
          </w:p>
          <w:p w:rsidR="00000000" w:rsidRDefault="00000000">
            <w:pPr>
              <w:pStyle w:val="BodyText2"/>
              <w:tabs>
                <w:tab w:val="left" w:pos="680"/>
                <w:tab w:val="left" w:pos="1134"/>
              </w:tabs>
              <w:rPr>
                <w:b w:val="0"/>
                <w:sz w:val="16"/>
              </w:rPr>
            </w:pPr>
            <w:r>
              <w:rPr>
                <w:b w:val="0"/>
                <w:sz w:val="16"/>
              </w:rPr>
              <w:t>Обследование доходов и расходов домохозяйств:</w:t>
            </w:r>
          </w:p>
          <w:p w:rsidR="00000000" w:rsidRDefault="00000000">
            <w:pPr>
              <w:pStyle w:val="BodyText2"/>
              <w:tabs>
                <w:tab w:val="left" w:pos="680"/>
                <w:tab w:val="left" w:pos="1134"/>
              </w:tabs>
              <w:rPr>
                <w:b w:val="0"/>
                <w:sz w:val="16"/>
              </w:rPr>
            </w:pPr>
            <w:r>
              <w:rPr>
                <w:b w:val="0"/>
                <w:sz w:val="16"/>
              </w:rPr>
              <w:t>Городское население</w:t>
            </w:r>
          </w:p>
          <w:p w:rsidR="00000000" w:rsidRDefault="00000000">
            <w:pPr>
              <w:pStyle w:val="BodyText2"/>
              <w:tabs>
                <w:tab w:val="left" w:pos="680"/>
                <w:tab w:val="left" w:pos="1134"/>
              </w:tabs>
              <w:rPr>
                <w:b w:val="0"/>
                <w:sz w:val="16"/>
              </w:rPr>
            </w:pPr>
            <w:r>
              <w:rPr>
                <w:b w:val="0"/>
                <w:sz w:val="16"/>
              </w:rPr>
              <w:t>Сельское население</w:t>
            </w:r>
          </w:p>
          <w:p w:rsidR="00000000" w:rsidRDefault="00000000">
            <w:pPr>
              <w:tabs>
                <w:tab w:val="left" w:pos="680"/>
                <w:tab w:val="left" w:pos="1134"/>
              </w:tabs>
              <w:rPr>
                <w:sz w:val="16"/>
              </w:rPr>
            </w:pPr>
            <w:r>
              <w:rPr>
                <w:sz w:val="16"/>
              </w:rPr>
              <w:t>В масштабе страны</w:t>
            </w:r>
          </w:p>
        </w:tc>
        <w:tc>
          <w:tcPr>
            <w:tcW w:w="749"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13</w:t>
            </w:r>
            <w:r>
              <w:rPr>
                <w:sz w:val="16"/>
              </w:rPr>
              <w:t xml:space="preserve"> </w:t>
            </w:r>
            <w:r>
              <w:rPr>
                <w:sz w:val="16"/>
                <w:lang w:val="en-US"/>
              </w:rPr>
              <w:t>447</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21</w:t>
            </w:r>
            <w:r>
              <w:rPr>
                <w:sz w:val="16"/>
              </w:rPr>
              <w:t xml:space="preserve"> </w:t>
            </w:r>
            <w:r>
              <w:rPr>
                <w:sz w:val="16"/>
                <w:lang w:val="en-US"/>
              </w:rPr>
              <w:t>583</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35</w:t>
            </w:r>
            <w:r>
              <w:rPr>
                <w:sz w:val="16"/>
              </w:rPr>
              <w:t xml:space="preserve"> </w:t>
            </w:r>
            <w:r>
              <w:rPr>
                <w:sz w:val="16"/>
                <w:lang w:val="en-US"/>
              </w:rPr>
              <w:t>020</w:t>
            </w:r>
          </w:p>
        </w:tc>
        <w:tc>
          <w:tcPr>
            <w:tcW w:w="627"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62</w:t>
            </w:r>
            <w:r>
              <w:rPr>
                <w:sz w:val="16"/>
              </w:rPr>
              <w:t xml:space="preserve"> </w:t>
            </w:r>
            <w:r>
              <w:rPr>
                <w:sz w:val="16"/>
                <w:lang w:val="en-US"/>
              </w:rPr>
              <w:t>124</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10</w:t>
            </w:r>
            <w:r>
              <w:rPr>
                <w:sz w:val="16"/>
              </w:rPr>
              <w:t xml:space="preserve"> </w:t>
            </w:r>
            <w:r>
              <w:rPr>
                <w:sz w:val="16"/>
                <w:lang w:val="en-US"/>
              </w:rPr>
              <w:t>947</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17</w:t>
            </w:r>
            <w:r>
              <w:rPr>
                <w:sz w:val="16"/>
              </w:rPr>
              <w:t xml:space="preserve"> </w:t>
            </w:r>
            <w:r>
              <w:rPr>
                <w:sz w:val="16"/>
                <w:lang w:val="en-US"/>
              </w:rPr>
              <w:t>151</w:t>
            </w:r>
          </w:p>
        </w:tc>
        <w:tc>
          <w:tcPr>
            <w:tcW w:w="683"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19</w:t>
            </w:r>
            <w:r>
              <w:rPr>
                <w:sz w:val="16"/>
              </w:rPr>
              <w:t xml:space="preserve"> </w:t>
            </w:r>
            <w:r>
              <w:rPr>
                <w:sz w:val="16"/>
                <w:lang w:val="en-US"/>
              </w:rPr>
              <w:t>651</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32</w:t>
            </w:r>
            <w:r>
              <w:rPr>
                <w:sz w:val="16"/>
              </w:rPr>
              <w:t xml:space="preserve"> </w:t>
            </w:r>
            <w:r>
              <w:rPr>
                <w:sz w:val="16"/>
                <w:lang w:val="en-US"/>
              </w:rPr>
              <w:t>520</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52</w:t>
            </w:r>
            <w:r>
              <w:rPr>
                <w:sz w:val="16"/>
              </w:rPr>
              <w:t xml:space="preserve"> </w:t>
            </w:r>
            <w:r>
              <w:rPr>
                <w:sz w:val="16"/>
                <w:lang w:val="en-US"/>
              </w:rPr>
              <w:t>181</w:t>
            </w:r>
          </w:p>
        </w:tc>
        <w:tc>
          <w:tcPr>
            <w:tcW w:w="638"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31,6</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33,6</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32,9</w:t>
            </w:r>
          </w:p>
        </w:tc>
        <w:tc>
          <w:tcPr>
            <w:tcW w:w="683"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56</w:t>
            </w:r>
            <w:r>
              <w:rPr>
                <w:sz w:val="16"/>
              </w:rPr>
              <w:t xml:space="preserve"> </w:t>
            </w:r>
            <w:r>
              <w:rPr>
                <w:sz w:val="16"/>
                <w:lang w:val="en-US"/>
              </w:rPr>
              <w:t>001</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10</w:t>
            </w:r>
            <w:r>
              <w:rPr>
                <w:sz w:val="16"/>
              </w:rPr>
              <w:t xml:space="preserve"> </w:t>
            </w:r>
            <w:r>
              <w:rPr>
                <w:sz w:val="16"/>
                <w:lang w:val="en-US"/>
              </w:rPr>
              <w:t>756</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16</w:t>
            </w:r>
            <w:r>
              <w:rPr>
                <w:sz w:val="16"/>
              </w:rPr>
              <w:t xml:space="preserve"> </w:t>
            </w:r>
            <w:r>
              <w:rPr>
                <w:sz w:val="16"/>
                <w:lang w:val="en-US"/>
              </w:rPr>
              <w:t>357</w:t>
            </w:r>
          </w:p>
        </w:tc>
        <w:tc>
          <w:tcPr>
            <w:tcW w:w="627"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37</w:t>
            </w:r>
            <w:r>
              <w:rPr>
                <w:sz w:val="16"/>
              </w:rPr>
              <w:t xml:space="preserve"> </w:t>
            </w:r>
            <w:r>
              <w:rPr>
                <w:sz w:val="16"/>
                <w:lang w:val="en-US"/>
              </w:rPr>
              <w:t>087</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68</w:t>
            </w:r>
            <w:r>
              <w:rPr>
                <w:sz w:val="16"/>
              </w:rPr>
              <w:t xml:space="preserve"> </w:t>
            </w:r>
            <w:r>
              <w:rPr>
                <w:sz w:val="16"/>
                <w:lang w:val="en-US"/>
              </w:rPr>
              <w:t>812</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10</w:t>
            </w:r>
            <w:r>
              <w:rPr>
                <w:sz w:val="16"/>
              </w:rPr>
              <w:t xml:space="preserve"> </w:t>
            </w:r>
            <w:r>
              <w:rPr>
                <w:sz w:val="16"/>
                <w:lang w:val="en-US"/>
              </w:rPr>
              <w:t>589</w:t>
            </w:r>
          </w:p>
        </w:tc>
        <w:tc>
          <w:tcPr>
            <w:tcW w:w="735"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93</w:t>
            </w:r>
            <w:r>
              <w:rPr>
                <w:sz w:val="16"/>
              </w:rPr>
              <w:t xml:space="preserve"> </w:t>
            </w:r>
            <w:r>
              <w:rPr>
                <w:sz w:val="16"/>
                <w:lang w:val="en-US"/>
              </w:rPr>
              <w:t>088</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17</w:t>
            </w:r>
            <w:r>
              <w:rPr>
                <w:sz w:val="16"/>
              </w:rPr>
              <w:t xml:space="preserve"> </w:t>
            </w:r>
            <w:r>
              <w:rPr>
                <w:sz w:val="16"/>
                <w:lang w:val="en-US"/>
              </w:rPr>
              <w:t>638</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26</w:t>
            </w:r>
            <w:r>
              <w:rPr>
                <w:sz w:val="16"/>
              </w:rPr>
              <w:t xml:space="preserve"> </w:t>
            </w:r>
            <w:r>
              <w:rPr>
                <w:sz w:val="16"/>
                <w:lang w:val="en-US"/>
              </w:rPr>
              <w:t>946</w:t>
            </w:r>
          </w:p>
        </w:tc>
        <w:tc>
          <w:tcPr>
            <w:tcW w:w="683"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39,8</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39,0</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39,3</w:t>
            </w:r>
          </w:p>
        </w:tc>
        <w:tc>
          <w:tcPr>
            <w:tcW w:w="683"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78</w:t>
            </w:r>
            <w:r>
              <w:rPr>
                <w:sz w:val="16"/>
              </w:rPr>
              <w:t xml:space="preserve"> </w:t>
            </w:r>
            <w:r>
              <w:rPr>
                <w:sz w:val="16"/>
                <w:lang w:val="en-US"/>
              </w:rPr>
              <w:t>406</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10</w:t>
            </w:r>
            <w:r>
              <w:rPr>
                <w:sz w:val="16"/>
              </w:rPr>
              <w:t xml:space="preserve"> </w:t>
            </w:r>
            <w:r>
              <w:rPr>
                <w:sz w:val="16"/>
                <w:lang w:val="en-US"/>
              </w:rPr>
              <w:t>837</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18</w:t>
            </w:r>
            <w:r>
              <w:rPr>
                <w:sz w:val="16"/>
              </w:rPr>
              <w:t xml:space="preserve"> </w:t>
            </w:r>
            <w:r>
              <w:rPr>
                <w:sz w:val="16"/>
                <w:lang w:val="en-US"/>
              </w:rPr>
              <w:t>673</w:t>
            </w:r>
          </w:p>
        </w:tc>
        <w:tc>
          <w:tcPr>
            <w:tcW w:w="688"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25</w:t>
            </w:r>
            <w:r>
              <w:rPr>
                <w:sz w:val="16"/>
              </w:rPr>
              <w:t xml:space="preserve"> </w:t>
            </w:r>
            <w:r>
              <w:rPr>
                <w:sz w:val="16"/>
                <w:lang w:val="en-US"/>
              </w:rPr>
              <w:t>037</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40</w:t>
            </w:r>
            <w:r>
              <w:rPr>
                <w:sz w:val="16"/>
              </w:rPr>
              <w:t xml:space="preserve"> </w:t>
            </w:r>
            <w:r>
              <w:rPr>
                <w:sz w:val="16"/>
                <w:lang w:val="en-US"/>
              </w:rPr>
              <w:t>605</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65</w:t>
            </w:r>
            <w:r>
              <w:rPr>
                <w:sz w:val="16"/>
              </w:rPr>
              <w:t xml:space="preserve"> </w:t>
            </w:r>
            <w:r>
              <w:rPr>
                <w:sz w:val="16"/>
                <w:lang w:val="en-US"/>
              </w:rPr>
              <w:t>642</w:t>
            </w:r>
          </w:p>
        </w:tc>
        <w:tc>
          <w:tcPr>
            <w:tcW w:w="749"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10</w:t>
            </w:r>
            <w:r>
              <w:rPr>
                <w:sz w:val="16"/>
              </w:rPr>
              <w:t xml:space="preserve"> </w:t>
            </w:r>
            <w:r>
              <w:rPr>
                <w:sz w:val="16"/>
                <w:lang w:val="en-US"/>
              </w:rPr>
              <w:t>343</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14</w:t>
            </w:r>
            <w:r>
              <w:rPr>
                <w:sz w:val="16"/>
              </w:rPr>
              <w:t xml:space="preserve"> </w:t>
            </w:r>
            <w:r>
              <w:rPr>
                <w:sz w:val="16"/>
                <w:lang w:val="en-US"/>
              </w:rPr>
              <w:t>892</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25</w:t>
            </w:r>
            <w:r>
              <w:rPr>
                <w:sz w:val="16"/>
              </w:rPr>
              <w:t xml:space="preserve"> </w:t>
            </w:r>
            <w:r>
              <w:rPr>
                <w:sz w:val="16"/>
                <w:lang w:val="en-US"/>
              </w:rPr>
              <w:t>235</w:t>
            </w:r>
          </w:p>
        </w:tc>
        <w:tc>
          <w:tcPr>
            <w:tcW w:w="683"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24,2</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27,3</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lang w:val="en-US"/>
              </w:rPr>
            </w:pPr>
            <w:r>
              <w:rPr>
                <w:sz w:val="16"/>
                <w:lang w:val="en-US"/>
              </w:rPr>
              <w:t>26,0</w:t>
            </w:r>
          </w:p>
        </w:tc>
      </w:tr>
      <w:tr w:rsidR="00000000">
        <w:tblPrEx>
          <w:tblCellMar>
            <w:top w:w="0" w:type="dxa"/>
            <w:bottom w:w="0" w:type="dxa"/>
          </w:tblCellMar>
        </w:tblPrEx>
        <w:trPr>
          <w:jc w:val="center"/>
        </w:trPr>
        <w:tc>
          <w:tcPr>
            <w:tcW w:w="1128" w:type="dxa"/>
          </w:tcPr>
          <w:p w:rsidR="00000000" w:rsidRDefault="00000000">
            <w:pPr>
              <w:tabs>
                <w:tab w:val="left" w:pos="680"/>
                <w:tab w:val="left" w:pos="1134"/>
              </w:tabs>
              <w:rPr>
                <w:sz w:val="16"/>
                <w:lang w:val="en-US"/>
              </w:rPr>
            </w:pPr>
          </w:p>
          <w:p w:rsidR="00000000" w:rsidRDefault="00000000">
            <w:pPr>
              <w:tabs>
                <w:tab w:val="left" w:pos="680"/>
                <w:tab w:val="left" w:pos="1134"/>
              </w:tabs>
              <w:rPr>
                <w:sz w:val="16"/>
              </w:rPr>
            </w:pPr>
            <w:r>
              <w:rPr>
                <w:sz w:val="16"/>
                <w:lang w:val="en-US"/>
              </w:rPr>
              <w:t xml:space="preserve">1997 </w:t>
            </w:r>
            <w:r>
              <w:rPr>
                <w:sz w:val="16"/>
              </w:rPr>
              <w:t>год</w:t>
            </w:r>
          </w:p>
          <w:p w:rsidR="00000000" w:rsidRDefault="00000000">
            <w:pPr>
              <w:pStyle w:val="BodyText2"/>
              <w:tabs>
                <w:tab w:val="left" w:pos="680"/>
                <w:tab w:val="left" w:pos="1134"/>
              </w:tabs>
              <w:rPr>
                <w:b w:val="0"/>
                <w:sz w:val="16"/>
              </w:rPr>
            </w:pPr>
            <w:r>
              <w:rPr>
                <w:b w:val="0"/>
                <w:sz w:val="16"/>
              </w:rPr>
              <w:t>Обследование трудовых ресурсов в Намибии:</w:t>
            </w:r>
          </w:p>
          <w:p w:rsidR="00000000" w:rsidRDefault="00000000">
            <w:pPr>
              <w:pStyle w:val="BodyText2"/>
              <w:tabs>
                <w:tab w:val="left" w:pos="680"/>
                <w:tab w:val="left" w:pos="1134"/>
              </w:tabs>
              <w:rPr>
                <w:b w:val="0"/>
                <w:sz w:val="16"/>
              </w:rPr>
            </w:pPr>
            <w:r>
              <w:rPr>
                <w:b w:val="0"/>
                <w:sz w:val="16"/>
              </w:rPr>
              <w:t>Городское население</w:t>
            </w:r>
          </w:p>
          <w:p w:rsidR="00000000" w:rsidRDefault="00000000">
            <w:pPr>
              <w:pStyle w:val="BodyText2"/>
              <w:tabs>
                <w:tab w:val="left" w:pos="680"/>
                <w:tab w:val="left" w:pos="1134"/>
              </w:tabs>
              <w:rPr>
                <w:b w:val="0"/>
                <w:sz w:val="16"/>
              </w:rPr>
            </w:pPr>
            <w:r>
              <w:rPr>
                <w:b w:val="0"/>
                <w:sz w:val="16"/>
              </w:rPr>
              <w:t>Сельское население</w:t>
            </w:r>
          </w:p>
          <w:p w:rsidR="00000000" w:rsidRDefault="00000000">
            <w:pPr>
              <w:tabs>
                <w:tab w:val="left" w:pos="680"/>
                <w:tab w:val="left" w:pos="1134"/>
              </w:tabs>
              <w:rPr>
                <w:sz w:val="16"/>
                <w:lang w:val="en-US"/>
              </w:rPr>
            </w:pPr>
            <w:r>
              <w:rPr>
                <w:sz w:val="16"/>
              </w:rPr>
              <w:t>В масштабе страны</w:t>
            </w:r>
          </w:p>
        </w:tc>
        <w:tc>
          <w:tcPr>
            <w:tcW w:w="749" w:type="dxa"/>
          </w:tcPr>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lang w:val="en-US"/>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17 803</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22 310</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40 123</w:t>
            </w:r>
          </w:p>
        </w:tc>
        <w:tc>
          <w:tcPr>
            <w:tcW w:w="627"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85 472</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12 594</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21 146</w:t>
            </w:r>
          </w:p>
        </w:tc>
        <w:tc>
          <w:tcPr>
            <w:tcW w:w="683"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26 354</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34 914</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61 268</w:t>
            </w:r>
          </w:p>
        </w:tc>
        <w:tc>
          <w:tcPr>
            <w:tcW w:w="638"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32,4</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36,1</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34,5</w:t>
            </w:r>
          </w:p>
        </w:tc>
        <w:tc>
          <w:tcPr>
            <w:tcW w:w="683"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72 209</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10 956</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18 175</w:t>
            </w:r>
          </w:p>
        </w:tc>
        <w:tc>
          <w:tcPr>
            <w:tcW w:w="627"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46 792</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76 618</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12 340</w:t>
            </w:r>
          </w:p>
        </w:tc>
        <w:tc>
          <w:tcPr>
            <w:tcW w:w="735"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11 901</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18 615</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30 515</w:t>
            </w:r>
          </w:p>
        </w:tc>
        <w:tc>
          <w:tcPr>
            <w:tcW w:w="683"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39,3</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41,2</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40,4</w:t>
            </w:r>
          </w:p>
        </w:tc>
        <w:tc>
          <w:tcPr>
            <w:tcW w:w="683"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10 584</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11 364</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21 947</w:t>
            </w:r>
          </w:p>
        </w:tc>
        <w:tc>
          <w:tcPr>
            <w:tcW w:w="688"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38 680</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49 326</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88 006</w:t>
            </w:r>
          </w:p>
        </w:tc>
        <w:tc>
          <w:tcPr>
            <w:tcW w:w="749"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14 453</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16 290</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30 743</w:t>
            </w:r>
          </w:p>
        </w:tc>
        <w:tc>
          <w:tcPr>
            <w:tcW w:w="683" w:type="dxa"/>
          </w:tcPr>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26,8</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30,3</w:t>
            </w:r>
          </w:p>
          <w:p w:rsidR="00000000" w:rsidRDefault="00000000">
            <w:pPr>
              <w:tabs>
                <w:tab w:val="left" w:pos="680"/>
                <w:tab w:val="left" w:pos="1134"/>
              </w:tabs>
              <w:jc w:val="both"/>
              <w:rPr>
                <w:sz w:val="16"/>
              </w:rPr>
            </w:pPr>
          </w:p>
          <w:p w:rsidR="00000000" w:rsidRDefault="00000000">
            <w:pPr>
              <w:tabs>
                <w:tab w:val="left" w:pos="680"/>
                <w:tab w:val="left" w:pos="1134"/>
              </w:tabs>
              <w:jc w:val="both"/>
              <w:rPr>
                <w:sz w:val="16"/>
              </w:rPr>
            </w:pPr>
            <w:r>
              <w:rPr>
                <w:sz w:val="16"/>
              </w:rPr>
              <w:t>28,6</w:t>
            </w:r>
          </w:p>
        </w:tc>
      </w:tr>
    </w:tbl>
    <w:p w:rsidR="00000000" w:rsidRDefault="00000000">
      <w:pPr>
        <w:pStyle w:val="BodyText2"/>
        <w:tabs>
          <w:tab w:val="left" w:pos="680"/>
          <w:tab w:val="left" w:pos="1134"/>
        </w:tabs>
        <w:spacing w:before="240"/>
        <w:jc w:val="both"/>
        <w:rPr>
          <w:b w:val="0"/>
          <w:sz w:val="18"/>
        </w:rPr>
      </w:pPr>
      <w:r>
        <w:rPr>
          <w:b w:val="0"/>
          <w:i/>
          <w:sz w:val="18"/>
        </w:rPr>
        <w:t>Источник:</w:t>
      </w:r>
      <w:r>
        <w:rPr>
          <w:b w:val="0"/>
          <w:sz w:val="18"/>
        </w:rPr>
        <w:t xml:space="preserve"> Министерство труда и Национальная плановая комиссия (</w:t>
      </w:r>
      <w:r>
        <w:rPr>
          <w:b w:val="0"/>
          <w:sz w:val="18"/>
          <w:lang w:val="en-US"/>
        </w:rPr>
        <w:t>NPC</w:t>
      </w:r>
      <w:r>
        <w:rPr>
          <w:b w:val="0"/>
          <w:sz w:val="18"/>
        </w:rPr>
        <w:t xml:space="preserve">), ЦСБ (июль 2000 года): Обследование трудовых ресурсов в Намибии 1997 года, таблица 4.5, стр. 25. В 1991 году </w:t>
      </w:r>
      <w:r>
        <w:rPr>
          <w:b w:val="0"/>
          <w:sz w:val="18"/>
          <w:lang w:val="en-US"/>
        </w:rPr>
        <w:t>NPHC</w:t>
      </w:r>
      <w:r>
        <w:rPr>
          <w:b w:val="0"/>
          <w:sz w:val="18"/>
        </w:rPr>
        <w:t xml:space="preserve"> не собирала информацию, которая могла бы быть использована для широкого определения безработицы.</w:t>
      </w:r>
    </w:p>
    <w:p w:rsidR="00000000" w:rsidRDefault="00000000">
      <w:pPr>
        <w:pStyle w:val="BodyText2"/>
        <w:tabs>
          <w:tab w:val="left" w:pos="680"/>
          <w:tab w:val="left" w:pos="1134"/>
        </w:tabs>
        <w:spacing w:before="240"/>
        <w:jc w:val="both"/>
        <w:rPr>
          <w:b w:val="0"/>
          <w:sz w:val="22"/>
        </w:rPr>
      </w:pPr>
      <w:r>
        <w:rPr>
          <w:b w:val="0"/>
          <w:sz w:val="22"/>
        </w:rPr>
        <w:t>Аналогичные различия между показателями среди женщин и мужчин можно наблюдать также в городских и сельских районах. Доля безработных среди сельского населения (36 процентов) лишь несколько выше показателя для городского населения (32 процента). В то же время различия по районам значительны. В Каприви и Омусати, которые являются преимущественно сельскими районами, уровень безработицы самый высокий и составляет примерно 50 процентов, тогда как в Ошикото, тоже сельском районе, этот уровень самый низкий и составляет 25 процентов. В двух районах с преимущественно городским населением, Эронго и Комас, показатели безработицы несколько лучше, чем в среднем по стране, и составляют примерно 30 процентов в каждом.</w:t>
      </w:r>
    </w:p>
    <w:p w:rsidR="00000000" w:rsidRDefault="00000000">
      <w:pPr>
        <w:pStyle w:val="BodyText2"/>
        <w:tabs>
          <w:tab w:val="left" w:pos="680"/>
          <w:tab w:val="left" w:pos="1134"/>
        </w:tabs>
        <w:spacing w:before="480"/>
        <w:jc w:val="both"/>
        <w:rPr>
          <w:sz w:val="22"/>
        </w:rPr>
      </w:pPr>
      <w:r>
        <w:rPr>
          <w:sz w:val="22"/>
        </w:rPr>
        <w:t>СТАТЬЯ 12:</w:t>
      </w:r>
      <w:r>
        <w:rPr>
          <w:sz w:val="22"/>
        </w:rPr>
        <w:tab/>
        <w:t>Здравоохранение</w:t>
      </w:r>
    </w:p>
    <w:p w:rsidR="00000000" w:rsidRDefault="00000000">
      <w:pPr>
        <w:pStyle w:val="BodyText2"/>
        <w:tabs>
          <w:tab w:val="left" w:pos="680"/>
          <w:tab w:val="left" w:pos="1134"/>
        </w:tabs>
        <w:spacing w:before="240"/>
        <w:jc w:val="both"/>
        <w:rPr>
          <w:sz w:val="22"/>
        </w:rPr>
      </w:pPr>
      <w:r>
        <w:rPr>
          <w:sz w:val="22"/>
        </w:rPr>
        <w:t>12.1</w:t>
      </w:r>
      <w:r>
        <w:rPr>
          <w:sz w:val="22"/>
        </w:rPr>
        <w:tab/>
        <w:t>Политика и системы в области здравоохранения</w:t>
      </w:r>
    </w:p>
    <w:p w:rsidR="00000000" w:rsidRDefault="00000000">
      <w:pPr>
        <w:pStyle w:val="BodyText2"/>
        <w:tabs>
          <w:tab w:val="left" w:pos="680"/>
          <w:tab w:val="left" w:pos="1134"/>
        </w:tabs>
        <w:spacing w:before="240"/>
        <w:jc w:val="both"/>
        <w:rPr>
          <w:b w:val="0"/>
          <w:sz w:val="22"/>
        </w:rPr>
      </w:pPr>
      <w:r>
        <w:rPr>
          <w:b w:val="0"/>
          <w:sz w:val="22"/>
        </w:rPr>
        <w:t>Основной целью правительства является оказание медицинских услуг для "улучшения здоровья населения Намибии путем предоставления соответствующих профилактических, лечебных и реабилитационных услуг, которые были бы доступны всем намибийцам"</w:t>
      </w:r>
      <w:r>
        <w:rPr>
          <w:rStyle w:val="FootnoteReference"/>
          <w:b w:val="0"/>
          <w:sz w:val="22"/>
        </w:rPr>
        <w:footnoteReference w:customMarkFollows="1" w:id="75"/>
        <w:t>74</w:t>
      </w:r>
      <w:r>
        <w:rPr>
          <w:b w:val="0"/>
          <w:sz w:val="22"/>
        </w:rPr>
        <w:t>. Дополнительные принципы, на которые ориентируются при разработке и осуществлении политики в области здравоохранения, – это справедливость и участие общин.</w:t>
      </w:r>
    </w:p>
    <w:p w:rsidR="00000000" w:rsidRDefault="00000000">
      <w:pPr>
        <w:pStyle w:val="BodyText2"/>
        <w:tabs>
          <w:tab w:val="left" w:pos="680"/>
          <w:tab w:val="left" w:pos="1134"/>
        </w:tabs>
        <w:spacing w:before="240"/>
        <w:jc w:val="both"/>
        <w:rPr>
          <w:b w:val="0"/>
          <w:sz w:val="22"/>
        </w:rPr>
      </w:pPr>
      <w:r>
        <w:rPr>
          <w:b w:val="0"/>
          <w:sz w:val="22"/>
        </w:rPr>
        <w:t>Для этого правительство поставило перед собой ряд целей, таких как справедливое распределение ресурсов, а также равенство в отношении доступа к основным услугам для наиболее обездоленного, бедного и неразвитого большинства населения</w:t>
      </w:r>
      <w:r>
        <w:rPr>
          <w:rStyle w:val="FootnoteReference"/>
          <w:b w:val="0"/>
          <w:sz w:val="22"/>
        </w:rPr>
        <w:footnoteReference w:customMarkFollows="1" w:id="76"/>
        <w:t>75</w:t>
      </w:r>
      <w:r>
        <w:rPr>
          <w:b w:val="0"/>
          <w:sz w:val="22"/>
        </w:rPr>
        <w:t>.</w:t>
      </w:r>
    </w:p>
    <w:p w:rsidR="00000000" w:rsidRDefault="00000000">
      <w:pPr>
        <w:pStyle w:val="BodyText2"/>
        <w:tabs>
          <w:tab w:val="left" w:pos="680"/>
          <w:tab w:val="left" w:pos="1134"/>
        </w:tabs>
        <w:spacing w:before="240"/>
        <w:jc w:val="both"/>
        <w:rPr>
          <w:sz w:val="22"/>
        </w:rPr>
      </w:pPr>
      <w:r>
        <w:rPr>
          <w:sz w:val="22"/>
        </w:rPr>
        <w:t>12.2</w:t>
      </w:r>
      <w:r>
        <w:rPr>
          <w:sz w:val="22"/>
        </w:rPr>
        <w:tab/>
        <w:t>Наличие и расположение учреждений</w:t>
      </w:r>
    </w:p>
    <w:p w:rsidR="00000000" w:rsidRDefault="00000000">
      <w:pPr>
        <w:pStyle w:val="BodyText2"/>
        <w:tabs>
          <w:tab w:val="left" w:pos="680"/>
          <w:tab w:val="left" w:pos="1134"/>
        </w:tabs>
        <w:spacing w:before="240"/>
        <w:jc w:val="both"/>
        <w:rPr>
          <w:b w:val="0"/>
          <w:sz w:val="22"/>
        </w:rPr>
      </w:pPr>
      <w:r>
        <w:rPr>
          <w:b w:val="0"/>
          <w:sz w:val="22"/>
        </w:rPr>
        <w:t>Согласно проведенному в 2000 году обзору ситуации в области демографии и здравоохранения (ОДЗН)</w:t>
      </w:r>
      <w:r>
        <w:rPr>
          <w:rStyle w:val="FootnoteReference"/>
          <w:b w:val="0"/>
          <w:sz w:val="22"/>
        </w:rPr>
        <w:footnoteReference w:customMarkFollows="1" w:id="77"/>
        <w:t>76</w:t>
      </w:r>
      <w:r>
        <w:rPr>
          <w:b w:val="0"/>
          <w:sz w:val="22"/>
        </w:rPr>
        <w:t>, в Намибии насчитывалось 246 клиник, 37 центров здоровья, 35 больниц и 6756 больничных коек. Хотя количество больниц сократилось с момента обретения страной независимости (за счет закрытия так называемых "этнических больниц"), число клиник и центров здоровья возросло (например, с 215 клиник в 1992 году до 246 в 2000 году). В таблице 7 приведены имеющиеся услуги в области здравоохранения и степень (в процентах) их доступности в масштабе страны.</w:t>
      </w:r>
    </w:p>
    <w:p w:rsidR="00000000" w:rsidRDefault="00000000">
      <w:pPr>
        <w:pStyle w:val="BodyText2"/>
        <w:tabs>
          <w:tab w:val="left" w:pos="680"/>
          <w:tab w:val="left" w:pos="1134"/>
        </w:tabs>
        <w:spacing w:before="240" w:after="240"/>
        <w:jc w:val="both"/>
        <w:rPr>
          <w:sz w:val="22"/>
        </w:rPr>
      </w:pPr>
      <w:r>
        <w:rPr>
          <w:sz w:val="22"/>
        </w:rPr>
        <w:t>Таблица 7: Тип услуг и степень их доступности в масштабе страны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5787"/>
        <w:gridCol w:w="3569"/>
      </w:tblGrid>
      <w:tr w:rsidR="00000000">
        <w:tblPrEx>
          <w:tblCellMar>
            <w:top w:w="0" w:type="dxa"/>
            <w:bottom w:w="0" w:type="dxa"/>
          </w:tblCellMar>
        </w:tblPrEx>
        <w:trPr>
          <w:jc w:val="center"/>
        </w:trPr>
        <w:tc>
          <w:tcPr>
            <w:tcW w:w="5787" w:type="dxa"/>
          </w:tcPr>
          <w:p w:rsidR="00000000" w:rsidRDefault="00000000">
            <w:pPr>
              <w:tabs>
                <w:tab w:val="left" w:pos="680"/>
                <w:tab w:val="left" w:pos="1134"/>
              </w:tabs>
              <w:spacing w:before="60" w:after="60"/>
              <w:rPr>
                <w:b/>
                <w:sz w:val="22"/>
              </w:rPr>
            </w:pPr>
            <w:r>
              <w:rPr>
                <w:b/>
                <w:sz w:val="22"/>
              </w:rPr>
              <w:t>Тип услуги</w:t>
            </w:r>
          </w:p>
        </w:tc>
        <w:tc>
          <w:tcPr>
            <w:tcW w:w="3569" w:type="dxa"/>
          </w:tcPr>
          <w:p w:rsidR="00000000" w:rsidRDefault="00000000">
            <w:pPr>
              <w:tabs>
                <w:tab w:val="left" w:pos="680"/>
                <w:tab w:val="left" w:pos="1134"/>
              </w:tabs>
              <w:spacing w:before="60" w:after="60"/>
              <w:jc w:val="center"/>
              <w:rPr>
                <w:b/>
                <w:sz w:val="22"/>
              </w:rPr>
            </w:pPr>
            <w:r>
              <w:rPr>
                <w:b/>
                <w:sz w:val="22"/>
              </w:rPr>
              <w:t xml:space="preserve">Процент доступности услуг </w:t>
            </w:r>
            <w:r>
              <w:rPr>
                <w:b/>
                <w:sz w:val="22"/>
              </w:rPr>
              <w:br/>
              <w:t>в масштабе страны</w:t>
            </w:r>
          </w:p>
        </w:tc>
      </w:tr>
      <w:tr w:rsidR="00000000">
        <w:tblPrEx>
          <w:tblCellMar>
            <w:top w:w="0" w:type="dxa"/>
            <w:bottom w:w="0" w:type="dxa"/>
          </w:tblCellMar>
        </w:tblPrEx>
        <w:trPr>
          <w:trHeight w:val="5956"/>
          <w:jc w:val="center"/>
        </w:trPr>
        <w:tc>
          <w:tcPr>
            <w:tcW w:w="5787" w:type="dxa"/>
          </w:tcPr>
          <w:p w:rsidR="00000000" w:rsidRDefault="00000000">
            <w:pPr>
              <w:pStyle w:val="BodyText2"/>
              <w:tabs>
                <w:tab w:val="left" w:pos="680"/>
                <w:tab w:val="left" w:pos="1134"/>
              </w:tabs>
              <w:spacing w:before="120"/>
              <w:jc w:val="both"/>
              <w:rPr>
                <w:b w:val="0"/>
                <w:sz w:val="22"/>
              </w:rPr>
            </w:pPr>
            <w:r>
              <w:rPr>
                <w:b w:val="0"/>
                <w:sz w:val="22"/>
              </w:rPr>
              <w:t xml:space="preserve">Акушерская помощь </w:t>
            </w:r>
          </w:p>
          <w:p w:rsidR="00000000" w:rsidRDefault="00000000">
            <w:pPr>
              <w:pStyle w:val="BodyText2"/>
              <w:tabs>
                <w:tab w:val="left" w:pos="680"/>
                <w:tab w:val="left" w:pos="1134"/>
              </w:tabs>
              <w:spacing w:before="120"/>
              <w:jc w:val="both"/>
              <w:rPr>
                <w:b w:val="0"/>
                <w:sz w:val="22"/>
              </w:rPr>
            </w:pPr>
            <w:r>
              <w:rPr>
                <w:b w:val="0"/>
                <w:sz w:val="22"/>
              </w:rPr>
              <w:t>Санитарное просвещение по вопросам ВИЧ/СПИДа</w:t>
            </w:r>
          </w:p>
          <w:p w:rsidR="00000000" w:rsidRDefault="00000000">
            <w:pPr>
              <w:pStyle w:val="BodyText2"/>
              <w:tabs>
                <w:tab w:val="left" w:pos="680"/>
                <w:tab w:val="left" w:pos="1134"/>
              </w:tabs>
              <w:spacing w:before="120"/>
              <w:jc w:val="both"/>
              <w:rPr>
                <w:b w:val="0"/>
                <w:sz w:val="22"/>
              </w:rPr>
            </w:pPr>
            <w:r>
              <w:rPr>
                <w:b w:val="0"/>
                <w:sz w:val="22"/>
              </w:rPr>
              <w:t>Рациональное питание</w:t>
            </w:r>
          </w:p>
          <w:p w:rsidR="00000000" w:rsidRDefault="00000000">
            <w:pPr>
              <w:pStyle w:val="BodyText2"/>
              <w:tabs>
                <w:tab w:val="left" w:pos="680"/>
                <w:tab w:val="left" w:pos="1134"/>
              </w:tabs>
              <w:spacing w:before="120"/>
              <w:jc w:val="both"/>
              <w:rPr>
                <w:b w:val="0"/>
                <w:sz w:val="22"/>
              </w:rPr>
            </w:pPr>
            <w:r>
              <w:rPr>
                <w:b w:val="0"/>
                <w:sz w:val="22"/>
              </w:rPr>
              <w:t>Иммунизация</w:t>
            </w:r>
          </w:p>
          <w:p w:rsidR="00000000" w:rsidRDefault="00000000">
            <w:pPr>
              <w:pStyle w:val="BodyText2"/>
              <w:tabs>
                <w:tab w:val="left" w:pos="680"/>
                <w:tab w:val="left" w:pos="1134"/>
              </w:tabs>
              <w:spacing w:before="120"/>
              <w:jc w:val="both"/>
              <w:rPr>
                <w:b w:val="0"/>
                <w:sz w:val="22"/>
              </w:rPr>
            </w:pPr>
            <w:r>
              <w:rPr>
                <w:b w:val="0"/>
                <w:sz w:val="22"/>
              </w:rPr>
              <w:t>Педиатрическая помощь</w:t>
            </w:r>
          </w:p>
          <w:p w:rsidR="00000000" w:rsidRDefault="00000000">
            <w:pPr>
              <w:pStyle w:val="BodyText2"/>
              <w:tabs>
                <w:tab w:val="left" w:pos="680"/>
                <w:tab w:val="left" w:pos="1134"/>
              </w:tabs>
              <w:spacing w:before="120"/>
              <w:jc w:val="both"/>
              <w:rPr>
                <w:b w:val="0"/>
                <w:sz w:val="22"/>
              </w:rPr>
            </w:pPr>
            <w:r>
              <w:rPr>
                <w:b w:val="0"/>
                <w:sz w:val="22"/>
              </w:rPr>
              <w:t>Планирование размеров семьи</w:t>
            </w:r>
          </w:p>
          <w:p w:rsidR="00000000" w:rsidRDefault="00000000">
            <w:pPr>
              <w:pStyle w:val="BodyText2"/>
              <w:tabs>
                <w:tab w:val="left" w:pos="680"/>
                <w:tab w:val="left" w:pos="1134"/>
              </w:tabs>
              <w:spacing w:before="120"/>
              <w:jc w:val="both"/>
              <w:rPr>
                <w:b w:val="0"/>
                <w:sz w:val="22"/>
              </w:rPr>
            </w:pPr>
            <w:r>
              <w:rPr>
                <w:b w:val="0"/>
                <w:sz w:val="22"/>
              </w:rPr>
              <w:t>Раздача презервативов</w:t>
            </w:r>
          </w:p>
          <w:p w:rsidR="00000000" w:rsidRDefault="00000000">
            <w:pPr>
              <w:pStyle w:val="BodyText2"/>
              <w:tabs>
                <w:tab w:val="left" w:pos="680"/>
                <w:tab w:val="left" w:pos="1134"/>
              </w:tabs>
              <w:spacing w:before="120"/>
              <w:jc w:val="both"/>
              <w:rPr>
                <w:b w:val="0"/>
                <w:sz w:val="22"/>
              </w:rPr>
            </w:pPr>
            <w:r>
              <w:rPr>
                <w:b w:val="0"/>
                <w:sz w:val="22"/>
              </w:rPr>
              <w:t>Раздельный дородовой и послеродовой уход</w:t>
            </w:r>
          </w:p>
          <w:p w:rsidR="00000000" w:rsidRDefault="00000000">
            <w:pPr>
              <w:pStyle w:val="BodyText2"/>
              <w:tabs>
                <w:tab w:val="left" w:pos="680"/>
                <w:tab w:val="left" w:pos="1134"/>
              </w:tabs>
              <w:spacing w:before="120"/>
              <w:jc w:val="both"/>
              <w:rPr>
                <w:b w:val="0"/>
                <w:sz w:val="22"/>
              </w:rPr>
            </w:pPr>
            <w:r>
              <w:rPr>
                <w:b w:val="0"/>
                <w:sz w:val="22"/>
              </w:rPr>
              <w:t>Грудное вскармливание</w:t>
            </w:r>
          </w:p>
          <w:p w:rsidR="00000000" w:rsidRDefault="00000000">
            <w:pPr>
              <w:pStyle w:val="BodyText2"/>
              <w:tabs>
                <w:tab w:val="left" w:pos="680"/>
                <w:tab w:val="left" w:pos="1134"/>
              </w:tabs>
              <w:spacing w:before="120"/>
              <w:jc w:val="both"/>
              <w:rPr>
                <w:b w:val="0"/>
                <w:sz w:val="22"/>
              </w:rPr>
            </w:pPr>
            <w:r>
              <w:rPr>
                <w:b w:val="0"/>
                <w:sz w:val="22"/>
              </w:rPr>
              <w:t>Обследование для выявления рака шейки матки</w:t>
            </w:r>
          </w:p>
          <w:p w:rsidR="00000000" w:rsidRDefault="00000000">
            <w:pPr>
              <w:pStyle w:val="BodyText2"/>
              <w:tabs>
                <w:tab w:val="left" w:pos="680"/>
                <w:tab w:val="left" w:pos="1134"/>
              </w:tabs>
              <w:spacing w:before="120"/>
              <w:jc w:val="both"/>
              <w:rPr>
                <w:b w:val="0"/>
                <w:sz w:val="22"/>
              </w:rPr>
            </w:pPr>
            <w:r>
              <w:rPr>
                <w:b w:val="0"/>
                <w:sz w:val="22"/>
              </w:rPr>
              <w:t>Обследование для выявления рака молочной железы</w:t>
            </w:r>
          </w:p>
          <w:p w:rsidR="00000000" w:rsidRDefault="00000000">
            <w:pPr>
              <w:pStyle w:val="BodyText2"/>
              <w:tabs>
                <w:tab w:val="left" w:pos="680"/>
                <w:tab w:val="left" w:pos="1134"/>
              </w:tabs>
              <w:spacing w:before="120"/>
              <w:jc w:val="both"/>
              <w:rPr>
                <w:b w:val="0"/>
                <w:sz w:val="22"/>
              </w:rPr>
            </w:pPr>
            <w:r>
              <w:rPr>
                <w:b w:val="0"/>
                <w:sz w:val="22"/>
              </w:rPr>
              <w:t>Обследование и уход за жертвами насилия</w:t>
            </w:r>
          </w:p>
          <w:p w:rsidR="00000000" w:rsidRDefault="00000000">
            <w:pPr>
              <w:pStyle w:val="BodyText2"/>
              <w:tabs>
                <w:tab w:val="left" w:pos="680"/>
                <w:tab w:val="left" w:pos="1134"/>
              </w:tabs>
              <w:spacing w:before="120"/>
              <w:jc w:val="both"/>
              <w:rPr>
                <w:b w:val="0"/>
                <w:sz w:val="22"/>
              </w:rPr>
            </w:pPr>
            <w:r>
              <w:rPr>
                <w:b w:val="0"/>
                <w:sz w:val="22"/>
              </w:rPr>
              <w:t>Обследование с целью выявления ЗППП и их лечение</w:t>
            </w:r>
          </w:p>
          <w:p w:rsidR="00000000" w:rsidRDefault="00000000">
            <w:pPr>
              <w:pStyle w:val="BodyText2"/>
              <w:tabs>
                <w:tab w:val="left" w:pos="680"/>
                <w:tab w:val="left" w:pos="1134"/>
              </w:tabs>
              <w:spacing w:before="120"/>
              <w:jc w:val="both"/>
              <w:rPr>
                <w:b w:val="0"/>
                <w:sz w:val="22"/>
              </w:rPr>
            </w:pPr>
            <w:r>
              <w:rPr>
                <w:b w:val="0"/>
                <w:sz w:val="22"/>
              </w:rPr>
              <w:t xml:space="preserve">Менопауза </w:t>
            </w:r>
          </w:p>
          <w:p w:rsidR="00000000" w:rsidRDefault="00000000">
            <w:pPr>
              <w:tabs>
                <w:tab w:val="left" w:pos="680"/>
                <w:tab w:val="left" w:pos="1134"/>
              </w:tabs>
              <w:spacing w:before="120"/>
              <w:jc w:val="both"/>
              <w:rPr>
                <w:sz w:val="22"/>
              </w:rPr>
            </w:pPr>
            <w:r>
              <w:rPr>
                <w:sz w:val="22"/>
              </w:rPr>
              <w:t>Другие услуги</w:t>
            </w:r>
          </w:p>
        </w:tc>
        <w:tc>
          <w:tcPr>
            <w:tcW w:w="3569" w:type="dxa"/>
          </w:tcPr>
          <w:p w:rsidR="00000000" w:rsidRDefault="00000000">
            <w:pPr>
              <w:tabs>
                <w:tab w:val="left" w:pos="680"/>
                <w:tab w:val="left" w:pos="1134"/>
              </w:tabs>
              <w:spacing w:before="120"/>
              <w:ind w:left="1531"/>
              <w:jc w:val="both"/>
              <w:rPr>
                <w:sz w:val="22"/>
              </w:rPr>
            </w:pPr>
            <w:r>
              <w:rPr>
                <w:sz w:val="22"/>
              </w:rPr>
              <w:t>51,1</w:t>
            </w:r>
          </w:p>
          <w:p w:rsidR="00000000" w:rsidRDefault="00000000">
            <w:pPr>
              <w:tabs>
                <w:tab w:val="left" w:pos="680"/>
                <w:tab w:val="left" w:pos="1134"/>
              </w:tabs>
              <w:spacing w:before="120"/>
              <w:ind w:left="1531"/>
              <w:jc w:val="both"/>
              <w:rPr>
                <w:sz w:val="22"/>
              </w:rPr>
            </w:pPr>
            <w:r>
              <w:rPr>
                <w:sz w:val="22"/>
              </w:rPr>
              <w:t>81,5</w:t>
            </w:r>
          </w:p>
          <w:p w:rsidR="00000000" w:rsidRDefault="00000000">
            <w:pPr>
              <w:tabs>
                <w:tab w:val="left" w:pos="680"/>
                <w:tab w:val="left" w:pos="1134"/>
              </w:tabs>
              <w:spacing w:before="120"/>
              <w:ind w:left="1531"/>
              <w:jc w:val="both"/>
              <w:rPr>
                <w:sz w:val="22"/>
              </w:rPr>
            </w:pPr>
            <w:r>
              <w:rPr>
                <w:sz w:val="22"/>
              </w:rPr>
              <w:t>56,7</w:t>
            </w:r>
          </w:p>
          <w:p w:rsidR="00000000" w:rsidRDefault="00000000">
            <w:pPr>
              <w:tabs>
                <w:tab w:val="left" w:pos="680"/>
                <w:tab w:val="left" w:pos="1134"/>
              </w:tabs>
              <w:spacing w:before="120"/>
              <w:ind w:left="1531"/>
              <w:jc w:val="both"/>
              <w:rPr>
                <w:sz w:val="22"/>
              </w:rPr>
            </w:pPr>
            <w:r>
              <w:rPr>
                <w:sz w:val="22"/>
              </w:rPr>
              <w:t>91,5</w:t>
            </w:r>
          </w:p>
          <w:p w:rsidR="00000000" w:rsidRDefault="00000000">
            <w:pPr>
              <w:tabs>
                <w:tab w:val="left" w:pos="680"/>
                <w:tab w:val="left" w:pos="1134"/>
              </w:tabs>
              <w:spacing w:before="120"/>
              <w:ind w:left="1531"/>
              <w:jc w:val="both"/>
              <w:rPr>
                <w:sz w:val="22"/>
              </w:rPr>
            </w:pPr>
            <w:r>
              <w:rPr>
                <w:sz w:val="22"/>
              </w:rPr>
              <w:t>61,8</w:t>
            </w:r>
          </w:p>
          <w:p w:rsidR="00000000" w:rsidRDefault="00000000">
            <w:pPr>
              <w:tabs>
                <w:tab w:val="left" w:pos="680"/>
                <w:tab w:val="left" w:pos="1134"/>
              </w:tabs>
              <w:spacing w:before="120"/>
              <w:ind w:left="1531"/>
              <w:jc w:val="both"/>
              <w:rPr>
                <w:sz w:val="22"/>
              </w:rPr>
            </w:pPr>
            <w:r>
              <w:rPr>
                <w:sz w:val="22"/>
              </w:rPr>
              <w:t>77,9</w:t>
            </w:r>
          </w:p>
          <w:p w:rsidR="00000000" w:rsidRDefault="00000000">
            <w:pPr>
              <w:tabs>
                <w:tab w:val="left" w:pos="680"/>
                <w:tab w:val="left" w:pos="1134"/>
              </w:tabs>
              <w:spacing w:before="120"/>
              <w:ind w:left="1531"/>
              <w:jc w:val="both"/>
              <w:rPr>
                <w:sz w:val="22"/>
              </w:rPr>
            </w:pPr>
            <w:r>
              <w:rPr>
                <w:sz w:val="22"/>
              </w:rPr>
              <w:t>81,3</w:t>
            </w:r>
          </w:p>
          <w:p w:rsidR="00000000" w:rsidRDefault="00000000">
            <w:pPr>
              <w:tabs>
                <w:tab w:val="left" w:pos="680"/>
                <w:tab w:val="left" w:pos="1134"/>
              </w:tabs>
              <w:spacing w:before="120"/>
              <w:ind w:left="1531"/>
              <w:jc w:val="both"/>
              <w:rPr>
                <w:sz w:val="22"/>
              </w:rPr>
            </w:pPr>
            <w:r>
              <w:rPr>
                <w:sz w:val="22"/>
              </w:rPr>
              <w:t>40,1</w:t>
            </w:r>
          </w:p>
          <w:p w:rsidR="00000000" w:rsidRDefault="00000000">
            <w:pPr>
              <w:tabs>
                <w:tab w:val="left" w:pos="680"/>
                <w:tab w:val="left" w:pos="1134"/>
              </w:tabs>
              <w:spacing w:before="120"/>
              <w:ind w:left="1531"/>
              <w:jc w:val="both"/>
              <w:rPr>
                <w:sz w:val="22"/>
              </w:rPr>
            </w:pPr>
            <w:r>
              <w:rPr>
                <w:sz w:val="22"/>
              </w:rPr>
              <w:t>59,9</w:t>
            </w:r>
          </w:p>
          <w:p w:rsidR="00000000" w:rsidRDefault="00000000">
            <w:pPr>
              <w:tabs>
                <w:tab w:val="left" w:pos="680"/>
                <w:tab w:val="left" w:pos="1134"/>
              </w:tabs>
              <w:spacing w:before="120"/>
              <w:ind w:left="1531"/>
              <w:jc w:val="both"/>
              <w:rPr>
                <w:sz w:val="22"/>
              </w:rPr>
            </w:pPr>
            <w:r>
              <w:rPr>
                <w:sz w:val="22"/>
              </w:rPr>
              <w:t>28,7</w:t>
            </w:r>
          </w:p>
          <w:p w:rsidR="00000000" w:rsidRDefault="00000000">
            <w:pPr>
              <w:tabs>
                <w:tab w:val="left" w:pos="680"/>
                <w:tab w:val="left" w:pos="1134"/>
              </w:tabs>
              <w:spacing w:before="120"/>
              <w:ind w:left="1531"/>
              <w:jc w:val="both"/>
              <w:rPr>
                <w:sz w:val="22"/>
              </w:rPr>
            </w:pPr>
            <w:r>
              <w:rPr>
                <w:sz w:val="22"/>
              </w:rPr>
              <w:t>29,1</w:t>
            </w:r>
          </w:p>
          <w:p w:rsidR="00000000" w:rsidRDefault="00000000">
            <w:pPr>
              <w:pStyle w:val="IndexHeading"/>
              <w:tabs>
                <w:tab w:val="left" w:pos="680"/>
                <w:tab w:val="left" w:pos="1134"/>
              </w:tabs>
              <w:spacing w:before="120"/>
              <w:ind w:left="1531"/>
              <w:jc w:val="both"/>
              <w:rPr>
                <w:sz w:val="22"/>
                <w:lang w:val="ru-RU"/>
              </w:rPr>
            </w:pPr>
            <w:r>
              <w:rPr>
                <w:sz w:val="22"/>
                <w:lang w:val="ru-RU"/>
              </w:rPr>
              <w:t>32,6</w:t>
            </w:r>
          </w:p>
          <w:p w:rsidR="00000000" w:rsidRDefault="00000000">
            <w:pPr>
              <w:tabs>
                <w:tab w:val="left" w:pos="680"/>
                <w:tab w:val="left" w:pos="1134"/>
              </w:tabs>
              <w:spacing w:before="120"/>
              <w:ind w:left="1531"/>
              <w:jc w:val="both"/>
              <w:rPr>
                <w:sz w:val="22"/>
              </w:rPr>
            </w:pPr>
            <w:r>
              <w:rPr>
                <w:sz w:val="22"/>
              </w:rPr>
              <w:t>57,0</w:t>
            </w:r>
          </w:p>
          <w:p w:rsidR="00000000" w:rsidRDefault="00000000">
            <w:pPr>
              <w:tabs>
                <w:tab w:val="left" w:pos="680"/>
                <w:tab w:val="left" w:pos="1134"/>
              </w:tabs>
              <w:spacing w:before="120"/>
              <w:ind w:left="1531"/>
              <w:jc w:val="both"/>
              <w:rPr>
                <w:sz w:val="22"/>
              </w:rPr>
            </w:pPr>
            <w:r>
              <w:rPr>
                <w:sz w:val="22"/>
              </w:rPr>
              <w:t>26,0</w:t>
            </w:r>
          </w:p>
          <w:p w:rsidR="00000000" w:rsidRDefault="00000000">
            <w:pPr>
              <w:tabs>
                <w:tab w:val="left" w:pos="680"/>
                <w:tab w:val="left" w:pos="1134"/>
              </w:tabs>
              <w:spacing w:before="120"/>
              <w:ind w:left="1531"/>
              <w:jc w:val="both"/>
              <w:rPr>
                <w:sz w:val="22"/>
              </w:rPr>
            </w:pPr>
            <w:r>
              <w:rPr>
                <w:sz w:val="22"/>
              </w:rPr>
              <w:t>2,5</w:t>
            </w:r>
          </w:p>
          <w:p w:rsidR="00000000" w:rsidRDefault="00000000">
            <w:pPr>
              <w:tabs>
                <w:tab w:val="left" w:pos="680"/>
                <w:tab w:val="left" w:pos="1134"/>
              </w:tabs>
              <w:spacing w:before="120"/>
              <w:jc w:val="both"/>
              <w:rPr>
                <w:sz w:val="22"/>
              </w:rPr>
            </w:pPr>
          </w:p>
        </w:tc>
      </w:tr>
    </w:tbl>
    <w:p w:rsidR="00000000" w:rsidRDefault="00000000">
      <w:pPr>
        <w:pStyle w:val="BodyText2"/>
        <w:tabs>
          <w:tab w:val="left" w:pos="680"/>
          <w:tab w:val="left" w:pos="1134"/>
        </w:tabs>
        <w:spacing w:before="240"/>
        <w:jc w:val="both"/>
        <w:rPr>
          <w:b w:val="0"/>
          <w:sz w:val="20"/>
        </w:rPr>
      </w:pPr>
      <w:r>
        <w:rPr>
          <w:b w:val="0"/>
          <w:i/>
          <w:sz w:val="20"/>
        </w:rPr>
        <w:t>Источник</w:t>
      </w:r>
      <w:r>
        <w:rPr>
          <w:b w:val="0"/>
          <w:i/>
          <w:sz w:val="20"/>
          <w:lang w:val="en-US"/>
        </w:rPr>
        <w:t>:</w:t>
      </w:r>
      <w:r>
        <w:rPr>
          <w:b w:val="0"/>
          <w:sz w:val="20"/>
          <w:lang w:val="en-US"/>
        </w:rPr>
        <w:t xml:space="preserve"> The National Gender Survey, Vol. 1, UNAM, p. 160</w:t>
      </w:r>
    </w:p>
    <w:p w:rsidR="00000000" w:rsidRDefault="00000000">
      <w:pPr>
        <w:pStyle w:val="BodyText2"/>
        <w:tabs>
          <w:tab w:val="left" w:pos="680"/>
          <w:tab w:val="left" w:pos="1134"/>
        </w:tabs>
        <w:spacing w:before="240"/>
        <w:jc w:val="both"/>
        <w:rPr>
          <w:b w:val="0"/>
          <w:sz w:val="22"/>
        </w:rPr>
      </w:pPr>
      <w:r>
        <w:rPr>
          <w:b w:val="0"/>
          <w:sz w:val="22"/>
        </w:rPr>
        <w:t>Согласно этому обзору, наиболее доступными услугами являются иммунизация, санитарное просвещение по вопросам ВИЧ/СПИДа, использование презервативов, планирование размеров семьи и педиатрическая помощь. Однако необходимо улучшить качество услуг, непосредственно касающихся женщин. Такими услугами являются обследование и уход за жертвами насилия, обследования с целью выявления рака молочной железы и рака шейки матки, менопауза.</w:t>
      </w:r>
    </w:p>
    <w:p w:rsidR="00000000" w:rsidRDefault="00000000">
      <w:pPr>
        <w:pStyle w:val="BodyText2"/>
        <w:tabs>
          <w:tab w:val="left" w:pos="680"/>
          <w:tab w:val="left" w:pos="1134"/>
        </w:tabs>
        <w:spacing w:before="240"/>
        <w:jc w:val="both"/>
        <w:rPr>
          <w:b w:val="0"/>
          <w:sz w:val="22"/>
        </w:rPr>
      </w:pPr>
      <w:r>
        <w:rPr>
          <w:b w:val="0"/>
          <w:sz w:val="22"/>
        </w:rPr>
        <w:t>Согласно НПР-1, 11,65 процента беременных женщин получали дородовой уход. Однако по данным ОДЗН за 2000 год, услугами по дородовому уходу со стороны врача или медицинской сестры воспользовались свыше 90 процента матерей, родивших детей в период с 1995 по 2000 год. Из этого числа 78 процентов прибегали к услугам медсестер или акушерок и 13 процентов – к услугам врача для получения дородового ухода. В том же исследовании был сделан вывод, что дородовой уход в основном получают городские образованные женщины, а не сельские жительницы</w:t>
      </w:r>
      <w:r>
        <w:rPr>
          <w:rStyle w:val="FootnoteReference"/>
          <w:b w:val="0"/>
          <w:sz w:val="22"/>
        </w:rPr>
        <w:footnoteReference w:customMarkFollows="1" w:id="78"/>
        <w:t>77</w:t>
      </w:r>
      <w:r>
        <w:rPr>
          <w:b w:val="0"/>
          <w:sz w:val="22"/>
        </w:rPr>
        <w:t>.</w:t>
      </w:r>
    </w:p>
    <w:p w:rsidR="00000000" w:rsidRDefault="00000000">
      <w:pPr>
        <w:pStyle w:val="BodyText2"/>
        <w:tabs>
          <w:tab w:val="left" w:pos="680"/>
          <w:tab w:val="left" w:pos="1134"/>
        </w:tabs>
        <w:spacing w:before="240"/>
        <w:jc w:val="both"/>
        <w:rPr>
          <w:b w:val="0"/>
          <w:sz w:val="22"/>
        </w:rPr>
      </w:pPr>
      <w:r>
        <w:rPr>
          <w:b w:val="0"/>
          <w:sz w:val="22"/>
        </w:rPr>
        <w:t>Что касается акушерской помощи, примерно 78 процентам рожавших женщин в период с 1995 по 2000 год была оказана помощь со стороны квалифицированных медсестер и акушерок (66 процентов) или врачей (12 процентов)</w:t>
      </w:r>
      <w:r>
        <w:rPr>
          <w:rStyle w:val="FootnoteReference"/>
          <w:b w:val="0"/>
          <w:sz w:val="22"/>
        </w:rPr>
        <w:footnoteReference w:customMarkFollows="1" w:id="79"/>
        <w:t>78</w:t>
      </w:r>
      <w:r>
        <w:rPr>
          <w:b w:val="0"/>
          <w:sz w:val="22"/>
        </w:rPr>
        <w:t>.</w:t>
      </w:r>
    </w:p>
    <w:p w:rsidR="00000000" w:rsidRDefault="00000000">
      <w:pPr>
        <w:pStyle w:val="BodyText2"/>
        <w:tabs>
          <w:tab w:val="left" w:pos="680"/>
          <w:tab w:val="left" w:pos="1134"/>
        </w:tabs>
        <w:spacing w:before="240"/>
        <w:jc w:val="both"/>
        <w:rPr>
          <w:sz w:val="22"/>
        </w:rPr>
      </w:pPr>
      <w:r>
        <w:rPr>
          <w:sz w:val="22"/>
        </w:rPr>
        <w:t>12.3</w:t>
      </w:r>
      <w:r>
        <w:rPr>
          <w:sz w:val="22"/>
        </w:rPr>
        <w:tab/>
        <w:t>Безопасные источники питьевой воды</w:t>
      </w:r>
    </w:p>
    <w:p w:rsidR="00000000" w:rsidRDefault="00000000">
      <w:pPr>
        <w:tabs>
          <w:tab w:val="left" w:pos="680"/>
          <w:tab w:val="left" w:pos="1134"/>
        </w:tabs>
        <w:spacing w:before="240"/>
        <w:jc w:val="both"/>
        <w:rPr>
          <w:sz w:val="22"/>
        </w:rPr>
      </w:pPr>
      <w:r>
        <w:rPr>
          <w:sz w:val="22"/>
        </w:rPr>
        <w:t>Согласно данным обзора ситуации в области демографии и здравоохранения в Намибии (ОДЗН) за 2000 год, в целом по стране 77 процентов населения имеют доступ к безопасным источникам питьевой воды во время сезона дождей, в сухой период этот показатель возрастает до 83 процентов. Такое повышение можно объяснить тем фактом, что в течение сезона дождей больше людей пользуются небезопасными источниками воды, например прудами.</w:t>
      </w:r>
    </w:p>
    <w:p w:rsidR="00000000" w:rsidRDefault="00000000">
      <w:pPr>
        <w:pStyle w:val="BodyText2"/>
        <w:tabs>
          <w:tab w:val="left" w:pos="680"/>
          <w:tab w:val="left" w:pos="1134"/>
        </w:tabs>
        <w:spacing w:before="240"/>
        <w:jc w:val="both"/>
        <w:rPr>
          <w:sz w:val="22"/>
        </w:rPr>
      </w:pPr>
      <w:r>
        <w:rPr>
          <w:sz w:val="22"/>
        </w:rPr>
        <w:t>12.4</w:t>
      </w:r>
      <w:r>
        <w:rPr>
          <w:sz w:val="22"/>
        </w:rPr>
        <w:tab/>
        <w:t>Санитарно-технические сооружения</w:t>
      </w:r>
    </w:p>
    <w:p w:rsidR="00000000" w:rsidRDefault="00000000">
      <w:pPr>
        <w:pStyle w:val="BodyText2"/>
        <w:tabs>
          <w:tab w:val="left" w:pos="680"/>
          <w:tab w:val="left" w:pos="1134"/>
        </w:tabs>
        <w:spacing w:before="240"/>
        <w:jc w:val="both"/>
        <w:rPr>
          <w:b w:val="0"/>
          <w:sz w:val="22"/>
        </w:rPr>
      </w:pPr>
      <w:r>
        <w:rPr>
          <w:b w:val="0"/>
          <w:sz w:val="22"/>
        </w:rPr>
        <w:t>В масштабе страны, согласно ОДЗН за 2000 год, 41 процент населения имеет доступ к санитарно-техническим средствам ассенизации. Однако за этой цифрой скрываются большие различия в доступе к ним в разных районах страны. Например, в районах Каприви и Охангвена менее 10 процентов населения имеют доступ к санитарно-техническим сооружениям, тогда как в районах Эронго, Карас и Комас эта цифра превышает 80 процентов. В других районах этот показатель варьируется в пределах 15–68 процентов, что, возможно, отражает наличие развитых городских районов и слабо развитых сельских. Подобные различия становятся очевидными при сравнении городских и сельских районов, где доступ в среднем равен 85 процентам для городских и 19 процентам для сельских районов.</w:t>
      </w:r>
    </w:p>
    <w:p w:rsidR="00000000" w:rsidRDefault="00000000">
      <w:pPr>
        <w:pStyle w:val="BodyText2"/>
        <w:tabs>
          <w:tab w:val="left" w:pos="680"/>
          <w:tab w:val="left" w:pos="1134"/>
        </w:tabs>
        <w:spacing w:before="240"/>
        <w:jc w:val="both"/>
        <w:rPr>
          <w:sz w:val="22"/>
        </w:rPr>
      </w:pPr>
      <w:r>
        <w:rPr>
          <w:sz w:val="22"/>
        </w:rPr>
        <w:t>12.5</w:t>
      </w:r>
      <w:r>
        <w:rPr>
          <w:sz w:val="22"/>
        </w:rPr>
        <w:tab/>
        <w:t>Рождаемость</w:t>
      </w:r>
    </w:p>
    <w:p w:rsidR="00000000" w:rsidRDefault="00000000">
      <w:pPr>
        <w:pStyle w:val="BodyText2"/>
        <w:tabs>
          <w:tab w:val="left" w:pos="680"/>
          <w:tab w:val="left" w:pos="1134"/>
        </w:tabs>
        <w:spacing w:before="240"/>
        <w:jc w:val="both"/>
        <w:rPr>
          <w:b w:val="0"/>
          <w:sz w:val="22"/>
        </w:rPr>
      </w:pPr>
      <w:r>
        <w:rPr>
          <w:b w:val="0"/>
          <w:sz w:val="22"/>
        </w:rPr>
        <w:t>Совокупные коэффициенты рождаемости в Намибии с разбивкой по городской и сельской местности и районам представлены в таблице 7. В среднем на время проведения переписи населения и жилого фонда в 2001 году женщины, по расчетам, рожали примерно по четыре ребенка. В городах рождаемость составляла от трех до четырех детей, а в сельской местности – от четырех до пяти. Совокупный коэффициент рождаемости по районам составлял от трех детей для района Карас до более чем пяти детей для районов Каванго и Охангвена.</w:t>
      </w:r>
    </w:p>
    <w:p w:rsidR="00000000" w:rsidRDefault="00000000">
      <w:pPr>
        <w:pStyle w:val="BodyText2"/>
        <w:tabs>
          <w:tab w:val="left" w:pos="680"/>
          <w:tab w:val="left" w:pos="1134"/>
        </w:tabs>
        <w:spacing w:after="240"/>
        <w:jc w:val="both"/>
        <w:rPr>
          <w:sz w:val="22"/>
        </w:rPr>
      </w:pPr>
      <w:r>
        <w:rPr>
          <w:sz w:val="22"/>
        </w:rPr>
        <w:br w:type="page"/>
        <w:t>Таблица 7: Совокупные коэффициенты рождаемости во всех районах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551"/>
        <w:gridCol w:w="2410"/>
      </w:tblGrid>
      <w:tr w:rsidR="00000000">
        <w:tblPrEx>
          <w:tblCellMar>
            <w:top w:w="0" w:type="dxa"/>
            <w:bottom w:w="0" w:type="dxa"/>
          </w:tblCellMar>
        </w:tblPrEx>
        <w:trPr>
          <w:cantSplit/>
        </w:trPr>
        <w:tc>
          <w:tcPr>
            <w:tcW w:w="2552" w:type="dxa"/>
          </w:tcPr>
          <w:p w:rsidR="00000000" w:rsidRDefault="00000000">
            <w:pPr>
              <w:pStyle w:val="BodyText2"/>
              <w:tabs>
                <w:tab w:val="left" w:pos="680"/>
                <w:tab w:val="left" w:pos="1134"/>
              </w:tabs>
              <w:spacing w:before="60" w:after="60"/>
              <w:jc w:val="both"/>
              <w:rPr>
                <w:sz w:val="22"/>
              </w:rPr>
            </w:pPr>
            <w:r>
              <w:rPr>
                <w:sz w:val="22"/>
              </w:rPr>
              <w:t>Район</w:t>
            </w:r>
          </w:p>
        </w:tc>
        <w:tc>
          <w:tcPr>
            <w:tcW w:w="4961" w:type="dxa"/>
            <w:gridSpan w:val="2"/>
          </w:tcPr>
          <w:p w:rsidR="00000000" w:rsidRDefault="00000000">
            <w:pPr>
              <w:pStyle w:val="Footer"/>
              <w:tabs>
                <w:tab w:val="clear" w:pos="4677"/>
                <w:tab w:val="clear" w:pos="9355"/>
                <w:tab w:val="left" w:pos="680"/>
                <w:tab w:val="left" w:pos="1134"/>
              </w:tabs>
              <w:spacing w:before="60" w:after="60"/>
              <w:jc w:val="center"/>
              <w:rPr>
                <w:b/>
                <w:sz w:val="22"/>
              </w:rPr>
            </w:pPr>
            <w:r>
              <w:rPr>
                <w:b/>
                <w:sz w:val="22"/>
              </w:rPr>
              <w:t>Совокупные коэффициенты рождаемости</w:t>
            </w:r>
          </w:p>
        </w:tc>
      </w:tr>
      <w:tr w:rsidR="00000000">
        <w:tblPrEx>
          <w:tblCellMar>
            <w:top w:w="0" w:type="dxa"/>
            <w:bottom w:w="0" w:type="dxa"/>
          </w:tblCellMar>
        </w:tblPrEx>
        <w:tc>
          <w:tcPr>
            <w:tcW w:w="2552" w:type="dxa"/>
          </w:tcPr>
          <w:p w:rsidR="00000000" w:rsidRDefault="00000000">
            <w:pPr>
              <w:pStyle w:val="BodyText2"/>
              <w:tabs>
                <w:tab w:val="left" w:pos="680"/>
                <w:tab w:val="left" w:pos="1134"/>
              </w:tabs>
              <w:spacing w:before="60" w:after="60"/>
              <w:jc w:val="both"/>
              <w:rPr>
                <w:b w:val="0"/>
                <w:sz w:val="22"/>
              </w:rPr>
            </w:pPr>
          </w:p>
        </w:tc>
        <w:tc>
          <w:tcPr>
            <w:tcW w:w="2551" w:type="dxa"/>
          </w:tcPr>
          <w:p w:rsidR="00000000" w:rsidRDefault="00000000">
            <w:pPr>
              <w:pStyle w:val="Footer"/>
              <w:tabs>
                <w:tab w:val="clear" w:pos="4677"/>
                <w:tab w:val="clear" w:pos="9355"/>
                <w:tab w:val="left" w:pos="680"/>
                <w:tab w:val="left" w:pos="1134"/>
              </w:tabs>
              <w:spacing w:before="60" w:after="60"/>
              <w:jc w:val="center"/>
              <w:rPr>
                <w:b/>
                <w:sz w:val="22"/>
              </w:rPr>
            </w:pPr>
            <w:r>
              <w:rPr>
                <w:b/>
                <w:sz w:val="22"/>
              </w:rPr>
              <w:t>2001</w:t>
            </w:r>
            <w:r>
              <w:rPr>
                <w:b/>
                <w:sz w:val="22"/>
                <w:lang w:val="en-US"/>
              </w:rPr>
              <w:t> </w:t>
            </w:r>
            <w:r>
              <w:rPr>
                <w:b/>
                <w:sz w:val="22"/>
              </w:rPr>
              <w:t>год</w:t>
            </w:r>
          </w:p>
        </w:tc>
        <w:tc>
          <w:tcPr>
            <w:tcW w:w="2410" w:type="dxa"/>
          </w:tcPr>
          <w:p w:rsidR="00000000" w:rsidRDefault="00000000">
            <w:pPr>
              <w:pStyle w:val="Footer"/>
              <w:tabs>
                <w:tab w:val="clear" w:pos="4677"/>
                <w:tab w:val="clear" w:pos="9355"/>
                <w:tab w:val="left" w:pos="680"/>
                <w:tab w:val="left" w:pos="1134"/>
              </w:tabs>
              <w:spacing w:before="60" w:after="60"/>
              <w:jc w:val="center"/>
              <w:rPr>
                <w:b/>
                <w:sz w:val="22"/>
              </w:rPr>
            </w:pPr>
            <w:r>
              <w:rPr>
                <w:b/>
                <w:sz w:val="22"/>
              </w:rPr>
              <w:t>1991 год</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Намибия</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4,1</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6,1</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В городах</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3,4</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4,7</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В сельской местности</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4,6</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6,8</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Каприви</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3,8</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6,7</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Эронго</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3,2</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5,1</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Хардап</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3,6</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4,9</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Карас</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3,1</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3,8</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Каванго</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5,5</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7,1</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Комас</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3,3</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4,1</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Кунене</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4,7</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6,2</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Охангвена</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5,3</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7,7</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Омахеке</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4,7</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6,1</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Омусати</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4,0</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5,7</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Ошана</w:t>
            </w:r>
          </w:p>
        </w:tc>
        <w:tc>
          <w:tcPr>
            <w:tcW w:w="2551" w:type="dxa"/>
          </w:tcPr>
          <w:p w:rsidR="00000000" w:rsidRDefault="00000000">
            <w:pPr>
              <w:pStyle w:val="Footer"/>
              <w:tabs>
                <w:tab w:val="clear" w:pos="4677"/>
                <w:tab w:val="clear" w:pos="9355"/>
                <w:tab w:val="left" w:pos="680"/>
                <w:tab w:val="left" w:pos="1134"/>
              </w:tabs>
              <w:jc w:val="center"/>
              <w:rPr>
                <w:sz w:val="22"/>
              </w:rPr>
            </w:pPr>
            <w:r>
              <w:rPr>
                <w:sz w:val="22"/>
              </w:rPr>
              <w:t>3,7</w:t>
            </w:r>
          </w:p>
        </w:tc>
        <w:tc>
          <w:tcPr>
            <w:tcW w:w="2410" w:type="dxa"/>
          </w:tcPr>
          <w:p w:rsidR="00000000" w:rsidRDefault="00000000">
            <w:pPr>
              <w:pStyle w:val="Footer"/>
              <w:tabs>
                <w:tab w:val="clear" w:pos="4677"/>
                <w:tab w:val="clear" w:pos="9355"/>
                <w:tab w:val="left" w:pos="680"/>
                <w:tab w:val="left" w:pos="1134"/>
              </w:tabs>
              <w:jc w:val="center"/>
              <w:rPr>
                <w:sz w:val="22"/>
              </w:rPr>
            </w:pPr>
            <w:r>
              <w:rPr>
                <w:sz w:val="22"/>
              </w:rPr>
              <w:t>5,6</w:t>
            </w:r>
          </w:p>
        </w:tc>
      </w:tr>
      <w:tr w:rsidR="00000000">
        <w:tblPrEx>
          <w:tblCellMar>
            <w:top w:w="0" w:type="dxa"/>
            <w:bottom w:w="0" w:type="dxa"/>
          </w:tblCellMar>
        </w:tblPrEx>
        <w:tc>
          <w:tcPr>
            <w:tcW w:w="2552" w:type="dxa"/>
          </w:tcPr>
          <w:p w:rsidR="00000000" w:rsidRDefault="00000000">
            <w:pPr>
              <w:pStyle w:val="BodyText2"/>
              <w:tabs>
                <w:tab w:val="left" w:pos="680"/>
                <w:tab w:val="left" w:pos="1134"/>
              </w:tabs>
              <w:jc w:val="both"/>
              <w:rPr>
                <w:b w:val="0"/>
                <w:sz w:val="22"/>
              </w:rPr>
            </w:pPr>
            <w:r>
              <w:rPr>
                <w:b w:val="0"/>
                <w:sz w:val="22"/>
              </w:rPr>
              <w:t>Ошикото</w:t>
            </w:r>
          </w:p>
        </w:tc>
        <w:tc>
          <w:tcPr>
            <w:tcW w:w="2551" w:type="dxa"/>
          </w:tcPr>
          <w:p w:rsidR="00000000" w:rsidRDefault="00000000">
            <w:pPr>
              <w:pStyle w:val="Footer"/>
              <w:tabs>
                <w:tab w:val="clear" w:pos="4677"/>
                <w:tab w:val="clear" w:pos="9355"/>
                <w:tab w:val="left" w:pos="680"/>
                <w:tab w:val="left" w:pos="1134"/>
              </w:tabs>
              <w:jc w:val="center"/>
              <w:rPr>
                <w:sz w:val="22"/>
                <w:lang w:val="en-US"/>
              </w:rPr>
            </w:pPr>
            <w:r>
              <w:rPr>
                <w:sz w:val="22"/>
                <w:lang w:val="en-US"/>
              </w:rPr>
              <w:t>4,6</w:t>
            </w:r>
          </w:p>
        </w:tc>
        <w:tc>
          <w:tcPr>
            <w:tcW w:w="2410" w:type="dxa"/>
          </w:tcPr>
          <w:p w:rsidR="00000000" w:rsidRDefault="00000000">
            <w:pPr>
              <w:pStyle w:val="Footer"/>
              <w:tabs>
                <w:tab w:val="clear" w:pos="4677"/>
                <w:tab w:val="clear" w:pos="9355"/>
                <w:tab w:val="left" w:pos="680"/>
                <w:tab w:val="left" w:pos="1134"/>
              </w:tabs>
              <w:jc w:val="center"/>
              <w:rPr>
                <w:sz w:val="22"/>
                <w:lang w:val="en-US"/>
              </w:rPr>
            </w:pPr>
            <w:r>
              <w:rPr>
                <w:sz w:val="22"/>
                <w:lang w:val="en-US"/>
              </w:rPr>
              <w:t>6,7</w:t>
            </w:r>
          </w:p>
        </w:tc>
      </w:tr>
      <w:tr w:rsidR="00000000">
        <w:tblPrEx>
          <w:tblCellMar>
            <w:top w:w="0" w:type="dxa"/>
            <w:bottom w:w="0" w:type="dxa"/>
          </w:tblCellMar>
        </w:tblPrEx>
        <w:tc>
          <w:tcPr>
            <w:tcW w:w="2552" w:type="dxa"/>
          </w:tcPr>
          <w:p w:rsidR="00000000" w:rsidRDefault="00000000">
            <w:pPr>
              <w:tabs>
                <w:tab w:val="left" w:pos="680"/>
                <w:tab w:val="left" w:pos="1134"/>
              </w:tabs>
              <w:jc w:val="both"/>
              <w:rPr>
                <w:sz w:val="22"/>
                <w:lang w:val="en-US"/>
              </w:rPr>
            </w:pPr>
            <w:r>
              <w:rPr>
                <w:sz w:val="22"/>
              </w:rPr>
              <w:t>Отжозонжупа</w:t>
            </w:r>
          </w:p>
        </w:tc>
        <w:tc>
          <w:tcPr>
            <w:tcW w:w="2551" w:type="dxa"/>
          </w:tcPr>
          <w:p w:rsidR="00000000" w:rsidRDefault="00000000">
            <w:pPr>
              <w:pStyle w:val="Footer"/>
              <w:tabs>
                <w:tab w:val="clear" w:pos="4677"/>
                <w:tab w:val="clear" w:pos="9355"/>
                <w:tab w:val="left" w:pos="680"/>
                <w:tab w:val="left" w:pos="1134"/>
              </w:tabs>
              <w:jc w:val="center"/>
              <w:rPr>
                <w:sz w:val="22"/>
                <w:lang w:val="en-US"/>
              </w:rPr>
            </w:pPr>
            <w:r>
              <w:rPr>
                <w:sz w:val="22"/>
                <w:lang w:val="en-US"/>
              </w:rPr>
              <w:t>4,1</w:t>
            </w:r>
          </w:p>
        </w:tc>
        <w:tc>
          <w:tcPr>
            <w:tcW w:w="2410" w:type="dxa"/>
          </w:tcPr>
          <w:p w:rsidR="00000000" w:rsidRDefault="00000000">
            <w:pPr>
              <w:pStyle w:val="Footer"/>
              <w:tabs>
                <w:tab w:val="clear" w:pos="4677"/>
                <w:tab w:val="clear" w:pos="9355"/>
                <w:tab w:val="left" w:pos="680"/>
                <w:tab w:val="left" w:pos="1134"/>
              </w:tabs>
              <w:jc w:val="center"/>
              <w:rPr>
                <w:sz w:val="22"/>
                <w:lang w:val="en-US"/>
              </w:rPr>
            </w:pPr>
            <w:r>
              <w:rPr>
                <w:sz w:val="22"/>
                <w:lang w:val="en-US"/>
              </w:rPr>
              <w:t>5,7</w:t>
            </w:r>
          </w:p>
        </w:tc>
      </w:tr>
      <w:tr w:rsidR="00000000">
        <w:tblPrEx>
          <w:tblCellMar>
            <w:top w:w="0" w:type="dxa"/>
            <w:bottom w:w="0" w:type="dxa"/>
          </w:tblCellMar>
        </w:tblPrEx>
        <w:trPr>
          <w:cantSplit/>
        </w:trPr>
        <w:tc>
          <w:tcPr>
            <w:tcW w:w="7513" w:type="dxa"/>
            <w:gridSpan w:val="3"/>
          </w:tcPr>
          <w:p w:rsidR="00000000" w:rsidRDefault="00000000">
            <w:pPr>
              <w:pStyle w:val="Footer"/>
              <w:tabs>
                <w:tab w:val="clear" w:pos="4677"/>
                <w:tab w:val="clear" w:pos="9355"/>
                <w:tab w:val="left" w:pos="680"/>
                <w:tab w:val="left" w:pos="1134"/>
              </w:tabs>
              <w:spacing w:before="60" w:after="60"/>
              <w:rPr>
                <w:sz w:val="22"/>
                <w:lang w:val="en-US"/>
              </w:rPr>
            </w:pPr>
            <w:r>
              <w:rPr>
                <w:sz w:val="22"/>
              </w:rPr>
              <w:t>Уровни рождаемости по районам, Намибия, переписи 1991 и 2001 годов</w:t>
            </w:r>
          </w:p>
        </w:tc>
      </w:tr>
    </w:tbl>
    <w:p w:rsidR="00000000" w:rsidRDefault="00000000">
      <w:pPr>
        <w:pStyle w:val="BodyText2"/>
        <w:tabs>
          <w:tab w:val="left" w:pos="680"/>
          <w:tab w:val="left" w:pos="1134"/>
        </w:tabs>
        <w:spacing w:before="240"/>
        <w:jc w:val="both"/>
        <w:rPr>
          <w:b w:val="0"/>
          <w:sz w:val="22"/>
        </w:rPr>
      </w:pPr>
      <w:r>
        <w:rPr>
          <w:b w:val="0"/>
          <w:sz w:val="22"/>
        </w:rPr>
        <w:t>Как можно заметить по показателям в вышеприведенной таблице, за период с 1991 по 2001 год уровень рождаемости существенно снизился. В последнее время женщины в среднем имеют на два ребенка меньше, чем в 1991 году. Такое снижение характерно для всех районов, а также для городов и сельской местности. Стоит отметить, что общая тенденция в уровне рождаемости по районам является постоянной между этими двумя периодами времени. Можно сделать вывод, что, за исключением Каприви, относительно высокие уровни рождаемости в 2001 году наблюдались в тех же районах, что и в 1991 году. То же самое можно сказать и о районах с относительно низкими уровнями рождаемости.</w:t>
      </w:r>
    </w:p>
    <w:p w:rsidR="00000000" w:rsidRDefault="00000000">
      <w:pPr>
        <w:pStyle w:val="BodyText2"/>
        <w:tabs>
          <w:tab w:val="left" w:pos="680"/>
          <w:tab w:val="left" w:pos="1134"/>
        </w:tabs>
        <w:spacing w:before="240"/>
        <w:jc w:val="both"/>
        <w:rPr>
          <w:sz w:val="22"/>
        </w:rPr>
      </w:pPr>
      <w:r>
        <w:rPr>
          <w:sz w:val="22"/>
        </w:rPr>
        <w:t>12.6</w:t>
      </w:r>
      <w:r>
        <w:rPr>
          <w:sz w:val="22"/>
        </w:rPr>
        <w:tab/>
        <w:t>Планирование размеров семьи</w:t>
      </w:r>
    </w:p>
    <w:p w:rsidR="00000000" w:rsidRDefault="00000000">
      <w:pPr>
        <w:pStyle w:val="BodyText2"/>
        <w:tabs>
          <w:tab w:val="left" w:pos="680"/>
          <w:tab w:val="left" w:pos="1134"/>
        </w:tabs>
        <w:spacing w:before="240" w:after="240"/>
        <w:jc w:val="both"/>
        <w:rPr>
          <w:b w:val="0"/>
          <w:sz w:val="22"/>
        </w:rPr>
      </w:pPr>
      <w:r>
        <w:rPr>
          <w:b w:val="0"/>
          <w:sz w:val="22"/>
        </w:rPr>
        <w:t>По данным ОДЗН за 2000 год, определенными знаниями о планировании размеров семьи обладают почти все намибийские женщины, 97 процентов слышали по крайней мере об одном методе (таблица 8). Осведомленность о методах контрацепции несколько выше среди замужних женщин, чем среди женщин вообще и, как ни странно, ниже относительно применения как мужских, так и женских презервативов.</w:t>
      </w:r>
    </w:p>
    <w:p w:rsidR="00000000" w:rsidRDefault="00000000">
      <w:pPr>
        <w:pStyle w:val="BodyText2"/>
        <w:tabs>
          <w:tab w:val="left" w:pos="680"/>
          <w:tab w:val="left" w:pos="1134"/>
        </w:tabs>
        <w:spacing w:after="240"/>
        <w:rPr>
          <w:sz w:val="22"/>
        </w:rPr>
      </w:pPr>
      <w:r>
        <w:rPr>
          <w:sz w:val="22"/>
        </w:rPr>
        <w:br w:type="page"/>
        <w:t xml:space="preserve">Таблица 8: Осведомленность женщин о методах планирования размеров семьи; доля женщин, которые когда-либо применяли эти методы, и доля женщин, применяющих их </w:t>
      </w:r>
      <w:r>
        <w:rPr>
          <w:sz w:val="22"/>
        </w:rPr>
        <w:br/>
        <w:t>в настоящее время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687"/>
        <w:gridCol w:w="999"/>
        <w:gridCol w:w="1164"/>
        <w:gridCol w:w="999"/>
        <w:gridCol w:w="1169"/>
        <w:gridCol w:w="1169"/>
        <w:gridCol w:w="1169"/>
      </w:tblGrid>
      <w:tr w:rsidR="00000000">
        <w:tblPrEx>
          <w:tblCellMar>
            <w:top w:w="0" w:type="dxa"/>
            <w:bottom w:w="0" w:type="dxa"/>
          </w:tblCellMar>
        </w:tblPrEx>
        <w:trPr>
          <w:cantSplit/>
          <w:jc w:val="center"/>
        </w:trPr>
        <w:tc>
          <w:tcPr>
            <w:tcW w:w="2687" w:type="dxa"/>
            <w:vMerge w:val="restart"/>
          </w:tcPr>
          <w:p w:rsidR="00000000" w:rsidRDefault="00000000">
            <w:pPr>
              <w:pStyle w:val="FootnoteText"/>
              <w:tabs>
                <w:tab w:val="left" w:pos="680"/>
                <w:tab w:val="left" w:pos="1134"/>
              </w:tabs>
              <w:rPr>
                <w:b/>
                <w:sz w:val="19"/>
              </w:rPr>
            </w:pPr>
            <w:r>
              <w:rPr>
                <w:b/>
                <w:sz w:val="19"/>
              </w:rPr>
              <w:br/>
            </w:r>
            <w:r>
              <w:rPr>
                <w:b/>
                <w:sz w:val="19"/>
              </w:rPr>
              <w:br/>
            </w:r>
            <w:r>
              <w:rPr>
                <w:b/>
                <w:sz w:val="19"/>
              </w:rPr>
              <w:br/>
            </w:r>
            <w:r>
              <w:rPr>
                <w:b/>
                <w:sz w:val="19"/>
              </w:rPr>
              <w:br/>
              <w:t>Метод контрацепции</w:t>
            </w:r>
          </w:p>
        </w:tc>
        <w:tc>
          <w:tcPr>
            <w:tcW w:w="2163" w:type="dxa"/>
            <w:gridSpan w:val="2"/>
          </w:tcPr>
          <w:p w:rsidR="00000000" w:rsidRDefault="00000000">
            <w:pPr>
              <w:tabs>
                <w:tab w:val="left" w:pos="680"/>
                <w:tab w:val="left" w:pos="1134"/>
              </w:tabs>
              <w:jc w:val="center"/>
              <w:rPr>
                <w:b/>
                <w:sz w:val="19"/>
              </w:rPr>
            </w:pPr>
            <w:r>
              <w:rPr>
                <w:b/>
                <w:sz w:val="19"/>
              </w:rPr>
              <w:t>Знают о методе</w:t>
            </w:r>
          </w:p>
        </w:tc>
        <w:tc>
          <w:tcPr>
            <w:tcW w:w="2168" w:type="dxa"/>
            <w:gridSpan w:val="2"/>
          </w:tcPr>
          <w:p w:rsidR="00000000" w:rsidRDefault="00000000">
            <w:pPr>
              <w:tabs>
                <w:tab w:val="left" w:pos="680"/>
                <w:tab w:val="left" w:pos="1134"/>
              </w:tabs>
              <w:jc w:val="center"/>
              <w:rPr>
                <w:b/>
                <w:sz w:val="19"/>
              </w:rPr>
            </w:pPr>
            <w:r>
              <w:rPr>
                <w:b/>
                <w:sz w:val="19"/>
              </w:rPr>
              <w:t>Когда-либо применяли какой-либо метод</w:t>
            </w:r>
          </w:p>
        </w:tc>
        <w:tc>
          <w:tcPr>
            <w:tcW w:w="2338" w:type="dxa"/>
            <w:gridSpan w:val="2"/>
          </w:tcPr>
          <w:p w:rsidR="00000000" w:rsidRDefault="00000000">
            <w:pPr>
              <w:tabs>
                <w:tab w:val="left" w:pos="680"/>
                <w:tab w:val="left" w:pos="1134"/>
              </w:tabs>
              <w:jc w:val="center"/>
              <w:rPr>
                <w:b/>
                <w:sz w:val="19"/>
              </w:rPr>
            </w:pPr>
            <w:r>
              <w:rPr>
                <w:b/>
                <w:sz w:val="19"/>
              </w:rPr>
              <w:t>Применяют какой-либо метод в настоящее время</w:t>
            </w:r>
          </w:p>
        </w:tc>
      </w:tr>
      <w:tr w:rsidR="00000000">
        <w:tblPrEx>
          <w:tblCellMar>
            <w:top w:w="0" w:type="dxa"/>
            <w:bottom w:w="0" w:type="dxa"/>
          </w:tblCellMar>
        </w:tblPrEx>
        <w:trPr>
          <w:cantSplit/>
          <w:jc w:val="center"/>
        </w:trPr>
        <w:tc>
          <w:tcPr>
            <w:tcW w:w="2687" w:type="dxa"/>
            <w:vMerge/>
          </w:tcPr>
          <w:p w:rsidR="00000000" w:rsidRDefault="00000000">
            <w:pPr>
              <w:tabs>
                <w:tab w:val="left" w:pos="680"/>
                <w:tab w:val="left" w:pos="1134"/>
              </w:tabs>
              <w:rPr>
                <w:b/>
                <w:sz w:val="19"/>
              </w:rPr>
            </w:pPr>
          </w:p>
        </w:tc>
        <w:tc>
          <w:tcPr>
            <w:tcW w:w="999" w:type="dxa"/>
          </w:tcPr>
          <w:p w:rsidR="00000000" w:rsidRDefault="00000000">
            <w:pPr>
              <w:tabs>
                <w:tab w:val="left" w:pos="680"/>
                <w:tab w:val="left" w:pos="1134"/>
              </w:tabs>
              <w:jc w:val="center"/>
              <w:rPr>
                <w:b/>
                <w:sz w:val="19"/>
              </w:rPr>
            </w:pPr>
            <w:r>
              <w:rPr>
                <w:b/>
                <w:sz w:val="19"/>
              </w:rPr>
              <w:t>Все женщины</w:t>
            </w:r>
          </w:p>
        </w:tc>
        <w:tc>
          <w:tcPr>
            <w:tcW w:w="1164" w:type="dxa"/>
          </w:tcPr>
          <w:p w:rsidR="00000000" w:rsidRDefault="00000000">
            <w:pPr>
              <w:pStyle w:val="Footer"/>
              <w:tabs>
                <w:tab w:val="clear" w:pos="4677"/>
                <w:tab w:val="clear" w:pos="9355"/>
                <w:tab w:val="left" w:pos="680"/>
                <w:tab w:val="left" w:pos="1134"/>
              </w:tabs>
              <w:jc w:val="center"/>
              <w:rPr>
                <w:b/>
                <w:sz w:val="19"/>
              </w:rPr>
            </w:pPr>
            <w:r>
              <w:rPr>
                <w:b/>
                <w:sz w:val="19"/>
              </w:rPr>
              <w:t>Состоящие в браке в настоящее время</w:t>
            </w:r>
          </w:p>
        </w:tc>
        <w:tc>
          <w:tcPr>
            <w:tcW w:w="999" w:type="dxa"/>
          </w:tcPr>
          <w:p w:rsidR="00000000" w:rsidRDefault="00000000">
            <w:pPr>
              <w:tabs>
                <w:tab w:val="left" w:pos="680"/>
                <w:tab w:val="left" w:pos="1134"/>
              </w:tabs>
              <w:jc w:val="center"/>
              <w:rPr>
                <w:b/>
                <w:sz w:val="19"/>
              </w:rPr>
            </w:pPr>
            <w:r>
              <w:rPr>
                <w:b/>
                <w:sz w:val="19"/>
              </w:rPr>
              <w:t>Все женщины</w:t>
            </w:r>
          </w:p>
        </w:tc>
        <w:tc>
          <w:tcPr>
            <w:tcW w:w="1169" w:type="dxa"/>
          </w:tcPr>
          <w:p w:rsidR="00000000" w:rsidRDefault="00000000">
            <w:pPr>
              <w:pStyle w:val="Footer"/>
              <w:tabs>
                <w:tab w:val="clear" w:pos="4677"/>
                <w:tab w:val="clear" w:pos="9355"/>
                <w:tab w:val="left" w:pos="680"/>
                <w:tab w:val="left" w:pos="1134"/>
              </w:tabs>
              <w:jc w:val="center"/>
              <w:rPr>
                <w:b/>
                <w:sz w:val="19"/>
              </w:rPr>
            </w:pPr>
            <w:r>
              <w:rPr>
                <w:b/>
                <w:sz w:val="19"/>
              </w:rPr>
              <w:t>Состоящие в браке в настоящее время</w:t>
            </w:r>
          </w:p>
        </w:tc>
        <w:tc>
          <w:tcPr>
            <w:tcW w:w="1169" w:type="dxa"/>
          </w:tcPr>
          <w:p w:rsidR="00000000" w:rsidRDefault="00000000">
            <w:pPr>
              <w:tabs>
                <w:tab w:val="left" w:pos="680"/>
                <w:tab w:val="left" w:pos="1134"/>
              </w:tabs>
              <w:jc w:val="center"/>
              <w:rPr>
                <w:b/>
                <w:sz w:val="19"/>
              </w:rPr>
            </w:pPr>
            <w:r>
              <w:rPr>
                <w:b/>
                <w:sz w:val="19"/>
              </w:rPr>
              <w:t>Все женщины</w:t>
            </w:r>
          </w:p>
        </w:tc>
        <w:tc>
          <w:tcPr>
            <w:tcW w:w="1169" w:type="dxa"/>
          </w:tcPr>
          <w:p w:rsidR="00000000" w:rsidRDefault="00000000">
            <w:pPr>
              <w:pStyle w:val="Footer"/>
              <w:tabs>
                <w:tab w:val="clear" w:pos="4677"/>
                <w:tab w:val="clear" w:pos="9355"/>
                <w:tab w:val="left" w:pos="680"/>
                <w:tab w:val="left" w:pos="1134"/>
              </w:tabs>
              <w:jc w:val="center"/>
              <w:rPr>
                <w:b/>
                <w:sz w:val="19"/>
              </w:rPr>
            </w:pPr>
            <w:r>
              <w:rPr>
                <w:b/>
                <w:sz w:val="19"/>
              </w:rPr>
              <w:t>Состоящие в браке в настоящее время</w:t>
            </w:r>
          </w:p>
        </w:tc>
      </w:tr>
      <w:tr w:rsidR="00000000">
        <w:tblPrEx>
          <w:tblCellMar>
            <w:top w:w="0" w:type="dxa"/>
            <w:bottom w:w="0" w:type="dxa"/>
          </w:tblCellMar>
        </w:tblPrEx>
        <w:trPr>
          <w:jc w:val="center"/>
        </w:trPr>
        <w:tc>
          <w:tcPr>
            <w:tcW w:w="2687" w:type="dxa"/>
          </w:tcPr>
          <w:p w:rsidR="00000000" w:rsidRDefault="00000000">
            <w:pPr>
              <w:pStyle w:val="BodyText2"/>
              <w:tabs>
                <w:tab w:val="left" w:pos="680"/>
                <w:tab w:val="left" w:pos="1134"/>
              </w:tabs>
              <w:spacing w:before="40"/>
              <w:jc w:val="both"/>
              <w:rPr>
                <w:b w:val="0"/>
                <w:sz w:val="20"/>
              </w:rPr>
            </w:pPr>
            <w:r>
              <w:rPr>
                <w:b w:val="0"/>
                <w:sz w:val="20"/>
              </w:rPr>
              <w:t>Любой метод</w:t>
            </w:r>
          </w:p>
          <w:p w:rsidR="00000000" w:rsidRDefault="00000000">
            <w:pPr>
              <w:pStyle w:val="BodyText2"/>
              <w:tabs>
                <w:tab w:val="left" w:pos="680"/>
                <w:tab w:val="left" w:pos="1134"/>
              </w:tabs>
              <w:spacing w:before="40"/>
              <w:jc w:val="both"/>
              <w:rPr>
                <w:b w:val="0"/>
                <w:sz w:val="20"/>
              </w:rPr>
            </w:pPr>
            <w:r>
              <w:rPr>
                <w:b w:val="0"/>
                <w:sz w:val="20"/>
              </w:rPr>
              <w:t>Любой современный метод</w:t>
            </w:r>
          </w:p>
          <w:p w:rsidR="00000000" w:rsidRDefault="00000000">
            <w:pPr>
              <w:pStyle w:val="BodyText2"/>
              <w:tabs>
                <w:tab w:val="left" w:pos="680"/>
                <w:tab w:val="left" w:pos="1134"/>
              </w:tabs>
              <w:spacing w:before="40"/>
              <w:jc w:val="both"/>
              <w:rPr>
                <w:b w:val="0"/>
                <w:sz w:val="20"/>
              </w:rPr>
            </w:pPr>
            <w:r>
              <w:rPr>
                <w:b w:val="0"/>
                <w:sz w:val="20"/>
              </w:rPr>
              <w:t>Таблетка</w:t>
            </w:r>
          </w:p>
          <w:p w:rsidR="00000000" w:rsidRDefault="00000000">
            <w:pPr>
              <w:pStyle w:val="BodyText2"/>
              <w:tabs>
                <w:tab w:val="left" w:pos="680"/>
                <w:tab w:val="left" w:pos="1134"/>
              </w:tabs>
              <w:spacing w:before="40"/>
              <w:jc w:val="both"/>
              <w:rPr>
                <w:b w:val="0"/>
                <w:sz w:val="20"/>
              </w:rPr>
            </w:pPr>
            <w:r>
              <w:rPr>
                <w:b w:val="0"/>
                <w:sz w:val="20"/>
              </w:rPr>
              <w:t>Внутриматочное противозачаточное средство</w:t>
            </w:r>
          </w:p>
          <w:p w:rsidR="00000000" w:rsidRDefault="00000000">
            <w:pPr>
              <w:pStyle w:val="BodyText2"/>
              <w:tabs>
                <w:tab w:val="left" w:pos="680"/>
                <w:tab w:val="left" w:pos="1134"/>
              </w:tabs>
              <w:spacing w:before="40"/>
              <w:jc w:val="both"/>
              <w:rPr>
                <w:b w:val="0"/>
                <w:sz w:val="20"/>
              </w:rPr>
            </w:pPr>
            <w:r>
              <w:rPr>
                <w:b w:val="0"/>
                <w:sz w:val="20"/>
              </w:rPr>
              <w:t>Инъекции</w:t>
            </w:r>
          </w:p>
          <w:p w:rsidR="00000000" w:rsidRDefault="00000000">
            <w:pPr>
              <w:pStyle w:val="BodyText2"/>
              <w:tabs>
                <w:tab w:val="left" w:pos="680"/>
                <w:tab w:val="left" w:pos="1134"/>
              </w:tabs>
              <w:spacing w:before="40"/>
              <w:jc w:val="both"/>
              <w:rPr>
                <w:b w:val="0"/>
                <w:sz w:val="20"/>
              </w:rPr>
            </w:pPr>
            <w:r>
              <w:rPr>
                <w:b w:val="0"/>
                <w:sz w:val="20"/>
              </w:rPr>
              <w:t>Презерватив</w:t>
            </w:r>
          </w:p>
          <w:p w:rsidR="00000000" w:rsidRDefault="00000000">
            <w:pPr>
              <w:pStyle w:val="BodyText2"/>
              <w:tabs>
                <w:tab w:val="left" w:pos="680"/>
                <w:tab w:val="left" w:pos="1134"/>
              </w:tabs>
              <w:spacing w:before="40"/>
              <w:jc w:val="both"/>
              <w:rPr>
                <w:b w:val="0"/>
                <w:sz w:val="20"/>
              </w:rPr>
            </w:pPr>
            <w:r>
              <w:rPr>
                <w:b w:val="0"/>
                <w:sz w:val="20"/>
              </w:rPr>
              <w:t>Женский презерватив</w:t>
            </w:r>
          </w:p>
          <w:p w:rsidR="00000000" w:rsidRDefault="00000000">
            <w:pPr>
              <w:pStyle w:val="BodyText2"/>
              <w:tabs>
                <w:tab w:val="left" w:pos="680"/>
                <w:tab w:val="left" w:pos="1134"/>
              </w:tabs>
              <w:spacing w:before="40"/>
              <w:jc w:val="both"/>
              <w:rPr>
                <w:b w:val="0"/>
                <w:sz w:val="20"/>
              </w:rPr>
            </w:pPr>
            <w:r>
              <w:rPr>
                <w:b w:val="0"/>
                <w:sz w:val="20"/>
              </w:rPr>
              <w:t>Диафрагма/пена/гель</w:t>
            </w:r>
          </w:p>
          <w:p w:rsidR="00000000" w:rsidRDefault="00000000">
            <w:pPr>
              <w:pStyle w:val="BodyText2"/>
              <w:tabs>
                <w:tab w:val="left" w:pos="680"/>
                <w:tab w:val="left" w:pos="1134"/>
              </w:tabs>
              <w:spacing w:before="40"/>
              <w:jc w:val="both"/>
              <w:rPr>
                <w:b w:val="0"/>
                <w:sz w:val="20"/>
              </w:rPr>
            </w:pPr>
            <w:r>
              <w:rPr>
                <w:b w:val="0"/>
                <w:sz w:val="20"/>
              </w:rPr>
              <w:t>Срочная контрацепция</w:t>
            </w:r>
          </w:p>
          <w:p w:rsidR="00000000" w:rsidRDefault="00000000">
            <w:pPr>
              <w:pStyle w:val="BodyText2"/>
              <w:tabs>
                <w:tab w:val="left" w:pos="680"/>
                <w:tab w:val="left" w:pos="1134"/>
              </w:tabs>
              <w:spacing w:before="40"/>
              <w:jc w:val="both"/>
              <w:rPr>
                <w:b w:val="0"/>
                <w:sz w:val="20"/>
              </w:rPr>
            </w:pPr>
            <w:r>
              <w:rPr>
                <w:b w:val="0"/>
                <w:sz w:val="20"/>
              </w:rPr>
              <w:t>Женская стерилизация</w:t>
            </w:r>
          </w:p>
          <w:p w:rsidR="00000000" w:rsidRDefault="00000000">
            <w:pPr>
              <w:pStyle w:val="BodyText2"/>
              <w:tabs>
                <w:tab w:val="left" w:pos="680"/>
                <w:tab w:val="left" w:pos="1134"/>
              </w:tabs>
              <w:spacing w:before="40"/>
              <w:jc w:val="both"/>
              <w:rPr>
                <w:b w:val="0"/>
                <w:sz w:val="20"/>
              </w:rPr>
            </w:pPr>
            <w:r>
              <w:rPr>
                <w:b w:val="0"/>
                <w:sz w:val="20"/>
              </w:rPr>
              <w:t>Мужская стерилизация</w:t>
            </w:r>
          </w:p>
          <w:p w:rsidR="00000000" w:rsidRDefault="00000000">
            <w:pPr>
              <w:pStyle w:val="BodyText2"/>
              <w:tabs>
                <w:tab w:val="left" w:pos="680"/>
                <w:tab w:val="left" w:pos="1134"/>
              </w:tabs>
              <w:spacing w:before="40"/>
              <w:jc w:val="both"/>
              <w:rPr>
                <w:b w:val="0"/>
                <w:sz w:val="20"/>
              </w:rPr>
            </w:pPr>
            <w:r>
              <w:rPr>
                <w:b w:val="0"/>
                <w:sz w:val="20"/>
              </w:rPr>
              <w:t>Любой традиционный метод</w:t>
            </w:r>
          </w:p>
          <w:p w:rsidR="00000000" w:rsidRDefault="00000000">
            <w:pPr>
              <w:pStyle w:val="BodyText2"/>
              <w:tabs>
                <w:tab w:val="left" w:pos="680"/>
                <w:tab w:val="left" w:pos="1134"/>
              </w:tabs>
              <w:spacing w:before="40"/>
              <w:jc w:val="both"/>
              <w:rPr>
                <w:b w:val="0"/>
                <w:sz w:val="20"/>
              </w:rPr>
            </w:pPr>
            <w:r>
              <w:rPr>
                <w:b w:val="0"/>
                <w:sz w:val="20"/>
              </w:rPr>
              <w:t>Ритмический метод/периодическое воздержание</w:t>
            </w:r>
          </w:p>
          <w:p w:rsidR="00000000" w:rsidRDefault="00000000">
            <w:pPr>
              <w:pStyle w:val="BodyText2"/>
              <w:tabs>
                <w:tab w:val="left" w:pos="680"/>
                <w:tab w:val="left" w:pos="1134"/>
              </w:tabs>
              <w:spacing w:before="40"/>
              <w:jc w:val="both"/>
              <w:rPr>
                <w:b w:val="0"/>
                <w:sz w:val="20"/>
              </w:rPr>
            </w:pPr>
            <w:r>
              <w:rPr>
                <w:b w:val="0"/>
                <w:sz w:val="20"/>
              </w:rPr>
              <w:t>Прерывание полового акта</w:t>
            </w:r>
          </w:p>
          <w:p w:rsidR="00000000" w:rsidRDefault="00000000">
            <w:pPr>
              <w:pStyle w:val="BodyText2"/>
              <w:tabs>
                <w:tab w:val="left" w:pos="680"/>
                <w:tab w:val="left" w:pos="1134"/>
              </w:tabs>
              <w:spacing w:before="40"/>
              <w:jc w:val="both"/>
              <w:rPr>
                <w:b w:val="0"/>
                <w:sz w:val="20"/>
              </w:rPr>
            </w:pPr>
            <w:r>
              <w:rPr>
                <w:b w:val="0"/>
                <w:sz w:val="20"/>
              </w:rPr>
              <w:t>Другие методы</w:t>
            </w:r>
          </w:p>
          <w:p w:rsidR="00000000" w:rsidRDefault="00000000">
            <w:pPr>
              <w:pStyle w:val="Footer"/>
              <w:tabs>
                <w:tab w:val="clear" w:pos="4677"/>
                <w:tab w:val="clear" w:pos="9355"/>
                <w:tab w:val="left" w:pos="680"/>
                <w:tab w:val="left" w:pos="1134"/>
              </w:tabs>
              <w:spacing w:before="40"/>
              <w:jc w:val="both"/>
              <w:rPr>
                <w:lang w:val="en-US"/>
              </w:rPr>
            </w:pPr>
            <w:r>
              <w:t>Число женщин</w:t>
            </w:r>
          </w:p>
        </w:tc>
        <w:tc>
          <w:tcPr>
            <w:tcW w:w="999" w:type="dxa"/>
          </w:tcPr>
          <w:p w:rsidR="00000000" w:rsidRDefault="00000000">
            <w:pPr>
              <w:pStyle w:val="Footer"/>
              <w:tabs>
                <w:tab w:val="clear" w:pos="4677"/>
                <w:tab w:val="clear" w:pos="9355"/>
                <w:tab w:val="left" w:pos="680"/>
                <w:tab w:val="left" w:pos="1134"/>
              </w:tabs>
              <w:spacing w:before="40"/>
              <w:ind w:left="227"/>
            </w:pPr>
            <w:r>
              <w:t>97,3</w:t>
            </w:r>
          </w:p>
          <w:p w:rsidR="00000000" w:rsidRDefault="00000000">
            <w:pPr>
              <w:pStyle w:val="Footer"/>
              <w:tabs>
                <w:tab w:val="clear" w:pos="4677"/>
                <w:tab w:val="clear" w:pos="9355"/>
                <w:tab w:val="left" w:pos="680"/>
                <w:tab w:val="left" w:pos="1134"/>
              </w:tabs>
              <w:spacing w:before="40"/>
              <w:ind w:left="227"/>
            </w:pPr>
            <w:r>
              <w:t>97,2</w:t>
            </w:r>
          </w:p>
          <w:p w:rsidR="00000000" w:rsidRDefault="00000000">
            <w:pPr>
              <w:pStyle w:val="Footer"/>
              <w:tabs>
                <w:tab w:val="clear" w:pos="4677"/>
                <w:tab w:val="clear" w:pos="9355"/>
                <w:tab w:val="left" w:pos="680"/>
                <w:tab w:val="left" w:pos="1134"/>
              </w:tabs>
              <w:spacing w:before="40"/>
              <w:ind w:left="227"/>
            </w:pPr>
            <w:r>
              <w:t>89,2</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51,5</w:t>
            </w:r>
          </w:p>
          <w:p w:rsidR="00000000" w:rsidRDefault="00000000">
            <w:pPr>
              <w:pStyle w:val="Footer"/>
              <w:tabs>
                <w:tab w:val="clear" w:pos="4677"/>
                <w:tab w:val="clear" w:pos="9355"/>
                <w:tab w:val="left" w:pos="680"/>
                <w:tab w:val="left" w:pos="1134"/>
              </w:tabs>
              <w:spacing w:before="40"/>
              <w:ind w:left="227"/>
            </w:pPr>
            <w:r>
              <w:t>92,0</w:t>
            </w:r>
          </w:p>
          <w:p w:rsidR="00000000" w:rsidRDefault="00000000">
            <w:pPr>
              <w:pStyle w:val="Footer"/>
              <w:tabs>
                <w:tab w:val="clear" w:pos="4677"/>
                <w:tab w:val="clear" w:pos="9355"/>
                <w:tab w:val="left" w:pos="680"/>
                <w:tab w:val="left" w:pos="1134"/>
              </w:tabs>
              <w:spacing w:before="40"/>
              <w:ind w:left="227"/>
            </w:pPr>
            <w:r>
              <w:t>93,4</w:t>
            </w:r>
          </w:p>
          <w:p w:rsidR="00000000" w:rsidRDefault="00000000">
            <w:pPr>
              <w:pStyle w:val="Footer"/>
              <w:tabs>
                <w:tab w:val="clear" w:pos="4677"/>
                <w:tab w:val="clear" w:pos="9355"/>
                <w:tab w:val="left" w:pos="680"/>
                <w:tab w:val="left" w:pos="1134"/>
              </w:tabs>
              <w:spacing w:before="40"/>
              <w:ind w:left="227"/>
            </w:pPr>
            <w:r>
              <w:t>65,7</w:t>
            </w:r>
          </w:p>
          <w:p w:rsidR="00000000" w:rsidRDefault="00000000">
            <w:pPr>
              <w:pStyle w:val="Footer"/>
              <w:tabs>
                <w:tab w:val="clear" w:pos="4677"/>
                <w:tab w:val="clear" w:pos="9355"/>
                <w:tab w:val="left" w:pos="680"/>
                <w:tab w:val="left" w:pos="1134"/>
              </w:tabs>
              <w:spacing w:before="40"/>
              <w:ind w:left="227"/>
            </w:pPr>
            <w:r>
              <w:t>19,5</w:t>
            </w:r>
          </w:p>
          <w:p w:rsidR="00000000" w:rsidRDefault="00000000">
            <w:pPr>
              <w:pStyle w:val="Footer"/>
              <w:tabs>
                <w:tab w:val="clear" w:pos="4677"/>
                <w:tab w:val="clear" w:pos="9355"/>
                <w:tab w:val="left" w:pos="680"/>
                <w:tab w:val="left" w:pos="1134"/>
              </w:tabs>
              <w:spacing w:before="40"/>
              <w:ind w:left="227"/>
            </w:pPr>
            <w:r>
              <w:t>20,6</w:t>
            </w:r>
          </w:p>
          <w:p w:rsidR="00000000" w:rsidRDefault="00000000">
            <w:pPr>
              <w:pStyle w:val="Footer"/>
              <w:tabs>
                <w:tab w:val="clear" w:pos="4677"/>
                <w:tab w:val="clear" w:pos="9355"/>
                <w:tab w:val="left" w:pos="680"/>
                <w:tab w:val="left" w:pos="1134"/>
              </w:tabs>
              <w:spacing w:before="40"/>
              <w:ind w:left="227"/>
            </w:pPr>
            <w:r>
              <w:t>59,6</w:t>
            </w:r>
          </w:p>
          <w:p w:rsidR="00000000" w:rsidRDefault="00000000">
            <w:pPr>
              <w:pStyle w:val="Footer"/>
              <w:tabs>
                <w:tab w:val="clear" w:pos="4677"/>
                <w:tab w:val="clear" w:pos="9355"/>
                <w:tab w:val="left" w:pos="680"/>
                <w:tab w:val="left" w:pos="1134"/>
              </w:tabs>
              <w:spacing w:before="40"/>
              <w:ind w:left="227"/>
            </w:pPr>
            <w:r>
              <w:t>30,6</w:t>
            </w:r>
          </w:p>
          <w:p w:rsidR="00000000" w:rsidRDefault="00000000">
            <w:pPr>
              <w:pStyle w:val="Footer"/>
              <w:tabs>
                <w:tab w:val="clear" w:pos="4677"/>
                <w:tab w:val="clear" w:pos="9355"/>
                <w:tab w:val="left" w:pos="680"/>
                <w:tab w:val="left" w:pos="1134"/>
              </w:tabs>
              <w:spacing w:before="40"/>
              <w:ind w:left="227"/>
            </w:pPr>
            <w:r>
              <w:t>47,2</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34,0</w:t>
            </w:r>
          </w:p>
          <w:p w:rsidR="00000000" w:rsidRDefault="00000000">
            <w:pPr>
              <w:pStyle w:val="Footer"/>
              <w:tabs>
                <w:tab w:val="clear" w:pos="4677"/>
                <w:tab w:val="clear" w:pos="9355"/>
                <w:tab w:val="left" w:pos="680"/>
                <w:tab w:val="left" w:pos="1134"/>
              </w:tabs>
              <w:spacing w:before="40"/>
              <w:ind w:left="227"/>
            </w:pPr>
            <w:r>
              <w:t>33,8</w:t>
            </w:r>
          </w:p>
          <w:p w:rsidR="00000000" w:rsidRDefault="00000000">
            <w:pPr>
              <w:pStyle w:val="Footer"/>
              <w:tabs>
                <w:tab w:val="clear" w:pos="4677"/>
                <w:tab w:val="clear" w:pos="9355"/>
                <w:tab w:val="left" w:pos="680"/>
                <w:tab w:val="left" w:pos="1134"/>
              </w:tabs>
              <w:spacing w:before="40"/>
              <w:ind w:left="227"/>
            </w:pPr>
            <w:r>
              <w:t>6,1</w:t>
            </w:r>
          </w:p>
          <w:p w:rsidR="00000000" w:rsidRDefault="00000000">
            <w:pPr>
              <w:pStyle w:val="Footer"/>
              <w:tabs>
                <w:tab w:val="clear" w:pos="4677"/>
                <w:tab w:val="clear" w:pos="9355"/>
                <w:tab w:val="left" w:pos="680"/>
                <w:tab w:val="left" w:pos="1134"/>
              </w:tabs>
              <w:spacing w:before="40"/>
              <w:ind w:left="227"/>
            </w:pPr>
            <w:r>
              <w:t>6,755</w:t>
            </w:r>
          </w:p>
        </w:tc>
        <w:tc>
          <w:tcPr>
            <w:tcW w:w="1164" w:type="dxa"/>
          </w:tcPr>
          <w:p w:rsidR="00000000" w:rsidRDefault="00000000">
            <w:pPr>
              <w:pStyle w:val="Footer"/>
              <w:tabs>
                <w:tab w:val="clear" w:pos="4677"/>
                <w:tab w:val="clear" w:pos="9355"/>
                <w:tab w:val="left" w:pos="680"/>
                <w:tab w:val="left" w:pos="1134"/>
              </w:tabs>
              <w:spacing w:before="40"/>
              <w:ind w:left="227"/>
            </w:pPr>
            <w:r>
              <w:t>97,8</w:t>
            </w:r>
          </w:p>
          <w:p w:rsidR="00000000" w:rsidRDefault="00000000">
            <w:pPr>
              <w:pStyle w:val="Footer"/>
              <w:tabs>
                <w:tab w:val="clear" w:pos="4677"/>
                <w:tab w:val="clear" w:pos="9355"/>
                <w:tab w:val="left" w:pos="680"/>
                <w:tab w:val="left" w:pos="1134"/>
              </w:tabs>
              <w:spacing w:before="40"/>
              <w:ind w:left="227"/>
            </w:pPr>
            <w:r>
              <w:t>97,8</w:t>
            </w:r>
          </w:p>
          <w:p w:rsidR="00000000" w:rsidRDefault="00000000">
            <w:pPr>
              <w:pStyle w:val="Footer"/>
              <w:tabs>
                <w:tab w:val="clear" w:pos="4677"/>
                <w:tab w:val="clear" w:pos="9355"/>
                <w:tab w:val="left" w:pos="680"/>
                <w:tab w:val="left" w:pos="1134"/>
              </w:tabs>
              <w:spacing w:before="40"/>
              <w:ind w:left="227"/>
            </w:pPr>
            <w:r>
              <w:t>91,9</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56,0</w:t>
            </w:r>
          </w:p>
          <w:p w:rsidR="00000000" w:rsidRDefault="00000000">
            <w:pPr>
              <w:pStyle w:val="Footer"/>
              <w:tabs>
                <w:tab w:val="clear" w:pos="4677"/>
                <w:tab w:val="clear" w:pos="9355"/>
                <w:tab w:val="left" w:pos="680"/>
                <w:tab w:val="left" w:pos="1134"/>
              </w:tabs>
              <w:spacing w:before="40"/>
              <w:ind w:left="227"/>
            </w:pPr>
            <w:r>
              <w:t>95,6</w:t>
            </w:r>
          </w:p>
          <w:p w:rsidR="00000000" w:rsidRDefault="00000000">
            <w:pPr>
              <w:pStyle w:val="Footer"/>
              <w:tabs>
                <w:tab w:val="clear" w:pos="4677"/>
                <w:tab w:val="clear" w:pos="9355"/>
                <w:tab w:val="left" w:pos="680"/>
                <w:tab w:val="left" w:pos="1134"/>
              </w:tabs>
              <w:spacing w:before="40"/>
              <w:ind w:left="227"/>
            </w:pPr>
            <w:r>
              <w:t>92,0</w:t>
            </w:r>
          </w:p>
          <w:p w:rsidR="00000000" w:rsidRDefault="00000000">
            <w:pPr>
              <w:pStyle w:val="Footer"/>
              <w:tabs>
                <w:tab w:val="clear" w:pos="4677"/>
                <w:tab w:val="clear" w:pos="9355"/>
                <w:tab w:val="left" w:pos="680"/>
                <w:tab w:val="left" w:pos="1134"/>
              </w:tabs>
              <w:spacing w:before="40"/>
              <w:ind w:left="227"/>
            </w:pPr>
            <w:r>
              <w:t>64,9</w:t>
            </w:r>
          </w:p>
          <w:p w:rsidR="00000000" w:rsidRDefault="00000000">
            <w:pPr>
              <w:pStyle w:val="Footer"/>
              <w:tabs>
                <w:tab w:val="clear" w:pos="4677"/>
                <w:tab w:val="clear" w:pos="9355"/>
                <w:tab w:val="left" w:pos="680"/>
                <w:tab w:val="left" w:pos="1134"/>
              </w:tabs>
              <w:spacing w:before="40"/>
              <w:ind w:left="227"/>
            </w:pPr>
            <w:r>
              <w:t>20,6</w:t>
            </w:r>
          </w:p>
          <w:p w:rsidR="00000000" w:rsidRDefault="00000000">
            <w:pPr>
              <w:pStyle w:val="Footer"/>
              <w:tabs>
                <w:tab w:val="clear" w:pos="4677"/>
                <w:tab w:val="clear" w:pos="9355"/>
                <w:tab w:val="left" w:pos="680"/>
                <w:tab w:val="left" w:pos="1134"/>
              </w:tabs>
              <w:spacing w:before="40"/>
              <w:ind w:left="227"/>
            </w:pPr>
            <w:r>
              <w:t>20,4</w:t>
            </w:r>
          </w:p>
          <w:p w:rsidR="00000000" w:rsidRDefault="00000000">
            <w:pPr>
              <w:pStyle w:val="Footer"/>
              <w:tabs>
                <w:tab w:val="clear" w:pos="4677"/>
                <w:tab w:val="clear" w:pos="9355"/>
                <w:tab w:val="left" w:pos="680"/>
                <w:tab w:val="left" w:pos="1134"/>
              </w:tabs>
              <w:spacing w:before="40"/>
              <w:ind w:left="227"/>
            </w:pPr>
            <w:r>
              <w:t>66,5</w:t>
            </w:r>
          </w:p>
          <w:p w:rsidR="00000000" w:rsidRDefault="00000000">
            <w:pPr>
              <w:pStyle w:val="Footer"/>
              <w:tabs>
                <w:tab w:val="clear" w:pos="4677"/>
                <w:tab w:val="clear" w:pos="9355"/>
                <w:tab w:val="left" w:pos="680"/>
                <w:tab w:val="left" w:pos="1134"/>
              </w:tabs>
              <w:spacing w:before="40"/>
              <w:ind w:left="227"/>
            </w:pPr>
            <w:r>
              <w:t>35,1</w:t>
            </w:r>
          </w:p>
          <w:p w:rsidR="00000000" w:rsidRDefault="00000000">
            <w:pPr>
              <w:pStyle w:val="Footer"/>
              <w:tabs>
                <w:tab w:val="clear" w:pos="4677"/>
                <w:tab w:val="clear" w:pos="9355"/>
                <w:tab w:val="left" w:pos="680"/>
                <w:tab w:val="left" w:pos="1134"/>
              </w:tabs>
              <w:spacing w:before="40"/>
              <w:ind w:left="227"/>
            </w:pPr>
            <w:r>
              <w:t>49,5</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35,3</w:t>
            </w:r>
          </w:p>
          <w:p w:rsidR="00000000" w:rsidRDefault="00000000">
            <w:pPr>
              <w:pStyle w:val="Footer"/>
              <w:tabs>
                <w:tab w:val="clear" w:pos="4677"/>
                <w:tab w:val="clear" w:pos="9355"/>
                <w:tab w:val="left" w:pos="680"/>
                <w:tab w:val="left" w:pos="1134"/>
              </w:tabs>
              <w:spacing w:before="40"/>
              <w:ind w:left="227"/>
            </w:pPr>
            <w:r>
              <w:t>35,3</w:t>
            </w:r>
          </w:p>
          <w:p w:rsidR="00000000" w:rsidRDefault="00000000">
            <w:pPr>
              <w:pStyle w:val="Footer"/>
              <w:tabs>
                <w:tab w:val="clear" w:pos="4677"/>
                <w:tab w:val="clear" w:pos="9355"/>
                <w:tab w:val="left" w:pos="680"/>
                <w:tab w:val="left" w:pos="1134"/>
              </w:tabs>
              <w:spacing w:before="40"/>
              <w:ind w:left="227"/>
            </w:pPr>
            <w:r>
              <w:t>7,8</w:t>
            </w:r>
          </w:p>
          <w:p w:rsidR="00000000" w:rsidRDefault="00000000">
            <w:pPr>
              <w:pStyle w:val="Footer"/>
              <w:tabs>
                <w:tab w:val="clear" w:pos="4677"/>
                <w:tab w:val="clear" w:pos="9355"/>
                <w:tab w:val="left" w:pos="680"/>
                <w:tab w:val="left" w:pos="1134"/>
              </w:tabs>
              <w:spacing w:before="40"/>
              <w:ind w:left="227"/>
            </w:pPr>
            <w:r>
              <w:t>2,610</w:t>
            </w:r>
          </w:p>
        </w:tc>
        <w:tc>
          <w:tcPr>
            <w:tcW w:w="999" w:type="dxa"/>
          </w:tcPr>
          <w:p w:rsidR="00000000" w:rsidRDefault="00000000">
            <w:pPr>
              <w:pStyle w:val="Footer"/>
              <w:tabs>
                <w:tab w:val="clear" w:pos="4677"/>
                <w:tab w:val="clear" w:pos="9355"/>
                <w:tab w:val="left" w:pos="680"/>
                <w:tab w:val="left" w:pos="1134"/>
              </w:tabs>
              <w:spacing w:before="40"/>
              <w:ind w:left="227"/>
            </w:pPr>
            <w:r>
              <w:t>63,2</w:t>
            </w:r>
          </w:p>
          <w:p w:rsidR="00000000" w:rsidRDefault="00000000">
            <w:pPr>
              <w:pStyle w:val="Footer"/>
              <w:tabs>
                <w:tab w:val="clear" w:pos="4677"/>
                <w:tab w:val="clear" w:pos="9355"/>
                <w:tab w:val="left" w:pos="680"/>
                <w:tab w:val="left" w:pos="1134"/>
              </w:tabs>
              <w:spacing w:before="40"/>
              <w:ind w:left="227"/>
            </w:pPr>
            <w:r>
              <w:t>61,0</w:t>
            </w:r>
          </w:p>
          <w:p w:rsidR="00000000" w:rsidRDefault="00000000">
            <w:pPr>
              <w:pStyle w:val="Footer"/>
              <w:tabs>
                <w:tab w:val="clear" w:pos="4677"/>
                <w:tab w:val="clear" w:pos="9355"/>
                <w:tab w:val="left" w:pos="680"/>
                <w:tab w:val="left" w:pos="1134"/>
              </w:tabs>
              <w:spacing w:before="40"/>
              <w:ind w:left="227"/>
            </w:pPr>
            <w:r>
              <w:t>23,6</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3,3</w:t>
            </w:r>
          </w:p>
          <w:p w:rsidR="00000000" w:rsidRDefault="00000000">
            <w:pPr>
              <w:pStyle w:val="Footer"/>
              <w:tabs>
                <w:tab w:val="clear" w:pos="4677"/>
                <w:tab w:val="clear" w:pos="9355"/>
                <w:tab w:val="left" w:pos="680"/>
                <w:tab w:val="left" w:pos="1134"/>
              </w:tabs>
              <w:spacing w:before="40"/>
              <w:ind w:left="227"/>
            </w:pPr>
            <w:r>
              <w:t>39,2</w:t>
            </w:r>
          </w:p>
          <w:p w:rsidR="00000000" w:rsidRDefault="00000000">
            <w:pPr>
              <w:pStyle w:val="Footer"/>
              <w:tabs>
                <w:tab w:val="clear" w:pos="4677"/>
                <w:tab w:val="clear" w:pos="9355"/>
                <w:tab w:val="left" w:pos="680"/>
                <w:tab w:val="left" w:pos="1134"/>
              </w:tabs>
              <w:spacing w:before="40"/>
              <w:ind w:left="227"/>
            </w:pPr>
            <w:r>
              <w:t>28,2</w:t>
            </w:r>
          </w:p>
          <w:p w:rsidR="00000000" w:rsidRDefault="00000000">
            <w:pPr>
              <w:pStyle w:val="Footer"/>
              <w:tabs>
                <w:tab w:val="clear" w:pos="4677"/>
                <w:tab w:val="clear" w:pos="9355"/>
                <w:tab w:val="left" w:pos="680"/>
                <w:tab w:val="left" w:pos="1134"/>
              </w:tabs>
              <w:spacing w:before="40"/>
              <w:ind w:left="227"/>
            </w:pPr>
            <w:r>
              <w:t>0,9</w:t>
            </w:r>
          </w:p>
          <w:p w:rsidR="00000000" w:rsidRDefault="00000000">
            <w:pPr>
              <w:pStyle w:val="Footer"/>
              <w:tabs>
                <w:tab w:val="clear" w:pos="4677"/>
                <w:tab w:val="clear" w:pos="9355"/>
                <w:tab w:val="left" w:pos="680"/>
                <w:tab w:val="left" w:pos="1134"/>
              </w:tabs>
              <w:spacing w:before="40"/>
              <w:ind w:left="227"/>
            </w:pPr>
            <w:r>
              <w:t>0,3</w:t>
            </w:r>
          </w:p>
          <w:p w:rsidR="00000000" w:rsidRDefault="00000000">
            <w:pPr>
              <w:pStyle w:val="Footer"/>
              <w:tabs>
                <w:tab w:val="clear" w:pos="4677"/>
                <w:tab w:val="clear" w:pos="9355"/>
                <w:tab w:val="left" w:pos="680"/>
                <w:tab w:val="left" w:pos="1134"/>
              </w:tabs>
              <w:spacing w:before="40"/>
              <w:ind w:left="227"/>
            </w:pPr>
            <w:r>
              <w:t>0,9</w:t>
            </w:r>
          </w:p>
          <w:p w:rsidR="00000000" w:rsidRDefault="00000000">
            <w:pPr>
              <w:pStyle w:val="Footer"/>
              <w:tabs>
                <w:tab w:val="clear" w:pos="4677"/>
                <w:tab w:val="clear" w:pos="9355"/>
                <w:tab w:val="left" w:pos="680"/>
                <w:tab w:val="left" w:pos="1134"/>
              </w:tabs>
              <w:spacing w:before="40"/>
              <w:ind w:left="227"/>
            </w:pPr>
            <w:r>
              <w:t>4,3</w:t>
            </w:r>
          </w:p>
          <w:p w:rsidR="00000000" w:rsidRDefault="00000000">
            <w:pPr>
              <w:pStyle w:val="Footer"/>
              <w:tabs>
                <w:tab w:val="clear" w:pos="4677"/>
                <w:tab w:val="clear" w:pos="9355"/>
                <w:tab w:val="left" w:pos="680"/>
                <w:tab w:val="left" w:pos="1134"/>
              </w:tabs>
              <w:spacing w:before="40"/>
              <w:ind w:left="227"/>
            </w:pPr>
            <w:r>
              <w:t>0,4</w:t>
            </w:r>
          </w:p>
          <w:p w:rsidR="00000000" w:rsidRDefault="00000000">
            <w:pPr>
              <w:pStyle w:val="Footer"/>
              <w:tabs>
                <w:tab w:val="clear" w:pos="4677"/>
                <w:tab w:val="clear" w:pos="9355"/>
                <w:tab w:val="left" w:pos="680"/>
                <w:tab w:val="left" w:pos="1134"/>
              </w:tabs>
              <w:spacing w:before="40"/>
              <w:ind w:left="227"/>
            </w:pPr>
            <w:r>
              <w:t>12,1</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6,5</w:t>
            </w:r>
          </w:p>
          <w:p w:rsidR="00000000" w:rsidRDefault="00000000">
            <w:pPr>
              <w:pStyle w:val="Footer"/>
              <w:tabs>
                <w:tab w:val="clear" w:pos="4677"/>
                <w:tab w:val="clear" w:pos="9355"/>
                <w:tab w:val="left" w:pos="680"/>
                <w:tab w:val="left" w:pos="1134"/>
              </w:tabs>
              <w:spacing w:before="40"/>
              <w:ind w:left="227"/>
            </w:pPr>
            <w:r>
              <w:t>5,7</w:t>
            </w:r>
          </w:p>
          <w:p w:rsidR="00000000" w:rsidRDefault="00000000">
            <w:pPr>
              <w:pStyle w:val="Footer"/>
              <w:tabs>
                <w:tab w:val="clear" w:pos="4677"/>
                <w:tab w:val="clear" w:pos="9355"/>
                <w:tab w:val="left" w:pos="680"/>
                <w:tab w:val="left" w:pos="1134"/>
              </w:tabs>
              <w:spacing w:before="40"/>
              <w:ind w:left="227"/>
            </w:pPr>
            <w:r>
              <w:t>2,8</w:t>
            </w:r>
          </w:p>
          <w:p w:rsidR="00000000" w:rsidRDefault="00000000">
            <w:pPr>
              <w:pStyle w:val="Footer"/>
              <w:tabs>
                <w:tab w:val="clear" w:pos="4677"/>
                <w:tab w:val="clear" w:pos="9355"/>
                <w:tab w:val="left" w:pos="680"/>
                <w:tab w:val="left" w:pos="1134"/>
              </w:tabs>
              <w:spacing w:before="40"/>
              <w:ind w:left="227"/>
            </w:pPr>
            <w:r>
              <w:t>6,755</w:t>
            </w:r>
          </w:p>
        </w:tc>
        <w:tc>
          <w:tcPr>
            <w:tcW w:w="1169" w:type="dxa"/>
          </w:tcPr>
          <w:p w:rsidR="00000000" w:rsidRDefault="00000000">
            <w:pPr>
              <w:pStyle w:val="Footer"/>
              <w:tabs>
                <w:tab w:val="clear" w:pos="4677"/>
                <w:tab w:val="clear" w:pos="9355"/>
                <w:tab w:val="left" w:pos="680"/>
                <w:tab w:val="left" w:pos="1134"/>
              </w:tabs>
              <w:spacing w:before="40"/>
              <w:ind w:left="227"/>
            </w:pPr>
            <w:r>
              <w:t>73,2</w:t>
            </w:r>
          </w:p>
          <w:p w:rsidR="00000000" w:rsidRDefault="00000000">
            <w:pPr>
              <w:pStyle w:val="Footer"/>
              <w:tabs>
                <w:tab w:val="clear" w:pos="4677"/>
                <w:tab w:val="clear" w:pos="9355"/>
                <w:tab w:val="left" w:pos="680"/>
                <w:tab w:val="left" w:pos="1134"/>
              </w:tabs>
              <w:spacing w:before="40"/>
              <w:ind w:left="227"/>
            </w:pPr>
            <w:r>
              <w:t>71,1</w:t>
            </w:r>
          </w:p>
          <w:p w:rsidR="00000000" w:rsidRDefault="00000000">
            <w:pPr>
              <w:pStyle w:val="Footer"/>
              <w:tabs>
                <w:tab w:val="clear" w:pos="4677"/>
                <w:tab w:val="clear" w:pos="9355"/>
                <w:tab w:val="left" w:pos="680"/>
                <w:tab w:val="left" w:pos="1134"/>
              </w:tabs>
              <w:spacing w:before="40"/>
              <w:ind w:left="227"/>
            </w:pPr>
            <w:r>
              <w:t>33,4</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5,2</w:t>
            </w:r>
          </w:p>
          <w:p w:rsidR="00000000" w:rsidRDefault="00000000">
            <w:pPr>
              <w:pStyle w:val="Footer"/>
              <w:tabs>
                <w:tab w:val="clear" w:pos="4677"/>
                <w:tab w:val="clear" w:pos="9355"/>
                <w:tab w:val="left" w:pos="680"/>
                <w:tab w:val="left" w:pos="1134"/>
              </w:tabs>
              <w:spacing w:before="40"/>
              <w:ind w:left="227"/>
            </w:pPr>
            <w:r>
              <w:t>47,8</w:t>
            </w:r>
          </w:p>
          <w:p w:rsidR="00000000" w:rsidRDefault="00000000">
            <w:pPr>
              <w:pStyle w:val="Footer"/>
              <w:tabs>
                <w:tab w:val="clear" w:pos="4677"/>
                <w:tab w:val="clear" w:pos="9355"/>
                <w:tab w:val="left" w:pos="680"/>
                <w:tab w:val="left" w:pos="1134"/>
              </w:tabs>
              <w:spacing w:before="40"/>
              <w:ind w:left="227"/>
            </w:pPr>
            <w:r>
              <w:t>21,6</w:t>
            </w:r>
          </w:p>
          <w:p w:rsidR="00000000" w:rsidRDefault="00000000">
            <w:pPr>
              <w:pStyle w:val="Footer"/>
              <w:tabs>
                <w:tab w:val="clear" w:pos="4677"/>
                <w:tab w:val="clear" w:pos="9355"/>
                <w:tab w:val="left" w:pos="680"/>
                <w:tab w:val="left" w:pos="1134"/>
              </w:tabs>
              <w:spacing w:before="40"/>
              <w:ind w:left="227"/>
            </w:pPr>
            <w:r>
              <w:t>0,5</w:t>
            </w:r>
          </w:p>
          <w:p w:rsidR="00000000" w:rsidRDefault="00000000">
            <w:pPr>
              <w:pStyle w:val="Footer"/>
              <w:tabs>
                <w:tab w:val="clear" w:pos="4677"/>
                <w:tab w:val="clear" w:pos="9355"/>
                <w:tab w:val="left" w:pos="680"/>
                <w:tab w:val="left" w:pos="1134"/>
              </w:tabs>
              <w:spacing w:before="40"/>
              <w:ind w:left="227"/>
            </w:pPr>
            <w:r>
              <w:t>0,5</w:t>
            </w:r>
          </w:p>
          <w:p w:rsidR="00000000" w:rsidRDefault="00000000">
            <w:pPr>
              <w:pStyle w:val="Footer"/>
              <w:tabs>
                <w:tab w:val="clear" w:pos="4677"/>
                <w:tab w:val="clear" w:pos="9355"/>
                <w:tab w:val="left" w:pos="680"/>
                <w:tab w:val="left" w:pos="1134"/>
              </w:tabs>
              <w:spacing w:before="40"/>
              <w:ind w:left="227"/>
            </w:pPr>
            <w:r>
              <w:t>1,0</w:t>
            </w:r>
          </w:p>
          <w:p w:rsidR="00000000" w:rsidRDefault="00000000">
            <w:pPr>
              <w:pStyle w:val="Footer"/>
              <w:tabs>
                <w:tab w:val="clear" w:pos="4677"/>
                <w:tab w:val="clear" w:pos="9355"/>
                <w:tab w:val="left" w:pos="680"/>
                <w:tab w:val="left" w:pos="1134"/>
              </w:tabs>
              <w:spacing w:before="40"/>
              <w:ind w:left="227"/>
            </w:pPr>
            <w:r>
              <w:t>8,5</w:t>
            </w:r>
          </w:p>
          <w:p w:rsidR="00000000" w:rsidRDefault="00000000">
            <w:pPr>
              <w:pStyle w:val="Footer"/>
              <w:tabs>
                <w:tab w:val="clear" w:pos="4677"/>
                <w:tab w:val="clear" w:pos="9355"/>
                <w:tab w:val="left" w:pos="680"/>
                <w:tab w:val="left" w:pos="1134"/>
              </w:tabs>
              <w:spacing w:before="40"/>
              <w:ind w:left="227"/>
            </w:pPr>
            <w:r>
              <w:t>1,0</w:t>
            </w:r>
          </w:p>
          <w:p w:rsidR="00000000" w:rsidRDefault="00000000">
            <w:pPr>
              <w:pStyle w:val="Footer"/>
              <w:tabs>
                <w:tab w:val="clear" w:pos="4677"/>
                <w:tab w:val="clear" w:pos="9355"/>
                <w:tab w:val="left" w:pos="680"/>
                <w:tab w:val="left" w:pos="1134"/>
              </w:tabs>
              <w:spacing w:before="40"/>
              <w:ind w:left="227"/>
            </w:pPr>
            <w:r>
              <w:t>13,4</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6,4</w:t>
            </w:r>
          </w:p>
          <w:p w:rsidR="00000000" w:rsidRDefault="00000000">
            <w:pPr>
              <w:pStyle w:val="Footer"/>
              <w:tabs>
                <w:tab w:val="clear" w:pos="4677"/>
                <w:tab w:val="clear" w:pos="9355"/>
                <w:tab w:val="left" w:pos="680"/>
                <w:tab w:val="left" w:pos="1134"/>
              </w:tabs>
              <w:spacing w:before="40"/>
              <w:ind w:left="227"/>
            </w:pPr>
            <w:r>
              <w:t>6,0</w:t>
            </w:r>
          </w:p>
          <w:p w:rsidR="00000000" w:rsidRDefault="00000000">
            <w:pPr>
              <w:pStyle w:val="Footer"/>
              <w:tabs>
                <w:tab w:val="clear" w:pos="4677"/>
                <w:tab w:val="clear" w:pos="9355"/>
                <w:tab w:val="left" w:pos="680"/>
                <w:tab w:val="left" w:pos="1134"/>
              </w:tabs>
              <w:spacing w:before="40"/>
              <w:ind w:left="227"/>
            </w:pPr>
            <w:r>
              <w:t>4,2</w:t>
            </w:r>
          </w:p>
          <w:p w:rsidR="00000000" w:rsidRDefault="00000000">
            <w:pPr>
              <w:pStyle w:val="Footer"/>
              <w:tabs>
                <w:tab w:val="clear" w:pos="4677"/>
                <w:tab w:val="clear" w:pos="9355"/>
                <w:tab w:val="left" w:pos="680"/>
                <w:tab w:val="left" w:pos="1134"/>
              </w:tabs>
              <w:spacing w:before="40"/>
              <w:ind w:left="227"/>
            </w:pPr>
            <w:r>
              <w:t>2,610</w:t>
            </w:r>
          </w:p>
        </w:tc>
        <w:tc>
          <w:tcPr>
            <w:tcW w:w="1169" w:type="dxa"/>
          </w:tcPr>
          <w:p w:rsidR="00000000" w:rsidRDefault="00000000">
            <w:pPr>
              <w:pStyle w:val="Footer"/>
              <w:tabs>
                <w:tab w:val="clear" w:pos="4677"/>
                <w:tab w:val="clear" w:pos="9355"/>
                <w:tab w:val="left" w:pos="680"/>
                <w:tab w:val="left" w:pos="1134"/>
              </w:tabs>
              <w:spacing w:before="40"/>
              <w:ind w:left="227"/>
            </w:pPr>
            <w:r>
              <w:t>37,8</w:t>
            </w:r>
          </w:p>
          <w:p w:rsidR="00000000" w:rsidRDefault="00000000">
            <w:pPr>
              <w:pStyle w:val="Footer"/>
              <w:tabs>
                <w:tab w:val="clear" w:pos="4677"/>
                <w:tab w:val="clear" w:pos="9355"/>
                <w:tab w:val="left" w:pos="680"/>
                <w:tab w:val="left" w:pos="1134"/>
              </w:tabs>
              <w:spacing w:before="40"/>
              <w:ind w:left="227"/>
            </w:pPr>
            <w:r>
              <w:t>37,1</w:t>
            </w:r>
          </w:p>
          <w:p w:rsidR="00000000" w:rsidRDefault="00000000">
            <w:pPr>
              <w:pStyle w:val="Footer"/>
              <w:tabs>
                <w:tab w:val="clear" w:pos="4677"/>
                <w:tab w:val="clear" w:pos="9355"/>
                <w:tab w:val="left" w:pos="680"/>
                <w:tab w:val="left" w:pos="1134"/>
              </w:tabs>
              <w:spacing w:before="40"/>
              <w:ind w:left="227"/>
            </w:pPr>
            <w:r>
              <w:t>5,7</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0,7</w:t>
            </w:r>
          </w:p>
          <w:p w:rsidR="00000000" w:rsidRDefault="00000000">
            <w:pPr>
              <w:pStyle w:val="Footer"/>
              <w:tabs>
                <w:tab w:val="clear" w:pos="4677"/>
                <w:tab w:val="clear" w:pos="9355"/>
                <w:tab w:val="left" w:pos="680"/>
                <w:tab w:val="left" w:pos="1134"/>
              </w:tabs>
              <w:spacing w:before="40"/>
              <w:ind w:left="227"/>
            </w:pPr>
            <w:r>
              <w:t>17,0</w:t>
            </w:r>
          </w:p>
          <w:p w:rsidR="00000000" w:rsidRDefault="00000000">
            <w:pPr>
              <w:pStyle w:val="Footer"/>
              <w:tabs>
                <w:tab w:val="clear" w:pos="4677"/>
                <w:tab w:val="clear" w:pos="9355"/>
                <w:tab w:val="left" w:pos="680"/>
                <w:tab w:val="left" w:pos="1134"/>
              </w:tabs>
              <w:spacing w:before="40"/>
              <w:ind w:left="227"/>
            </w:pPr>
            <w:r>
              <w:t>8,9</w:t>
            </w:r>
          </w:p>
          <w:p w:rsidR="00000000" w:rsidRDefault="00000000">
            <w:pPr>
              <w:pStyle w:val="Footer"/>
              <w:tabs>
                <w:tab w:val="clear" w:pos="4677"/>
                <w:tab w:val="clear" w:pos="9355"/>
                <w:tab w:val="left" w:pos="680"/>
                <w:tab w:val="left" w:pos="1134"/>
              </w:tabs>
              <w:spacing w:before="40"/>
              <w:ind w:left="227"/>
            </w:pPr>
            <w:r>
              <w:t>0,1</w:t>
            </w:r>
          </w:p>
          <w:p w:rsidR="00000000" w:rsidRDefault="00000000">
            <w:pPr>
              <w:pStyle w:val="Footer"/>
              <w:tabs>
                <w:tab w:val="clear" w:pos="4677"/>
                <w:tab w:val="clear" w:pos="9355"/>
                <w:tab w:val="left" w:pos="680"/>
                <w:tab w:val="left" w:pos="1134"/>
              </w:tabs>
              <w:spacing w:before="40"/>
              <w:ind w:left="227"/>
            </w:pPr>
            <w:r>
              <w:t>0,0</w:t>
            </w:r>
          </w:p>
          <w:p w:rsidR="00000000" w:rsidRDefault="00000000">
            <w:pPr>
              <w:pStyle w:val="Footer"/>
              <w:tabs>
                <w:tab w:val="clear" w:pos="4677"/>
                <w:tab w:val="clear" w:pos="9355"/>
                <w:tab w:val="left" w:pos="680"/>
                <w:tab w:val="left" w:pos="1134"/>
              </w:tabs>
              <w:spacing w:before="40"/>
              <w:ind w:left="227"/>
            </w:pPr>
            <w:r>
              <w:t>0,0</w:t>
            </w:r>
          </w:p>
          <w:p w:rsidR="00000000" w:rsidRDefault="00000000">
            <w:pPr>
              <w:pStyle w:val="Footer"/>
              <w:tabs>
                <w:tab w:val="clear" w:pos="4677"/>
                <w:tab w:val="clear" w:pos="9355"/>
                <w:tab w:val="left" w:pos="680"/>
                <w:tab w:val="left" w:pos="1134"/>
              </w:tabs>
              <w:spacing w:before="40"/>
              <w:ind w:left="227"/>
            </w:pPr>
            <w:r>
              <w:t>4,3</w:t>
            </w:r>
          </w:p>
          <w:p w:rsidR="00000000" w:rsidRDefault="00000000">
            <w:pPr>
              <w:pStyle w:val="Footer"/>
              <w:tabs>
                <w:tab w:val="clear" w:pos="4677"/>
                <w:tab w:val="clear" w:pos="9355"/>
                <w:tab w:val="left" w:pos="680"/>
                <w:tab w:val="left" w:pos="1134"/>
              </w:tabs>
              <w:spacing w:before="40"/>
              <w:ind w:left="227"/>
            </w:pPr>
            <w:r>
              <w:t>0,3</w:t>
            </w:r>
          </w:p>
          <w:p w:rsidR="00000000" w:rsidRDefault="00000000">
            <w:pPr>
              <w:pStyle w:val="Footer"/>
              <w:tabs>
                <w:tab w:val="clear" w:pos="4677"/>
                <w:tab w:val="clear" w:pos="9355"/>
                <w:tab w:val="left" w:pos="680"/>
                <w:tab w:val="left" w:pos="1134"/>
              </w:tabs>
              <w:spacing w:before="40"/>
              <w:ind w:left="227"/>
            </w:pPr>
            <w:r>
              <w:t>0,7</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0,1</w:t>
            </w:r>
          </w:p>
          <w:p w:rsidR="00000000" w:rsidRDefault="00000000">
            <w:pPr>
              <w:pStyle w:val="Footer"/>
              <w:tabs>
                <w:tab w:val="clear" w:pos="4677"/>
                <w:tab w:val="clear" w:pos="9355"/>
                <w:tab w:val="left" w:pos="680"/>
                <w:tab w:val="left" w:pos="1134"/>
              </w:tabs>
              <w:spacing w:before="40"/>
              <w:ind w:left="227"/>
            </w:pPr>
            <w:r>
              <w:t>0,1</w:t>
            </w:r>
          </w:p>
          <w:p w:rsidR="00000000" w:rsidRDefault="00000000">
            <w:pPr>
              <w:pStyle w:val="Footer"/>
              <w:tabs>
                <w:tab w:val="clear" w:pos="4677"/>
                <w:tab w:val="clear" w:pos="9355"/>
                <w:tab w:val="left" w:pos="680"/>
                <w:tab w:val="left" w:pos="1134"/>
              </w:tabs>
              <w:spacing w:before="40"/>
              <w:ind w:left="227"/>
            </w:pPr>
            <w:r>
              <w:t>0,5</w:t>
            </w:r>
          </w:p>
          <w:p w:rsidR="00000000" w:rsidRDefault="00000000">
            <w:pPr>
              <w:pStyle w:val="Footer"/>
              <w:tabs>
                <w:tab w:val="clear" w:pos="4677"/>
                <w:tab w:val="clear" w:pos="9355"/>
                <w:tab w:val="left" w:pos="680"/>
                <w:tab w:val="left" w:pos="1134"/>
              </w:tabs>
              <w:spacing w:before="40"/>
              <w:ind w:left="227"/>
            </w:pPr>
            <w:r>
              <w:t>6,755</w:t>
            </w:r>
          </w:p>
        </w:tc>
        <w:tc>
          <w:tcPr>
            <w:tcW w:w="1169" w:type="dxa"/>
          </w:tcPr>
          <w:p w:rsidR="00000000" w:rsidRDefault="00000000">
            <w:pPr>
              <w:pStyle w:val="Footer"/>
              <w:tabs>
                <w:tab w:val="clear" w:pos="4677"/>
                <w:tab w:val="clear" w:pos="9355"/>
                <w:tab w:val="left" w:pos="680"/>
                <w:tab w:val="left" w:pos="1134"/>
              </w:tabs>
              <w:spacing w:before="40"/>
              <w:ind w:left="227"/>
            </w:pPr>
            <w:r>
              <w:t>43,7</w:t>
            </w:r>
          </w:p>
          <w:p w:rsidR="00000000" w:rsidRDefault="00000000">
            <w:pPr>
              <w:pStyle w:val="Footer"/>
              <w:tabs>
                <w:tab w:val="clear" w:pos="4677"/>
                <w:tab w:val="clear" w:pos="9355"/>
                <w:tab w:val="left" w:pos="680"/>
                <w:tab w:val="left" w:pos="1134"/>
              </w:tabs>
              <w:spacing w:before="40"/>
              <w:ind w:left="227"/>
            </w:pPr>
            <w:r>
              <w:t>42,6</w:t>
            </w:r>
          </w:p>
          <w:p w:rsidR="00000000" w:rsidRDefault="00000000">
            <w:pPr>
              <w:pStyle w:val="Footer"/>
              <w:tabs>
                <w:tab w:val="clear" w:pos="4677"/>
                <w:tab w:val="clear" w:pos="9355"/>
                <w:tab w:val="left" w:pos="680"/>
                <w:tab w:val="left" w:pos="1134"/>
              </w:tabs>
              <w:spacing w:before="40"/>
              <w:ind w:left="227"/>
            </w:pPr>
            <w:r>
              <w:t>8,2</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1,2</w:t>
            </w:r>
          </w:p>
          <w:p w:rsidR="00000000" w:rsidRDefault="00000000">
            <w:pPr>
              <w:pStyle w:val="Footer"/>
              <w:tabs>
                <w:tab w:val="clear" w:pos="4677"/>
                <w:tab w:val="clear" w:pos="9355"/>
                <w:tab w:val="left" w:pos="680"/>
                <w:tab w:val="left" w:pos="1134"/>
              </w:tabs>
              <w:spacing w:before="40"/>
              <w:ind w:left="227"/>
            </w:pPr>
            <w:r>
              <w:t>18,7</w:t>
            </w:r>
          </w:p>
          <w:p w:rsidR="00000000" w:rsidRDefault="00000000">
            <w:pPr>
              <w:pStyle w:val="Footer"/>
              <w:tabs>
                <w:tab w:val="clear" w:pos="4677"/>
                <w:tab w:val="clear" w:pos="9355"/>
                <w:tab w:val="left" w:pos="680"/>
                <w:tab w:val="left" w:pos="1134"/>
              </w:tabs>
              <w:spacing w:before="40"/>
              <w:ind w:left="227"/>
            </w:pPr>
            <w:r>
              <w:t>5,2</w:t>
            </w:r>
          </w:p>
          <w:p w:rsidR="00000000" w:rsidRDefault="00000000">
            <w:pPr>
              <w:pStyle w:val="Footer"/>
              <w:tabs>
                <w:tab w:val="clear" w:pos="4677"/>
                <w:tab w:val="clear" w:pos="9355"/>
                <w:tab w:val="left" w:pos="680"/>
                <w:tab w:val="left" w:pos="1134"/>
              </w:tabs>
              <w:spacing w:before="40"/>
              <w:ind w:left="227"/>
            </w:pPr>
            <w:r>
              <w:t>0,1</w:t>
            </w:r>
          </w:p>
          <w:p w:rsidR="00000000" w:rsidRDefault="00000000">
            <w:pPr>
              <w:pStyle w:val="Footer"/>
              <w:tabs>
                <w:tab w:val="clear" w:pos="4677"/>
                <w:tab w:val="clear" w:pos="9355"/>
                <w:tab w:val="left" w:pos="680"/>
                <w:tab w:val="left" w:pos="1134"/>
              </w:tabs>
              <w:spacing w:before="40"/>
              <w:ind w:left="227"/>
            </w:pPr>
            <w:r>
              <w:t>0,0</w:t>
            </w:r>
          </w:p>
          <w:p w:rsidR="00000000" w:rsidRDefault="00000000">
            <w:pPr>
              <w:pStyle w:val="Footer"/>
              <w:tabs>
                <w:tab w:val="clear" w:pos="4677"/>
                <w:tab w:val="clear" w:pos="9355"/>
                <w:tab w:val="left" w:pos="680"/>
                <w:tab w:val="left" w:pos="1134"/>
              </w:tabs>
              <w:spacing w:before="40"/>
              <w:ind w:left="227"/>
            </w:pPr>
            <w:r>
              <w:t>0,0</w:t>
            </w:r>
          </w:p>
          <w:p w:rsidR="00000000" w:rsidRDefault="00000000">
            <w:pPr>
              <w:pStyle w:val="Footer"/>
              <w:tabs>
                <w:tab w:val="clear" w:pos="4677"/>
                <w:tab w:val="clear" w:pos="9355"/>
                <w:tab w:val="left" w:pos="680"/>
                <w:tab w:val="left" w:pos="1134"/>
              </w:tabs>
              <w:spacing w:before="40"/>
              <w:ind w:left="227"/>
            </w:pPr>
            <w:r>
              <w:t>8,5</w:t>
            </w:r>
          </w:p>
          <w:p w:rsidR="00000000" w:rsidRDefault="00000000">
            <w:pPr>
              <w:pStyle w:val="Footer"/>
              <w:tabs>
                <w:tab w:val="clear" w:pos="4677"/>
                <w:tab w:val="clear" w:pos="9355"/>
                <w:tab w:val="left" w:pos="680"/>
                <w:tab w:val="left" w:pos="1134"/>
              </w:tabs>
              <w:spacing w:before="40"/>
              <w:ind w:left="227"/>
            </w:pPr>
            <w:r>
              <w:t>0,8</w:t>
            </w:r>
          </w:p>
          <w:p w:rsidR="00000000" w:rsidRDefault="00000000">
            <w:pPr>
              <w:pStyle w:val="Footer"/>
              <w:tabs>
                <w:tab w:val="clear" w:pos="4677"/>
                <w:tab w:val="clear" w:pos="9355"/>
                <w:tab w:val="left" w:pos="680"/>
                <w:tab w:val="left" w:pos="1134"/>
              </w:tabs>
              <w:spacing w:before="40"/>
              <w:ind w:left="227"/>
            </w:pPr>
            <w:r>
              <w:t>1,1</w:t>
            </w: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ind w:left="227"/>
            </w:pPr>
          </w:p>
          <w:p w:rsidR="00000000" w:rsidRDefault="00000000">
            <w:pPr>
              <w:pStyle w:val="Footer"/>
              <w:tabs>
                <w:tab w:val="clear" w:pos="4677"/>
                <w:tab w:val="clear" w:pos="9355"/>
                <w:tab w:val="left" w:pos="680"/>
                <w:tab w:val="left" w:pos="1134"/>
              </w:tabs>
              <w:spacing w:before="40"/>
              <w:ind w:left="227"/>
            </w:pPr>
            <w:r>
              <w:t>0,2</w:t>
            </w:r>
          </w:p>
          <w:p w:rsidR="00000000" w:rsidRDefault="00000000">
            <w:pPr>
              <w:pStyle w:val="Footer"/>
              <w:tabs>
                <w:tab w:val="clear" w:pos="4677"/>
                <w:tab w:val="clear" w:pos="9355"/>
                <w:tab w:val="left" w:pos="680"/>
                <w:tab w:val="left" w:pos="1134"/>
              </w:tabs>
              <w:spacing w:before="40"/>
              <w:ind w:left="227"/>
            </w:pPr>
            <w:r>
              <w:t>0,1</w:t>
            </w:r>
          </w:p>
          <w:p w:rsidR="00000000" w:rsidRDefault="00000000">
            <w:pPr>
              <w:pStyle w:val="Footer"/>
              <w:tabs>
                <w:tab w:val="clear" w:pos="4677"/>
                <w:tab w:val="clear" w:pos="9355"/>
                <w:tab w:val="left" w:pos="680"/>
                <w:tab w:val="left" w:pos="1134"/>
              </w:tabs>
              <w:spacing w:before="40"/>
              <w:ind w:left="227"/>
            </w:pPr>
            <w:r>
              <w:t>0,9</w:t>
            </w:r>
          </w:p>
          <w:p w:rsidR="00000000" w:rsidRDefault="00000000">
            <w:pPr>
              <w:pStyle w:val="Footer"/>
              <w:tabs>
                <w:tab w:val="clear" w:pos="4677"/>
                <w:tab w:val="clear" w:pos="9355"/>
                <w:tab w:val="left" w:pos="680"/>
                <w:tab w:val="left" w:pos="1134"/>
              </w:tabs>
              <w:spacing w:before="40"/>
              <w:ind w:left="227"/>
            </w:pPr>
            <w:r>
              <w:t>2,610</w:t>
            </w:r>
          </w:p>
        </w:tc>
      </w:tr>
    </w:tbl>
    <w:p w:rsidR="00000000" w:rsidRDefault="00000000">
      <w:pPr>
        <w:pStyle w:val="BodyText2"/>
        <w:tabs>
          <w:tab w:val="left" w:pos="680"/>
          <w:tab w:val="left" w:pos="1134"/>
        </w:tabs>
        <w:spacing w:before="240"/>
        <w:jc w:val="both"/>
        <w:rPr>
          <w:b w:val="0"/>
          <w:sz w:val="20"/>
        </w:rPr>
      </w:pPr>
      <w:r>
        <w:rPr>
          <w:b w:val="0"/>
          <w:i/>
          <w:sz w:val="20"/>
        </w:rPr>
        <w:t>Источник:</w:t>
      </w:r>
      <w:r>
        <w:rPr>
          <w:b w:val="0"/>
          <w:sz w:val="20"/>
        </w:rPr>
        <w:t xml:space="preserve"> Министерство здравоохранения и социального обеспечения, ОДЗН, 2000 год</w:t>
      </w:r>
    </w:p>
    <w:p w:rsidR="00000000" w:rsidRDefault="00000000">
      <w:pPr>
        <w:pStyle w:val="BodyText2"/>
        <w:tabs>
          <w:tab w:val="left" w:pos="680"/>
          <w:tab w:val="left" w:pos="1134"/>
        </w:tabs>
        <w:spacing w:before="240"/>
        <w:jc w:val="both"/>
        <w:rPr>
          <w:sz w:val="22"/>
        </w:rPr>
      </w:pPr>
      <w:r>
        <w:rPr>
          <w:sz w:val="22"/>
        </w:rPr>
        <w:t>12.7</w:t>
      </w:r>
      <w:r>
        <w:rPr>
          <w:sz w:val="22"/>
        </w:rPr>
        <w:tab/>
        <w:t>Охрана здоровья матерей</w:t>
      </w:r>
    </w:p>
    <w:p w:rsidR="00000000" w:rsidRDefault="00000000">
      <w:pPr>
        <w:pStyle w:val="BodyText2"/>
        <w:tabs>
          <w:tab w:val="left" w:pos="680"/>
          <w:tab w:val="left" w:pos="1134"/>
        </w:tabs>
        <w:spacing w:before="240"/>
        <w:jc w:val="both"/>
        <w:rPr>
          <w:b w:val="0"/>
          <w:sz w:val="22"/>
        </w:rPr>
      </w:pPr>
      <w:r>
        <w:rPr>
          <w:b w:val="0"/>
          <w:sz w:val="22"/>
        </w:rPr>
        <w:t>Несмотря на то что надлежащий уход в период беременности, родов и в послеродовой период имеет важное значение для здоровья как матери, так и ребенка, за последние 10 лет материнская смертность возросла с 251 случая на 100 000 живорождений до 255 случаев на 100 000 живорождений. В докладе, однако, отмечается, что у этой оценки большая степень погрешности из-за небольшого размера выборок.</w:t>
      </w:r>
    </w:p>
    <w:p w:rsidR="00000000" w:rsidRDefault="00000000">
      <w:pPr>
        <w:pStyle w:val="BodyText2"/>
        <w:tabs>
          <w:tab w:val="left" w:pos="680"/>
          <w:tab w:val="left" w:pos="1134"/>
        </w:tabs>
        <w:spacing w:before="240"/>
        <w:jc w:val="both"/>
        <w:rPr>
          <w:b w:val="0"/>
          <w:sz w:val="22"/>
        </w:rPr>
      </w:pPr>
      <w:r>
        <w:rPr>
          <w:b w:val="0"/>
          <w:sz w:val="22"/>
        </w:rPr>
        <w:t>Охрана репродуктивного здоровья является одним из наиболее важных компонентов системы здравоохранения Намибии. Для профилактики и снижения рисков, с которыми могут столкнуться как будущие матери, так и их дети, принимаются различные меры. Ниже приведены некоторые из мер, направленных непосредственно на охрану здоровья матери и ребенка:</w:t>
      </w:r>
    </w:p>
    <w:p w:rsidR="00000000" w:rsidRDefault="00000000">
      <w:pPr>
        <w:pStyle w:val="BodyText2"/>
        <w:tabs>
          <w:tab w:val="left" w:pos="680"/>
          <w:tab w:val="left" w:pos="1134"/>
        </w:tabs>
        <w:spacing w:before="240"/>
        <w:jc w:val="both"/>
        <w:rPr>
          <w:b w:val="0"/>
          <w:sz w:val="22"/>
        </w:rPr>
      </w:pPr>
      <w:r>
        <w:rPr>
          <w:b w:val="0"/>
          <w:sz w:val="22"/>
        </w:rPr>
        <w:t>Дородовой уход – услуги по дородовому уходу предоставляются почти во всех медицинских учреждениях страны. Почти 91 процент всех женщин посещают такие учреждения для получения этих услуг. В зависимости от района и уровня образования женщин используются различные виды дородовых услуг. В основном такими услугами пользуются женщины, проживающие в городах и получившие образование. Обычно большинство женщин обращается в медицинские учреждения во втором триместре беременности. Среднее число посещений женских консультаций составляет четыре раза за период беременности на одну женщину. Для предупреждения риска заражения ребенка столбняком во время этих посещений женщинам вводятся две дозы столбнячного анатоксина. По данным ОДЗН 2000 года, в последние годы примерно 85 процентам женщин были сделаны противостолбнячные инъекции в период их первой беременности. Это гораздо выше показателя, приведенного в докладе ОДЗН за 1992 год, который составлял только 61 процент.</w:t>
      </w:r>
    </w:p>
    <w:p w:rsidR="00000000" w:rsidRDefault="00000000">
      <w:pPr>
        <w:pStyle w:val="BodyText2"/>
        <w:tabs>
          <w:tab w:val="left" w:pos="680"/>
          <w:tab w:val="left" w:pos="1134"/>
        </w:tabs>
        <w:spacing w:before="240"/>
        <w:jc w:val="both"/>
        <w:rPr>
          <w:b w:val="0"/>
          <w:sz w:val="22"/>
        </w:rPr>
      </w:pPr>
      <w:r>
        <w:rPr>
          <w:b w:val="0"/>
          <w:sz w:val="22"/>
        </w:rPr>
        <w:t>Определение содержания гемоглобина – определение содержание гемоглобина также является одним из важных анализов, которые берутся у беременных женщин для выявления малокровия. В 2002 году малокровие было обнаружено примерно у 10 процентов женщин в стране.</w:t>
      </w:r>
    </w:p>
    <w:p w:rsidR="00000000" w:rsidRDefault="00000000">
      <w:pPr>
        <w:pStyle w:val="BodyText2"/>
        <w:tabs>
          <w:tab w:val="left" w:pos="680"/>
          <w:tab w:val="left" w:pos="1134"/>
        </w:tabs>
        <w:spacing w:before="240"/>
        <w:jc w:val="both"/>
        <w:rPr>
          <w:b w:val="0"/>
          <w:sz w:val="22"/>
        </w:rPr>
      </w:pPr>
      <w:r>
        <w:rPr>
          <w:b w:val="0"/>
          <w:sz w:val="22"/>
        </w:rPr>
        <w:t>Акушерская помощь – большинство женщин по всей стране рожают в медицинских учреждениях. Эта услуга в основном предоставляется во всех больницах и центрах здоровья. Хотя политика в области репродуктивного здоровья предусматривает, чтобы такая услуга оказывалась также в клиниках, в настоящее время в клиниках принимают роды только в критических ситуациях. Это происходит из-за нехватки персонала и места в клиниках, а также необходимых материалов. Объем оказываемой квалифицированным персоналом акушерской помощи возрос с 68 процентов в 1992 году до 75 процентов в 2000 году</w:t>
      </w:r>
      <w:r>
        <w:rPr>
          <w:rStyle w:val="FootnoteReference"/>
          <w:b w:val="0"/>
          <w:sz w:val="22"/>
        </w:rPr>
        <w:footnoteReference w:customMarkFollows="1" w:id="80"/>
        <w:t>79</w:t>
      </w:r>
      <w:r>
        <w:rPr>
          <w:b w:val="0"/>
          <w:sz w:val="22"/>
        </w:rPr>
        <w:t>.</w:t>
      </w:r>
    </w:p>
    <w:p w:rsidR="00000000" w:rsidRDefault="00000000">
      <w:pPr>
        <w:pStyle w:val="BodyText2"/>
        <w:tabs>
          <w:tab w:val="left" w:pos="680"/>
          <w:tab w:val="left" w:pos="1134"/>
        </w:tabs>
        <w:spacing w:before="240"/>
        <w:jc w:val="both"/>
        <w:rPr>
          <w:b w:val="0"/>
          <w:sz w:val="22"/>
        </w:rPr>
      </w:pPr>
      <w:r>
        <w:rPr>
          <w:b w:val="0"/>
          <w:sz w:val="22"/>
        </w:rPr>
        <w:t>Услуги по послеродовому уходу – сюда входит общее обследование женщины, чтобы исключить любые возможные осложнения, которые могут возникнуть в результате беременности и родов. Одной из послеродовых услуг, оказываемых женщинам в женских консультациях, является взятие пробы Папаниколау. Хотя эта услуга доступна, она используется не очень широко. Тем не менее, по данным ОДЗН 2000 года, охват этой услугой возрос с 29 процентов в 1992 году до 59 процентов в 2000 году.</w:t>
      </w:r>
    </w:p>
    <w:p w:rsidR="00000000" w:rsidRDefault="00000000">
      <w:pPr>
        <w:pStyle w:val="BodyText2"/>
        <w:tabs>
          <w:tab w:val="left" w:pos="680"/>
          <w:tab w:val="left" w:pos="1134"/>
        </w:tabs>
        <w:spacing w:before="240"/>
        <w:jc w:val="both"/>
        <w:rPr>
          <w:sz w:val="22"/>
        </w:rPr>
      </w:pPr>
      <w:r>
        <w:rPr>
          <w:sz w:val="22"/>
        </w:rPr>
        <w:t>12.8</w:t>
      </w:r>
      <w:r>
        <w:rPr>
          <w:sz w:val="22"/>
        </w:rPr>
        <w:tab/>
        <w:t>ВИЧ/ СПИД в Намибии</w:t>
      </w:r>
    </w:p>
    <w:p w:rsidR="00000000" w:rsidRDefault="00000000">
      <w:pPr>
        <w:pStyle w:val="BodyText2"/>
        <w:tabs>
          <w:tab w:val="left" w:pos="680"/>
          <w:tab w:val="left" w:pos="1134"/>
        </w:tabs>
        <w:spacing w:before="240"/>
        <w:jc w:val="both"/>
        <w:rPr>
          <w:b w:val="0"/>
          <w:sz w:val="22"/>
        </w:rPr>
      </w:pPr>
      <w:r>
        <w:rPr>
          <w:b w:val="0"/>
          <w:sz w:val="22"/>
        </w:rPr>
        <w:t>Первые четыре случая ВИЧ-инфицирования были выявлены в Намибии в 1986 году, а 10 лет спустя это стало основной причиной смертности в Намибии. Хотя СПИД является основной причиной смертности в Намибии в настоящее время и на него приходится 26 процентов всех сообщенных (то есть по данным медицинских учреждений) случаев смерти в 1999 году, прямо или косвенно СПИД ассоциируется примерно с 61 процентом всех зарегистрированных случаев смерти в стране</w:t>
      </w:r>
      <w:r>
        <w:rPr>
          <w:rStyle w:val="FootnoteReference"/>
          <w:b w:val="0"/>
          <w:sz w:val="22"/>
        </w:rPr>
        <w:footnoteReference w:customMarkFollows="1" w:id="81"/>
        <w:t>80</w:t>
      </w:r>
      <w:r>
        <w:rPr>
          <w:b w:val="0"/>
          <w:sz w:val="22"/>
        </w:rPr>
        <w:t>.</w:t>
      </w:r>
    </w:p>
    <w:p w:rsidR="00000000" w:rsidRDefault="00000000">
      <w:pPr>
        <w:pStyle w:val="BodyText2"/>
        <w:tabs>
          <w:tab w:val="left" w:pos="680"/>
          <w:tab w:val="left" w:pos="1134"/>
        </w:tabs>
        <w:spacing w:before="240"/>
        <w:jc w:val="both"/>
        <w:rPr>
          <w:b w:val="0"/>
          <w:sz w:val="22"/>
        </w:rPr>
      </w:pPr>
      <w:r>
        <w:rPr>
          <w:b w:val="0"/>
          <w:sz w:val="22"/>
        </w:rPr>
        <w:t>На долю женщин приходится 53 процента всех зарегистрированных новых случаев ВИЧ-инфицирования, и ВИЧ у них диагностируется в более молодом возрасте: средний возраст тех, у кого был диагностирован ВИЧ, составляет 30 лет для женщин и 34 года для мужчин</w:t>
      </w:r>
      <w:r>
        <w:rPr>
          <w:rStyle w:val="FootnoteReference"/>
          <w:b w:val="0"/>
          <w:sz w:val="22"/>
        </w:rPr>
        <w:footnoteReference w:customMarkFollows="1" w:id="82"/>
        <w:t>81</w:t>
      </w:r>
      <w:r>
        <w:rPr>
          <w:b w:val="0"/>
          <w:sz w:val="22"/>
        </w:rPr>
        <w:t>. Продолжает расти число ВИЧ-инфицированных среди беременных женщин в Намибии. В 2002 году доля ВИЧ-инфицированных среди беременных составляла 22,0 процента.</w:t>
      </w:r>
    </w:p>
    <w:p w:rsidR="00000000" w:rsidRDefault="00000000">
      <w:pPr>
        <w:pStyle w:val="BodyText2"/>
        <w:tabs>
          <w:tab w:val="left" w:pos="680"/>
          <w:tab w:val="left" w:pos="1134"/>
        </w:tabs>
        <w:jc w:val="both"/>
        <w:rPr>
          <w:sz w:val="22"/>
        </w:rPr>
      </w:pPr>
      <w:r>
        <w:rPr>
          <w:sz w:val="22"/>
        </w:rPr>
        <w:br w:type="page"/>
        <w:t>Таблица 9: Тенденция распространения ВИЧ среди беременных женщин с разбивкой по контролируемым  участкам, Намибия, 1992–2002 годы</w:t>
      </w:r>
    </w:p>
    <w:p w:rsidR="00000000" w:rsidRDefault="00000000">
      <w:pPr>
        <w:pStyle w:val="BodyText2"/>
        <w:tabs>
          <w:tab w:val="left" w:pos="680"/>
          <w:tab w:val="left" w:pos="1134"/>
        </w:tabs>
        <w:jc w:val="both"/>
        <w:rPr>
          <w:b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8"/>
        <w:gridCol w:w="946"/>
        <w:gridCol w:w="946"/>
        <w:gridCol w:w="1109"/>
        <w:gridCol w:w="1109"/>
        <w:gridCol w:w="1109"/>
        <w:gridCol w:w="1109"/>
      </w:tblGrid>
      <w:tr w:rsidR="00000000">
        <w:tblPrEx>
          <w:tblCellMar>
            <w:top w:w="0" w:type="dxa"/>
            <w:bottom w:w="0" w:type="dxa"/>
          </w:tblCellMar>
        </w:tblPrEx>
        <w:trPr>
          <w:jc w:val="center"/>
        </w:trPr>
        <w:tc>
          <w:tcPr>
            <w:tcW w:w="3028" w:type="dxa"/>
          </w:tcPr>
          <w:p w:rsidR="00000000" w:rsidRDefault="00000000">
            <w:pPr>
              <w:pStyle w:val="Footer"/>
              <w:tabs>
                <w:tab w:val="clear" w:pos="4677"/>
                <w:tab w:val="clear" w:pos="9355"/>
                <w:tab w:val="left" w:pos="680"/>
                <w:tab w:val="left" w:pos="1134"/>
              </w:tabs>
              <w:spacing w:before="60" w:after="60"/>
              <w:jc w:val="both"/>
              <w:rPr>
                <w:b/>
              </w:rPr>
            </w:pPr>
            <w:r>
              <w:rPr>
                <w:b/>
              </w:rPr>
              <w:t>Контролируемый участок</w:t>
            </w:r>
          </w:p>
        </w:tc>
        <w:tc>
          <w:tcPr>
            <w:tcW w:w="946" w:type="dxa"/>
          </w:tcPr>
          <w:p w:rsidR="00000000" w:rsidRDefault="00000000">
            <w:pPr>
              <w:pStyle w:val="Footer"/>
              <w:tabs>
                <w:tab w:val="clear" w:pos="4677"/>
                <w:tab w:val="clear" w:pos="9355"/>
                <w:tab w:val="left" w:pos="680"/>
                <w:tab w:val="left" w:pos="1134"/>
              </w:tabs>
              <w:spacing w:before="60" w:after="60"/>
              <w:ind w:left="170"/>
              <w:jc w:val="both"/>
              <w:rPr>
                <w:b/>
                <w:lang w:val="en-US"/>
              </w:rPr>
            </w:pPr>
            <w:r>
              <w:rPr>
                <w:b/>
                <w:lang w:val="en-US"/>
              </w:rPr>
              <w:t>1992</w:t>
            </w:r>
          </w:p>
        </w:tc>
        <w:tc>
          <w:tcPr>
            <w:tcW w:w="946" w:type="dxa"/>
          </w:tcPr>
          <w:p w:rsidR="00000000" w:rsidRDefault="00000000">
            <w:pPr>
              <w:pStyle w:val="Footer"/>
              <w:tabs>
                <w:tab w:val="clear" w:pos="4677"/>
                <w:tab w:val="clear" w:pos="9355"/>
                <w:tab w:val="left" w:pos="680"/>
                <w:tab w:val="left" w:pos="1134"/>
              </w:tabs>
              <w:spacing w:before="60" w:after="60"/>
              <w:ind w:left="227"/>
              <w:jc w:val="both"/>
              <w:rPr>
                <w:b/>
                <w:lang w:val="en-US"/>
              </w:rPr>
            </w:pPr>
            <w:r>
              <w:rPr>
                <w:b/>
                <w:lang w:val="en-US"/>
              </w:rPr>
              <w:t>1994</w:t>
            </w:r>
          </w:p>
        </w:tc>
        <w:tc>
          <w:tcPr>
            <w:tcW w:w="1109" w:type="dxa"/>
          </w:tcPr>
          <w:p w:rsidR="00000000" w:rsidRDefault="00000000">
            <w:pPr>
              <w:pStyle w:val="Footer"/>
              <w:tabs>
                <w:tab w:val="clear" w:pos="4677"/>
                <w:tab w:val="clear" w:pos="9355"/>
                <w:tab w:val="left" w:pos="680"/>
                <w:tab w:val="left" w:pos="1134"/>
              </w:tabs>
              <w:spacing w:before="60" w:after="60"/>
              <w:ind w:left="227"/>
              <w:jc w:val="both"/>
              <w:rPr>
                <w:b/>
                <w:lang w:val="en-US"/>
              </w:rPr>
            </w:pPr>
            <w:r>
              <w:rPr>
                <w:b/>
                <w:lang w:val="en-US"/>
              </w:rPr>
              <w:t>1996</w:t>
            </w:r>
          </w:p>
        </w:tc>
        <w:tc>
          <w:tcPr>
            <w:tcW w:w="1109" w:type="dxa"/>
          </w:tcPr>
          <w:p w:rsidR="00000000" w:rsidRDefault="00000000">
            <w:pPr>
              <w:pStyle w:val="Footer"/>
              <w:tabs>
                <w:tab w:val="clear" w:pos="4677"/>
                <w:tab w:val="clear" w:pos="9355"/>
                <w:tab w:val="left" w:pos="680"/>
                <w:tab w:val="left" w:pos="1134"/>
              </w:tabs>
              <w:spacing w:before="60" w:after="60"/>
              <w:ind w:left="227"/>
              <w:jc w:val="both"/>
              <w:rPr>
                <w:b/>
                <w:lang w:val="en-US"/>
              </w:rPr>
            </w:pPr>
            <w:r>
              <w:rPr>
                <w:b/>
                <w:lang w:val="en-US"/>
              </w:rPr>
              <w:t>1998</w:t>
            </w:r>
          </w:p>
        </w:tc>
        <w:tc>
          <w:tcPr>
            <w:tcW w:w="1109" w:type="dxa"/>
          </w:tcPr>
          <w:p w:rsidR="00000000" w:rsidRDefault="00000000">
            <w:pPr>
              <w:pStyle w:val="Footer"/>
              <w:tabs>
                <w:tab w:val="clear" w:pos="4677"/>
                <w:tab w:val="clear" w:pos="9355"/>
                <w:tab w:val="left" w:pos="680"/>
                <w:tab w:val="left" w:pos="1134"/>
              </w:tabs>
              <w:spacing w:before="60" w:after="60"/>
              <w:ind w:left="227"/>
              <w:jc w:val="both"/>
              <w:rPr>
                <w:b/>
                <w:lang w:val="en-US"/>
              </w:rPr>
            </w:pPr>
            <w:r>
              <w:rPr>
                <w:b/>
                <w:lang w:val="en-US"/>
              </w:rPr>
              <w:t>2000</w:t>
            </w:r>
          </w:p>
        </w:tc>
        <w:tc>
          <w:tcPr>
            <w:tcW w:w="1109" w:type="dxa"/>
          </w:tcPr>
          <w:p w:rsidR="00000000" w:rsidRDefault="00000000">
            <w:pPr>
              <w:pStyle w:val="Footer"/>
              <w:tabs>
                <w:tab w:val="clear" w:pos="4677"/>
                <w:tab w:val="clear" w:pos="9355"/>
                <w:tab w:val="left" w:pos="680"/>
                <w:tab w:val="left" w:pos="1134"/>
              </w:tabs>
              <w:spacing w:before="60" w:after="60"/>
              <w:ind w:left="227"/>
              <w:jc w:val="both"/>
              <w:rPr>
                <w:b/>
                <w:lang w:val="en-US"/>
              </w:rPr>
            </w:pPr>
            <w:r>
              <w:rPr>
                <w:b/>
                <w:lang w:val="en-US"/>
              </w:rPr>
              <w:t>2002</w:t>
            </w:r>
          </w:p>
        </w:tc>
      </w:tr>
      <w:tr w:rsidR="00000000">
        <w:tblPrEx>
          <w:tblCellMar>
            <w:top w:w="0" w:type="dxa"/>
            <w:bottom w:w="0" w:type="dxa"/>
          </w:tblCellMar>
        </w:tblPrEx>
        <w:trPr>
          <w:jc w:val="center"/>
        </w:trPr>
        <w:tc>
          <w:tcPr>
            <w:tcW w:w="3028" w:type="dxa"/>
          </w:tcPr>
          <w:p w:rsidR="00000000" w:rsidRDefault="00000000">
            <w:pPr>
              <w:pStyle w:val="BodyText2"/>
              <w:tabs>
                <w:tab w:val="left" w:pos="680"/>
                <w:tab w:val="left" w:pos="1134"/>
              </w:tabs>
              <w:jc w:val="both"/>
              <w:rPr>
                <w:b w:val="0"/>
                <w:sz w:val="20"/>
              </w:rPr>
            </w:pPr>
            <w:r>
              <w:rPr>
                <w:b w:val="0"/>
                <w:sz w:val="20"/>
              </w:rPr>
              <w:t>Катима-Мулило</w:t>
            </w:r>
          </w:p>
          <w:p w:rsidR="00000000" w:rsidRDefault="00000000">
            <w:pPr>
              <w:pStyle w:val="BodyText2"/>
              <w:tabs>
                <w:tab w:val="left" w:pos="680"/>
                <w:tab w:val="left" w:pos="1134"/>
              </w:tabs>
              <w:jc w:val="both"/>
              <w:rPr>
                <w:b w:val="0"/>
                <w:sz w:val="20"/>
              </w:rPr>
            </w:pPr>
            <w:r>
              <w:rPr>
                <w:b w:val="0"/>
                <w:sz w:val="20"/>
              </w:rPr>
              <w:t>Ошакати</w:t>
            </w:r>
          </w:p>
          <w:p w:rsidR="00000000" w:rsidRDefault="00000000">
            <w:pPr>
              <w:pStyle w:val="BodyText2"/>
              <w:tabs>
                <w:tab w:val="left" w:pos="680"/>
                <w:tab w:val="left" w:pos="1134"/>
              </w:tabs>
              <w:jc w:val="both"/>
              <w:rPr>
                <w:b w:val="0"/>
                <w:sz w:val="20"/>
              </w:rPr>
            </w:pPr>
            <w:r>
              <w:rPr>
                <w:b w:val="0"/>
                <w:sz w:val="20"/>
              </w:rPr>
              <w:t>Гротфонтейн</w:t>
            </w:r>
          </w:p>
          <w:p w:rsidR="00000000" w:rsidRDefault="00000000">
            <w:pPr>
              <w:pStyle w:val="BodyText2"/>
              <w:tabs>
                <w:tab w:val="left" w:pos="680"/>
                <w:tab w:val="left" w:pos="1134"/>
              </w:tabs>
              <w:jc w:val="both"/>
              <w:rPr>
                <w:b w:val="0"/>
                <w:sz w:val="20"/>
              </w:rPr>
            </w:pPr>
            <w:r>
              <w:rPr>
                <w:b w:val="0"/>
                <w:sz w:val="20"/>
              </w:rPr>
              <w:t>Онанджокве</w:t>
            </w:r>
          </w:p>
          <w:p w:rsidR="00000000" w:rsidRDefault="00000000">
            <w:pPr>
              <w:pStyle w:val="Footer"/>
              <w:tabs>
                <w:tab w:val="clear" w:pos="4677"/>
                <w:tab w:val="clear" w:pos="9355"/>
                <w:tab w:val="left" w:pos="680"/>
                <w:tab w:val="left" w:pos="1134"/>
              </w:tabs>
              <w:jc w:val="both"/>
            </w:pPr>
            <w:r>
              <w:t>Виндхук</w:t>
            </w:r>
          </w:p>
        </w:tc>
        <w:tc>
          <w:tcPr>
            <w:tcW w:w="946" w:type="dxa"/>
          </w:tcPr>
          <w:p w:rsidR="00000000" w:rsidRDefault="00000000">
            <w:pPr>
              <w:pStyle w:val="Footer"/>
              <w:tabs>
                <w:tab w:val="clear" w:pos="4677"/>
                <w:tab w:val="clear" w:pos="9355"/>
                <w:tab w:val="left" w:pos="680"/>
                <w:tab w:val="left" w:pos="1134"/>
              </w:tabs>
              <w:ind w:left="170"/>
              <w:jc w:val="both"/>
            </w:pPr>
            <w:r>
              <w:t>14%</w:t>
            </w:r>
          </w:p>
          <w:p w:rsidR="00000000" w:rsidRDefault="00000000">
            <w:pPr>
              <w:pStyle w:val="Footer"/>
              <w:tabs>
                <w:tab w:val="clear" w:pos="4677"/>
                <w:tab w:val="clear" w:pos="9355"/>
                <w:tab w:val="left" w:pos="680"/>
                <w:tab w:val="left" w:pos="1134"/>
              </w:tabs>
              <w:ind w:left="170"/>
              <w:jc w:val="both"/>
            </w:pPr>
            <w:r>
              <w:t>4%</w:t>
            </w:r>
          </w:p>
          <w:p w:rsidR="00000000" w:rsidRDefault="00000000">
            <w:pPr>
              <w:pStyle w:val="Footer"/>
              <w:tabs>
                <w:tab w:val="clear" w:pos="4677"/>
                <w:tab w:val="clear" w:pos="9355"/>
                <w:tab w:val="left" w:pos="680"/>
                <w:tab w:val="left" w:pos="1134"/>
              </w:tabs>
              <w:ind w:left="170"/>
              <w:jc w:val="both"/>
            </w:pPr>
          </w:p>
          <w:p w:rsidR="00000000" w:rsidRDefault="00000000">
            <w:pPr>
              <w:pStyle w:val="Footer"/>
              <w:tabs>
                <w:tab w:val="clear" w:pos="4677"/>
                <w:tab w:val="clear" w:pos="9355"/>
                <w:tab w:val="left" w:pos="680"/>
                <w:tab w:val="left" w:pos="1134"/>
              </w:tabs>
              <w:ind w:left="170"/>
              <w:jc w:val="both"/>
            </w:pPr>
            <w:r>
              <w:t xml:space="preserve"> </w:t>
            </w:r>
          </w:p>
          <w:p w:rsidR="00000000" w:rsidRDefault="00000000">
            <w:pPr>
              <w:pStyle w:val="Footer"/>
              <w:tabs>
                <w:tab w:val="clear" w:pos="4677"/>
                <w:tab w:val="clear" w:pos="9355"/>
                <w:tab w:val="left" w:pos="680"/>
                <w:tab w:val="left" w:pos="1134"/>
              </w:tabs>
              <w:ind w:left="170"/>
              <w:jc w:val="both"/>
            </w:pPr>
            <w:r>
              <w:t>4%</w:t>
            </w:r>
          </w:p>
        </w:tc>
        <w:tc>
          <w:tcPr>
            <w:tcW w:w="946" w:type="dxa"/>
          </w:tcPr>
          <w:p w:rsidR="00000000" w:rsidRDefault="00000000">
            <w:pPr>
              <w:pStyle w:val="Footer"/>
              <w:tabs>
                <w:tab w:val="clear" w:pos="4677"/>
                <w:tab w:val="clear" w:pos="9355"/>
                <w:tab w:val="left" w:pos="680"/>
                <w:tab w:val="left" w:pos="1134"/>
              </w:tabs>
              <w:ind w:left="227"/>
              <w:jc w:val="both"/>
            </w:pPr>
            <w:r>
              <w:t>24%</w:t>
            </w:r>
          </w:p>
          <w:p w:rsidR="00000000" w:rsidRDefault="00000000">
            <w:pPr>
              <w:pStyle w:val="Footer"/>
              <w:tabs>
                <w:tab w:val="clear" w:pos="4677"/>
                <w:tab w:val="clear" w:pos="9355"/>
                <w:tab w:val="left" w:pos="680"/>
                <w:tab w:val="left" w:pos="1134"/>
              </w:tabs>
              <w:ind w:left="227"/>
              <w:jc w:val="both"/>
            </w:pPr>
            <w:r>
              <w:t>14%</w:t>
            </w:r>
          </w:p>
          <w:p w:rsidR="00000000" w:rsidRDefault="00000000">
            <w:pPr>
              <w:pStyle w:val="Footer"/>
              <w:tabs>
                <w:tab w:val="clear" w:pos="4677"/>
                <w:tab w:val="clear" w:pos="9355"/>
                <w:tab w:val="left" w:pos="680"/>
                <w:tab w:val="left" w:pos="1134"/>
              </w:tabs>
              <w:ind w:left="227"/>
              <w:jc w:val="both"/>
            </w:pPr>
            <w:r>
              <w:t>9%</w:t>
            </w:r>
          </w:p>
          <w:p w:rsidR="00000000" w:rsidRDefault="00000000">
            <w:pPr>
              <w:pStyle w:val="Footer"/>
              <w:tabs>
                <w:tab w:val="clear" w:pos="4677"/>
                <w:tab w:val="clear" w:pos="9355"/>
                <w:tab w:val="left" w:pos="680"/>
                <w:tab w:val="left" w:pos="1134"/>
              </w:tabs>
              <w:ind w:left="227"/>
              <w:jc w:val="both"/>
            </w:pPr>
            <w:r>
              <w:t>8%</w:t>
            </w:r>
          </w:p>
          <w:p w:rsidR="00000000" w:rsidRDefault="00000000">
            <w:pPr>
              <w:pStyle w:val="Footer"/>
              <w:tabs>
                <w:tab w:val="clear" w:pos="4677"/>
                <w:tab w:val="clear" w:pos="9355"/>
                <w:tab w:val="left" w:pos="680"/>
                <w:tab w:val="left" w:pos="1134"/>
              </w:tabs>
              <w:ind w:left="227"/>
              <w:jc w:val="both"/>
            </w:pPr>
            <w:r>
              <w:t>7%</w:t>
            </w:r>
          </w:p>
        </w:tc>
        <w:tc>
          <w:tcPr>
            <w:tcW w:w="1109" w:type="dxa"/>
          </w:tcPr>
          <w:p w:rsidR="00000000" w:rsidRDefault="00000000">
            <w:pPr>
              <w:pStyle w:val="Footer"/>
              <w:tabs>
                <w:tab w:val="clear" w:pos="4677"/>
                <w:tab w:val="clear" w:pos="9355"/>
                <w:tab w:val="left" w:pos="680"/>
                <w:tab w:val="left" w:pos="1134"/>
              </w:tabs>
              <w:ind w:left="227"/>
              <w:jc w:val="both"/>
            </w:pPr>
            <w:r>
              <w:t>24%</w:t>
            </w:r>
          </w:p>
          <w:p w:rsidR="00000000" w:rsidRDefault="00000000">
            <w:pPr>
              <w:pStyle w:val="Footer"/>
              <w:tabs>
                <w:tab w:val="clear" w:pos="4677"/>
                <w:tab w:val="clear" w:pos="9355"/>
                <w:tab w:val="left" w:pos="680"/>
                <w:tab w:val="left" w:pos="1134"/>
              </w:tabs>
              <w:ind w:left="227"/>
              <w:jc w:val="both"/>
            </w:pPr>
            <w:r>
              <w:t>22%</w:t>
            </w:r>
          </w:p>
          <w:p w:rsidR="00000000" w:rsidRDefault="00000000">
            <w:pPr>
              <w:pStyle w:val="Footer"/>
              <w:tabs>
                <w:tab w:val="clear" w:pos="4677"/>
                <w:tab w:val="clear" w:pos="9355"/>
                <w:tab w:val="left" w:pos="680"/>
                <w:tab w:val="left" w:pos="1134"/>
              </w:tabs>
              <w:ind w:left="227"/>
              <w:jc w:val="both"/>
            </w:pPr>
          </w:p>
          <w:p w:rsidR="00000000" w:rsidRDefault="00000000">
            <w:pPr>
              <w:pStyle w:val="Footer"/>
              <w:tabs>
                <w:tab w:val="clear" w:pos="4677"/>
                <w:tab w:val="clear" w:pos="9355"/>
                <w:tab w:val="left" w:pos="680"/>
                <w:tab w:val="left" w:pos="1134"/>
              </w:tabs>
              <w:ind w:left="227"/>
              <w:jc w:val="both"/>
            </w:pPr>
            <w:r>
              <w:t>17%</w:t>
            </w:r>
          </w:p>
          <w:p w:rsidR="00000000" w:rsidRDefault="00000000">
            <w:pPr>
              <w:pStyle w:val="Footer"/>
              <w:tabs>
                <w:tab w:val="clear" w:pos="4677"/>
                <w:tab w:val="clear" w:pos="9355"/>
                <w:tab w:val="left" w:pos="680"/>
                <w:tab w:val="left" w:pos="1134"/>
              </w:tabs>
              <w:ind w:left="227"/>
              <w:jc w:val="both"/>
            </w:pPr>
            <w:r>
              <w:t>16%</w:t>
            </w:r>
          </w:p>
        </w:tc>
        <w:tc>
          <w:tcPr>
            <w:tcW w:w="1109" w:type="dxa"/>
          </w:tcPr>
          <w:p w:rsidR="00000000" w:rsidRDefault="00000000">
            <w:pPr>
              <w:pStyle w:val="Footer"/>
              <w:tabs>
                <w:tab w:val="clear" w:pos="4677"/>
                <w:tab w:val="clear" w:pos="9355"/>
                <w:tab w:val="left" w:pos="680"/>
                <w:tab w:val="left" w:pos="1134"/>
              </w:tabs>
              <w:ind w:left="227"/>
              <w:jc w:val="both"/>
            </w:pPr>
            <w:r>
              <w:t>29%</w:t>
            </w:r>
          </w:p>
          <w:p w:rsidR="00000000" w:rsidRDefault="00000000">
            <w:pPr>
              <w:pStyle w:val="Footer"/>
              <w:tabs>
                <w:tab w:val="clear" w:pos="4677"/>
                <w:tab w:val="clear" w:pos="9355"/>
                <w:tab w:val="left" w:pos="680"/>
                <w:tab w:val="left" w:pos="1134"/>
              </w:tabs>
              <w:ind w:left="227"/>
              <w:jc w:val="both"/>
            </w:pPr>
            <w:r>
              <w:t>34%</w:t>
            </w:r>
          </w:p>
          <w:p w:rsidR="00000000" w:rsidRDefault="00000000">
            <w:pPr>
              <w:pStyle w:val="Footer"/>
              <w:tabs>
                <w:tab w:val="clear" w:pos="4677"/>
                <w:tab w:val="clear" w:pos="9355"/>
                <w:tab w:val="left" w:pos="680"/>
                <w:tab w:val="left" w:pos="1134"/>
              </w:tabs>
              <w:ind w:left="227"/>
              <w:jc w:val="both"/>
            </w:pPr>
          </w:p>
          <w:p w:rsidR="00000000" w:rsidRDefault="00000000">
            <w:pPr>
              <w:pStyle w:val="Footer"/>
              <w:tabs>
                <w:tab w:val="clear" w:pos="4677"/>
                <w:tab w:val="clear" w:pos="9355"/>
                <w:tab w:val="left" w:pos="680"/>
                <w:tab w:val="left" w:pos="1134"/>
              </w:tabs>
              <w:ind w:left="227"/>
              <w:jc w:val="both"/>
            </w:pPr>
            <w:r>
              <w:t>21%</w:t>
            </w:r>
          </w:p>
          <w:p w:rsidR="00000000" w:rsidRDefault="00000000">
            <w:pPr>
              <w:pStyle w:val="Footer"/>
              <w:tabs>
                <w:tab w:val="clear" w:pos="4677"/>
                <w:tab w:val="clear" w:pos="9355"/>
                <w:tab w:val="left" w:pos="680"/>
                <w:tab w:val="left" w:pos="1134"/>
              </w:tabs>
              <w:ind w:left="227"/>
              <w:jc w:val="both"/>
            </w:pPr>
            <w:r>
              <w:t>23%</w:t>
            </w:r>
          </w:p>
        </w:tc>
        <w:tc>
          <w:tcPr>
            <w:tcW w:w="1109" w:type="dxa"/>
          </w:tcPr>
          <w:p w:rsidR="00000000" w:rsidRDefault="00000000">
            <w:pPr>
              <w:pStyle w:val="Footer"/>
              <w:tabs>
                <w:tab w:val="clear" w:pos="4677"/>
                <w:tab w:val="clear" w:pos="9355"/>
                <w:tab w:val="left" w:pos="680"/>
                <w:tab w:val="left" w:pos="1134"/>
              </w:tabs>
              <w:ind w:left="227"/>
              <w:jc w:val="both"/>
            </w:pPr>
            <w:r>
              <w:t>33%</w:t>
            </w:r>
          </w:p>
          <w:p w:rsidR="00000000" w:rsidRDefault="00000000">
            <w:pPr>
              <w:pStyle w:val="Footer"/>
              <w:tabs>
                <w:tab w:val="clear" w:pos="4677"/>
                <w:tab w:val="clear" w:pos="9355"/>
                <w:tab w:val="left" w:pos="680"/>
                <w:tab w:val="left" w:pos="1134"/>
              </w:tabs>
              <w:ind w:left="227"/>
              <w:jc w:val="both"/>
            </w:pPr>
            <w:r>
              <w:t>28%</w:t>
            </w:r>
          </w:p>
          <w:p w:rsidR="00000000" w:rsidRDefault="00000000">
            <w:pPr>
              <w:pStyle w:val="Footer"/>
              <w:tabs>
                <w:tab w:val="clear" w:pos="4677"/>
                <w:tab w:val="clear" w:pos="9355"/>
                <w:tab w:val="left" w:pos="680"/>
                <w:tab w:val="left" w:pos="1134"/>
              </w:tabs>
              <w:ind w:left="227"/>
              <w:jc w:val="both"/>
            </w:pPr>
          </w:p>
          <w:p w:rsidR="00000000" w:rsidRDefault="00000000">
            <w:pPr>
              <w:pStyle w:val="Footer"/>
              <w:tabs>
                <w:tab w:val="clear" w:pos="4677"/>
                <w:tab w:val="clear" w:pos="9355"/>
                <w:tab w:val="left" w:pos="680"/>
                <w:tab w:val="left" w:pos="1134"/>
              </w:tabs>
              <w:ind w:left="227"/>
              <w:jc w:val="both"/>
            </w:pPr>
            <w:r>
              <w:t>23%</w:t>
            </w:r>
          </w:p>
          <w:p w:rsidR="00000000" w:rsidRDefault="00000000">
            <w:pPr>
              <w:pStyle w:val="Footer"/>
              <w:tabs>
                <w:tab w:val="clear" w:pos="4677"/>
                <w:tab w:val="clear" w:pos="9355"/>
                <w:tab w:val="left" w:pos="680"/>
                <w:tab w:val="left" w:pos="1134"/>
              </w:tabs>
              <w:ind w:left="227"/>
              <w:jc w:val="both"/>
            </w:pPr>
            <w:r>
              <w:t>31%</w:t>
            </w:r>
          </w:p>
        </w:tc>
        <w:tc>
          <w:tcPr>
            <w:tcW w:w="1109" w:type="dxa"/>
          </w:tcPr>
          <w:p w:rsidR="00000000" w:rsidRDefault="00000000">
            <w:pPr>
              <w:pStyle w:val="Footer"/>
              <w:tabs>
                <w:tab w:val="clear" w:pos="4677"/>
                <w:tab w:val="clear" w:pos="9355"/>
                <w:tab w:val="left" w:pos="680"/>
                <w:tab w:val="left" w:pos="1134"/>
              </w:tabs>
              <w:ind w:left="227"/>
              <w:jc w:val="both"/>
            </w:pPr>
            <w:r>
              <w:t>43%</w:t>
            </w:r>
          </w:p>
          <w:p w:rsidR="00000000" w:rsidRDefault="00000000">
            <w:pPr>
              <w:pStyle w:val="Footer"/>
              <w:tabs>
                <w:tab w:val="clear" w:pos="4677"/>
                <w:tab w:val="clear" w:pos="9355"/>
                <w:tab w:val="left" w:pos="680"/>
                <w:tab w:val="left" w:pos="1134"/>
              </w:tabs>
              <w:ind w:left="227"/>
              <w:jc w:val="both"/>
            </w:pPr>
            <w:r>
              <w:t>30%</w:t>
            </w:r>
          </w:p>
          <w:p w:rsidR="00000000" w:rsidRDefault="00000000">
            <w:pPr>
              <w:pStyle w:val="Footer"/>
              <w:tabs>
                <w:tab w:val="clear" w:pos="4677"/>
                <w:tab w:val="clear" w:pos="9355"/>
                <w:tab w:val="left" w:pos="680"/>
                <w:tab w:val="left" w:pos="1134"/>
              </w:tabs>
              <w:ind w:left="227"/>
              <w:jc w:val="both"/>
            </w:pPr>
            <w:r>
              <w:t>30%</w:t>
            </w:r>
          </w:p>
          <w:p w:rsidR="00000000" w:rsidRDefault="00000000">
            <w:pPr>
              <w:pStyle w:val="Footer"/>
              <w:tabs>
                <w:tab w:val="clear" w:pos="4677"/>
                <w:tab w:val="clear" w:pos="9355"/>
                <w:tab w:val="left" w:pos="680"/>
                <w:tab w:val="left" w:pos="1134"/>
              </w:tabs>
              <w:ind w:left="227"/>
              <w:jc w:val="both"/>
            </w:pPr>
            <w:r>
              <w:t>28%</w:t>
            </w:r>
          </w:p>
          <w:p w:rsidR="00000000" w:rsidRDefault="00000000">
            <w:pPr>
              <w:pStyle w:val="Footer"/>
              <w:tabs>
                <w:tab w:val="clear" w:pos="4677"/>
                <w:tab w:val="clear" w:pos="9355"/>
                <w:tab w:val="left" w:pos="680"/>
                <w:tab w:val="left" w:pos="1134"/>
              </w:tabs>
              <w:ind w:left="227"/>
              <w:jc w:val="both"/>
            </w:pPr>
            <w:r>
              <w:t>27%</w:t>
            </w:r>
          </w:p>
        </w:tc>
      </w:tr>
      <w:tr w:rsidR="00000000">
        <w:tblPrEx>
          <w:tblCellMar>
            <w:top w:w="0" w:type="dxa"/>
            <w:bottom w:w="0" w:type="dxa"/>
          </w:tblCellMar>
        </w:tblPrEx>
        <w:trPr>
          <w:jc w:val="center"/>
        </w:trPr>
        <w:tc>
          <w:tcPr>
            <w:tcW w:w="3028" w:type="dxa"/>
          </w:tcPr>
          <w:p w:rsidR="00000000" w:rsidRDefault="00000000">
            <w:pPr>
              <w:pStyle w:val="BodyText2"/>
              <w:tabs>
                <w:tab w:val="left" w:pos="680"/>
                <w:tab w:val="left" w:pos="1134"/>
              </w:tabs>
              <w:jc w:val="both"/>
              <w:rPr>
                <w:b w:val="0"/>
                <w:sz w:val="20"/>
              </w:rPr>
            </w:pPr>
            <w:r>
              <w:rPr>
                <w:b w:val="0"/>
                <w:sz w:val="20"/>
              </w:rPr>
              <w:t>Ошикуку</w:t>
            </w:r>
          </w:p>
          <w:p w:rsidR="00000000" w:rsidRDefault="00000000">
            <w:pPr>
              <w:pStyle w:val="BodyText2"/>
              <w:tabs>
                <w:tab w:val="left" w:pos="680"/>
                <w:tab w:val="left" w:pos="1134"/>
              </w:tabs>
              <w:jc w:val="both"/>
              <w:rPr>
                <w:b w:val="0"/>
                <w:sz w:val="20"/>
              </w:rPr>
            </w:pPr>
            <w:r>
              <w:rPr>
                <w:b w:val="0"/>
                <w:sz w:val="20"/>
              </w:rPr>
              <w:t>Уолфиш-Бей</w:t>
            </w:r>
          </w:p>
          <w:p w:rsidR="00000000" w:rsidRDefault="00000000">
            <w:pPr>
              <w:pStyle w:val="BodyText2"/>
              <w:tabs>
                <w:tab w:val="left" w:pos="680"/>
                <w:tab w:val="left" w:pos="1134"/>
              </w:tabs>
              <w:jc w:val="both"/>
              <w:rPr>
                <w:b w:val="0"/>
                <w:sz w:val="20"/>
              </w:rPr>
            </w:pPr>
            <w:r>
              <w:rPr>
                <w:b w:val="0"/>
                <w:sz w:val="20"/>
              </w:rPr>
              <w:t>Цумеб</w:t>
            </w:r>
          </w:p>
          <w:p w:rsidR="00000000" w:rsidRDefault="00000000">
            <w:pPr>
              <w:pStyle w:val="Footer"/>
              <w:tabs>
                <w:tab w:val="clear" w:pos="4677"/>
                <w:tab w:val="clear" w:pos="9355"/>
                <w:tab w:val="left" w:pos="680"/>
                <w:tab w:val="left" w:pos="1134"/>
              </w:tabs>
              <w:jc w:val="both"/>
              <w:rPr>
                <w:lang w:val="en-US"/>
              </w:rPr>
            </w:pPr>
            <w:r>
              <w:t>Очиваронго</w:t>
            </w:r>
          </w:p>
        </w:tc>
        <w:tc>
          <w:tcPr>
            <w:tcW w:w="946" w:type="dxa"/>
          </w:tcPr>
          <w:p w:rsidR="00000000" w:rsidRDefault="00000000">
            <w:pPr>
              <w:pStyle w:val="Footer"/>
              <w:tabs>
                <w:tab w:val="clear" w:pos="4677"/>
                <w:tab w:val="clear" w:pos="9355"/>
                <w:tab w:val="left" w:pos="680"/>
                <w:tab w:val="left" w:pos="1134"/>
              </w:tabs>
              <w:ind w:left="170"/>
              <w:jc w:val="both"/>
              <w:rPr>
                <w:lang w:val="en-US"/>
              </w:rPr>
            </w:pPr>
          </w:p>
          <w:p w:rsidR="00000000" w:rsidRDefault="00000000">
            <w:pPr>
              <w:pStyle w:val="Footer"/>
              <w:tabs>
                <w:tab w:val="clear" w:pos="4677"/>
                <w:tab w:val="clear" w:pos="9355"/>
                <w:tab w:val="left" w:pos="680"/>
                <w:tab w:val="left" w:pos="1134"/>
              </w:tabs>
              <w:ind w:left="170"/>
              <w:jc w:val="both"/>
              <w:rPr>
                <w:lang w:val="en-US"/>
              </w:rPr>
            </w:pPr>
          </w:p>
          <w:p w:rsidR="00000000" w:rsidRDefault="00000000">
            <w:pPr>
              <w:pStyle w:val="Footer"/>
              <w:tabs>
                <w:tab w:val="clear" w:pos="4677"/>
                <w:tab w:val="clear" w:pos="9355"/>
                <w:tab w:val="left" w:pos="680"/>
                <w:tab w:val="left" w:pos="1134"/>
              </w:tabs>
              <w:ind w:left="170"/>
              <w:jc w:val="both"/>
              <w:rPr>
                <w:lang w:val="en-US"/>
              </w:rPr>
            </w:pPr>
          </w:p>
          <w:p w:rsidR="00000000" w:rsidRDefault="00000000">
            <w:pPr>
              <w:pStyle w:val="Footer"/>
              <w:tabs>
                <w:tab w:val="clear" w:pos="4677"/>
                <w:tab w:val="clear" w:pos="9355"/>
                <w:tab w:val="left" w:pos="680"/>
                <w:tab w:val="left" w:pos="1134"/>
              </w:tabs>
              <w:ind w:left="170"/>
              <w:jc w:val="both"/>
              <w:rPr>
                <w:lang w:val="en-US"/>
              </w:rPr>
            </w:pPr>
            <w:r>
              <w:rPr>
                <w:lang w:val="en-US"/>
              </w:rPr>
              <w:t>2%</w:t>
            </w:r>
          </w:p>
        </w:tc>
        <w:tc>
          <w:tcPr>
            <w:tcW w:w="946"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9%</w:t>
            </w:r>
          </w:p>
        </w:tc>
        <w:tc>
          <w:tcPr>
            <w:tcW w:w="1109"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p>
        </w:tc>
        <w:tc>
          <w:tcPr>
            <w:tcW w:w="1109"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29%</w:t>
            </w:r>
          </w:p>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16%</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21%</w:t>
            </w:r>
          </w:p>
          <w:p w:rsidR="00000000" w:rsidRDefault="00000000">
            <w:pPr>
              <w:pStyle w:val="Footer"/>
              <w:tabs>
                <w:tab w:val="clear" w:pos="4677"/>
                <w:tab w:val="clear" w:pos="9355"/>
                <w:tab w:val="left" w:pos="680"/>
                <w:tab w:val="left" w:pos="1134"/>
              </w:tabs>
              <w:ind w:left="227"/>
              <w:jc w:val="both"/>
              <w:rPr>
                <w:lang w:val="en-US"/>
              </w:rPr>
            </w:pPr>
            <w:r>
              <w:rPr>
                <w:lang w:val="en-US"/>
              </w:rPr>
              <w:t>28%</w:t>
            </w:r>
          </w:p>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18%</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27%</w:t>
            </w:r>
          </w:p>
          <w:p w:rsidR="00000000" w:rsidRDefault="00000000">
            <w:pPr>
              <w:pStyle w:val="Footer"/>
              <w:tabs>
                <w:tab w:val="clear" w:pos="4677"/>
                <w:tab w:val="clear" w:pos="9355"/>
                <w:tab w:val="left" w:pos="680"/>
                <w:tab w:val="left" w:pos="1134"/>
              </w:tabs>
              <w:ind w:left="227"/>
              <w:jc w:val="both"/>
              <w:rPr>
                <w:lang w:val="en-US"/>
              </w:rPr>
            </w:pPr>
            <w:r>
              <w:rPr>
                <w:lang w:val="en-US"/>
              </w:rPr>
              <w:t>25%</w:t>
            </w:r>
          </w:p>
          <w:p w:rsidR="00000000" w:rsidRDefault="00000000">
            <w:pPr>
              <w:pStyle w:val="Footer"/>
              <w:tabs>
                <w:tab w:val="clear" w:pos="4677"/>
                <w:tab w:val="clear" w:pos="9355"/>
                <w:tab w:val="left" w:pos="680"/>
                <w:tab w:val="left" w:pos="1134"/>
              </w:tabs>
              <w:ind w:left="227"/>
              <w:jc w:val="both"/>
              <w:rPr>
                <w:lang w:val="en-US"/>
              </w:rPr>
            </w:pPr>
            <w:r>
              <w:rPr>
                <w:lang w:val="en-US"/>
              </w:rPr>
              <w:t>25%</w:t>
            </w:r>
          </w:p>
          <w:p w:rsidR="00000000" w:rsidRDefault="00000000">
            <w:pPr>
              <w:pStyle w:val="Footer"/>
              <w:tabs>
                <w:tab w:val="clear" w:pos="4677"/>
                <w:tab w:val="clear" w:pos="9355"/>
                <w:tab w:val="left" w:pos="680"/>
                <w:tab w:val="left" w:pos="1134"/>
              </w:tabs>
              <w:ind w:left="227"/>
              <w:jc w:val="both"/>
              <w:rPr>
                <w:lang w:val="en-US"/>
              </w:rPr>
            </w:pPr>
            <w:r>
              <w:rPr>
                <w:lang w:val="en-US"/>
              </w:rPr>
              <w:t>25%</w:t>
            </w:r>
          </w:p>
        </w:tc>
      </w:tr>
      <w:tr w:rsidR="00000000">
        <w:tblPrEx>
          <w:tblCellMar>
            <w:top w:w="0" w:type="dxa"/>
            <w:bottom w:w="0" w:type="dxa"/>
          </w:tblCellMar>
        </w:tblPrEx>
        <w:trPr>
          <w:jc w:val="center"/>
        </w:trPr>
        <w:tc>
          <w:tcPr>
            <w:tcW w:w="3028" w:type="dxa"/>
          </w:tcPr>
          <w:p w:rsidR="00000000" w:rsidRDefault="00000000">
            <w:pPr>
              <w:pStyle w:val="BodyText2"/>
              <w:tabs>
                <w:tab w:val="left" w:pos="680"/>
                <w:tab w:val="left" w:pos="1134"/>
              </w:tabs>
              <w:jc w:val="both"/>
              <w:rPr>
                <w:b w:val="0"/>
                <w:sz w:val="20"/>
              </w:rPr>
            </w:pPr>
            <w:r>
              <w:rPr>
                <w:b w:val="0"/>
                <w:sz w:val="20"/>
              </w:rPr>
              <w:t>Уутапи</w:t>
            </w:r>
          </w:p>
          <w:p w:rsidR="00000000" w:rsidRDefault="00000000">
            <w:pPr>
              <w:pStyle w:val="BodyText2"/>
              <w:tabs>
                <w:tab w:val="left" w:pos="680"/>
                <w:tab w:val="left" w:pos="1134"/>
              </w:tabs>
              <w:jc w:val="both"/>
              <w:rPr>
                <w:b w:val="0"/>
                <w:sz w:val="20"/>
              </w:rPr>
            </w:pPr>
            <w:r>
              <w:rPr>
                <w:b w:val="0"/>
                <w:sz w:val="20"/>
              </w:rPr>
              <w:t>Рунду</w:t>
            </w:r>
          </w:p>
          <w:p w:rsidR="00000000" w:rsidRDefault="00000000">
            <w:pPr>
              <w:pStyle w:val="Footer"/>
              <w:tabs>
                <w:tab w:val="clear" w:pos="4677"/>
                <w:tab w:val="clear" w:pos="9355"/>
                <w:tab w:val="left" w:pos="680"/>
                <w:tab w:val="left" w:pos="1134"/>
              </w:tabs>
              <w:jc w:val="both"/>
              <w:rPr>
                <w:lang w:val="en-US"/>
              </w:rPr>
            </w:pPr>
            <w:r>
              <w:t>Ньянгана</w:t>
            </w:r>
          </w:p>
        </w:tc>
        <w:tc>
          <w:tcPr>
            <w:tcW w:w="946" w:type="dxa"/>
          </w:tcPr>
          <w:p w:rsidR="00000000" w:rsidRDefault="00000000">
            <w:pPr>
              <w:pStyle w:val="Footer"/>
              <w:tabs>
                <w:tab w:val="clear" w:pos="4677"/>
                <w:tab w:val="clear" w:pos="9355"/>
                <w:tab w:val="left" w:pos="680"/>
                <w:tab w:val="left" w:pos="1134"/>
              </w:tabs>
              <w:ind w:left="170"/>
              <w:jc w:val="both"/>
              <w:rPr>
                <w:lang w:val="en-US"/>
              </w:rPr>
            </w:pPr>
          </w:p>
        </w:tc>
        <w:tc>
          <w:tcPr>
            <w:tcW w:w="946"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8%</w:t>
            </w:r>
          </w:p>
          <w:p w:rsidR="00000000" w:rsidRDefault="00000000">
            <w:pPr>
              <w:pStyle w:val="Footer"/>
              <w:tabs>
                <w:tab w:val="clear" w:pos="4677"/>
                <w:tab w:val="clear" w:pos="9355"/>
                <w:tab w:val="left" w:pos="680"/>
                <w:tab w:val="left" w:pos="1134"/>
              </w:tabs>
              <w:ind w:left="227"/>
              <w:jc w:val="both"/>
              <w:rPr>
                <w:lang w:val="en-US"/>
              </w:rPr>
            </w:pPr>
            <w:r>
              <w:rPr>
                <w:lang w:val="en-US"/>
              </w:rPr>
              <w:t>6%</w:t>
            </w:r>
          </w:p>
        </w:tc>
        <w:tc>
          <w:tcPr>
            <w:tcW w:w="1109"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8%</w:t>
            </w:r>
          </w:p>
          <w:p w:rsidR="00000000" w:rsidRDefault="00000000">
            <w:pPr>
              <w:pStyle w:val="Footer"/>
              <w:tabs>
                <w:tab w:val="clear" w:pos="4677"/>
                <w:tab w:val="clear" w:pos="9355"/>
                <w:tab w:val="left" w:pos="680"/>
                <w:tab w:val="left" w:pos="1134"/>
              </w:tabs>
              <w:ind w:left="227"/>
              <w:jc w:val="both"/>
              <w:rPr>
                <w:lang w:val="en-US"/>
              </w:rPr>
            </w:pPr>
            <w:r>
              <w:rPr>
                <w:lang w:val="en-US"/>
              </w:rPr>
              <w:t>5%</w:t>
            </w:r>
          </w:p>
        </w:tc>
        <w:tc>
          <w:tcPr>
            <w:tcW w:w="1109"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14%</w:t>
            </w:r>
          </w:p>
          <w:p w:rsidR="00000000" w:rsidRDefault="00000000">
            <w:pPr>
              <w:pStyle w:val="Footer"/>
              <w:tabs>
                <w:tab w:val="clear" w:pos="4677"/>
                <w:tab w:val="clear" w:pos="9355"/>
                <w:tab w:val="left" w:pos="680"/>
                <w:tab w:val="left" w:pos="1134"/>
              </w:tabs>
              <w:ind w:left="227"/>
              <w:jc w:val="both"/>
              <w:rPr>
                <w:lang w:val="en-US"/>
              </w:rPr>
            </w:pPr>
            <w:r>
              <w:rPr>
                <w:lang w:val="en-US"/>
              </w:rPr>
              <w:t>10%</w:t>
            </w:r>
          </w:p>
        </w:tc>
        <w:tc>
          <w:tcPr>
            <w:tcW w:w="1109"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14%</w:t>
            </w:r>
          </w:p>
          <w:p w:rsidR="00000000" w:rsidRDefault="00000000">
            <w:pPr>
              <w:pStyle w:val="Footer"/>
              <w:tabs>
                <w:tab w:val="clear" w:pos="4677"/>
                <w:tab w:val="clear" w:pos="9355"/>
                <w:tab w:val="left" w:pos="680"/>
                <w:tab w:val="left" w:pos="1134"/>
              </w:tabs>
              <w:ind w:left="227"/>
              <w:jc w:val="both"/>
              <w:rPr>
                <w:lang w:val="en-US"/>
              </w:rPr>
            </w:pPr>
            <w:r>
              <w:rPr>
                <w:lang w:val="en-US"/>
              </w:rPr>
              <w:t>16%</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23%</w:t>
            </w:r>
          </w:p>
          <w:p w:rsidR="00000000" w:rsidRDefault="00000000">
            <w:pPr>
              <w:pStyle w:val="Footer"/>
              <w:tabs>
                <w:tab w:val="clear" w:pos="4677"/>
                <w:tab w:val="clear" w:pos="9355"/>
                <w:tab w:val="left" w:pos="680"/>
                <w:tab w:val="left" w:pos="1134"/>
              </w:tabs>
              <w:ind w:left="227"/>
              <w:jc w:val="both"/>
              <w:rPr>
                <w:lang w:val="en-US"/>
              </w:rPr>
            </w:pPr>
            <w:r>
              <w:rPr>
                <w:lang w:val="en-US"/>
              </w:rPr>
              <w:t>22%</w:t>
            </w:r>
          </w:p>
          <w:p w:rsidR="00000000" w:rsidRDefault="00000000">
            <w:pPr>
              <w:pStyle w:val="Footer"/>
              <w:tabs>
                <w:tab w:val="clear" w:pos="4677"/>
                <w:tab w:val="clear" w:pos="9355"/>
                <w:tab w:val="left" w:pos="680"/>
                <w:tab w:val="left" w:pos="1134"/>
              </w:tabs>
              <w:ind w:left="227"/>
              <w:jc w:val="both"/>
              <w:rPr>
                <w:lang w:val="en-US"/>
              </w:rPr>
            </w:pPr>
            <w:r>
              <w:rPr>
                <w:lang w:val="en-US"/>
              </w:rPr>
              <w:t>22%</w:t>
            </w:r>
          </w:p>
        </w:tc>
      </w:tr>
      <w:tr w:rsidR="00000000">
        <w:tblPrEx>
          <w:tblCellMar>
            <w:top w:w="0" w:type="dxa"/>
            <w:bottom w:w="0" w:type="dxa"/>
          </w:tblCellMar>
        </w:tblPrEx>
        <w:trPr>
          <w:jc w:val="center"/>
        </w:trPr>
        <w:tc>
          <w:tcPr>
            <w:tcW w:w="3028" w:type="dxa"/>
          </w:tcPr>
          <w:p w:rsidR="00000000" w:rsidRDefault="00000000">
            <w:pPr>
              <w:pStyle w:val="BodyText2"/>
              <w:tabs>
                <w:tab w:val="left" w:pos="680"/>
                <w:tab w:val="left" w:pos="1134"/>
              </w:tabs>
              <w:jc w:val="both"/>
              <w:rPr>
                <w:b w:val="0"/>
                <w:sz w:val="20"/>
              </w:rPr>
            </w:pPr>
            <w:r>
              <w:rPr>
                <w:b w:val="0"/>
                <w:sz w:val="20"/>
              </w:rPr>
              <w:t>Андара</w:t>
            </w:r>
          </w:p>
          <w:p w:rsidR="00000000" w:rsidRDefault="00000000">
            <w:pPr>
              <w:pStyle w:val="BodyText2"/>
              <w:tabs>
                <w:tab w:val="left" w:pos="680"/>
                <w:tab w:val="left" w:pos="1134"/>
              </w:tabs>
              <w:jc w:val="both"/>
              <w:rPr>
                <w:b w:val="0"/>
                <w:sz w:val="20"/>
              </w:rPr>
            </w:pPr>
            <w:r>
              <w:rPr>
                <w:b w:val="0"/>
                <w:sz w:val="20"/>
              </w:rPr>
              <w:t>Энгела</w:t>
            </w:r>
          </w:p>
          <w:p w:rsidR="00000000" w:rsidRDefault="00000000">
            <w:pPr>
              <w:pStyle w:val="Footer"/>
              <w:tabs>
                <w:tab w:val="clear" w:pos="4677"/>
                <w:tab w:val="clear" w:pos="9355"/>
                <w:tab w:val="left" w:pos="680"/>
                <w:tab w:val="left" w:pos="1134"/>
              </w:tabs>
              <w:jc w:val="both"/>
              <w:rPr>
                <w:lang w:val="en-US"/>
              </w:rPr>
            </w:pPr>
            <w:r>
              <w:t>Нанкуду</w:t>
            </w:r>
          </w:p>
        </w:tc>
        <w:tc>
          <w:tcPr>
            <w:tcW w:w="946" w:type="dxa"/>
          </w:tcPr>
          <w:p w:rsidR="00000000" w:rsidRDefault="00000000">
            <w:pPr>
              <w:pStyle w:val="Footer"/>
              <w:tabs>
                <w:tab w:val="clear" w:pos="4677"/>
                <w:tab w:val="clear" w:pos="9355"/>
                <w:tab w:val="left" w:pos="680"/>
                <w:tab w:val="left" w:pos="1134"/>
              </w:tabs>
              <w:ind w:left="170"/>
              <w:jc w:val="both"/>
              <w:rPr>
                <w:lang w:val="en-US"/>
              </w:rPr>
            </w:pPr>
          </w:p>
        </w:tc>
        <w:tc>
          <w:tcPr>
            <w:tcW w:w="946" w:type="dxa"/>
          </w:tcPr>
          <w:p w:rsidR="00000000" w:rsidRDefault="00000000">
            <w:pPr>
              <w:pStyle w:val="Footer"/>
              <w:tabs>
                <w:tab w:val="clear" w:pos="4677"/>
                <w:tab w:val="clear" w:pos="9355"/>
                <w:tab w:val="left" w:pos="680"/>
                <w:tab w:val="left" w:pos="1134"/>
              </w:tabs>
              <w:ind w:left="227"/>
              <w:jc w:val="both"/>
              <w:rPr>
                <w:lang w:val="en-US"/>
              </w:rPr>
            </w:pPr>
            <w:r>
              <w:rPr>
                <w:lang w:val="en-US"/>
              </w:rPr>
              <w:t>2%</w:t>
            </w:r>
          </w:p>
          <w:p w:rsidR="00000000" w:rsidRDefault="00000000">
            <w:pPr>
              <w:pStyle w:val="Footer"/>
              <w:tabs>
                <w:tab w:val="clear" w:pos="4677"/>
                <w:tab w:val="clear" w:pos="9355"/>
                <w:tab w:val="left" w:pos="680"/>
                <w:tab w:val="left" w:pos="1134"/>
              </w:tabs>
              <w:ind w:left="227"/>
              <w:jc w:val="both"/>
              <w:rPr>
                <w:lang w:val="en-US"/>
              </w:rPr>
            </w:pPr>
            <w:r>
              <w:rPr>
                <w:lang w:val="en-US"/>
              </w:rPr>
              <w:t>7%</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11%</w:t>
            </w:r>
          </w:p>
          <w:p w:rsidR="00000000" w:rsidRDefault="00000000">
            <w:pPr>
              <w:pStyle w:val="Footer"/>
              <w:tabs>
                <w:tab w:val="clear" w:pos="4677"/>
                <w:tab w:val="clear" w:pos="9355"/>
                <w:tab w:val="left" w:pos="680"/>
                <w:tab w:val="left" w:pos="1134"/>
              </w:tabs>
              <w:ind w:left="227"/>
              <w:jc w:val="both"/>
              <w:rPr>
                <w:lang w:val="en-US"/>
              </w:rPr>
            </w:pPr>
            <w:r>
              <w:rPr>
                <w:lang w:val="en-US"/>
              </w:rPr>
              <w:t>118%</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16%</w:t>
            </w:r>
          </w:p>
          <w:p w:rsidR="00000000" w:rsidRDefault="00000000">
            <w:pPr>
              <w:pStyle w:val="Footer"/>
              <w:tabs>
                <w:tab w:val="clear" w:pos="4677"/>
                <w:tab w:val="clear" w:pos="9355"/>
                <w:tab w:val="left" w:pos="680"/>
                <w:tab w:val="left" w:pos="1134"/>
              </w:tabs>
              <w:ind w:left="227"/>
              <w:jc w:val="both"/>
              <w:rPr>
                <w:lang w:val="en-US"/>
              </w:rPr>
            </w:pPr>
            <w:r>
              <w:rPr>
                <w:lang w:val="en-US"/>
              </w:rPr>
              <w:t>17%</w:t>
            </w:r>
          </w:p>
          <w:p w:rsidR="00000000" w:rsidRDefault="00000000">
            <w:pPr>
              <w:pStyle w:val="Footer"/>
              <w:tabs>
                <w:tab w:val="clear" w:pos="4677"/>
                <w:tab w:val="clear" w:pos="9355"/>
                <w:tab w:val="left" w:pos="680"/>
                <w:tab w:val="left" w:pos="1134"/>
              </w:tabs>
              <w:ind w:left="227"/>
              <w:jc w:val="both"/>
              <w:rPr>
                <w:lang w:val="en-US"/>
              </w:rPr>
            </w:pPr>
            <w:r>
              <w:rPr>
                <w:lang w:val="en-US"/>
              </w:rPr>
              <w:t>13%</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15%</w:t>
            </w:r>
          </w:p>
          <w:p w:rsidR="00000000" w:rsidRDefault="00000000">
            <w:pPr>
              <w:pStyle w:val="Footer"/>
              <w:tabs>
                <w:tab w:val="clear" w:pos="4677"/>
                <w:tab w:val="clear" w:pos="9355"/>
                <w:tab w:val="left" w:pos="680"/>
                <w:tab w:val="left" w:pos="1134"/>
              </w:tabs>
              <w:ind w:left="227"/>
              <w:jc w:val="both"/>
              <w:rPr>
                <w:lang w:val="en-US"/>
              </w:rPr>
            </w:pPr>
            <w:r>
              <w:rPr>
                <w:lang w:val="en-US"/>
              </w:rPr>
              <w:t>23%</w:t>
            </w:r>
          </w:p>
          <w:p w:rsidR="00000000" w:rsidRDefault="00000000">
            <w:pPr>
              <w:pStyle w:val="Footer"/>
              <w:tabs>
                <w:tab w:val="clear" w:pos="4677"/>
                <w:tab w:val="clear" w:pos="9355"/>
                <w:tab w:val="left" w:pos="680"/>
                <w:tab w:val="left" w:pos="1134"/>
              </w:tabs>
              <w:ind w:left="227"/>
              <w:jc w:val="both"/>
              <w:rPr>
                <w:lang w:val="en-US"/>
              </w:rPr>
            </w:pPr>
            <w:r>
              <w:rPr>
                <w:lang w:val="en-US"/>
              </w:rPr>
              <w:t>18%</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21%</w:t>
            </w:r>
          </w:p>
          <w:p w:rsidR="00000000" w:rsidRDefault="00000000">
            <w:pPr>
              <w:pStyle w:val="Footer"/>
              <w:tabs>
                <w:tab w:val="clear" w:pos="4677"/>
                <w:tab w:val="clear" w:pos="9355"/>
                <w:tab w:val="left" w:pos="680"/>
                <w:tab w:val="left" w:pos="1134"/>
              </w:tabs>
              <w:ind w:left="227"/>
              <w:jc w:val="both"/>
              <w:rPr>
                <w:lang w:val="en-US"/>
              </w:rPr>
            </w:pPr>
            <w:r>
              <w:rPr>
                <w:lang w:val="en-US"/>
              </w:rPr>
              <w:t>19%</w:t>
            </w:r>
          </w:p>
          <w:p w:rsidR="00000000" w:rsidRDefault="00000000">
            <w:pPr>
              <w:pStyle w:val="Footer"/>
              <w:tabs>
                <w:tab w:val="clear" w:pos="4677"/>
                <w:tab w:val="clear" w:pos="9355"/>
                <w:tab w:val="left" w:pos="680"/>
                <w:tab w:val="left" w:pos="1134"/>
              </w:tabs>
              <w:ind w:left="227"/>
              <w:jc w:val="both"/>
              <w:rPr>
                <w:lang w:val="en-US"/>
              </w:rPr>
            </w:pPr>
            <w:r>
              <w:rPr>
                <w:lang w:val="en-US"/>
              </w:rPr>
              <w:t>16%</w:t>
            </w:r>
          </w:p>
        </w:tc>
      </w:tr>
      <w:tr w:rsidR="00000000">
        <w:tblPrEx>
          <w:tblCellMar>
            <w:top w:w="0" w:type="dxa"/>
            <w:bottom w:w="0" w:type="dxa"/>
          </w:tblCellMar>
        </w:tblPrEx>
        <w:trPr>
          <w:jc w:val="center"/>
        </w:trPr>
        <w:tc>
          <w:tcPr>
            <w:tcW w:w="3028" w:type="dxa"/>
          </w:tcPr>
          <w:p w:rsidR="00000000" w:rsidRDefault="00000000">
            <w:pPr>
              <w:pStyle w:val="BodyText2"/>
              <w:tabs>
                <w:tab w:val="left" w:pos="680"/>
                <w:tab w:val="left" w:pos="1134"/>
              </w:tabs>
              <w:jc w:val="both"/>
              <w:rPr>
                <w:b w:val="0"/>
                <w:sz w:val="20"/>
              </w:rPr>
            </w:pPr>
            <w:r>
              <w:rPr>
                <w:b w:val="0"/>
                <w:sz w:val="20"/>
              </w:rPr>
              <w:t>Китмансхуп</w:t>
            </w:r>
          </w:p>
          <w:p w:rsidR="00000000" w:rsidRDefault="00000000">
            <w:pPr>
              <w:pStyle w:val="BodyText2"/>
              <w:tabs>
                <w:tab w:val="left" w:pos="680"/>
                <w:tab w:val="left" w:pos="1134"/>
              </w:tabs>
              <w:jc w:val="both"/>
              <w:rPr>
                <w:b w:val="0"/>
                <w:sz w:val="20"/>
              </w:rPr>
            </w:pPr>
            <w:r>
              <w:rPr>
                <w:b w:val="0"/>
                <w:sz w:val="20"/>
              </w:rPr>
              <w:t>Свакопмунд</w:t>
            </w:r>
          </w:p>
          <w:p w:rsidR="00000000" w:rsidRDefault="00000000">
            <w:pPr>
              <w:pStyle w:val="Footer"/>
              <w:tabs>
                <w:tab w:val="clear" w:pos="4677"/>
                <w:tab w:val="clear" w:pos="9355"/>
                <w:tab w:val="left" w:pos="680"/>
                <w:tab w:val="left" w:pos="1134"/>
              </w:tabs>
              <w:jc w:val="both"/>
              <w:rPr>
                <w:lang w:val="en-US"/>
              </w:rPr>
            </w:pPr>
            <w:r>
              <w:t>Гобабис</w:t>
            </w:r>
          </w:p>
        </w:tc>
        <w:tc>
          <w:tcPr>
            <w:tcW w:w="946" w:type="dxa"/>
          </w:tcPr>
          <w:p w:rsidR="00000000" w:rsidRDefault="00000000">
            <w:pPr>
              <w:pStyle w:val="Footer"/>
              <w:tabs>
                <w:tab w:val="clear" w:pos="4677"/>
                <w:tab w:val="clear" w:pos="9355"/>
                <w:tab w:val="left" w:pos="680"/>
                <w:tab w:val="left" w:pos="1134"/>
              </w:tabs>
              <w:ind w:left="170"/>
              <w:jc w:val="both"/>
              <w:rPr>
                <w:lang w:val="en-US"/>
              </w:rPr>
            </w:pPr>
            <w:r>
              <w:rPr>
                <w:lang w:val="en-US"/>
              </w:rPr>
              <w:t>3%</w:t>
            </w:r>
          </w:p>
          <w:p w:rsidR="00000000" w:rsidRDefault="00000000">
            <w:pPr>
              <w:pStyle w:val="Footer"/>
              <w:tabs>
                <w:tab w:val="clear" w:pos="4677"/>
                <w:tab w:val="clear" w:pos="9355"/>
                <w:tab w:val="left" w:pos="680"/>
                <w:tab w:val="left" w:pos="1134"/>
              </w:tabs>
              <w:ind w:left="170"/>
              <w:jc w:val="both"/>
              <w:rPr>
                <w:lang w:val="en-US"/>
              </w:rPr>
            </w:pPr>
            <w:r>
              <w:rPr>
                <w:lang w:val="en-US"/>
              </w:rPr>
              <w:t>3%</w:t>
            </w:r>
          </w:p>
          <w:p w:rsidR="00000000" w:rsidRDefault="00000000">
            <w:pPr>
              <w:pStyle w:val="Footer"/>
              <w:tabs>
                <w:tab w:val="clear" w:pos="4677"/>
                <w:tab w:val="clear" w:pos="9355"/>
                <w:tab w:val="left" w:pos="680"/>
                <w:tab w:val="left" w:pos="1134"/>
              </w:tabs>
              <w:ind w:left="170"/>
              <w:jc w:val="both"/>
              <w:rPr>
                <w:lang w:val="en-US"/>
              </w:rPr>
            </w:pPr>
            <w:r>
              <w:rPr>
                <w:lang w:val="en-US"/>
              </w:rPr>
              <w:t>1%</w:t>
            </w:r>
          </w:p>
        </w:tc>
        <w:tc>
          <w:tcPr>
            <w:tcW w:w="946" w:type="dxa"/>
          </w:tcPr>
          <w:p w:rsidR="00000000" w:rsidRDefault="00000000">
            <w:pPr>
              <w:pStyle w:val="Footer"/>
              <w:tabs>
                <w:tab w:val="clear" w:pos="4677"/>
                <w:tab w:val="clear" w:pos="9355"/>
                <w:tab w:val="left" w:pos="680"/>
                <w:tab w:val="left" w:pos="1134"/>
              </w:tabs>
              <w:ind w:left="227"/>
              <w:jc w:val="both"/>
              <w:rPr>
                <w:lang w:val="en-US"/>
              </w:rPr>
            </w:pPr>
            <w:r>
              <w:rPr>
                <w:lang w:val="en-US"/>
              </w:rPr>
              <w:t>8%</w:t>
            </w:r>
          </w:p>
          <w:p w:rsidR="00000000" w:rsidRDefault="00000000">
            <w:pPr>
              <w:pStyle w:val="Footer"/>
              <w:tabs>
                <w:tab w:val="clear" w:pos="4677"/>
                <w:tab w:val="clear" w:pos="9355"/>
                <w:tab w:val="left" w:pos="680"/>
                <w:tab w:val="left" w:pos="1134"/>
              </w:tabs>
              <w:ind w:left="227"/>
              <w:jc w:val="both"/>
              <w:rPr>
                <w:lang w:val="en-US"/>
              </w:rPr>
            </w:pPr>
            <w:r>
              <w:rPr>
                <w:lang w:val="en-US"/>
              </w:rPr>
              <w:t>7%</w:t>
            </w:r>
          </w:p>
          <w:p w:rsidR="00000000" w:rsidRDefault="00000000">
            <w:pPr>
              <w:pStyle w:val="Footer"/>
              <w:tabs>
                <w:tab w:val="clear" w:pos="4677"/>
                <w:tab w:val="clear" w:pos="9355"/>
                <w:tab w:val="left" w:pos="680"/>
                <w:tab w:val="left" w:pos="1134"/>
              </w:tabs>
              <w:ind w:left="227"/>
              <w:jc w:val="both"/>
              <w:rPr>
                <w:lang w:val="en-US"/>
              </w:rPr>
            </w:pPr>
          </w:p>
        </w:tc>
        <w:tc>
          <w:tcPr>
            <w:tcW w:w="1109"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17%</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7%</w:t>
            </w:r>
          </w:p>
          <w:p w:rsidR="00000000" w:rsidRDefault="00000000">
            <w:pPr>
              <w:pStyle w:val="Footer"/>
              <w:tabs>
                <w:tab w:val="clear" w:pos="4677"/>
                <w:tab w:val="clear" w:pos="9355"/>
                <w:tab w:val="left" w:pos="680"/>
                <w:tab w:val="left" w:pos="1134"/>
              </w:tabs>
              <w:ind w:left="227"/>
              <w:jc w:val="both"/>
              <w:rPr>
                <w:lang w:val="en-US"/>
              </w:rPr>
            </w:pPr>
            <w:r>
              <w:rPr>
                <w:lang w:val="en-US"/>
              </w:rPr>
              <w:t>15%</w:t>
            </w:r>
          </w:p>
          <w:p w:rsidR="00000000" w:rsidRDefault="00000000">
            <w:pPr>
              <w:pStyle w:val="Footer"/>
              <w:tabs>
                <w:tab w:val="clear" w:pos="4677"/>
                <w:tab w:val="clear" w:pos="9355"/>
                <w:tab w:val="left" w:pos="680"/>
                <w:tab w:val="left" w:pos="1134"/>
              </w:tabs>
              <w:ind w:left="227"/>
              <w:jc w:val="both"/>
              <w:rPr>
                <w:lang w:val="en-US"/>
              </w:rPr>
            </w:pPr>
            <w:r>
              <w:rPr>
                <w:lang w:val="en-US"/>
              </w:rPr>
              <w:t>9%</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17%</w:t>
            </w:r>
          </w:p>
          <w:p w:rsidR="00000000" w:rsidRDefault="00000000">
            <w:pPr>
              <w:pStyle w:val="Footer"/>
              <w:tabs>
                <w:tab w:val="clear" w:pos="4677"/>
                <w:tab w:val="clear" w:pos="9355"/>
                <w:tab w:val="left" w:pos="680"/>
                <w:tab w:val="left" w:pos="1134"/>
              </w:tabs>
              <w:ind w:left="227"/>
              <w:jc w:val="both"/>
              <w:rPr>
                <w:lang w:val="en-US"/>
              </w:rPr>
            </w:pPr>
            <w:r>
              <w:rPr>
                <w:lang w:val="en-US"/>
              </w:rPr>
              <w:t>22%</w:t>
            </w:r>
          </w:p>
          <w:p w:rsidR="00000000" w:rsidRDefault="00000000">
            <w:pPr>
              <w:pStyle w:val="Footer"/>
              <w:tabs>
                <w:tab w:val="clear" w:pos="4677"/>
                <w:tab w:val="clear" w:pos="9355"/>
                <w:tab w:val="left" w:pos="680"/>
                <w:tab w:val="left" w:pos="1134"/>
              </w:tabs>
              <w:ind w:left="227"/>
              <w:jc w:val="both"/>
              <w:rPr>
                <w:lang w:val="en-US"/>
              </w:rPr>
            </w:pPr>
            <w:r>
              <w:rPr>
                <w:lang w:val="en-US"/>
              </w:rPr>
              <w:t>9%</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16%</w:t>
            </w:r>
          </w:p>
          <w:p w:rsidR="00000000" w:rsidRDefault="00000000">
            <w:pPr>
              <w:pStyle w:val="Footer"/>
              <w:tabs>
                <w:tab w:val="clear" w:pos="4677"/>
                <w:tab w:val="clear" w:pos="9355"/>
                <w:tab w:val="left" w:pos="680"/>
                <w:tab w:val="left" w:pos="1134"/>
              </w:tabs>
              <w:ind w:left="227"/>
              <w:jc w:val="both"/>
              <w:rPr>
                <w:lang w:val="en-US"/>
              </w:rPr>
            </w:pPr>
            <w:r>
              <w:rPr>
                <w:lang w:val="en-US"/>
              </w:rPr>
              <w:t>16%</w:t>
            </w:r>
          </w:p>
          <w:p w:rsidR="00000000" w:rsidRDefault="00000000">
            <w:pPr>
              <w:pStyle w:val="Footer"/>
              <w:tabs>
                <w:tab w:val="clear" w:pos="4677"/>
                <w:tab w:val="clear" w:pos="9355"/>
                <w:tab w:val="left" w:pos="680"/>
                <w:tab w:val="left" w:pos="1134"/>
              </w:tabs>
              <w:ind w:left="227"/>
              <w:jc w:val="both"/>
              <w:rPr>
                <w:lang w:val="en-US"/>
              </w:rPr>
            </w:pPr>
            <w:r>
              <w:rPr>
                <w:lang w:val="en-US"/>
              </w:rPr>
              <w:t>13%</w:t>
            </w:r>
          </w:p>
        </w:tc>
      </w:tr>
      <w:tr w:rsidR="00000000">
        <w:tblPrEx>
          <w:tblCellMar>
            <w:top w:w="0" w:type="dxa"/>
            <w:bottom w:w="0" w:type="dxa"/>
          </w:tblCellMar>
        </w:tblPrEx>
        <w:trPr>
          <w:jc w:val="center"/>
        </w:trPr>
        <w:tc>
          <w:tcPr>
            <w:tcW w:w="3028" w:type="dxa"/>
          </w:tcPr>
          <w:p w:rsidR="00000000" w:rsidRDefault="00000000">
            <w:pPr>
              <w:pStyle w:val="BodyText2"/>
              <w:tabs>
                <w:tab w:val="left" w:pos="680"/>
                <w:tab w:val="left" w:pos="1134"/>
              </w:tabs>
              <w:jc w:val="both"/>
              <w:rPr>
                <w:b w:val="0"/>
                <w:sz w:val="20"/>
              </w:rPr>
            </w:pPr>
            <w:r>
              <w:rPr>
                <w:b w:val="0"/>
                <w:sz w:val="20"/>
              </w:rPr>
              <w:t>Мариенталь</w:t>
            </w:r>
          </w:p>
          <w:p w:rsidR="00000000" w:rsidRDefault="00000000">
            <w:pPr>
              <w:pStyle w:val="BodyText2"/>
              <w:tabs>
                <w:tab w:val="left" w:pos="680"/>
                <w:tab w:val="left" w:pos="1134"/>
              </w:tabs>
              <w:jc w:val="both"/>
              <w:rPr>
                <w:b w:val="0"/>
                <w:sz w:val="20"/>
              </w:rPr>
            </w:pPr>
            <w:r>
              <w:rPr>
                <w:b w:val="0"/>
                <w:sz w:val="20"/>
              </w:rPr>
              <w:t>Рехобот</w:t>
            </w:r>
          </w:p>
          <w:p w:rsidR="00000000" w:rsidRDefault="00000000">
            <w:pPr>
              <w:pStyle w:val="Footer"/>
              <w:tabs>
                <w:tab w:val="clear" w:pos="4677"/>
                <w:tab w:val="clear" w:pos="9355"/>
                <w:tab w:val="left" w:pos="680"/>
                <w:tab w:val="left" w:pos="1134"/>
              </w:tabs>
              <w:jc w:val="both"/>
              <w:rPr>
                <w:lang w:val="en-US"/>
              </w:rPr>
            </w:pPr>
            <w:r>
              <w:t>Опуво</w:t>
            </w:r>
          </w:p>
        </w:tc>
        <w:tc>
          <w:tcPr>
            <w:tcW w:w="946" w:type="dxa"/>
          </w:tcPr>
          <w:p w:rsidR="00000000" w:rsidRDefault="00000000">
            <w:pPr>
              <w:pStyle w:val="Footer"/>
              <w:tabs>
                <w:tab w:val="clear" w:pos="4677"/>
                <w:tab w:val="clear" w:pos="9355"/>
                <w:tab w:val="left" w:pos="680"/>
                <w:tab w:val="left" w:pos="1134"/>
              </w:tabs>
              <w:ind w:left="170"/>
              <w:jc w:val="both"/>
              <w:rPr>
                <w:lang w:val="en-US"/>
              </w:rPr>
            </w:pPr>
          </w:p>
          <w:p w:rsidR="00000000" w:rsidRDefault="00000000">
            <w:pPr>
              <w:pStyle w:val="Footer"/>
              <w:tabs>
                <w:tab w:val="clear" w:pos="4677"/>
                <w:tab w:val="clear" w:pos="9355"/>
                <w:tab w:val="left" w:pos="680"/>
                <w:tab w:val="left" w:pos="1134"/>
              </w:tabs>
              <w:ind w:left="170"/>
              <w:jc w:val="both"/>
              <w:rPr>
                <w:lang w:val="en-US"/>
              </w:rPr>
            </w:pPr>
          </w:p>
          <w:p w:rsidR="00000000" w:rsidRDefault="00000000">
            <w:pPr>
              <w:pStyle w:val="Footer"/>
              <w:tabs>
                <w:tab w:val="clear" w:pos="4677"/>
                <w:tab w:val="clear" w:pos="9355"/>
                <w:tab w:val="left" w:pos="680"/>
                <w:tab w:val="left" w:pos="1134"/>
              </w:tabs>
              <w:ind w:left="170"/>
              <w:jc w:val="both"/>
              <w:rPr>
                <w:lang w:val="en-US"/>
              </w:rPr>
            </w:pPr>
            <w:r>
              <w:rPr>
                <w:lang w:val="en-US"/>
              </w:rPr>
              <w:t>3%</w:t>
            </w:r>
          </w:p>
        </w:tc>
        <w:tc>
          <w:tcPr>
            <w:tcW w:w="946"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3%</w:t>
            </w:r>
          </w:p>
          <w:p w:rsidR="00000000" w:rsidRDefault="00000000">
            <w:pPr>
              <w:pStyle w:val="Footer"/>
              <w:tabs>
                <w:tab w:val="clear" w:pos="4677"/>
                <w:tab w:val="clear" w:pos="9355"/>
                <w:tab w:val="left" w:pos="680"/>
                <w:tab w:val="left" w:pos="1134"/>
              </w:tabs>
              <w:ind w:left="227"/>
              <w:jc w:val="both"/>
              <w:rPr>
                <w:lang w:val="en-US"/>
              </w:rPr>
            </w:pPr>
            <w:r>
              <w:rPr>
                <w:lang w:val="en-US"/>
              </w:rPr>
              <w:t>1%</w:t>
            </w:r>
          </w:p>
        </w:tc>
        <w:tc>
          <w:tcPr>
            <w:tcW w:w="1109"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4%</w:t>
            </w:r>
          </w:p>
        </w:tc>
        <w:tc>
          <w:tcPr>
            <w:tcW w:w="1109" w:type="dxa"/>
          </w:tcPr>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p>
          <w:p w:rsidR="00000000" w:rsidRDefault="00000000">
            <w:pPr>
              <w:pStyle w:val="Footer"/>
              <w:tabs>
                <w:tab w:val="clear" w:pos="4677"/>
                <w:tab w:val="clear" w:pos="9355"/>
                <w:tab w:val="left" w:pos="680"/>
                <w:tab w:val="left" w:pos="1134"/>
              </w:tabs>
              <w:ind w:left="227"/>
              <w:jc w:val="both"/>
              <w:rPr>
                <w:lang w:val="en-US"/>
              </w:rPr>
            </w:pPr>
            <w:r>
              <w:rPr>
                <w:lang w:val="en-US"/>
              </w:rPr>
              <w:t>6%</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10%</w:t>
            </w:r>
          </w:p>
          <w:p w:rsidR="00000000" w:rsidRDefault="00000000">
            <w:pPr>
              <w:pStyle w:val="Footer"/>
              <w:tabs>
                <w:tab w:val="clear" w:pos="4677"/>
                <w:tab w:val="clear" w:pos="9355"/>
                <w:tab w:val="left" w:pos="680"/>
                <w:tab w:val="left" w:pos="1134"/>
              </w:tabs>
              <w:ind w:left="227"/>
              <w:jc w:val="both"/>
              <w:rPr>
                <w:lang w:val="en-US"/>
              </w:rPr>
            </w:pPr>
            <w:r>
              <w:rPr>
                <w:lang w:val="en-US"/>
              </w:rPr>
              <w:t>9%</w:t>
            </w:r>
          </w:p>
          <w:p w:rsidR="00000000" w:rsidRDefault="00000000">
            <w:pPr>
              <w:pStyle w:val="Footer"/>
              <w:tabs>
                <w:tab w:val="clear" w:pos="4677"/>
                <w:tab w:val="clear" w:pos="9355"/>
                <w:tab w:val="left" w:pos="680"/>
                <w:tab w:val="left" w:pos="1134"/>
              </w:tabs>
              <w:ind w:left="227"/>
              <w:jc w:val="both"/>
              <w:rPr>
                <w:lang w:val="en-US"/>
              </w:rPr>
            </w:pPr>
            <w:r>
              <w:rPr>
                <w:lang w:val="en-US"/>
              </w:rPr>
              <w:t>7%</w:t>
            </w:r>
          </w:p>
        </w:tc>
        <w:tc>
          <w:tcPr>
            <w:tcW w:w="1109" w:type="dxa"/>
          </w:tcPr>
          <w:p w:rsidR="00000000" w:rsidRDefault="00000000">
            <w:pPr>
              <w:pStyle w:val="Footer"/>
              <w:tabs>
                <w:tab w:val="clear" w:pos="4677"/>
                <w:tab w:val="clear" w:pos="9355"/>
                <w:tab w:val="left" w:pos="680"/>
                <w:tab w:val="left" w:pos="1134"/>
              </w:tabs>
              <w:ind w:left="227"/>
              <w:jc w:val="both"/>
              <w:rPr>
                <w:lang w:val="en-US"/>
              </w:rPr>
            </w:pPr>
            <w:r>
              <w:rPr>
                <w:lang w:val="en-US"/>
              </w:rPr>
              <w:t>12%</w:t>
            </w:r>
          </w:p>
          <w:p w:rsidR="00000000" w:rsidRDefault="00000000">
            <w:pPr>
              <w:pStyle w:val="Footer"/>
              <w:tabs>
                <w:tab w:val="clear" w:pos="4677"/>
                <w:tab w:val="clear" w:pos="9355"/>
                <w:tab w:val="left" w:pos="680"/>
                <w:tab w:val="left" w:pos="1134"/>
              </w:tabs>
              <w:ind w:left="227"/>
              <w:jc w:val="both"/>
              <w:rPr>
                <w:lang w:val="en-US"/>
              </w:rPr>
            </w:pPr>
            <w:r>
              <w:rPr>
                <w:lang w:val="en-US"/>
              </w:rPr>
              <w:t>10%</w:t>
            </w:r>
          </w:p>
          <w:p w:rsidR="00000000" w:rsidRDefault="00000000">
            <w:pPr>
              <w:pStyle w:val="Footer"/>
              <w:tabs>
                <w:tab w:val="clear" w:pos="4677"/>
                <w:tab w:val="clear" w:pos="9355"/>
                <w:tab w:val="left" w:pos="680"/>
                <w:tab w:val="left" w:pos="1134"/>
              </w:tabs>
              <w:ind w:left="227"/>
              <w:jc w:val="both"/>
              <w:rPr>
                <w:lang w:val="en-US"/>
              </w:rPr>
            </w:pPr>
            <w:r>
              <w:rPr>
                <w:lang w:val="en-US"/>
              </w:rPr>
              <w:t>9%</w:t>
            </w:r>
          </w:p>
          <w:p w:rsidR="00000000" w:rsidRDefault="00000000">
            <w:pPr>
              <w:pStyle w:val="Footer"/>
              <w:tabs>
                <w:tab w:val="clear" w:pos="4677"/>
                <w:tab w:val="clear" w:pos="9355"/>
                <w:tab w:val="left" w:pos="680"/>
                <w:tab w:val="left" w:pos="1134"/>
              </w:tabs>
              <w:ind w:left="227"/>
              <w:jc w:val="both"/>
              <w:rPr>
                <w:lang w:val="en-US"/>
              </w:rPr>
            </w:pPr>
          </w:p>
        </w:tc>
      </w:tr>
      <w:tr w:rsidR="00000000">
        <w:tblPrEx>
          <w:tblCellMar>
            <w:top w:w="0" w:type="dxa"/>
            <w:bottom w:w="0" w:type="dxa"/>
          </w:tblCellMar>
        </w:tblPrEx>
        <w:trPr>
          <w:jc w:val="center"/>
        </w:trPr>
        <w:tc>
          <w:tcPr>
            <w:tcW w:w="3028" w:type="dxa"/>
          </w:tcPr>
          <w:p w:rsidR="00000000" w:rsidRDefault="00000000">
            <w:pPr>
              <w:pStyle w:val="Footer"/>
              <w:tabs>
                <w:tab w:val="clear" w:pos="4677"/>
                <w:tab w:val="clear" w:pos="9355"/>
                <w:tab w:val="left" w:pos="680"/>
                <w:tab w:val="left" w:pos="1134"/>
              </w:tabs>
              <w:jc w:val="both"/>
            </w:pPr>
            <w:r>
              <w:t>Всего</w:t>
            </w:r>
          </w:p>
        </w:tc>
        <w:tc>
          <w:tcPr>
            <w:tcW w:w="946" w:type="dxa"/>
          </w:tcPr>
          <w:p w:rsidR="00000000" w:rsidRDefault="00000000">
            <w:pPr>
              <w:pStyle w:val="Footer"/>
              <w:tabs>
                <w:tab w:val="clear" w:pos="4677"/>
                <w:tab w:val="clear" w:pos="9355"/>
                <w:tab w:val="left" w:pos="680"/>
                <w:tab w:val="left" w:pos="1134"/>
              </w:tabs>
              <w:ind w:left="170"/>
              <w:jc w:val="both"/>
            </w:pPr>
            <w:r>
              <w:t>4,2%</w:t>
            </w:r>
          </w:p>
        </w:tc>
        <w:tc>
          <w:tcPr>
            <w:tcW w:w="946" w:type="dxa"/>
          </w:tcPr>
          <w:p w:rsidR="00000000" w:rsidRDefault="00000000">
            <w:pPr>
              <w:pStyle w:val="Footer"/>
              <w:tabs>
                <w:tab w:val="clear" w:pos="4677"/>
                <w:tab w:val="clear" w:pos="9355"/>
                <w:tab w:val="left" w:pos="680"/>
                <w:tab w:val="left" w:pos="1134"/>
              </w:tabs>
              <w:ind w:left="227"/>
              <w:jc w:val="both"/>
            </w:pPr>
            <w:r>
              <w:t>8,4%</w:t>
            </w:r>
          </w:p>
        </w:tc>
        <w:tc>
          <w:tcPr>
            <w:tcW w:w="1109" w:type="dxa"/>
          </w:tcPr>
          <w:p w:rsidR="00000000" w:rsidRDefault="00000000">
            <w:pPr>
              <w:pStyle w:val="Footer"/>
              <w:tabs>
                <w:tab w:val="clear" w:pos="4677"/>
                <w:tab w:val="clear" w:pos="9355"/>
                <w:tab w:val="left" w:pos="680"/>
                <w:tab w:val="left" w:pos="1134"/>
              </w:tabs>
              <w:ind w:left="227"/>
              <w:jc w:val="both"/>
            </w:pPr>
            <w:r>
              <w:t>15,4%</w:t>
            </w:r>
          </w:p>
        </w:tc>
        <w:tc>
          <w:tcPr>
            <w:tcW w:w="1109" w:type="dxa"/>
          </w:tcPr>
          <w:p w:rsidR="00000000" w:rsidRDefault="00000000">
            <w:pPr>
              <w:pStyle w:val="Footer"/>
              <w:tabs>
                <w:tab w:val="clear" w:pos="4677"/>
                <w:tab w:val="clear" w:pos="9355"/>
                <w:tab w:val="left" w:pos="680"/>
                <w:tab w:val="left" w:pos="1134"/>
              </w:tabs>
              <w:ind w:left="227"/>
              <w:jc w:val="both"/>
            </w:pPr>
            <w:r>
              <w:t>17,4%</w:t>
            </w:r>
          </w:p>
        </w:tc>
        <w:tc>
          <w:tcPr>
            <w:tcW w:w="1109" w:type="dxa"/>
          </w:tcPr>
          <w:p w:rsidR="00000000" w:rsidRDefault="00000000">
            <w:pPr>
              <w:pStyle w:val="Footer"/>
              <w:tabs>
                <w:tab w:val="clear" w:pos="4677"/>
                <w:tab w:val="clear" w:pos="9355"/>
                <w:tab w:val="left" w:pos="680"/>
                <w:tab w:val="left" w:pos="1134"/>
              </w:tabs>
              <w:ind w:left="227"/>
              <w:jc w:val="both"/>
            </w:pPr>
            <w:r>
              <w:t>19,3%</w:t>
            </w:r>
          </w:p>
        </w:tc>
        <w:tc>
          <w:tcPr>
            <w:tcW w:w="1109" w:type="dxa"/>
          </w:tcPr>
          <w:p w:rsidR="00000000" w:rsidRDefault="00000000">
            <w:pPr>
              <w:pStyle w:val="Footer"/>
              <w:tabs>
                <w:tab w:val="clear" w:pos="4677"/>
                <w:tab w:val="clear" w:pos="9355"/>
                <w:tab w:val="left" w:pos="680"/>
                <w:tab w:val="left" w:pos="1134"/>
              </w:tabs>
              <w:ind w:left="227"/>
              <w:jc w:val="both"/>
            </w:pPr>
            <w:r>
              <w:t>22,0%</w:t>
            </w:r>
          </w:p>
        </w:tc>
      </w:tr>
    </w:tbl>
    <w:p w:rsidR="00000000" w:rsidRDefault="00000000">
      <w:pPr>
        <w:pStyle w:val="BodyText2"/>
        <w:tabs>
          <w:tab w:val="left" w:pos="680"/>
          <w:tab w:val="left" w:pos="1134"/>
        </w:tabs>
        <w:spacing w:before="240"/>
        <w:jc w:val="both"/>
        <w:rPr>
          <w:b w:val="0"/>
          <w:sz w:val="22"/>
        </w:rPr>
      </w:pPr>
      <w:r>
        <w:rPr>
          <w:b w:val="0"/>
          <w:sz w:val="22"/>
        </w:rPr>
        <w:t>Факторы, которые способствуют распространению ВИЧ-инфекции в Намибии, включают, среди прочего, следующее: культурные традиции, осуждающие секс, стремление сдерживать женскую сексуальность и социально-экономические факторы. Что касается первых факторов, культурные традиции допускают беспорядочные половые связи для мужчин, считая это частью их мужской природы, тогда как для женщин это табу и может привести к их суровому осуждению со стороны общества. Неравенство в социально-экономической сфере также способствует неравенству в отношениях между мужчинами и женщинами, даже в рамках брака.</w:t>
      </w:r>
    </w:p>
    <w:p w:rsidR="00000000" w:rsidRDefault="00000000">
      <w:pPr>
        <w:pStyle w:val="BodyText2"/>
        <w:tabs>
          <w:tab w:val="left" w:pos="680"/>
          <w:tab w:val="left" w:pos="1134"/>
        </w:tabs>
        <w:spacing w:before="240"/>
        <w:jc w:val="both"/>
        <w:rPr>
          <w:b w:val="0"/>
          <w:sz w:val="22"/>
        </w:rPr>
      </w:pPr>
      <w:r>
        <w:rPr>
          <w:b w:val="0"/>
          <w:sz w:val="22"/>
        </w:rPr>
        <w:t>Другими факторами, способствующими распространению ВИЧ/СПИДа, являются ранние браки, неграмотность среди женщин, неспособность женщин контролировать свою фертильность, беременность в подростковом возрасте, злоупотребление алкоголем и наркотиками и т. д.</w:t>
      </w:r>
      <w:r>
        <w:rPr>
          <w:rStyle w:val="FootnoteReference"/>
          <w:b w:val="0"/>
          <w:sz w:val="22"/>
        </w:rPr>
        <w:footnoteReference w:customMarkFollows="1" w:id="83"/>
        <w:t>82</w:t>
      </w:r>
    </w:p>
    <w:p w:rsidR="00000000" w:rsidRDefault="00000000">
      <w:pPr>
        <w:pStyle w:val="BodyText2"/>
        <w:tabs>
          <w:tab w:val="left" w:pos="680"/>
          <w:tab w:val="left" w:pos="1134"/>
        </w:tabs>
        <w:spacing w:before="240"/>
        <w:jc w:val="both"/>
        <w:rPr>
          <w:b w:val="0"/>
          <w:sz w:val="22"/>
        </w:rPr>
      </w:pPr>
      <w:r>
        <w:rPr>
          <w:b w:val="0"/>
          <w:sz w:val="22"/>
        </w:rPr>
        <w:t>Судя по последним статистическим данным, растет число случаев ВИЧ-инфицирования и случаев смерти из-за СПИДа в экономически активной группе населения, то есть в возрасте 15–49 лет. ВИЧ/СПИД продолжает отрицательно сказываться как на системе образования, так и на развитии людских ресурсов в Намибии.</w:t>
      </w:r>
    </w:p>
    <w:p w:rsidR="00000000" w:rsidRDefault="00000000">
      <w:pPr>
        <w:pStyle w:val="BodyText2"/>
        <w:tabs>
          <w:tab w:val="left" w:pos="680"/>
          <w:tab w:val="left" w:pos="1134"/>
        </w:tabs>
        <w:spacing w:before="240"/>
        <w:jc w:val="both"/>
        <w:rPr>
          <w:b w:val="0"/>
          <w:sz w:val="22"/>
        </w:rPr>
      </w:pPr>
      <w:r>
        <w:rPr>
          <w:b w:val="0"/>
          <w:sz w:val="22"/>
        </w:rPr>
        <w:t>Растет осознание важной роли, которую играет сектор образования в профилактике ВИЧ-инфекции, в оказании помощи инфицированным и затронутым людям и продолжении оказания услуг, несмотря на распространение СПИДа. Если ранее этот сектор выступал в роли партнера других организаций в деятельности по профилактике ВИЧ, то теперь его роль становится шире.</w:t>
      </w:r>
    </w:p>
    <w:p w:rsidR="00000000" w:rsidRDefault="00000000">
      <w:pPr>
        <w:pStyle w:val="BodyText2"/>
        <w:tabs>
          <w:tab w:val="left" w:pos="680"/>
          <w:tab w:val="left" w:pos="1134"/>
        </w:tabs>
        <w:spacing w:before="240"/>
        <w:jc w:val="both"/>
        <w:rPr>
          <w:b w:val="0"/>
          <w:sz w:val="22"/>
        </w:rPr>
      </w:pPr>
      <w:r>
        <w:rPr>
          <w:b w:val="0"/>
          <w:sz w:val="22"/>
        </w:rPr>
        <w:t>Министерство базового образования, спорта и культуры (</w:t>
      </w:r>
      <w:r>
        <w:rPr>
          <w:b w:val="0"/>
          <w:sz w:val="22"/>
          <w:lang w:val="en-US"/>
        </w:rPr>
        <w:t>MBESC</w:t>
      </w:r>
      <w:r>
        <w:rPr>
          <w:b w:val="0"/>
          <w:sz w:val="22"/>
        </w:rPr>
        <w:t>) и Министерство высшего образования, профессиональной подготовки и создания рабочих мест (MHETEC) разработали в 2001</w:t>
      </w:r>
      <w:r>
        <w:rPr>
          <w:b w:val="0"/>
          <w:sz w:val="22"/>
          <w:lang w:val="en-US"/>
        </w:rPr>
        <w:t> </w:t>
      </w:r>
      <w:r>
        <w:rPr>
          <w:b w:val="0"/>
          <w:sz w:val="22"/>
        </w:rPr>
        <w:t>году экспериментальный стратегический и оперативный план по ВИЧ/СПИДу, и его осуществление уже началось. В плане изложены способы совершенствования и реализации стратегии в определенных областях, которые согласуются (но выходя за их рамки) с целями этого сектора, представленными в национальном стратегическом плане по ВИЧ/СПИДу на 1999–2004 годы. Хотя профилактика занимает в плане центральное место, он также охватывает аспекты ухода, поддержки и снижения последствий как для работающих, так и для учащихся.</w:t>
      </w:r>
    </w:p>
    <w:p w:rsidR="00000000" w:rsidRDefault="00000000">
      <w:pPr>
        <w:pStyle w:val="BodyText2"/>
        <w:tabs>
          <w:tab w:val="left" w:pos="680"/>
          <w:tab w:val="left" w:pos="1134"/>
        </w:tabs>
        <w:spacing w:before="240"/>
        <w:jc w:val="both"/>
        <w:rPr>
          <w:b w:val="0"/>
          <w:sz w:val="22"/>
        </w:rPr>
      </w:pPr>
      <w:r>
        <w:rPr>
          <w:b w:val="0"/>
          <w:sz w:val="22"/>
        </w:rPr>
        <w:t xml:space="preserve">Охватить молодых людей можно достаточно легко с помощью программ информирования о </w:t>
      </w:r>
      <w:r>
        <w:rPr>
          <w:b w:val="0"/>
          <w:sz w:val="22"/>
        </w:rPr>
        <w:br/>
        <w:t xml:space="preserve">ВИЧ/СПИДе, его профилактики, лечения и укрепления здоровья, осуществляемых в учебных заведениях. Признавая это, </w:t>
      </w:r>
      <w:r>
        <w:rPr>
          <w:b w:val="0"/>
          <w:sz w:val="22"/>
          <w:lang w:val="en-US"/>
        </w:rPr>
        <w:t>MBESC</w:t>
      </w:r>
      <w:r>
        <w:rPr>
          <w:b w:val="0"/>
          <w:sz w:val="22"/>
        </w:rPr>
        <w:t xml:space="preserve"> и MHETEC приняли в январе 2003 года национальную политику в области ВИЧ/СПИДа для сектора образования.</w:t>
      </w:r>
    </w:p>
    <w:p w:rsidR="00000000" w:rsidRDefault="00000000">
      <w:pPr>
        <w:pStyle w:val="BodyText2"/>
        <w:tabs>
          <w:tab w:val="left" w:pos="680"/>
          <w:tab w:val="left" w:pos="1134"/>
        </w:tabs>
        <w:spacing w:before="240"/>
        <w:jc w:val="both"/>
        <w:rPr>
          <w:b w:val="0"/>
          <w:sz w:val="22"/>
        </w:rPr>
      </w:pPr>
      <w:r>
        <w:rPr>
          <w:b w:val="0"/>
          <w:sz w:val="22"/>
        </w:rPr>
        <w:t>В вышеупомянутой политике министерства признают важность эффективного решения проблем осуждения и дискриминации, связанных с ВИЧ/СПИДом, и необходимость содействия формированию реакции общества на ВИЧ/СПИД, основанной на уважении прав человека.</w:t>
      </w:r>
    </w:p>
    <w:p w:rsidR="00000000" w:rsidRDefault="00000000">
      <w:pPr>
        <w:pStyle w:val="BodyText2"/>
        <w:tabs>
          <w:tab w:val="left" w:pos="680"/>
          <w:tab w:val="left" w:pos="1134"/>
        </w:tabs>
        <w:spacing w:before="240"/>
        <w:jc w:val="both"/>
        <w:rPr>
          <w:b w:val="0"/>
          <w:sz w:val="22"/>
        </w:rPr>
      </w:pPr>
      <w:r>
        <w:rPr>
          <w:b w:val="0"/>
          <w:sz w:val="22"/>
        </w:rPr>
        <w:t>В 2001 году Министерство здравоохранения и социального обеспечения ввело национальную программу по профилактике в Намибии передачи ВИЧ-инфекции от матери к ребенку с использованием антиретровирусных препаратов.</w:t>
      </w:r>
    </w:p>
    <w:p w:rsidR="00000000" w:rsidRDefault="00000000">
      <w:pPr>
        <w:pStyle w:val="BodyText2"/>
        <w:tabs>
          <w:tab w:val="left" w:pos="680"/>
          <w:tab w:val="left" w:pos="1134"/>
        </w:tabs>
        <w:spacing w:before="240"/>
        <w:jc w:val="both"/>
        <w:rPr>
          <w:b w:val="0"/>
          <w:sz w:val="22"/>
        </w:rPr>
      </w:pPr>
      <w:r>
        <w:rPr>
          <w:b w:val="0"/>
          <w:sz w:val="22"/>
        </w:rPr>
        <w:t>Были поставлены следующие конкретные задачи:</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Wingdings" w:char="F0A7"/>
      </w:r>
      <w:r>
        <w:rPr>
          <w:b w:val="0"/>
          <w:sz w:val="22"/>
        </w:rPr>
        <w:tab/>
        <w:t xml:space="preserve">Приступить к реализации в Намибии программы профилактики передачи </w:t>
      </w:r>
      <w:r>
        <w:rPr>
          <w:b w:val="0"/>
          <w:sz w:val="22"/>
        </w:rPr>
        <w:br/>
        <w:t>ВИЧ-инфекции от матери к ребенку с использованием невирапина.</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Wingdings" w:char="F0A7"/>
      </w:r>
      <w:r>
        <w:rPr>
          <w:b w:val="0"/>
          <w:sz w:val="22"/>
        </w:rPr>
        <w:tab/>
        <w:t>Добиться жизнеспособности и устойчивой реализации такой программы в масштабах всей страны.</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Wingdings" w:char="F0A7"/>
      </w:r>
      <w:r>
        <w:rPr>
          <w:b w:val="0"/>
          <w:sz w:val="22"/>
        </w:rPr>
        <w:tab/>
        <w:t>Снизить количество случаев передачи ВИЧ-инфекции от матери к ребенку.</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Wingdings" w:char="F0A7"/>
      </w:r>
      <w:r>
        <w:rPr>
          <w:b w:val="0"/>
          <w:sz w:val="22"/>
        </w:rPr>
        <w:tab/>
        <w:t>Повысить качество жизни и увеличить продолжительность жизни родителей.</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Wingdings" w:char="F0A7"/>
      </w:r>
      <w:r>
        <w:rPr>
          <w:b w:val="0"/>
          <w:sz w:val="22"/>
        </w:rPr>
        <w:tab/>
        <w:t>Улучшить уход за детьми и снизить показатели раннего сиротства.</w:t>
      </w:r>
    </w:p>
    <w:p w:rsidR="00000000" w:rsidRDefault="00000000">
      <w:pPr>
        <w:pStyle w:val="BodyText2"/>
        <w:tabs>
          <w:tab w:val="left" w:pos="680"/>
          <w:tab w:val="left" w:pos="1134"/>
        </w:tabs>
        <w:spacing w:before="240"/>
        <w:jc w:val="both"/>
        <w:rPr>
          <w:b w:val="0"/>
          <w:sz w:val="22"/>
        </w:rPr>
      </w:pPr>
      <w:r>
        <w:rPr>
          <w:b w:val="0"/>
          <w:sz w:val="22"/>
        </w:rPr>
        <w:t>На первом этапе в проекте "Программа борьбы с передачей ВИЧ от матери к ребенку", который осуществлялся в двух больницах – в Виндхуке и Ошакати, участвовали 511 женщин; 200 матерей и их дети получали невирапин, кроме того, участвовать в проекте записался 41 отец, у 21 из которых была положительная реакция на вирус.</w:t>
      </w:r>
    </w:p>
    <w:p w:rsidR="00000000" w:rsidRDefault="00000000">
      <w:pPr>
        <w:pStyle w:val="BodyText2"/>
        <w:tabs>
          <w:tab w:val="left" w:pos="680"/>
          <w:tab w:val="left" w:pos="1134"/>
        </w:tabs>
        <w:spacing w:before="240"/>
        <w:jc w:val="both"/>
        <w:rPr>
          <w:b w:val="0"/>
          <w:sz w:val="22"/>
        </w:rPr>
      </w:pPr>
      <w:r>
        <w:rPr>
          <w:b w:val="0"/>
          <w:sz w:val="22"/>
        </w:rPr>
        <w:t>НПО Намибии, как и во многих других странах, имеют несомненное сравнительное преимущество перед правительством в плане реагирования на некоторые неотложные потребности общества. Помимо принципа коллективного руководства среди сообщества НПО существует глубокое убеждение в необходимости хорошей координации инициатив по развитию. Именно с этой целью 14 августа 1991 года группа прогрессивных, целеустремленных и заинтересованных НПО создала Намибийскую сеть организаций по оказанию услуг больным СПИДом (</w:t>
      </w:r>
      <w:r>
        <w:rPr>
          <w:b w:val="0"/>
          <w:sz w:val="22"/>
          <w:lang w:val="en-US"/>
        </w:rPr>
        <w:t>NANASO</w:t>
      </w:r>
      <w:r>
        <w:rPr>
          <w:b w:val="0"/>
          <w:sz w:val="22"/>
        </w:rPr>
        <w:t>), поставив перед собой следующие задачи:</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Symbol" w:char="F0B7"/>
      </w:r>
      <w:r>
        <w:rPr>
          <w:b w:val="0"/>
          <w:sz w:val="22"/>
        </w:rPr>
        <w:tab/>
        <w:t>способствовать обмену информацией, идеями, опытом и ресурсами в работе, связанной со СПИДом, между НПО на территории Намибии и во всем мире,</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Symbol" w:char="F0B7"/>
      </w:r>
      <w:r>
        <w:rPr>
          <w:b w:val="0"/>
          <w:sz w:val="22"/>
        </w:rPr>
        <w:tab/>
        <w:t>содействовать сотрудничеству в работе, связанной со СПИДом, между НПО и Национальной программой борьбы со СПИДом (</w:t>
      </w:r>
      <w:r>
        <w:rPr>
          <w:b w:val="0"/>
          <w:sz w:val="22"/>
          <w:lang w:val="en-US"/>
        </w:rPr>
        <w:t>NACOP</w:t>
      </w:r>
      <w:r>
        <w:rPr>
          <w:b w:val="0"/>
          <w:sz w:val="22"/>
        </w:rPr>
        <w:t>),</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Symbol" w:char="F0B7"/>
      </w:r>
      <w:r>
        <w:rPr>
          <w:b w:val="0"/>
          <w:sz w:val="22"/>
        </w:rPr>
        <w:tab/>
        <w:t>координировать и усиливать интеграцию общей деятельности, связанной со СПИДом, и функций, взятых на себя НПО и другими организациями в Намибии,</w:t>
      </w:r>
    </w:p>
    <w:p w:rsidR="00000000" w:rsidRDefault="00000000">
      <w:pPr>
        <w:pStyle w:val="BodyText2"/>
        <w:tabs>
          <w:tab w:val="left" w:pos="680"/>
          <w:tab w:val="left" w:pos="1134"/>
        </w:tabs>
        <w:spacing w:before="240"/>
        <w:ind w:left="1134" w:hanging="1134"/>
        <w:jc w:val="both"/>
        <w:rPr>
          <w:b w:val="0"/>
          <w:sz w:val="22"/>
        </w:rPr>
      </w:pPr>
      <w:r>
        <w:rPr>
          <w:b w:val="0"/>
          <w:sz w:val="22"/>
        </w:rPr>
        <w:tab/>
      </w:r>
      <w:r>
        <w:rPr>
          <w:b w:val="0"/>
          <w:sz w:val="22"/>
        </w:rPr>
        <w:sym w:font="Symbol" w:char="F0B7"/>
      </w:r>
      <w:r>
        <w:rPr>
          <w:b w:val="0"/>
          <w:sz w:val="22"/>
        </w:rPr>
        <w:tab/>
        <w:t>добиться выработки намибийскими НПО общей позиции по социальным, политическим и экономическим последствиям ВИЧ/СПИДа в Намибии.</w:t>
      </w:r>
    </w:p>
    <w:p w:rsidR="00000000" w:rsidRDefault="00000000">
      <w:pPr>
        <w:pStyle w:val="BodyText2"/>
        <w:tabs>
          <w:tab w:val="left" w:pos="680"/>
          <w:tab w:val="left" w:pos="1134"/>
        </w:tabs>
        <w:spacing w:before="480"/>
        <w:jc w:val="both"/>
        <w:rPr>
          <w:sz w:val="22"/>
        </w:rPr>
      </w:pPr>
      <w:r>
        <w:rPr>
          <w:sz w:val="22"/>
        </w:rPr>
        <w:t xml:space="preserve">СТАТЬЯ 13: </w:t>
      </w:r>
      <w:r>
        <w:rPr>
          <w:sz w:val="22"/>
        </w:rPr>
        <w:tab/>
        <w:t>Экономическая и социальная жизнь</w:t>
      </w:r>
    </w:p>
    <w:p w:rsidR="00000000" w:rsidRDefault="00000000">
      <w:pPr>
        <w:pStyle w:val="BodyText2"/>
        <w:tabs>
          <w:tab w:val="left" w:pos="680"/>
          <w:tab w:val="left" w:pos="1134"/>
        </w:tabs>
        <w:spacing w:before="240"/>
        <w:jc w:val="both"/>
        <w:rPr>
          <w:sz w:val="22"/>
        </w:rPr>
      </w:pPr>
      <w:r>
        <w:rPr>
          <w:sz w:val="22"/>
        </w:rPr>
        <w:t>13.0</w:t>
      </w:r>
      <w:r>
        <w:rPr>
          <w:sz w:val="22"/>
        </w:rPr>
        <w:tab/>
        <w:t>Семейные пособия</w:t>
      </w:r>
    </w:p>
    <w:p w:rsidR="00000000" w:rsidRDefault="00000000">
      <w:pPr>
        <w:pStyle w:val="BodyText2"/>
        <w:tabs>
          <w:tab w:val="left" w:pos="680"/>
          <w:tab w:val="left" w:pos="1134"/>
        </w:tabs>
        <w:spacing w:before="240"/>
        <w:jc w:val="both"/>
        <w:rPr>
          <w:sz w:val="22"/>
        </w:rPr>
      </w:pPr>
      <w:r>
        <w:rPr>
          <w:sz w:val="22"/>
        </w:rPr>
        <w:t>13.1</w:t>
      </w:r>
      <w:r>
        <w:rPr>
          <w:sz w:val="22"/>
        </w:rPr>
        <w:tab/>
        <w:t>Пенсии по старости</w:t>
      </w:r>
    </w:p>
    <w:p w:rsidR="00000000" w:rsidRDefault="00000000">
      <w:pPr>
        <w:pStyle w:val="BodyText2"/>
        <w:tabs>
          <w:tab w:val="left" w:pos="680"/>
          <w:tab w:val="left" w:pos="1134"/>
        </w:tabs>
        <w:spacing w:before="240"/>
        <w:jc w:val="both"/>
        <w:rPr>
          <w:b w:val="0"/>
          <w:sz w:val="22"/>
        </w:rPr>
      </w:pPr>
      <w:r>
        <w:rPr>
          <w:b w:val="0"/>
          <w:sz w:val="22"/>
        </w:rPr>
        <w:t>Выплачиваемые государством пенсии по старости являются важным источником дохода для бедных домашних хозяйств. В действительности, в некоторых домашних хозяйствах эти пенсии составляют более 50 процентов семейного дохода.</w:t>
      </w:r>
    </w:p>
    <w:p w:rsidR="00000000" w:rsidRDefault="00000000">
      <w:pPr>
        <w:pStyle w:val="BodyText2"/>
        <w:tabs>
          <w:tab w:val="left" w:pos="680"/>
          <w:tab w:val="left" w:pos="1134"/>
        </w:tabs>
        <w:spacing w:before="240"/>
        <w:jc w:val="both"/>
        <w:rPr>
          <w:b w:val="0"/>
          <w:sz w:val="22"/>
        </w:rPr>
      </w:pPr>
      <w:r>
        <w:rPr>
          <w:b w:val="0"/>
          <w:sz w:val="22"/>
        </w:rPr>
        <w:t>До обретения страной независимости уровни пенсий определялись этническими критериями в соответствии с Законом о социальных пенсиях, унаследованным от Южной Африки. Размеры пенсий колебались от высоких, составлявших 382,00 ранда в месяц для белых граждан, до низких – 55,00 рандов для чернокожих в районах Овамбо (как он в то время назывался), Каванго и Каприви</w:t>
      </w:r>
      <w:r>
        <w:rPr>
          <w:rStyle w:val="FootnoteReference"/>
          <w:b w:val="0"/>
          <w:sz w:val="22"/>
        </w:rPr>
        <w:footnoteReference w:customMarkFollows="1" w:id="84"/>
        <w:t>83</w:t>
      </w:r>
      <w:r>
        <w:rPr>
          <w:b w:val="0"/>
          <w:sz w:val="22"/>
        </w:rPr>
        <w:t>. Первоначально была сделана попытка ликвидировать подобный дисбаланс путем сохранения самых высоких пенсий по ставкам, существовавшим до обретения независимости, и постепенно увеличивать более низкие суммы.</w:t>
      </w:r>
    </w:p>
    <w:p w:rsidR="00000000" w:rsidRDefault="00000000">
      <w:pPr>
        <w:pStyle w:val="BodyText2"/>
        <w:tabs>
          <w:tab w:val="left" w:pos="680"/>
          <w:tab w:val="left" w:pos="1134"/>
        </w:tabs>
        <w:spacing w:before="240"/>
        <w:jc w:val="both"/>
        <w:rPr>
          <w:b w:val="0"/>
          <w:sz w:val="22"/>
        </w:rPr>
      </w:pPr>
      <w:r>
        <w:rPr>
          <w:b w:val="0"/>
          <w:sz w:val="22"/>
        </w:rPr>
        <w:t>Однако впоследствии все размеры пенсий были выведены на уровень 120 намибийских долл. в месяц. В течение 2001/02 финансового года эта сумма была увеличена до 250 намибийских долл. в месяц.</w:t>
      </w:r>
    </w:p>
    <w:p w:rsidR="00000000" w:rsidRDefault="00000000">
      <w:pPr>
        <w:pStyle w:val="BodyText2"/>
        <w:tabs>
          <w:tab w:val="left" w:pos="680"/>
          <w:tab w:val="left" w:pos="1134"/>
        </w:tabs>
        <w:spacing w:before="240"/>
        <w:jc w:val="both"/>
        <w:rPr>
          <w:sz w:val="22"/>
        </w:rPr>
      </w:pPr>
      <w:r>
        <w:rPr>
          <w:sz w:val="22"/>
        </w:rPr>
        <w:t>13.2</w:t>
      </w:r>
      <w:r>
        <w:rPr>
          <w:sz w:val="22"/>
        </w:rPr>
        <w:tab/>
        <w:t>Пособия на содержание детей</w:t>
      </w:r>
    </w:p>
    <w:p w:rsidR="00000000" w:rsidRDefault="00000000">
      <w:pPr>
        <w:pStyle w:val="BodyText2"/>
        <w:tabs>
          <w:tab w:val="left" w:pos="680"/>
          <w:tab w:val="left" w:pos="1134"/>
        </w:tabs>
        <w:spacing w:before="240"/>
        <w:jc w:val="both"/>
        <w:rPr>
          <w:b w:val="0"/>
          <w:sz w:val="22"/>
        </w:rPr>
      </w:pPr>
      <w:r>
        <w:rPr>
          <w:b w:val="0"/>
          <w:sz w:val="22"/>
        </w:rPr>
        <w:t>В настоящее время пособия на содержание детей выдаются в соответствии с Законом о детях № 33 от 1960 года. До 1996 года критерии получения пособий все еще определялись расистскими по своему характеру положениями, унаследованными от Южной Африки. Критерии для получения пособий и их размеры были различными для различных "групп населения". Однако после 1996 года с расовыми различиями было покончено, и семейные пособия теперь выдаются в размере 100 намибийских долл. одному из родителей и по 100 намибийских долл. на каждого ребенка в семьях, имеющих от одного до трех детей, в том случае, если один родитель зарабатывает менее 500 намибийских долл., а другой умер, находится в заключении или по какой-либо другой причине не может обеспечивать содержание семьи.</w:t>
      </w:r>
    </w:p>
    <w:p w:rsidR="00000000" w:rsidRDefault="00000000">
      <w:pPr>
        <w:pStyle w:val="BodyText2"/>
        <w:tabs>
          <w:tab w:val="left" w:pos="680"/>
          <w:tab w:val="left" w:pos="1134"/>
        </w:tabs>
        <w:jc w:val="both"/>
        <w:rPr>
          <w:sz w:val="22"/>
        </w:rPr>
      </w:pPr>
      <w:r>
        <w:rPr>
          <w:b w:val="0"/>
          <w:sz w:val="22"/>
        </w:rPr>
        <w:br w:type="page"/>
      </w:r>
      <w:r>
        <w:rPr>
          <w:sz w:val="22"/>
        </w:rPr>
        <w:t>13.3</w:t>
      </w:r>
      <w:r>
        <w:rPr>
          <w:sz w:val="22"/>
        </w:rPr>
        <w:tab/>
        <w:t>Алименты</w:t>
      </w:r>
    </w:p>
    <w:p w:rsidR="00000000" w:rsidRDefault="00000000">
      <w:pPr>
        <w:pStyle w:val="BodyText2"/>
        <w:tabs>
          <w:tab w:val="left" w:pos="680"/>
          <w:tab w:val="left" w:pos="1134"/>
        </w:tabs>
        <w:spacing w:before="240"/>
        <w:jc w:val="both"/>
        <w:rPr>
          <w:b w:val="0"/>
          <w:sz w:val="22"/>
        </w:rPr>
      </w:pPr>
      <w:r>
        <w:rPr>
          <w:b w:val="0"/>
          <w:sz w:val="22"/>
        </w:rPr>
        <w:t>Вскоре после обретения страной независимости вопрос о получении алиментов стал одной из важных требующих решения проблем, поскольку многие женщины начали жаловаться на трудности в получении средств на содержание детей от их отцов и на неэффективную работу судов по алиментам, которые действовали в рамках законодательства, унаследованного от Южной Африки</w:t>
      </w:r>
      <w:r>
        <w:rPr>
          <w:rStyle w:val="FootnoteReference"/>
          <w:b w:val="0"/>
          <w:sz w:val="22"/>
        </w:rPr>
        <w:footnoteReference w:customMarkFollows="1" w:id="85"/>
        <w:t>84</w:t>
      </w:r>
      <w:r>
        <w:rPr>
          <w:b w:val="0"/>
          <w:sz w:val="22"/>
        </w:rPr>
        <w:t>. Центр правовой помощи провел по этому вопросу исследование, и его выводы, включая проект законодательства, были опубликованы в 1995 году и представлены на рассмотрение в подкомитет Комиссии по правовой реформе и развитию. В августе 1996 года подкомитет представил доклад полному составу Комиссии по правовой реформе и развитию. В сентябре 1997 года эта Комиссия опубликовала доклад, основанный на рекомендациях подкомитета, в котором содержались рекомендации по проведению правовой реформы, но не было проекта закона</w:t>
      </w:r>
      <w:r>
        <w:rPr>
          <w:rStyle w:val="FootnoteReference"/>
          <w:b w:val="0"/>
          <w:sz w:val="22"/>
        </w:rPr>
        <w:footnoteReference w:customMarkFollows="1" w:id="86"/>
        <w:t>85</w:t>
      </w:r>
      <w:r>
        <w:rPr>
          <w:b w:val="0"/>
          <w:sz w:val="22"/>
        </w:rPr>
        <w:t>. Позже Закон об алиментах (Закон № 9 от 2003 года) был принят парламентом и подписан президентом страны.</w:t>
      </w:r>
    </w:p>
    <w:p w:rsidR="00000000" w:rsidRDefault="00000000">
      <w:pPr>
        <w:pStyle w:val="BodyText2"/>
        <w:tabs>
          <w:tab w:val="left" w:pos="680"/>
          <w:tab w:val="left" w:pos="1134"/>
        </w:tabs>
        <w:spacing w:before="240"/>
        <w:jc w:val="both"/>
        <w:rPr>
          <w:b w:val="0"/>
          <w:sz w:val="22"/>
        </w:rPr>
      </w:pPr>
      <w:r>
        <w:rPr>
          <w:b w:val="0"/>
          <w:sz w:val="22"/>
        </w:rPr>
        <w:t>Исследование, проведенное ЦПП, показало, что в суды по алиментам обращаются как городские, так и сельские женщины, их волнует вопрос о более эффективных механизмах взыскания алиментов и многие женщины считают традиционные подходы к вопросу о денежном содержании согласно обычному праву неадекватными</w:t>
      </w:r>
      <w:r>
        <w:rPr>
          <w:rStyle w:val="FootnoteReference"/>
          <w:b w:val="0"/>
          <w:sz w:val="22"/>
        </w:rPr>
        <w:footnoteReference w:customMarkFollows="1" w:id="87"/>
        <w:t>86</w:t>
      </w:r>
      <w:r>
        <w:rPr>
          <w:b w:val="0"/>
          <w:sz w:val="22"/>
        </w:rPr>
        <w:t>. Согласно национальному обследованию доходов и расходов домашних хозяйств (</w:t>
      </w:r>
      <w:r>
        <w:rPr>
          <w:b w:val="0"/>
          <w:sz w:val="22"/>
          <w:lang w:val="en-US"/>
        </w:rPr>
        <w:t>NHIES</w:t>
      </w:r>
      <w:r>
        <w:rPr>
          <w:b w:val="0"/>
          <w:sz w:val="22"/>
        </w:rPr>
        <w:t>), проведенному в 1993/94</w:t>
      </w:r>
      <w:r>
        <w:rPr>
          <w:b w:val="0"/>
          <w:sz w:val="22"/>
          <w:lang w:val="en-US"/>
        </w:rPr>
        <w:t> </w:t>
      </w:r>
      <w:r>
        <w:rPr>
          <w:b w:val="0"/>
          <w:sz w:val="22"/>
        </w:rPr>
        <w:t>году, переводы алиментов и пенсий являются важнейшими источниками средств для выживания многих домашних хозяйств, а алименты имеют особое значение для 38 процентов всех домашних хозяйств в Намибии, возглавляемых женщинами, 71 процент которых находятся в сельской местности</w:t>
      </w:r>
      <w:r>
        <w:rPr>
          <w:rStyle w:val="FootnoteReference"/>
          <w:b w:val="0"/>
          <w:sz w:val="22"/>
        </w:rPr>
        <w:footnoteReference w:customMarkFollows="1" w:id="88"/>
        <w:t>87</w:t>
      </w:r>
      <w:r>
        <w:rPr>
          <w:b w:val="0"/>
          <w:sz w:val="22"/>
        </w:rPr>
        <w:t>.</w:t>
      </w:r>
    </w:p>
    <w:p w:rsidR="00000000" w:rsidRDefault="00000000">
      <w:pPr>
        <w:pStyle w:val="BodyText2"/>
        <w:tabs>
          <w:tab w:val="left" w:pos="680"/>
          <w:tab w:val="left" w:pos="1134"/>
        </w:tabs>
        <w:spacing w:before="240"/>
        <w:jc w:val="both"/>
        <w:rPr>
          <w:b w:val="0"/>
          <w:sz w:val="22"/>
        </w:rPr>
      </w:pPr>
      <w:r>
        <w:rPr>
          <w:b w:val="0"/>
          <w:sz w:val="22"/>
        </w:rPr>
        <w:t xml:space="preserve">Согласно намибийскому законодательству дети, рожденные вне брака, не могут получить наследство при отсутствии завещания от своих биологических отцов. Однако Высокий суд Намибии в решении по делу </w:t>
      </w:r>
      <w:r>
        <w:rPr>
          <w:b w:val="0"/>
          <w:i/>
          <w:sz w:val="22"/>
        </w:rPr>
        <w:t xml:space="preserve">Руби Каломо </w:t>
      </w:r>
      <w:r>
        <w:rPr>
          <w:b w:val="0"/>
          <w:sz w:val="22"/>
        </w:rPr>
        <w:t>изменил это положение. Хотя родители Руби Каломо не состояли в браке, отец обращался с ним как со своим родным сыном. Он платил за его обучение в школе и при жизни материально обеспечивал его. К сожалению, его отец умер, не оставив завещания. ЦПП безуспешно обращался к исполнителю завещания с просьбой считать Руби законным наследником имущества. Впоследствии ЦПП обратился в Высокий суд, который принял решение в пользу Руби Каломо.</w:t>
      </w:r>
    </w:p>
    <w:p w:rsidR="00000000" w:rsidRDefault="00000000">
      <w:pPr>
        <w:pStyle w:val="BodyText2"/>
        <w:tabs>
          <w:tab w:val="left" w:pos="680"/>
          <w:tab w:val="left" w:pos="1134"/>
        </w:tabs>
        <w:spacing w:before="240"/>
        <w:jc w:val="both"/>
        <w:rPr>
          <w:sz w:val="22"/>
        </w:rPr>
      </w:pPr>
      <w:r>
        <w:rPr>
          <w:sz w:val="22"/>
        </w:rPr>
        <w:t>13.4</w:t>
      </w:r>
      <w:r>
        <w:rPr>
          <w:sz w:val="22"/>
        </w:rPr>
        <w:tab/>
        <w:t>Финансовый кредит</w:t>
      </w:r>
    </w:p>
    <w:p w:rsidR="00000000" w:rsidRDefault="00000000">
      <w:pPr>
        <w:pStyle w:val="BodyText2"/>
        <w:tabs>
          <w:tab w:val="left" w:pos="680"/>
          <w:tab w:val="left" w:pos="1134"/>
        </w:tabs>
        <w:spacing w:before="240"/>
        <w:jc w:val="both"/>
        <w:rPr>
          <w:b w:val="0"/>
          <w:sz w:val="22"/>
        </w:rPr>
      </w:pPr>
      <w:r>
        <w:rPr>
          <w:b w:val="0"/>
          <w:sz w:val="22"/>
        </w:rPr>
        <w:t>Необходимость расширения прав и возможностей женщин в сфере экономики для уменьшения их зависимости трудно переоценить. С этой целью правительство в сотрудничестве с другими заинтересованными сторонами предоставляет техническую и финансовую помощь отдельным лицам и/или группам, которые обеспечивают профессиональную подготовку, определение на работу, профессиональную ориентацию и т. д. Правительство также помогает женщинам получить и упрощает доступ к источникам кредитования, выгодным рынкам и услугам, которые могут дать им возможность стать предпринимательницами.</w:t>
      </w:r>
    </w:p>
    <w:p w:rsidR="00000000" w:rsidRDefault="00000000">
      <w:pPr>
        <w:pStyle w:val="BodyText2"/>
        <w:tabs>
          <w:tab w:val="left" w:pos="680"/>
          <w:tab w:val="left" w:pos="1134"/>
        </w:tabs>
        <w:spacing w:before="240"/>
        <w:jc w:val="both"/>
        <w:rPr>
          <w:b w:val="0"/>
          <w:sz w:val="22"/>
        </w:rPr>
      </w:pPr>
      <w:r>
        <w:rPr>
          <w:b w:val="0"/>
          <w:sz w:val="22"/>
        </w:rPr>
        <w:t>Со стороны коммерческих финансовых учреждений дискриминация в отношении женщин отсутствует; со всеми клиентами обращаются одинаково. Возник ряд НПО, ориентированных конкретно на женщин как получателей услуг. В этом плане можно упомянуть Ассоциацию женщин-предпринимательниц.</w:t>
      </w:r>
    </w:p>
    <w:p w:rsidR="00000000" w:rsidRDefault="00000000">
      <w:pPr>
        <w:pStyle w:val="BodyText2"/>
        <w:tabs>
          <w:tab w:val="left" w:pos="680"/>
          <w:tab w:val="left" w:pos="1134"/>
        </w:tabs>
        <w:spacing w:before="240"/>
        <w:jc w:val="both"/>
        <w:rPr>
          <w:b w:val="0"/>
          <w:sz w:val="22"/>
        </w:rPr>
      </w:pPr>
      <w:r>
        <w:rPr>
          <w:b w:val="0"/>
          <w:sz w:val="22"/>
        </w:rPr>
        <w:t>Ассоциация женщин-предпринимательниц стремится расширить возможности женщин,  содействуя развитию малых предприятий. В организации состоят примерно 2500 женщин, платящих членские взносы. Ассоциация организует обучение основам управления коммерческим предприятием и предоставляет кредиты женщинам, занимающимся малым бизнесом.</w:t>
      </w:r>
    </w:p>
    <w:p w:rsidR="00000000" w:rsidRDefault="00000000">
      <w:pPr>
        <w:pStyle w:val="BodyText2"/>
        <w:tabs>
          <w:tab w:val="left" w:pos="680"/>
          <w:tab w:val="left" w:pos="1134"/>
        </w:tabs>
        <w:spacing w:before="240"/>
        <w:jc w:val="both"/>
        <w:rPr>
          <w:b w:val="0"/>
          <w:sz w:val="22"/>
        </w:rPr>
      </w:pPr>
      <w:r>
        <w:rPr>
          <w:b w:val="0"/>
          <w:sz w:val="22"/>
        </w:rPr>
        <w:t>Министерство по делам женщин и охране детства оказывает поддержку проектам, осуществляемым женщинами в разных районах страны, предоставляя им средства для создания нового предприятия и обеспечивая обучение по вопросам управления коммерческим предприятием, и ставит своей целью расширение выхода малых предприятий на новые рынки и освоение новых методов производства. Министерство также финансирует посещение женщинами торговых ярмарок как в Намибии, так и за рубежом.</w:t>
      </w:r>
    </w:p>
    <w:p w:rsidR="00000000" w:rsidRDefault="00000000">
      <w:pPr>
        <w:pStyle w:val="BodyText2"/>
        <w:tabs>
          <w:tab w:val="left" w:pos="680"/>
          <w:tab w:val="left" w:pos="1134"/>
        </w:tabs>
        <w:spacing w:before="240"/>
        <w:jc w:val="both"/>
        <w:rPr>
          <w:sz w:val="22"/>
        </w:rPr>
      </w:pPr>
      <w:r>
        <w:rPr>
          <w:sz w:val="22"/>
        </w:rPr>
        <w:t>13.5</w:t>
      </w:r>
      <w:r>
        <w:rPr>
          <w:sz w:val="22"/>
        </w:rPr>
        <w:tab/>
        <w:t>Спорт</w:t>
      </w:r>
    </w:p>
    <w:p w:rsidR="00000000" w:rsidRDefault="00000000">
      <w:pPr>
        <w:pStyle w:val="BodyText2"/>
        <w:tabs>
          <w:tab w:val="left" w:pos="680"/>
          <w:tab w:val="left" w:pos="1134"/>
        </w:tabs>
        <w:spacing w:before="240"/>
        <w:jc w:val="both"/>
        <w:rPr>
          <w:b w:val="0"/>
          <w:sz w:val="22"/>
        </w:rPr>
      </w:pPr>
      <w:r>
        <w:rPr>
          <w:b w:val="0"/>
          <w:sz w:val="22"/>
        </w:rPr>
        <w:t>В 2003/2004 году в Национальный совет Намибии по спорту входили 10 мужчин и только одна женщина, причем большинство остальных официальных должностей занимали мужчины. Как сообщалось ранее, в других спортивных организациях Намибии, таких как Намибийский союз школьных видов спорта, Футбольная ассоциация Намибии и других организациях, занимающихся отдельными видами спорта, мужчины доминируют в еще большей степени, за исключением Всенамибийской ассоциации нетбола, где основную роль играют женщины.</w:t>
      </w:r>
    </w:p>
    <w:p w:rsidR="00000000" w:rsidRDefault="00000000">
      <w:pPr>
        <w:pStyle w:val="BodyText2"/>
        <w:tabs>
          <w:tab w:val="left" w:pos="680"/>
          <w:tab w:val="left" w:pos="1134"/>
        </w:tabs>
        <w:spacing w:before="480"/>
        <w:jc w:val="both"/>
        <w:rPr>
          <w:sz w:val="22"/>
        </w:rPr>
      </w:pPr>
      <w:r>
        <w:rPr>
          <w:sz w:val="22"/>
        </w:rPr>
        <w:t>СТАТЬЯ 14:</w:t>
      </w:r>
      <w:r>
        <w:rPr>
          <w:sz w:val="22"/>
        </w:rPr>
        <w:tab/>
        <w:t>Сельские женщины</w:t>
      </w:r>
    </w:p>
    <w:p w:rsidR="00000000" w:rsidRDefault="00000000">
      <w:pPr>
        <w:pStyle w:val="BodyText2"/>
        <w:tabs>
          <w:tab w:val="left" w:pos="680"/>
          <w:tab w:val="left" w:pos="1134"/>
        </w:tabs>
        <w:spacing w:before="240"/>
        <w:jc w:val="both"/>
        <w:rPr>
          <w:sz w:val="22"/>
        </w:rPr>
      </w:pPr>
      <w:r>
        <w:rPr>
          <w:sz w:val="22"/>
        </w:rPr>
        <w:t>14.1</w:t>
      </w:r>
      <w:r>
        <w:rPr>
          <w:sz w:val="22"/>
        </w:rPr>
        <w:tab/>
        <w:t>Положение сельских женщин</w:t>
      </w:r>
    </w:p>
    <w:p w:rsidR="00000000" w:rsidRDefault="00000000">
      <w:pPr>
        <w:pStyle w:val="BodyText2"/>
        <w:tabs>
          <w:tab w:val="left" w:pos="680"/>
          <w:tab w:val="left" w:pos="1134"/>
        </w:tabs>
        <w:spacing w:before="240"/>
        <w:jc w:val="both"/>
        <w:rPr>
          <w:b w:val="0"/>
          <w:sz w:val="22"/>
        </w:rPr>
      </w:pPr>
      <w:r>
        <w:rPr>
          <w:b w:val="0"/>
          <w:sz w:val="22"/>
        </w:rPr>
        <w:t>Несмотря на значительное число сельских женщин в Намибии, их права существенно ущемлены в том, что касается доступа к получению земли, рабочих мест, услуг и кредитов в области сельского хозяйства, природным ресурсам и занятости. Сельские женщины также практически не представлены в структурах, связанных с принятием решений.</w:t>
      </w:r>
    </w:p>
    <w:p w:rsidR="00000000" w:rsidRDefault="00000000">
      <w:pPr>
        <w:pStyle w:val="BodyText2"/>
        <w:tabs>
          <w:tab w:val="left" w:pos="680"/>
          <w:tab w:val="left" w:pos="1134"/>
        </w:tabs>
        <w:spacing w:before="240"/>
        <w:jc w:val="both"/>
        <w:rPr>
          <w:b w:val="0"/>
          <w:sz w:val="22"/>
        </w:rPr>
      </w:pPr>
      <w:r>
        <w:rPr>
          <w:b w:val="0"/>
          <w:sz w:val="22"/>
        </w:rPr>
        <w:t>В Намибии действуют 13 районных советов, которые в основном отвечают за распределение ресурсов, и участие женщин в этих советах чрезвычайно низкое. Только 2 из 13 районных губернаторов – женщины, и только 2 женщины представлены в Национальном совете, состоящем из 26 членов.</w:t>
      </w:r>
    </w:p>
    <w:p w:rsidR="00000000" w:rsidRDefault="00000000">
      <w:pPr>
        <w:pStyle w:val="BodyText2"/>
        <w:tabs>
          <w:tab w:val="left" w:pos="680"/>
          <w:tab w:val="left" w:pos="1134"/>
        </w:tabs>
        <w:spacing w:before="240"/>
        <w:ind w:left="680" w:hanging="680"/>
        <w:jc w:val="both"/>
        <w:rPr>
          <w:sz w:val="22"/>
        </w:rPr>
      </w:pPr>
      <w:r>
        <w:rPr>
          <w:sz w:val="22"/>
        </w:rPr>
        <w:t>14.2</w:t>
      </w:r>
      <w:r>
        <w:rPr>
          <w:sz w:val="22"/>
        </w:rPr>
        <w:tab/>
        <w:t>Правительственная политика в отношении сельского хозяйства и развития сельских районов</w:t>
      </w:r>
    </w:p>
    <w:p w:rsidR="00000000" w:rsidRDefault="00000000">
      <w:pPr>
        <w:pStyle w:val="BodyText2"/>
        <w:tabs>
          <w:tab w:val="left" w:pos="680"/>
          <w:tab w:val="left" w:pos="1134"/>
        </w:tabs>
        <w:spacing w:before="240"/>
        <w:jc w:val="both"/>
        <w:rPr>
          <w:b w:val="0"/>
          <w:sz w:val="22"/>
        </w:rPr>
      </w:pPr>
      <w:r>
        <w:rPr>
          <w:b w:val="0"/>
          <w:sz w:val="22"/>
        </w:rPr>
        <w:t>Министерство сельского хозяйства, водных ресурсов и развития сельских районов в октябре 1995 года приняло национальную политику в области сельского хозяйства. В ней подчеркивается необходимость обеспечения участия женщин в развитии сельского хозяйства и указывается, что женщины должны быть признаны фермерами в своем праве.</w:t>
      </w:r>
    </w:p>
    <w:p w:rsidR="00000000" w:rsidRDefault="00000000">
      <w:pPr>
        <w:pStyle w:val="BodyText2"/>
        <w:tabs>
          <w:tab w:val="left" w:pos="680"/>
          <w:tab w:val="left" w:pos="1134"/>
        </w:tabs>
        <w:spacing w:before="240"/>
        <w:jc w:val="both"/>
        <w:rPr>
          <w:b w:val="0"/>
          <w:sz w:val="22"/>
        </w:rPr>
      </w:pPr>
      <w:r>
        <w:rPr>
          <w:b w:val="0"/>
          <w:sz w:val="22"/>
        </w:rPr>
        <w:t>Согласно этой политике женщины по-прежнему имеют ничтожно малый доступ к ресурсам домашних хозяйств и контроль за ними. В ней говорится, что правительство обеспечит, чтобы интересы этой уязвимой группы населения учитывались при осуществлении стратегии, обеспечивающей основные потребности всех намибийцев</w:t>
      </w:r>
      <w:r>
        <w:rPr>
          <w:rStyle w:val="FootnoteReference"/>
          <w:b w:val="0"/>
          <w:sz w:val="22"/>
        </w:rPr>
        <w:footnoteReference w:customMarkFollows="1" w:id="89"/>
        <w:t>88</w:t>
      </w:r>
      <w:r>
        <w:rPr>
          <w:b w:val="0"/>
          <w:sz w:val="22"/>
        </w:rPr>
        <w:t>.</w:t>
      </w:r>
    </w:p>
    <w:p w:rsidR="00000000" w:rsidRDefault="00000000">
      <w:pPr>
        <w:pStyle w:val="BodyText2"/>
        <w:tabs>
          <w:tab w:val="left" w:pos="680"/>
          <w:tab w:val="left" w:pos="1134"/>
        </w:tabs>
        <w:spacing w:before="240"/>
        <w:jc w:val="both"/>
        <w:rPr>
          <w:b w:val="0"/>
          <w:sz w:val="22"/>
        </w:rPr>
      </w:pPr>
      <w:r>
        <w:rPr>
          <w:b w:val="0"/>
          <w:sz w:val="22"/>
        </w:rPr>
        <w:t>В политике указывается, что необходимо вновь сделать акцент на роли женщин в развитии сельского хозяйства и обеспечить их участие в сельскохозяйственных организациях. И что более важно, в ней также говорится, что потребуется изменить господствующие социокультурные нормы, касающиеся женщин, и подчеркивается необходимость оказания помощи женщинам в преодолении препятствий, ограничивающих их участие в усилиях по развитию, которые связаны с отсутствием умений и навыков и недостаточным доступом к услугам и финансированию.</w:t>
      </w:r>
    </w:p>
    <w:p w:rsidR="00000000" w:rsidRDefault="00000000">
      <w:pPr>
        <w:pStyle w:val="BodyText2"/>
        <w:tabs>
          <w:tab w:val="left" w:pos="680"/>
          <w:tab w:val="left" w:pos="1134"/>
        </w:tabs>
        <w:spacing w:before="240"/>
        <w:jc w:val="both"/>
        <w:rPr>
          <w:sz w:val="22"/>
        </w:rPr>
      </w:pPr>
      <w:r>
        <w:rPr>
          <w:sz w:val="22"/>
        </w:rPr>
        <w:t>14.3</w:t>
      </w:r>
      <w:r>
        <w:rPr>
          <w:sz w:val="22"/>
        </w:rPr>
        <w:tab/>
        <w:t>Программы по обеспечению улучшения положения сельских женщин</w:t>
      </w:r>
    </w:p>
    <w:p w:rsidR="00000000" w:rsidRDefault="00000000">
      <w:pPr>
        <w:pStyle w:val="BodyText2"/>
        <w:tabs>
          <w:tab w:val="left" w:pos="680"/>
          <w:tab w:val="left" w:pos="1134"/>
        </w:tabs>
        <w:spacing w:before="240"/>
        <w:jc w:val="both"/>
        <w:rPr>
          <w:b w:val="0"/>
          <w:sz w:val="22"/>
        </w:rPr>
      </w:pPr>
      <w:r>
        <w:rPr>
          <w:b w:val="0"/>
          <w:sz w:val="22"/>
        </w:rPr>
        <w:t>Министерство сельского хозяйства, водных ресурсов и развития сельских районов в сотрудничестве с ФАО и рядом НПО приступило к реализации мер, направленных на повышение потенциала развития сельского хозяйства и охвата общинных фермеров. Основной целью программы является создание и расширение служб содействия развитию сельского хозяйства. Эти службы ориентированы на оказание помощи домашним хозяйствам, возглавляемым женщинами, поскольку они составляют большинство в сельской местности. Эта помощь предоставляется в виде информационных/коммуникативных и консультативных услуг с целью изменения некоторых культурных представлений и социальных установок.</w:t>
      </w:r>
    </w:p>
    <w:p w:rsidR="00000000" w:rsidRDefault="00000000">
      <w:pPr>
        <w:pStyle w:val="BodyText2"/>
        <w:tabs>
          <w:tab w:val="left" w:pos="680"/>
          <w:tab w:val="left" w:pos="1134"/>
        </w:tabs>
        <w:spacing w:before="240"/>
        <w:jc w:val="both"/>
        <w:rPr>
          <w:b w:val="0"/>
          <w:sz w:val="22"/>
        </w:rPr>
      </w:pPr>
      <w:r>
        <w:rPr>
          <w:b w:val="0"/>
          <w:sz w:val="22"/>
        </w:rPr>
        <w:t>Министерство сельского хозяйства, водных ресурсов и развития сельских районов провело ряд учебных семинаров-практикумов для повышения информированности должностных лиц, занимающихся вопросами развития, по вопросам гендерного равенства, вооружив их навыками гендерного анализа. Для того чтобы повысить эффективность служб содействия развитию, по всей стране были созданы 12 центров развития сельского хозяйства и сельских районов.</w:t>
      </w:r>
    </w:p>
    <w:p w:rsidR="00000000" w:rsidRDefault="00000000">
      <w:pPr>
        <w:pStyle w:val="BodyText2"/>
        <w:tabs>
          <w:tab w:val="left" w:pos="680"/>
          <w:tab w:val="left" w:pos="1134"/>
        </w:tabs>
        <w:spacing w:before="240"/>
        <w:jc w:val="both"/>
        <w:rPr>
          <w:sz w:val="22"/>
        </w:rPr>
      </w:pPr>
      <w:r>
        <w:rPr>
          <w:sz w:val="22"/>
        </w:rPr>
        <w:t>14.4</w:t>
      </w:r>
      <w:r>
        <w:rPr>
          <w:sz w:val="22"/>
        </w:rPr>
        <w:tab/>
        <w:t>Законы, непосредственно касающиеся сельских женщин</w:t>
      </w:r>
    </w:p>
    <w:p w:rsidR="00000000" w:rsidRDefault="00000000">
      <w:pPr>
        <w:pStyle w:val="BodyText2"/>
        <w:tabs>
          <w:tab w:val="left" w:pos="680"/>
          <w:tab w:val="left" w:pos="1134"/>
        </w:tabs>
        <w:spacing w:before="240"/>
        <w:jc w:val="both"/>
        <w:rPr>
          <w:b w:val="0"/>
          <w:sz w:val="22"/>
        </w:rPr>
      </w:pPr>
      <w:r>
        <w:rPr>
          <w:b w:val="0"/>
          <w:sz w:val="22"/>
        </w:rPr>
        <w:t>Крупным событием для сельских женщин является Закон об общинной земельной реформе (Закон № 5 от 2002 года)</w:t>
      </w:r>
      <w:r>
        <w:rPr>
          <w:rStyle w:val="FootnoteReference"/>
          <w:b w:val="0"/>
          <w:sz w:val="22"/>
        </w:rPr>
        <w:footnoteReference w:customMarkFollows="1" w:id="90"/>
        <w:t>89</w:t>
      </w:r>
      <w:r>
        <w:rPr>
          <w:b w:val="0"/>
          <w:sz w:val="22"/>
        </w:rPr>
        <w:t>. После длившихся несколько лет обсуждений и рассмотрения бесчисленных проектов в 2002 году Закон был принят Национальной ассамблеей.</w:t>
      </w:r>
    </w:p>
    <w:p w:rsidR="00000000" w:rsidRDefault="00000000">
      <w:pPr>
        <w:pStyle w:val="BodyText2"/>
        <w:tabs>
          <w:tab w:val="left" w:pos="680"/>
          <w:tab w:val="left" w:pos="1134"/>
        </w:tabs>
        <w:spacing w:before="240"/>
        <w:jc w:val="both"/>
        <w:rPr>
          <w:b w:val="0"/>
          <w:sz w:val="22"/>
        </w:rPr>
      </w:pPr>
      <w:r>
        <w:rPr>
          <w:b w:val="0"/>
          <w:sz w:val="22"/>
        </w:rPr>
        <w:t>Согласно этому закону мужчины и женщины имеют равные индивидуальные права на владение общинной землей, и они одинаково трактуются и для вдов, и для вдовцов. Новый закон изменит существующую в некоторых областях практику, согласно которой вдова может быть лишена права на владение общинным паем. Следует отметить, что закон, предусматривающий процедуру официального признания традиционных органов власти, требует, чтобы они "содействовали осуществлению позитивных действий среди членов общины", в частности "продвигая женщин на руководящие посты". Хотя в законе не содержится какой-либо конкретный механизм мониторинга или обеспечения его применения, он предоставляет основу для стимулирования большего участия женщин в руководстве в традиционных органах власти.</w:t>
      </w:r>
    </w:p>
    <w:p w:rsidR="00000000" w:rsidRDefault="00000000">
      <w:pPr>
        <w:pStyle w:val="BodyText2"/>
        <w:tabs>
          <w:tab w:val="left" w:pos="680"/>
          <w:tab w:val="left" w:pos="1134"/>
        </w:tabs>
        <w:jc w:val="both"/>
        <w:rPr>
          <w:sz w:val="22"/>
        </w:rPr>
      </w:pPr>
      <w:r>
        <w:rPr>
          <w:b w:val="0"/>
          <w:sz w:val="22"/>
        </w:rPr>
        <w:br w:type="page"/>
      </w:r>
      <w:r>
        <w:rPr>
          <w:sz w:val="22"/>
        </w:rPr>
        <w:t>СТАТЬЯ 15:</w:t>
      </w:r>
      <w:r>
        <w:rPr>
          <w:sz w:val="22"/>
        </w:rPr>
        <w:tab/>
        <w:t>Право- и дееспособность и домициль</w:t>
      </w:r>
    </w:p>
    <w:p w:rsidR="00000000" w:rsidRDefault="00000000">
      <w:pPr>
        <w:pStyle w:val="BodyText2"/>
        <w:tabs>
          <w:tab w:val="left" w:pos="680"/>
          <w:tab w:val="left" w:pos="1134"/>
        </w:tabs>
        <w:spacing w:before="240"/>
        <w:jc w:val="both"/>
        <w:rPr>
          <w:b w:val="0"/>
          <w:sz w:val="22"/>
        </w:rPr>
      </w:pPr>
      <w:r>
        <w:rPr>
          <w:b w:val="0"/>
          <w:sz w:val="22"/>
        </w:rPr>
        <w:t>Конституция Намибии предусматривает, что все равны перед законом и прямо запрещает дискриминацию по признаку пола. С этой целью был принят и Закон о равенстве лиц, состоящих в браке (Закон № 1 от 1998 года).</w:t>
      </w:r>
    </w:p>
    <w:p w:rsidR="00000000" w:rsidRDefault="00000000">
      <w:pPr>
        <w:pStyle w:val="BodyText2"/>
        <w:tabs>
          <w:tab w:val="left" w:pos="680"/>
          <w:tab w:val="left" w:pos="1134"/>
        </w:tabs>
        <w:spacing w:before="240"/>
        <w:jc w:val="both"/>
        <w:rPr>
          <w:sz w:val="22"/>
        </w:rPr>
      </w:pPr>
      <w:r>
        <w:rPr>
          <w:sz w:val="22"/>
        </w:rPr>
        <w:t>15.1</w:t>
      </w:r>
      <w:r>
        <w:rPr>
          <w:sz w:val="22"/>
        </w:rPr>
        <w:tab/>
        <w:t>Браки, заключенные в соответствии с гражданским правом</w:t>
      </w:r>
    </w:p>
    <w:p w:rsidR="00000000" w:rsidRDefault="00000000">
      <w:pPr>
        <w:pStyle w:val="BodyText2"/>
        <w:tabs>
          <w:tab w:val="left" w:pos="680"/>
          <w:tab w:val="left" w:pos="1134"/>
        </w:tabs>
        <w:spacing w:before="240"/>
        <w:jc w:val="both"/>
        <w:rPr>
          <w:b w:val="0"/>
          <w:sz w:val="22"/>
        </w:rPr>
      </w:pPr>
      <w:r>
        <w:rPr>
          <w:b w:val="0"/>
          <w:sz w:val="22"/>
        </w:rPr>
        <w:t>Согласно Закону о равенстве лиц, состоящих в браке, возраст согласия в отношении вступления в брак в соответствии с гражданским правом для обоих полов устанавливается в 18 лет; и мужчины, и женщины равны перед законом. В соответствии с этим Законом положение о супружеских полномочиях мужа как главы семьи отменяется. Законом предусматриваются равные права супругов, заключивших брак в рамках общей собственности, распоряжаться совместным имуществом; принимать на себя долговые обязательства под обеспечение совместным имуществом и управлять совместным имуществом. Законом также предусматривается, что женщины, заключившие брак в рамках общей собственности, имеют равный доступ к банковским кредитам и владению имуществом без согласия партнера.</w:t>
      </w:r>
    </w:p>
    <w:p w:rsidR="00000000" w:rsidRDefault="00000000">
      <w:pPr>
        <w:pStyle w:val="BodyText2"/>
        <w:tabs>
          <w:tab w:val="left" w:pos="680"/>
          <w:tab w:val="left" w:pos="1134"/>
        </w:tabs>
        <w:spacing w:before="240"/>
        <w:jc w:val="both"/>
        <w:rPr>
          <w:b w:val="0"/>
          <w:sz w:val="22"/>
        </w:rPr>
      </w:pPr>
      <w:r>
        <w:rPr>
          <w:b w:val="0"/>
          <w:sz w:val="22"/>
        </w:rPr>
        <w:t>Более того, недвижимое имущество, как, например, общинный дом, должно быть зарегистрировано на имя обоих супругов, и продажу такой собственности должны одобрить обе стороны. Таким же образом закон предусматривает равную опеку над несовершеннолетними детьми от их брака</w:t>
      </w:r>
      <w:r>
        <w:rPr>
          <w:rStyle w:val="FootnoteReference"/>
          <w:b w:val="0"/>
          <w:sz w:val="22"/>
        </w:rPr>
        <w:footnoteReference w:customMarkFollows="1" w:id="91"/>
        <w:t>90</w:t>
      </w:r>
      <w:r>
        <w:rPr>
          <w:b w:val="0"/>
          <w:sz w:val="22"/>
        </w:rPr>
        <w:t>. В этом законе, за исключением предоставления мужьям и женам, состоящим в браке как по гражданскому, так и по обычному праву, равных прав опеки над детьми, родившимися в данном браке, не рассматривается вопрос гендерного неравенства в браке по обычному праву, когда решается вопрос собственности. В настоящее время проводится исследование обычного права, и его результаты помогут усовершенствовать это законодательство.</w:t>
      </w:r>
    </w:p>
    <w:p w:rsidR="00000000" w:rsidRDefault="00000000">
      <w:pPr>
        <w:pStyle w:val="BodyText2"/>
        <w:tabs>
          <w:tab w:val="left" w:pos="680"/>
          <w:tab w:val="left" w:pos="1134"/>
        </w:tabs>
        <w:spacing w:before="240"/>
        <w:jc w:val="both"/>
        <w:rPr>
          <w:sz w:val="22"/>
        </w:rPr>
      </w:pPr>
      <w:r>
        <w:rPr>
          <w:sz w:val="22"/>
        </w:rPr>
        <w:t>15.2</w:t>
      </w:r>
      <w:r>
        <w:rPr>
          <w:sz w:val="22"/>
        </w:rPr>
        <w:tab/>
        <w:t>Браки, заключенные в соответствии с обычным правом</w:t>
      </w:r>
    </w:p>
    <w:p w:rsidR="00000000" w:rsidRDefault="00000000">
      <w:pPr>
        <w:pStyle w:val="BodyText2"/>
        <w:tabs>
          <w:tab w:val="left" w:pos="680"/>
          <w:tab w:val="left" w:pos="1134"/>
        </w:tabs>
        <w:spacing w:before="240"/>
        <w:jc w:val="both"/>
        <w:rPr>
          <w:b w:val="0"/>
          <w:sz w:val="22"/>
        </w:rPr>
      </w:pPr>
      <w:r>
        <w:rPr>
          <w:b w:val="0"/>
          <w:sz w:val="22"/>
        </w:rPr>
        <w:t>Намибийское законодательство не требует регистрации браков, заключенных по обычному праву. Такие браки традиционно рассматриваются как союз между семьями невесты и жениха. Однако Министерство юстиции в настоящее время проводит консультации с традиционными лидерами в районах, чтобы подготовить законопроект о регистрации браков, заключенных по обычному праву.</w:t>
      </w:r>
    </w:p>
    <w:p w:rsidR="00000000" w:rsidRDefault="00000000">
      <w:pPr>
        <w:pStyle w:val="BodyText2"/>
        <w:tabs>
          <w:tab w:val="left" w:pos="680"/>
          <w:tab w:val="left" w:pos="1134"/>
        </w:tabs>
        <w:spacing w:before="240"/>
        <w:jc w:val="both"/>
        <w:rPr>
          <w:sz w:val="22"/>
        </w:rPr>
      </w:pPr>
      <w:r>
        <w:rPr>
          <w:sz w:val="22"/>
        </w:rPr>
        <w:t>Выводы</w:t>
      </w:r>
    </w:p>
    <w:p w:rsidR="00000000" w:rsidRDefault="00000000">
      <w:pPr>
        <w:pStyle w:val="BodyText2"/>
        <w:tabs>
          <w:tab w:val="left" w:pos="680"/>
          <w:tab w:val="left" w:pos="1134"/>
        </w:tabs>
        <w:spacing w:before="240"/>
        <w:jc w:val="both"/>
        <w:rPr>
          <w:b w:val="0"/>
          <w:sz w:val="22"/>
        </w:rPr>
      </w:pPr>
      <w:r>
        <w:rPr>
          <w:b w:val="0"/>
          <w:sz w:val="22"/>
        </w:rPr>
        <w:t>Намибия всего лишь через 13 лет после обретения независимости, имея ограниченные ресурсы, сделала большие успехи на пути к гендерному равенству. С принятием национальной гендерной политики произошли значительные изменения не только в плане правовой реформы, но и на структурном уровне. Но наиболее важным достижением в вопросе гендерного равенства за отчетный период стало повышение статуса Департамента по делам женщин до уровня полноправного Министерства по делам женщин и охране детства. Такое повышение означает не только то, что женщины Намибии теперь имеют представителя на уровне кабинета министров с правом голоса, но и то, что оно будет также служить эффективной платформой для улучшения деятельности, ориентированной на решение гендерных вопросов.</w:t>
      </w:r>
    </w:p>
    <w:p w:rsidR="00000000" w:rsidRDefault="00000000">
      <w:pPr>
        <w:pStyle w:val="BodyText2"/>
        <w:tabs>
          <w:tab w:val="left" w:pos="680"/>
          <w:tab w:val="left" w:pos="1134"/>
        </w:tabs>
        <w:spacing w:before="240"/>
        <w:jc w:val="both"/>
        <w:rPr>
          <w:b w:val="0"/>
          <w:sz w:val="22"/>
        </w:rPr>
      </w:pPr>
      <w:r>
        <w:rPr>
          <w:b w:val="0"/>
          <w:sz w:val="22"/>
        </w:rPr>
        <w:t>Принятие национальной гендерной политики стало еще одной вехой в отчетный период. В этой политике даются направления и излагаются принципы осуществления и координации гендерных вопросов. Хотя осуществление политики в настоящее время сталкивается с небольшими проблемами, есть надежда, что с принятием программы, обеспечивающей учет гендерных факторов, которая находится сейчас в стадии разработки, некоторые препятствия на пути ее полной реализации будут устранены.</w:t>
      </w:r>
    </w:p>
    <w:p w:rsidR="00000000" w:rsidRDefault="00000000">
      <w:pPr>
        <w:pStyle w:val="BodyText2"/>
        <w:tabs>
          <w:tab w:val="left" w:pos="680"/>
          <w:tab w:val="left" w:pos="1134"/>
        </w:tabs>
        <w:spacing w:before="180"/>
        <w:jc w:val="both"/>
        <w:rPr>
          <w:b w:val="0"/>
          <w:sz w:val="22"/>
        </w:rPr>
      </w:pPr>
      <w:r>
        <w:rPr>
          <w:b w:val="0"/>
          <w:sz w:val="22"/>
        </w:rPr>
        <w:t>Что касается правовой реформы, благодаря принятию Закона о позитивных действиях (в области занятости) существенно повысилось представительство женщин в официальных трудовых ресурсах. Все больше женщин занимают теперь руководящие посты во многих организациях. Закон о борьбе с изнасилованием и Закон о насилии в семье относятся к числу мер, принятых правительством с целью борьбы с насилием в отношении женщин.</w:t>
      </w:r>
    </w:p>
    <w:p w:rsidR="00000000" w:rsidRDefault="00000000">
      <w:pPr>
        <w:pStyle w:val="BodyText2"/>
        <w:tabs>
          <w:tab w:val="left" w:pos="680"/>
          <w:tab w:val="left" w:pos="1134"/>
        </w:tabs>
        <w:spacing w:before="180"/>
        <w:jc w:val="both"/>
        <w:rPr>
          <w:b w:val="0"/>
          <w:sz w:val="22"/>
        </w:rPr>
      </w:pPr>
      <w:r>
        <w:rPr>
          <w:b w:val="0"/>
          <w:sz w:val="22"/>
        </w:rPr>
        <w:t>Закон о борьбе с изнасилованием вступил в силу в июне 2000 года. Этот новый закон был встречен с одобрением как один из наиболее прогрессивных примеров законодательства об изнасиловании в мире. В нем содержится нейтральное с гендерной точки зрения определение изнасилования, из которого убрано понятие "согласия", которое в прошлом заставляло жертв изнасилования чувствовать себя так, как будто судят именно их. Он также предусматривает больше защиты от вмешательства в частную жизнь потерпевшего лица и процедуры, предоставляющие жертве изнасилования возможность давать показания в суде через поручителя.</w:t>
      </w:r>
    </w:p>
    <w:p w:rsidR="00000000" w:rsidRDefault="00000000">
      <w:pPr>
        <w:pStyle w:val="BodyText2"/>
        <w:tabs>
          <w:tab w:val="left" w:pos="680"/>
          <w:tab w:val="left" w:pos="1134"/>
        </w:tabs>
        <w:spacing w:before="180"/>
        <w:jc w:val="both"/>
        <w:rPr>
          <w:b w:val="0"/>
          <w:sz w:val="22"/>
        </w:rPr>
      </w:pPr>
      <w:r>
        <w:rPr>
          <w:b w:val="0"/>
          <w:sz w:val="22"/>
        </w:rPr>
        <w:t>Что касается семейного права, с принятием Закона о равенстве лиц, состоящих в браке, была ликвидирована дискриминационная концепция супружеских полномочий римско-голландского права, которая ранее применялась к заключению браков по гражданскому праву. В законе также предусматриваются равные права для супругов, имеющих общую собственность в браке, распоряжаться их совместным имуществом. Главным событием для сельских женщин является принятие Закона о общинной земельной реформе. Согласно этому закону мужчины и женщины имеют равные индивидуальные права на владение общинной землей, и они одинаково трактуются для вдов и вдовцов.</w:t>
      </w:r>
    </w:p>
    <w:p w:rsidR="00000000" w:rsidRDefault="00000000">
      <w:pPr>
        <w:pStyle w:val="BodyText2"/>
        <w:tabs>
          <w:tab w:val="left" w:pos="680"/>
          <w:tab w:val="left" w:pos="1134"/>
        </w:tabs>
        <w:spacing w:before="180"/>
        <w:jc w:val="both"/>
        <w:rPr>
          <w:b w:val="0"/>
          <w:sz w:val="22"/>
        </w:rPr>
      </w:pPr>
      <w:r>
        <w:rPr>
          <w:b w:val="0"/>
          <w:sz w:val="22"/>
        </w:rPr>
        <w:t>Однако все еще существуют проблемы, вызывающие обеспокоенность Комитета, которым до сих пор не уделялось должного внимания. Мы имеем в виду рекомендованную интенсивную программу отказа от полигамии и регистрацию браков, заключенных в соответствии с обычным правом. Хотя общеизвестно, что число полигамных браков снижается, полигамия все еще практикуется, особенно в сельских районах. В отношении регистрации браков, заключенных в соответствии с обычным правом, Министерство юстиции проводит в настоящее время консультации с традиционными лидерами в районах, чтобы подготовить законопроект о регистрации браков, заключенных в соответствии с обычным правом.</w:t>
      </w:r>
    </w:p>
    <w:p w:rsidR="00000000" w:rsidRDefault="00000000">
      <w:pPr>
        <w:pStyle w:val="BodyText2"/>
        <w:tabs>
          <w:tab w:val="left" w:pos="680"/>
          <w:tab w:val="left" w:pos="1134"/>
        </w:tabs>
        <w:spacing w:before="180"/>
        <w:jc w:val="both"/>
        <w:rPr>
          <w:b w:val="0"/>
          <w:sz w:val="22"/>
        </w:rPr>
      </w:pPr>
      <w:r>
        <w:rPr>
          <w:b w:val="0"/>
          <w:sz w:val="22"/>
        </w:rPr>
        <w:t>Несмотря на поддержку высшего политического руководства, негативное отношение к вопросам гендерного равенства все еще широко распространено, и их нередко стараются отодвинуть на задний план при составлении общих программ.</w:t>
      </w:r>
    </w:p>
    <w:p w:rsidR="00000000" w:rsidRDefault="00000000">
      <w:pPr>
        <w:pStyle w:val="BodyText2"/>
        <w:tabs>
          <w:tab w:val="left" w:pos="680"/>
          <w:tab w:val="left" w:pos="1134"/>
        </w:tabs>
        <w:spacing w:before="180"/>
        <w:jc w:val="both"/>
        <w:rPr>
          <w:b w:val="0"/>
          <w:sz w:val="22"/>
        </w:rPr>
      </w:pPr>
      <w:r>
        <w:rPr>
          <w:b w:val="0"/>
          <w:sz w:val="22"/>
        </w:rPr>
        <w:t>Для поддержки программ, учитывающих гендерные факторы, как на местном, так и международном уровне необходимо использовать людские и финансовые ресурсы.</w:t>
      </w:r>
    </w:p>
    <w:p w:rsidR="00000000" w:rsidRDefault="00000000">
      <w:pPr>
        <w:pStyle w:val="BodyText2"/>
        <w:tabs>
          <w:tab w:val="left" w:pos="680"/>
          <w:tab w:val="left" w:pos="1134"/>
        </w:tabs>
        <w:spacing w:before="180"/>
        <w:jc w:val="both"/>
        <w:rPr>
          <w:b w:val="0"/>
          <w:sz w:val="22"/>
        </w:rPr>
      </w:pPr>
      <w:r>
        <w:rPr>
          <w:b w:val="0"/>
          <w:sz w:val="22"/>
        </w:rPr>
        <w:t>И наконец, для поддержки и дополнения положения Конституции, которое гарантирует гендерное равенство, были приняты законы, запрещающие дискриминацию по признаку пола, но хотя было приложено немало усилий для содействия обеспечению гендерного равенства, из-за некоторых барьеров, связанных с культурой и традициями, потребуется время, прежде чем можно будет достичь полноценного равенства между мужчинами и женщинами. Во-вторых, для достижения гендерного равенства будут активизированы учебные программы для женщин по вопросам прав человека и законодательству, а также постоянное сотрудничество между правительством и НПО в осуществлении КЛДЖ.</w:t>
      </w:r>
    </w:p>
    <w:p w:rsidR="00000000" w:rsidRDefault="00000000">
      <w:pPr>
        <w:pStyle w:val="BodyText2"/>
        <w:tabs>
          <w:tab w:val="left" w:pos="680"/>
          <w:tab w:val="left" w:pos="1134"/>
        </w:tabs>
        <w:spacing w:before="240"/>
        <w:jc w:val="both"/>
        <w:rPr>
          <w:sz w:val="22"/>
        </w:rPr>
      </w:pPr>
      <w:r>
        <w:rPr>
          <w:sz w:val="22"/>
        </w:rPr>
        <w:t>Ссылки</w:t>
      </w:r>
    </w:p>
    <w:p w:rsidR="00000000" w:rsidRDefault="00000000">
      <w:pPr>
        <w:pStyle w:val="BodyText2"/>
        <w:tabs>
          <w:tab w:val="left" w:pos="680"/>
          <w:tab w:val="left" w:pos="1134"/>
        </w:tabs>
        <w:spacing w:before="100"/>
        <w:ind w:left="680" w:hanging="680"/>
        <w:jc w:val="both"/>
        <w:rPr>
          <w:b w:val="0"/>
          <w:sz w:val="22"/>
        </w:rPr>
      </w:pPr>
    </w:p>
    <w:p w:rsidR="00000000" w:rsidRDefault="00000000">
      <w:pPr>
        <w:pStyle w:val="BodyText2"/>
        <w:tabs>
          <w:tab w:val="left" w:pos="680"/>
          <w:tab w:val="left" w:pos="1134"/>
        </w:tabs>
        <w:spacing w:before="100"/>
        <w:ind w:left="680" w:hanging="680"/>
        <w:jc w:val="both"/>
        <w:rPr>
          <w:b w:val="0"/>
          <w:sz w:val="22"/>
        </w:rPr>
      </w:pPr>
      <w:r>
        <w:rPr>
          <w:b w:val="0"/>
          <w:sz w:val="22"/>
        </w:rPr>
        <w:t>1.</w:t>
      </w:r>
      <w:r>
        <w:rPr>
          <w:b w:val="0"/>
          <w:sz w:val="22"/>
        </w:rPr>
        <w:tab/>
        <w:t>Закон о позитивных действиях (в области занятости), Закон № 29 от 1998 года, Виндхук.</w:t>
      </w:r>
    </w:p>
    <w:p w:rsidR="00000000" w:rsidRDefault="00000000">
      <w:pPr>
        <w:pStyle w:val="BodyText2"/>
        <w:tabs>
          <w:tab w:val="left" w:pos="680"/>
          <w:tab w:val="left" w:pos="1134"/>
        </w:tabs>
        <w:spacing w:before="100"/>
        <w:ind w:left="680" w:hanging="680"/>
        <w:jc w:val="both"/>
        <w:rPr>
          <w:b w:val="0"/>
          <w:sz w:val="22"/>
        </w:rPr>
      </w:pPr>
      <w:r>
        <w:rPr>
          <w:b w:val="0"/>
          <w:sz w:val="22"/>
        </w:rPr>
        <w:t>2.</w:t>
      </w:r>
      <w:r>
        <w:rPr>
          <w:b w:val="0"/>
          <w:sz w:val="22"/>
        </w:rPr>
        <w:tab/>
        <w:t>Закон о кооперативах (Закон № 23 от 1996 года), Виндхук.</w:t>
      </w:r>
    </w:p>
    <w:p w:rsidR="00000000" w:rsidRDefault="00000000">
      <w:pPr>
        <w:pStyle w:val="BodyText2"/>
        <w:tabs>
          <w:tab w:val="left" w:pos="680"/>
          <w:tab w:val="left" w:pos="1134"/>
        </w:tabs>
        <w:spacing w:before="100"/>
        <w:ind w:left="680" w:hanging="680"/>
        <w:jc w:val="both"/>
        <w:rPr>
          <w:b w:val="0"/>
          <w:sz w:val="22"/>
        </w:rPr>
      </w:pPr>
      <w:r>
        <w:rPr>
          <w:b w:val="0"/>
          <w:sz w:val="22"/>
        </w:rPr>
        <w:t>3.</w:t>
      </w:r>
      <w:r>
        <w:rPr>
          <w:b w:val="0"/>
          <w:sz w:val="22"/>
        </w:rPr>
        <w:tab/>
        <w:t xml:space="preserve">Департамент по делам женщин, 1997 года, </w:t>
      </w:r>
      <w:r>
        <w:rPr>
          <w:b w:val="0"/>
          <w:i/>
          <w:sz w:val="22"/>
        </w:rPr>
        <w:t>Национальная Гендерная политика</w:t>
      </w:r>
      <w:r>
        <w:rPr>
          <w:b w:val="0"/>
          <w:sz w:val="22"/>
        </w:rPr>
        <w:t>, Виндхук.</w:t>
      </w:r>
    </w:p>
    <w:p w:rsidR="00000000" w:rsidRDefault="00000000">
      <w:pPr>
        <w:pStyle w:val="BodyText2"/>
        <w:tabs>
          <w:tab w:val="left" w:pos="680"/>
          <w:tab w:val="left" w:pos="1134"/>
        </w:tabs>
        <w:spacing w:before="100"/>
        <w:ind w:left="680" w:hanging="680"/>
        <w:jc w:val="both"/>
        <w:rPr>
          <w:b w:val="0"/>
          <w:sz w:val="22"/>
        </w:rPr>
      </w:pPr>
      <w:r>
        <w:rPr>
          <w:b w:val="0"/>
          <w:sz w:val="22"/>
        </w:rPr>
        <w:t>4.</w:t>
      </w:r>
      <w:r>
        <w:rPr>
          <w:b w:val="0"/>
          <w:sz w:val="22"/>
        </w:rPr>
        <w:tab/>
        <w:t xml:space="preserve">Департамент по делам женщин, 1995 год, </w:t>
      </w:r>
      <w:r>
        <w:rPr>
          <w:b w:val="0"/>
          <w:i/>
          <w:sz w:val="22"/>
        </w:rPr>
        <w:t>Конвенция о ликвидации всех форм дискриминации в отношении женщин: Первый страновой доклад</w:t>
      </w:r>
      <w:r>
        <w:rPr>
          <w:b w:val="0"/>
          <w:sz w:val="22"/>
        </w:rPr>
        <w:t xml:space="preserve"> – Намибия, Виндхук.</w:t>
      </w:r>
    </w:p>
    <w:p w:rsidR="00000000" w:rsidRDefault="00000000">
      <w:pPr>
        <w:pStyle w:val="BodyText2"/>
        <w:tabs>
          <w:tab w:val="left" w:pos="680"/>
          <w:tab w:val="left" w:pos="1134"/>
        </w:tabs>
        <w:spacing w:before="100"/>
        <w:ind w:left="680" w:hanging="680"/>
        <w:jc w:val="both"/>
        <w:rPr>
          <w:b w:val="0"/>
          <w:sz w:val="22"/>
        </w:rPr>
      </w:pPr>
      <w:r>
        <w:rPr>
          <w:b w:val="0"/>
          <w:sz w:val="22"/>
          <w:lang w:val="en-US"/>
        </w:rPr>
        <w:t>5.</w:t>
      </w:r>
      <w:r>
        <w:rPr>
          <w:b w:val="0"/>
          <w:sz w:val="22"/>
          <w:lang w:val="en-US"/>
        </w:rPr>
        <w:tab/>
        <w:t xml:space="preserve">Hubbard, Dianne. 2000. </w:t>
      </w:r>
      <w:r>
        <w:rPr>
          <w:b w:val="0"/>
          <w:i/>
          <w:sz w:val="22"/>
          <w:lang w:val="en-US"/>
        </w:rPr>
        <w:t>Gender and Law Reform in Namibia: The First Ten Years.</w:t>
      </w:r>
      <w:r>
        <w:rPr>
          <w:b w:val="0"/>
          <w:sz w:val="22"/>
          <w:lang w:val="en-US"/>
        </w:rPr>
        <w:t xml:space="preserve">  </w:t>
      </w:r>
      <w:r>
        <w:rPr>
          <w:b w:val="0"/>
          <w:sz w:val="22"/>
        </w:rPr>
        <w:t>Windhoek.</w:t>
      </w:r>
    </w:p>
    <w:p w:rsidR="00000000" w:rsidRDefault="00000000">
      <w:pPr>
        <w:pStyle w:val="BodyText2"/>
        <w:tabs>
          <w:tab w:val="left" w:pos="680"/>
          <w:tab w:val="left" w:pos="1134"/>
        </w:tabs>
        <w:spacing w:before="100"/>
        <w:ind w:left="680" w:hanging="680"/>
        <w:jc w:val="both"/>
        <w:rPr>
          <w:b w:val="0"/>
          <w:sz w:val="22"/>
          <w:lang w:val="en-US"/>
        </w:rPr>
      </w:pPr>
      <w:r>
        <w:rPr>
          <w:b w:val="0"/>
          <w:sz w:val="22"/>
          <w:lang w:val="en-US"/>
        </w:rPr>
        <w:t>6.</w:t>
      </w:r>
      <w:r>
        <w:rPr>
          <w:b w:val="0"/>
          <w:sz w:val="22"/>
          <w:lang w:val="en-US"/>
        </w:rPr>
        <w:tab/>
        <w:t xml:space="preserve">Hubbard, Dianne. 1997.  </w:t>
      </w:r>
      <w:r>
        <w:rPr>
          <w:b w:val="0"/>
          <w:i/>
          <w:sz w:val="22"/>
          <w:lang w:val="en-US"/>
        </w:rPr>
        <w:t>Namibia and CEDAW</w:t>
      </w:r>
      <w:r>
        <w:rPr>
          <w:b w:val="0"/>
          <w:sz w:val="22"/>
          <w:lang w:val="en-US"/>
        </w:rPr>
        <w:t>.  Windhoek.</w:t>
      </w:r>
    </w:p>
    <w:p w:rsidR="00000000" w:rsidRDefault="00000000">
      <w:pPr>
        <w:pStyle w:val="BodyText2"/>
        <w:tabs>
          <w:tab w:val="left" w:pos="680"/>
          <w:tab w:val="left" w:pos="1134"/>
        </w:tabs>
        <w:spacing w:before="100"/>
        <w:ind w:left="680" w:hanging="680"/>
        <w:jc w:val="both"/>
        <w:rPr>
          <w:b w:val="0"/>
          <w:sz w:val="22"/>
          <w:lang w:val="en-US"/>
        </w:rPr>
      </w:pPr>
      <w:r>
        <w:rPr>
          <w:b w:val="0"/>
          <w:sz w:val="22"/>
          <w:lang w:val="en-US"/>
        </w:rPr>
        <w:t>7.</w:t>
      </w:r>
      <w:r>
        <w:rPr>
          <w:b w:val="0"/>
          <w:sz w:val="22"/>
          <w:lang w:val="en-US"/>
        </w:rPr>
        <w:tab/>
        <w:t>Kalili, Namene. 2000</w:t>
      </w:r>
      <w:r>
        <w:rPr>
          <w:b w:val="0"/>
          <w:i/>
          <w:sz w:val="22"/>
          <w:lang w:val="en-US"/>
        </w:rPr>
        <w:t>.  Grape Production in Namibia,</w:t>
      </w:r>
      <w:r>
        <w:rPr>
          <w:b w:val="0"/>
          <w:sz w:val="22"/>
          <w:lang w:val="en-US"/>
        </w:rPr>
        <w:t xml:space="preserve"> NEPRU, Windhoek.</w:t>
      </w:r>
    </w:p>
    <w:p w:rsidR="00000000" w:rsidRDefault="00000000">
      <w:pPr>
        <w:pStyle w:val="BodyText2"/>
        <w:tabs>
          <w:tab w:val="left" w:pos="680"/>
          <w:tab w:val="left" w:pos="1134"/>
        </w:tabs>
        <w:spacing w:before="100"/>
        <w:ind w:left="680" w:hanging="680"/>
        <w:jc w:val="both"/>
        <w:rPr>
          <w:b w:val="0"/>
          <w:sz w:val="22"/>
        </w:rPr>
      </w:pPr>
      <w:r>
        <w:rPr>
          <w:b w:val="0"/>
          <w:sz w:val="22"/>
        </w:rPr>
        <w:t>8.</w:t>
      </w:r>
      <w:r>
        <w:rPr>
          <w:b w:val="0"/>
          <w:sz w:val="22"/>
        </w:rPr>
        <w:tab/>
        <w:t xml:space="preserve">Комиссия по правовой реформе и развитию, 2000 год, </w:t>
      </w:r>
      <w:r>
        <w:rPr>
          <w:b w:val="0"/>
          <w:i/>
          <w:sz w:val="22"/>
        </w:rPr>
        <w:t>Доклад о бытовом насилии</w:t>
      </w:r>
      <w:r>
        <w:rPr>
          <w:b w:val="0"/>
          <w:sz w:val="22"/>
        </w:rPr>
        <w:t>, Виндхук.</w:t>
      </w:r>
    </w:p>
    <w:p w:rsidR="00000000" w:rsidRDefault="00000000">
      <w:pPr>
        <w:pStyle w:val="BodyText2"/>
        <w:tabs>
          <w:tab w:val="left" w:pos="680"/>
          <w:tab w:val="left" w:pos="1134"/>
        </w:tabs>
        <w:spacing w:before="100"/>
        <w:ind w:left="680" w:hanging="680"/>
        <w:jc w:val="both"/>
        <w:rPr>
          <w:b w:val="0"/>
          <w:sz w:val="22"/>
        </w:rPr>
      </w:pPr>
      <w:r>
        <w:rPr>
          <w:b w:val="0"/>
          <w:sz w:val="22"/>
        </w:rPr>
        <w:t>9.</w:t>
      </w:r>
      <w:r>
        <w:rPr>
          <w:b w:val="0"/>
          <w:sz w:val="22"/>
        </w:rPr>
        <w:tab/>
        <w:t xml:space="preserve">Центр правовой помощи, 2001 год, </w:t>
      </w:r>
      <w:r>
        <w:rPr>
          <w:b w:val="0"/>
          <w:i/>
          <w:sz w:val="22"/>
        </w:rPr>
        <w:t>Руководство к Закону о борьбе с изнасилованием</w:t>
      </w:r>
      <w:r>
        <w:rPr>
          <w:b w:val="0"/>
          <w:sz w:val="22"/>
        </w:rPr>
        <w:t>. 2001 год.</w:t>
      </w:r>
    </w:p>
    <w:p w:rsidR="00000000" w:rsidRDefault="00000000">
      <w:pPr>
        <w:pStyle w:val="BodyText2"/>
        <w:tabs>
          <w:tab w:val="left" w:pos="680"/>
          <w:tab w:val="left" w:pos="1134"/>
        </w:tabs>
        <w:spacing w:before="100"/>
        <w:ind w:left="680" w:hanging="680"/>
        <w:jc w:val="both"/>
        <w:rPr>
          <w:b w:val="0"/>
          <w:sz w:val="22"/>
        </w:rPr>
      </w:pPr>
      <w:r>
        <w:rPr>
          <w:b w:val="0"/>
          <w:sz w:val="22"/>
          <w:lang w:val="en-US"/>
        </w:rPr>
        <w:t>10.</w:t>
      </w:r>
      <w:r>
        <w:rPr>
          <w:b w:val="0"/>
          <w:sz w:val="22"/>
          <w:lang w:val="en-US"/>
        </w:rPr>
        <w:tab/>
        <w:t xml:space="preserve">Legal Assistance Centre. 2002. </w:t>
      </w:r>
      <w:r>
        <w:rPr>
          <w:b w:val="0"/>
          <w:i/>
          <w:sz w:val="22"/>
          <w:lang w:val="en-US"/>
        </w:rPr>
        <w:t>"Whose Body Is It?" Commercial Sex Work and the Law in Namibia</w:t>
      </w:r>
      <w:r>
        <w:rPr>
          <w:b w:val="0"/>
          <w:sz w:val="22"/>
          <w:lang w:val="en-US"/>
        </w:rPr>
        <w:t xml:space="preserve">. </w:t>
      </w:r>
      <w:r>
        <w:rPr>
          <w:b w:val="0"/>
          <w:sz w:val="22"/>
        </w:rPr>
        <w:t>Windhoek.</w:t>
      </w:r>
    </w:p>
    <w:p w:rsidR="00000000" w:rsidRDefault="00000000">
      <w:pPr>
        <w:pStyle w:val="BodyText2"/>
        <w:tabs>
          <w:tab w:val="left" w:pos="680"/>
          <w:tab w:val="left" w:pos="1134"/>
        </w:tabs>
        <w:spacing w:before="100"/>
        <w:ind w:left="680" w:hanging="680"/>
        <w:jc w:val="both"/>
        <w:rPr>
          <w:b w:val="0"/>
          <w:sz w:val="22"/>
        </w:rPr>
      </w:pPr>
      <w:r>
        <w:rPr>
          <w:b w:val="0"/>
          <w:sz w:val="22"/>
          <w:lang w:val="en-US"/>
        </w:rPr>
        <w:t>11.</w:t>
      </w:r>
      <w:r>
        <w:rPr>
          <w:b w:val="0"/>
          <w:sz w:val="22"/>
          <w:lang w:val="en-US"/>
        </w:rPr>
        <w:tab/>
        <w:t>Moleah, A.T. 1983.  Namibia</w:t>
      </w:r>
      <w:r>
        <w:rPr>
          <w:b w:val="0"/>
          <w:i/>
          <w:sz w:val="22"/>
          <w:lang w:val="en-US"/>
        </w:rPr>
        <w:t>:  The Struggle for Liberation.</w:t>
      </w:r>
      <w:r>
        <w:rPr>
          <w:b w:val="0"/>
          <w:sz w:val="22"/>
          <w:lang w:val="en-US"/>
        </w:rPr>
        <w:t xml:space="preserve">  </w:t>
      </w:r>
      <w:r>
        <w:rPr>
          <w:b w:val="0"/>
          <w:sz w:val="22"/>
        </w:rPr>
        <w:t>Wilmington, Delaware.</w:t>
      </w:r>
    </w:p>
    <w:p w:rsidR="00000000" w:rsidRDefault="00000000">
      <w:pPr>
        <w:pStyle w:val="BodyText2"/>
        <w:tabs>
          <w:tab w:val="left" w:pos="680"/>
          <w:tab w:val="left" w:pos="1134"/>
        </w:tabs>
        <w:spacing w:before="100"/>
        <w:ind w:left="680" w:hanging="680"/>
        <w:jc w:val="both"/>
        <w:rPr>
          <w:b w:val="0"/>
          <w:sz w:val="22"/>
        </w:rPr>
      </w:pPr>
      <w:r>
        <w:rPr>
          <w:b w:val="0"/>
          <w:sz w:val="22"/>
        </w:rPr>
        <w:t>12.</w:t>
      </w:r>
      <w:r>
        <w:rPr>
          <w:b w:val="0"/>
          <w:sz w:val="22"/>
        </w:rPr>
        <w:tab/>
        <w:t>Министерство базового образования.</w:t>
      </w:r>
      <w:r>
        <w:rPr>
          <w:b w:val="0"/>
          <w:i/>
          <w:sz w:val="22"/>
        </w:rPr>
        <w:t xml:space="preserve"> Ежегодные доклады</w:t>
      </w:r>
      <w:r>
        <w:rPr>
          <w:b w:val="0"/>
          <w:sz w:val="22"/>
        </w:rPr>
        <w:t xml:space="preserve"> за 1999, 2000 и 2002 годы, Виндхук.</w:t>
      </w:r>
    </w:p>
    <w:p w:rsidR="00000000" w:rsidRDefault="00000000">
      <w:pPr>
        <w:pStyle w:val="BodyText2"/>
        <w:tabs>
          <w:tab w:val="left" w:pos="680"/>
          <w:tab w:val="left" w:pos="1134"/>
        </w:tabs>
        <w:spacing w:before="100"/>
        <w:ind w:left="680" w:hanging="680"/>
        <w:jc w:val="both"/>
        <w:rPr>
          <w:b w:val="0"/>
          <w:sz w:val="22"/>
        </w:rPr>
      </w:pPr>
      <w:r>
        <w:rPr>
          <w:b w:val="0"/>
          <w:sz w:val="22"/>
        </w:rPr>
        <w:t>13.</w:t>
      </w:r>
      <w:r>
        <w:rPr>
          <w:b w:val="0"/>
          <w:sz w:val="22"/>
        </w:rPr>
        <w:tab/>
        <w:t xml:space="preserve">Министерство здравоохранения и социального обеспечения, 2001 год. </w:t>
      </w:r>
      <w:r>
        <w:rPr>
          <w:b w:val="0"/>
          <w:i/>
          <w:sz w:val="22"/>
        </w:rPr>
        <w:t>Обзор ситуации в области демографии в Намибии</w:t>
      </w:r>
      <w:r>
        <w:rPr>
          <w:b w:val="0"/>
          <w:sz w:val="22"/>
        </w:rPr>
        <w:t>, 2000 год, Виндхук.</w:t>
      </w:r>
    </w:p>
    <w:p w:rsidR="00000000" w:rsidRDefault="00000000">
      <w:pPr>
        <w:pStyle w:val="BodyText2"/>
        <w:tabs>
          <w:tab w:val="left" w:pos="680"/>
          <w:tab w:val="left" w:pos="1134"/>
        </w:tabs>
        <w:spacing w:before="100"/>
        <w:ind w:left="680" w:hanging="680"/>
        <w:jc w:val="both"/>
        <w:rPr>
          <w:b w:val="0"/>
          <w:sz w:val="22"/>
        </w:rPr>
      </w:pPr>
      <w:r>
        <w:rPr>
          <w:b w:val="0"/>
          <w:sz w:val="22"/>
        </w:rPr>
        <w:t>14.</w:t>
      </w:r>
      <w:r>
        <w:rPr>
          <w:b w:val="0"/>
          <w:sz w:val="22"/>
        </w:rPr>
        <w:tab/>
        <w:t xml:space="preserve">Министерство высшего образования, создания рабочих мест, профессиональной подготовки, науки и техники, </w:t>
      </w:r>
      <w:r>
        <w:rPr>
          <w:b w:val="0"/>
          <w:i/>
          <w:sz w:val="22"/>
        </w:rPr>
        <w:t xml:space="preserve">Ежегодные доклады </w:t>
      </w:r>
      <w:r>
        <w:rPr>
          <w:b w:val="0"/>
          <w:sz w:val="22"/>
        </w:rPr>
        <w:t>за 1997, 1998, 2000 и 2001 годы, Виндхук.</w:t>
      </w:r>
    </w:p>
    <w:p w:rsidR="00000000" w:rsidRDefault="00000000">
      <w:pPr>
        <w:pStyle w:val="BodyText2"/>
        <w:tabs>
          <w:tab w:val="left" w:pos="680"/>
          <w:tab w:val="left" w:pos="1134"/>
        </w:tabs>
        <w:spacing w:before="100"/>
        <w:ind w:left="680" w:hanging="680"/>
        <w:jc w:val="both"/>
        <w:rPr>
          <w:b w:val="0"/>
          <w:sz w:val="22"/>
        </w:rPr>
      </w:pPr>
      <w:r>
        <w:rPr>
          <w:b w:val="0"/>
          <w:sz w:val="22"/>
        </w:rPr>
        <w:t>15.</w:t>
      </w:r>
      <w:r>
        <w:rPr>
          <w:b w:val="0"/>
          <w:sz w:val="22"/>
        </w:rPr>
        <w:tab/>
        <w:t xml:space="preserve">Министерство труда и развития людских ресурсов. 1998 год, </w:t>
      </w:r>
      <w:r>
        <w:rPr>
          <w:b w:val="0"/>
          <w:i/>
          <w:sz w:val="22"/>
        </w:rPr>
        <w:t>Обследование трудовых ресурсов Намибии</w:t>
      </w:r>
      <w:r>
        <w:rPr>
          <w:b w:val="0"/>
          <w:sz w:val="22"/>
        </w:rPr>
        <w:t>. Виндхук.</w:t>
      </w:r>
    </w:p>
    <w:p w:rsidR="00000000" w:rsidRDefault="00000000">
      <w:pPr>
        <w:pStyle w:val="BodyText2"/>
        <w:tabs>
          <w:tab w:val="left" w:pos="680"/>
          <w:tab w:val="left" w:pos="1134"/>
        </w:tabs>
        <w:spacing w:before="100"/>
        <w:ind w:left="680" w:hanging="680"/>
        <w:jc w:val="both"/>
        <w:rPr>
          <w:b w:val="0"/>
          <w:sz w:val="22"/>
        </w:rPr>
      </w:pPr>
      <w:r>
        <w:rPr>
          <w:b w:val="0"/>
          <w:sz w:val="22"/>
        </w:rPr>
        <w:t>16.</w:t>
      </w:r>
      <w:r>
        <w:rPr>
          <w:b w:val="0"/>
          <w:sz w:val="22"/>
        </w:rPr>
        <w:tab/>
        <w:t xml:space="preserve">Министерство по делам женщин и охране детства. </w:t>
      </w:r>
      <w:r>
        <w:rPr>
          <w:b w:val="0"/>
          <w:i/>
          <w:sz w:val="22"/>
        </w:rPr>
        <w:t>Доклад специального докладчика о насилии в отношении женщин, его причинах и последствиях,</w:t>
      </w:r>
      <w:r>
        <w:rPr>
          <w:b w:val="0"/>
          <w:sz w:val="22"/>
        </w:rPr>
        <w:t xml:space="preserve"> Виндхук.</w:t>
      </w:r>
    </w:p>
    <w:p w:rsidR="00000000" w:rsidRDefault="00000000">
      <w:pPr>
        <w:pStyle w:val="BodyText2"/>
        <w:tabs>
          <w:tab w:val="left" w:pos="680"/>
          <w:tab w:val="left" w:pos="1134"/>
        </w:tabs>
        <w:spacing w:before="100"/>
        <w:ind w:left="680" w:hanging="680"/>
        <w:jc w:val="both"/>
        <w:rPr>
          <w:b w:val="0"/>
          <w:sz w:val="22"/>
        </w:rPr>
      </w:pPr>
      <w:r>
        <w:rPr>
          <w:b w:val="0"/>
          <w:sz w:val="22"/>
        </w:rPr>
        <w:t>17.</w:t>
      </w:r>
      <w:r>
        <w:rPr>
          <w:b w:val="0"/>
          <w:sz w:val="22"/>
        </w:rPr>
        <w:tab/>
        <w:t>Закон о спорте в Намибии (Закон № 7 от 1995 года), Виндхук.</w:t>
      </w:r>
    </w:p>
    <w:p w:rsidR="00000000" w:rsidRDefault="00000000">
      <w:pPr>
        <w:pStyle w:val="BodyText2"/>
        <w:tabs>
          <w:tab w:val="left" w:pos="680"/>
          <w:tab w:val="left" w:pos="1134"/>
        </w:tabs>
        <w:spacing w:before="100"/>
        <w:ind w:left="680" w:hanging="680"/>
        <w:jc w:val="both"/>
        <w:rPr>
          <w:b w:val="0"/>
          <w:sz w:val="22"/>
        </w:rPr>
      </w:pPr>
      <w:r>
        <w:rPr>
          <w:b w:val="0"/>
          <w:sz w:val="22"/>
          <w:lang w:val="en-US"/>
        </w:rPr>
        <w:t>18.</w:t>
      </w:r>
      <w:r>
        <w:rPr>
          <w:b w:val="0"/>
          <w:sz w:val="22"/>
          <w:lang w:val="en-US"/>
        </w:rPr>
        <w:tab/>
      </w:r>
      <w:r>
        <w:rPr>
          <w:b w:val="0"/>
          <w:i/>
          <w:sz w:val="22"/>
          <w:lang w:val="en-US"/>
        </w:rPr>
        <w:t xml:space="preserve">Namibia Trade Directory. </w:t>
      </w:r>
      <w:r>
        <w:rPr>
          <w:b w:val="0"/>
          <w:i/>
          <w:sz w:val="22"/>
        </w:rPr>
        <w:t>2001</w:t>
      </w:r>
      <w:r>
        <w:rPr>
          <w:b w:val="0"/>
          <w:sz w:val="22"/>
        </w:rPr>
        <w:t>. Windhoek.</w:t>
      </w:r>
    </w:p>
    <w:p w:rsidR="00000000" w:rsidRDefault="00000000">
      <w:pPr>
        <w:pStyle w:val="BodyText2"/>
        <w:tabs>
          <w:tab w:val="left" w:pos="680"/>
          <w:tab w:val="left" w:pos="1134"/>
        </w:tabs>
        <w:spacing w:before="100"/>
        <w:ind w:left="680" w:hanging="680"/>
        <w:jc w:val="both"/>
        <w:rPr>
          <w:b w:val="0"/>
          <w:sz w:val="22"/>
        </w:rPr>
      </w:pPr>
      <w:r>
        <w:rPr>
          <w:b w:val="0"/>
          <w:sz w:val="22"/>
        </w:rPr>
        <w:t>19.</w:t>
      </w:r>
      <w:r>
        <w:rPr>
          <w:b w:val="0"/>
          <w:sz w:val="22"/>
        </w:rPr>
        <w:tab/>
        <w:t xml:space="preserve">Секретариат Национальной плановой комиссии, 2002 год, </w:t>
      </w:r>
      <w:r>
        <w:rPr>
          <w:b w:val="0"/>
          <w:i/>
          <w:sz w:val="22"/>
        </w:rPr>
        <w:t>Центральное статистическое бюро</w:t>
      </w:r>
      <w:r>
        <w:rPr>
          <w:b w:val="0"/>
          <w:sz w:val="22"/>
        </w:rPr>
        <w:t>, Виндхук.</w:t>
      </w:r>
    </w:p>
    <w:p w:rsidR="00000000" w:rsidRDefault="00000000">
      <w:pPr>
        <w:pStyle w:val="BodyText2"/>
        <w:tabs>
          <w:tab w:val="left" w:pos="680"/>
          <w:tab w:val="left" w:pos="1134"/>
        </w:tabs>
        <w:spacing w:before="100"/>
        <w:ind w:left="680" w:hanging="680"/>
        <w:jc w:val="both"/>
        <w:rPr>
          <w:b w:val="0"/>
          <w:sz w:val="22"/>
        </w:rPr>
      </w:pPr>
      <w:r>
        <w:rPr>
          <w:b w:val="0"/>
          <w:sz w:val="22"/>
        </w:rPr>
        <w:t>20.</w:t>
      </w:r>
      <w:r>
        <w:rPr>
          <w:b w:val="0"/>
          <w:sz w:val="22"/>
        </w:rPr>
        <w:tab/>
        <w:t>Конституция Намибии.</w:t>
      </w:r>
    </w:p>
    <w:p w:rsidR="00000000" w:rsidRDefault="00000000">
      <w:pPr>
        <w:pStyle w:val="BodyText2"/>
        <w:tabs>
          <w:tab w:val="left" w:pos="680"/>
          <w:tab w:val="left" w:pos="1134"/>
        </w:tabs>
        <w:spacing w:before="100"/>
        <w:ind w:left="680" w:hanging="680"/>
        <w:jc w:val="both"/>
        <w:rPr>
          <w:b w:val="0"/>
          <w:sz w:val="22"/>
          <w:lang w:val="en-US"/>
        </w:rPr>
      </w:pPr>
      <w:r>
        <w:rPr>
          <w:b w:val="0"/>
          <w:sz w:val="22"/>
          <w:lang w:val="en-US"/>
        </w:rPr>
        <w:t>21.</w:t>
      </w:r>
      <w:r>
        <w:rPr>
          <w:b w:val="0"/>
          <w:sz w:val="22"/>
          <w:lang w:val="en-US"/>
        </w:rPr>
        <w:tab/>
      </w:r>
      <w:r>
        <w:rPr>
          <w:b w:val="0"/>
          <w:i/>
          <w:sz w:val="22"/>
          <w:lang w:val="en-US"/>
        </w:rPr>
        <w:t>Namibia Today.</w:t>
      </w:r>
      <w:r>
        <w:rPr>
          <w:b w:val="0"/>
          <w:sz w:val="22"/>
          <w:lang w:val="en-US"/>
        </w:rPr>
        <w:t xml:space="preserve"> October 2002.Windhoek.</w:t>
      </w:r>
    </w:p>
    <w:p w:rsidR="00000000" w:rsidRDefault="00000000">
      <w:pPr>
        <w:pStyle w:val="List2"/>
        <w:tabs>
          <w:tab w:val="left" w:pos="680"/>
          <w:tab w:val="left" w:pos="1134"/>
        </w:tabs>
        <w:spacing w:before="100"/>
        <w:ind w:left="680" w:hanging="680"/>
        <w:jc w:val="both"/>
        <w:rPr>
          <w:i/>
          <w:sz w:val="22"/>
        </w:rPr>
      </w:pPr>
      <w:r>
        <w:rPr>
          <w:sz w:val="22"/>
        </w:rPr>
        <w:t>22.</w:t>
      </w:r>
      <w:r>
        <w:rPr>
          <w:sz w:val="22"/>
        </w:rPr>
        <w:tab/>
        <w:t xml:space="preserve">SIAPAC. 2002. </w:t>
      </w:r>
      <w:r>
        <w:rPr>
          <w:i/>
          <w:sz w:val="22"/>
        </w:rPr>
        <w:t>Inequalities and Social Welfare: Vision 2030.</w:t>
      </w:r>
      <w:r>
        <w:rPr>
          <w:sz w:val="22"/>
        </w:rPr>
        <w:t xml:space="preserve"> Windhoek</w:t>
      </w:r>
    </w:p>
    <w:p w:rsidR="00000000" w:rsidRDefault="00000000">
      <w:pPr>
        <w:pStyle w:val="List2"/>
        <w:tabs>
          <w:tab w:val="left" w:pos="680"/>
          <w:tab w:val="left" w:pos="1134"/>
        </w:tabs>
        <w:spacing w:before="100"/>
        <w:ind w:left="680" w:hanging="680"/>
        <w:jc w:val="both"/>
        <w:rPr>
          <w:sz w:val="22"/>
          <w:lang w:val="ru-RU"/>
        </w:rPr>
      </w:pPr>
      <w:r>
        <w:rPr>
          <w:sz w:val="22"/>
        </w:rPr>
        <w:t>23.</w:t>
      </w:r>
      <w:r>
        <w:rPr>
          <w:sz w:val="22"/>
        </w:rPr>
        <w:tab/>
        <w:t xml:space="preserve">SIAPAC. 2002. </w:t>
      </w:r>
      <w:r>
        <w:rPr>
          <w:i/>
          <w:sz w:val="22"/>
        </w:rPr>
        <w:t xml:space="preserve">Population, Health and Development: Vision 2030. </w:t>
      </w:r>
      <w:r>
        <w:rPr>
          <w:sz w:val="22"/>
        </w:rPr>
        <w:t>Windhoek</w:t>
      </w:r>
      <w:r>
        <w:rPr>
          <w:sz w:val="22"/>
          <w:lang w:val="ru-RU"/>
        </w:rPr>
        <w:t>.</w:t>
      </w:r>
    </w:p>
    <w:p w:rsidR="00000000" w:rsidRDefault="00000000">
      <w:pPr>
        <w:pStyle w:val="BodyText2"/>
        <w:tabs>
          <w:tab w:val="left" w:pos="680"/>
          <w:tab w:val="left" w:pos="1134"/>
        </w:tabs>
        <w:spacing w:before="100"/>
        <w:ind w:left="680" w:hanging="680"/>
        <w:jc w:val="both"/>
        <w:rPr>
          <w:b w:val="0"/>
          <w:sz w:val="22"/>
        </w:rPr>
      </w:pPr>
      <w:r>
        <w:rPr>
          <w:b w:val="0"/>
          <w:sz w:val="22"/>
        </w:rPr>
        <w:t>24.</w:t>
      </w:r>
      <w:r>
        <w:rPr>
          <w:b w:val="0"/>
          <w:sz w:val="22"/>
        </w:rPr>
        <w:tab/>
        <w:t>Закон о социальном обеспечении, Закон № 34 от 1994 года.</w:t>
      </w:r>
    </w:p>
    <w:p w:rsidR="00000000" w:rsidRDefault="00000000">
      <w:pPr>
        <w:pStyle w:val="List2"/>
        <w:tabs>
          <w:tab w:val="left" w:pos="680"/>
          <w:tab w:val="left" w:pos="1134"/>
        </w:tabs>
        <w:spacing w:before="100"/>
        <w:ind w:left="680" w:hanging="680"/>
        <w:jc w:val="both"/>
        <w:rPr>
          <w:sz w:val="22"/>
        </w:rPr>
      </w:pPr>
      <w:r>
        <w:rPr>
          <w:sz w:val="22"/>
        </w:rPr>
        <w:t>25.</w:t>
      </w:r>
      <w:r>
        <w:rPr>
          <w:sz w:val="22"/>
        </w:rPr>
        <w:tab/>
      </w:r>
      <w:r>
        <w:rPr>
          <w:i/>
          <w:sz w:val="22"/>
        </w:rPr>
        <w:t>The Namibian, 2001</w:t>
      </w:r>
      <w:r>
        <w:rPr>
          <w:sz w:val="22"/>
        </w:rPr>
        <w:t>. Windhoek.</w:t>
      </w:r>
    </w:p>
    <w:p w:rsidR="00000000" w:rsidRDefault="00000000">
      <w:pPr>
        <w:pStyle w:val="List2"/>
        <w:tabs>
          <w:tab w:val="left" w:pos="680"/>
          <w:tab w:val="left" w:pos="1134"/>
        </w:tabs>
        <w:spacing w:before="100"/>
        <w:ind w:left="680" w:hanging="680"/>
        <w:jc w:val="both"/>
        <w:rPr>
          <w:sz w:val="22"/>
          <w:lang w:val="ru-RU"/>
        </w:rPr>
      </w:pPr>
      <w:r>
        <w:rPr>
          <w:sz w:val="22"/>
        </w:rPr>
        <w:t>26.</w:t>
      </w:r>
      <w:r>
        <w:rPr>
          <w:sz w:val="22"/>
        </w:rPr>
        <w:tab/>
        <w:t xml:space="preserve"> UNAM. 2000. </w:t>
      </w:r>
      <w:r>
        <w:rPr>
          <w:i/>
          <w:sz w:val="22"/>
        </w:rPr>
        <w:t>The National Gender Survey</w:t>
      </w:r>
      <w:r>
        <w:rPr>
          <w:sz w:val="22"/>
        </w:rPr>
        <w:t>, Volume 1. Windhoek</w:t>
      </w:r>
      <w:r>
        <w:rPr>
          <w:sz w:val="22"/>
          <w:lang w:val="ru-RU"/>
        </w:rPr>
        <w:t>.</w:t>
      </w:r>
    </w:p>
    <w:p w:rsidR="00000000" w:rsidRDefault="00000000">
      <w:pPr>
        <w:pStyle w:val="BodyText2"/>
        <w:tabs>
          <w:tab w:val="left" w:pos="680"/>
          <w:tab w:val="left" w:pos="1134"/>
        </w:tabs>
        <w:spacing w:before="100"/>
        <w:ind w:left="680" w:hanging="680"/>
        <w:jc w:val="both"/>
        <w:rPr>
          <w:b w:val="0"/>
          <w:sz w:val="22"/>
        </w:rPr>
      </w:pPr>
      <w:r>
        <w:rPr>
          <w:b w:val="0"/>
          <w:sz w:val="22"/>
        </w:rPr>
        <w:t>27.</w:t>
      </w:r>
      <w:r>
        <w:rPr>
          <w:b w:val="0"/>
          <w:sz w:val="22"/>
        </w:rPr>
        <w:tab/>
        <w:t xml:space="preserve">UNAM. </w:t>
      </w:r>
      <w:r>
        <w:rPr>
          <w:b w:val="0"/>
          <w:i/>
          <w:sz w:val="22"/>
        </w:rPr>
        <w:t>Ежегодные доклады,</w:t>
      </w:r>
      <w:r>
        <w:rPr>
          <w:b w:val="0"/>
          <w:sz w:val="22"/>
        </w:rPr>
        <w:t xml:space="preserve"> 1998, 1999, 2000 и 2002 годы, Виндхук.</w:t>
      </w:r>
    </w:p>
    <w:sectPr w:rsidR="00000000">
      <w:footerReference w:type="even" r:id="rId12"/>
      <w:pgSz w:w="12242" w:h="15842" w:code="1"/>
      <w:pgMar w:top="1418" w:right="1418" w:bottom="1701" w:left="1418" w:header="0" w:footer="907" w:gutter="0"/>
      <w:pgNumType w:start="2"/>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NO&gt;&gt;N055</w:t>
      </w:r>
      <w:r>
        <w:rPr>
          <w:lang w:val="en-US"/>
        </w:rPr>
        <w:t>1009</w:t>
      </w:r>
      <w:r>
        <w:t>R&lt;&lt;ODS JOB NO&gt;&gt;</w:t>
      </w:r>
    </w:p>
    <w:p w:rsidR="00000000" w:rsidRDefault="00000000">
      <w:pPr>
        <w:pStyle w:val="CommentText"/>
      </w:pPr>
      <w:r>
        <w:t>&lt;&lt;ODS DOC SYMBOL1&gt;&gt;</w:t>
      </w:r>
      <w:r>
        <w:rPr>
          <w:lang w:val="en-US"/>
        </w:rPr>
        <w:t>CED</w:t>
      </w:r>
      <w:r>
        <w:t>A</w:t>
      </w:r>
      <w:r>
        <w:rPr>
          <w:lang w:val="en-US"/>
        </w:rPr>
        <w:t>W</w:t>
      </w:r>
      <w:r>
        <w:t>/C/</w:t>
      </w:r>
      <w:r>
        <w:rPr>
          <w:lang w:val="en-US"/>
        </w:rPr>
        <w:t>NAM</w:t>
      </w:r>
      <w:r>
        <w:t>/</w:t>
      </w:r>
      <w:r>
        <w:rPr>
          <w:lang w:val="en-US"/>
        </w:rPr>
        <w:t>2-3</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Footer"/>
      <w:ind w:right="360" w:firstLine="360"/>
      <w:rPr>
        <w:lang w:val="en-US"/>
      </w:rPr>
    </w:pPr>
    <w:r>
      <w:rPr>
        <w:lang w:val="en-US"/>
      </w:rPr>
      <w:t>05-51009.R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Footer"/>
      <w:ind w:right="360" w:firstLine="360"/>
      <w:jc w:val="right"/>
      <w:rPr>
        <w:sz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227"/>
          <w:tab w:val="left" w:pos="284"/>
        </w:tabs>
        <w:spacing w:before="80"/>
        <w:ind w:left="227" w:hanging="227"/>
        <w:jc w:val="both"/>
      </w:pPr>
      <w:r>
        <w:rPr>
          <w:rStyle w:val="FootnoteReference"/>
        </w:rPr>
        <w:t>*</w:t>
      </w:r>
      <w:r>
        <w:t xml:space="preserve"> </w:t>
      </w:r>
      <w:r>
        <w:rPr>
          <w:lang w:val="en-US"/>
        </w:rPr>
        <w:tab/>
      </w:r>
      <w:r>
        <w:t>Настоящий доклад издается без официального редактирования.</w:t>
      </w:r>
    </w:p>
    <w:p w:rsidR="00000000" w:rsidRDefault="00000000">
      <w:pPr>
        <w:pStyle w:val="FootnoteText"/>
        <w:tabs>
          <w:tab w:val="left" w:pos="227"/>
          <w:tab w:val="left" w:pos="284"/>
        </w:tabs>
        <w:spacing w:before="60"/>
        <w:ind w:left="227" w:hanging="227"/>
        <w:jc w:val="both"/>
      </w:pPr>
      <w:r>
        <w:rPr>
          <w:lang w:val="en-US"/>
        </w:rPr>
        <w:tab/>
      </w:r>
      <w:r>
        <w:t xml:space="preserve">Первоначальный доклад, представленный правительством Намибии, который был рассмотрен Комитетом на его семнадцатой сессии, см. в документе </w:t>
      </w:r>
      <w:r>
        <w:rPr>
          <w:lang w:val="en-US"/>
        </w:rPr>
        <w:t>CEDAW</w:t>
      </w:r>
      <w:r>
        <w:t>/</w:t>
      </w:r>
      <w:r>
        <w:rPr>
          <w:lang w:val="en-US"/>
        </w:rPr>
        <w:t>C</w:t>
      </w:r>
      <w:r>
        <w:t>/</w:t>
      </w:r>
      <w:r>
        <w:rPr>
          <w:lang w:val="en-US"/>
        </w:rPr>
        <w:t>NAM</w:t>
      </w:r>
      <w:r>
        <w:t>/1.</w:t>
      </w:r>
    </w:p>
  </w:footnote>
  <w:footnote w:id="2">
    <w:p w:rsidR="00000000" w:rsidRDefault="00000000">
      <w:pPr>
        <w:pStyle w:val="FootnoteText"/>
        <w:tabs>
          <w:tab w:val="left" w:pos="227"/>
          <w:tab w:val="left" w:pos="284"/>
        </w:tabs>
        <w:rPr>
          <w:lang w:val="en-US"/>
        </w:rPr>
      </w:pPr>
      <w:r>
        <w:rPr>
          <w:rStyle w:val="FootnoteReference"/>
        </w:rPr>
        <w:footnoteRef/>
      </w:r>
      <w:r>
        <w:rPr>
          <w:lang w:val="en-US"/>
        </w:rPr>
        <w:t xml:space="preserve"> </w:t>
      </w:r>
      <w:r>
        <w:tab/>
      </w:r>
      <w:r>
        <w:rPr>
          <w:lang w:val="en-US"/>
        </w:rPr>
        <w:t>Alfred T. Moleah, Namibia: The Struggle for Liberation, Wilmington, Delaware, 1983.</w:t>
      </w:r>
    </w:p>
  </w:footnote>
  <w:footnote w:id="3">
    <w:p w:rsidR="00000000" w:rsidRDefault="00000000">
      <w:pPr>
        <w:pStyle w:val="FootnoteText"/>
        <w:tabs>
          <w:tab w:val="left" w:pos="227"/>
          <w:tab w:val="left" w:pos="284"/>
        </w:tabs>
      </w:pPr>
      <w:r>
        <w:rPr>
          <w:rStyle w:val="FootnoteReference"/>
        </w:rPr>
        <w:footnoteRef/>
      </w:r>
      <w:r>
        <w:rPr>
          <w:lang w:val="en-US"/>
        </w:rPr>
        <w:t xml:space="preserve"> </w:t>
      </w:r>
      <w:r>
        <w:tab/>
        <w:t>КЛДЖ, Первый страновой доклад, Департамент по делам женщин</w:t>
      </w:r>
      <w:r>
        <w:rPr>
          <w:lang w:val="en-US"/>
        </w:rPr>
        <w:t>, 1995</w:t>
      </w:r>
      <w:r>
        <w:t xml:space="preserve"> г.</w:t>
      </w:r>
      <w:r>
        <w:rPr>
          <w:lang w:val="en-US"/>
        </w:rPr>
        <w:t xml:space="preserve">, </w:t>
      </w:r>
      <w:r>
        <w:t>ст</w:t>
      </w:r>
      <w:r>
        <w:rPr>
          <w:lang w:val="en-US"/>
        </w:rPr>
        <w:t>p. 1</w:t>
      </w:r>
      <w:r>
        <w:t>.</w:t>
      </w:r>
    </w:p>
  </w:footnote>
  <w:footnote w:id="4">
    <w:p w:rsidR="00000000" w:rsidRDefault="00000000">
      <w:pPr>
        <w:pStyle w:val="FootnoteText"/>
        <w:tabs>
          <w:tab w:val="left" w:pos="227"/>
          <w:tab w:val="left" w:pos="284"/>
        </w:tabs>
        <w:rPr>
          <w:lang w:val="en-US"/>
        </w:rPr>
      </w:pPr>
      <w:r>
        <w:rPr>
          <w:rStyle w:val="FootnoteReference"/>
        </w:rPr>
        <w:footnoteRef/>
      </w:r>
      <w:r>
        <w:rPr>
          <w:lang w:val="en-US"/>
        </w:rPr>
        <w:t xml:space="preserve"> </w:t>
      </w:r>
      <w:r>
        <w:tab/>
        <w:t>КАМР</w:t>
      </w:r>
      <w:r>
        <w:rPr>
          <w:lang w:val="en-US"/>
        </w:rPr>
        <w:t xml:space="preserve">, </w:t>
      </w:r>
      <w:r>
        <w:t xml:space="preserve">Страновой доклад – Намибия, </w:t>
      </w:r>
      <w:r>
        <w:rPr>
          <w:lang w:val="en-US"/>
        </w:rPr>
        <w:t xml:space="preserve">1990 </w:t>
      </w:r>
      <w:r>
        <w:t>г., в КЛДЖ</w:t>
      </w:r>
      <w:r>
        <w:rPr>
          <w:lang w:val="en-US"/>
        </w:rPr>
        <w:t>, 1995</w:t>
      </w:r>
      <w:r>
        <w:t xml:space="preserve"> г.</w:t>
      </w:r>
      <w:r>
        <w:rPr>
          <w:lang w:val="en-US"/>
        </w:rPr>
        <w:t xml:space="preserve">, </w:t>
      </w:r>
      <w:r>
        <w:t>ст</w:t>
      </w:r>
      <w:r>
        <w:rPr>
          <w:lang w:val="en-US"/>
        </w:rPr>
        <w:t>p.</w:t>
      </w:r>
      <w:r>
        <w:t xml:space="preserve"> </w:t>
      </w:r>
      <w:r>
        <w:rPr>
          <w:lang w:val="en-US"/>
        </w:rPr>
        <w:t>2</w:t>
      </w:r>
    </w:p>
  </w:footnote>
  <w:footnote w:id="5">
    <w:p w:rsidR="00000000" w:rsidRDefault="00000000">
      <w:pPr>
        <w:pStyle w:val="FootnoteText"/>
        <w:tabs>
          <w:tab w:val="left" w:pos="227"/>
          <w:tab w:val="left" w:pos="284"/>
        </w:tabs>
      </w:pPr>
      <w:r>
        <w:rPr>
          <w:rStyle w:val="FootnoteReference"/>
        </w:rPr>
        <w:footnoteRef/>
      </w:r>
      <w:r>
        <w:t xml:space="preserve"> </w:t>
      </w:r>
      <w:r>
        <w:tab/>
        <w:t>Там же</w:t>
      </w:r>
      <w:r>
        <w:rPr>
          <w:i/>
        </w:rPr>
        <w:t>.</w:t>
      </w:r>
    </w:p>
  </w:footnote>
  <w:footnote w:id="6">
    <w:p w:rsidR="00000000" w:rsidRDefault="00000000">
      <w:pPr>
        <w:pStyle w:val="FootnoteText"/>
        <w:tabs>
          <w:tab w:val="left" w:pos="227"/>
          <w:tab w:val="left" w:pos="284"/>
        </w:tabs>
      </w:pPr>
      <w:r>
        <w:rPr>
          <w:rStyle w:val="FootnoteReference"/>
        </w:rPr>
        <w:footnoteRef/>
      </w:r>
      <w:r>
        <w:t xml:space="preserve"> </w:t>
      </w:r>
      <w:r>
        <w:tab/>
      </w:r>
      <w:r>
        <w:rPr>
          <w:lang w:val="en-US"/>
        </w:rPr>
        <w:t>MOHSS</w:t>
      </w:r>
      <w:r>
        <w:t>, 2001 г.</w:t>
      </w:r>
    </w:p>
  </w:footnote>
  <w:footnote w:id="7">
    <w:p w:rsidR="00000000" w:rsidRDefault="00000000">
      <w:pPr>
        <w:pStyle w:val="FootnoteText"/>
        <w:tabs>
          <w:tab w:val="left" w:pos="227"/>
          <w:tab w:val="left" w:pos="284"/>
        </w:tabs>
      </w:pPr>
      <w:r>
        <w:rPr>
          <w:rStyle w:val="FootnoteReference"/>
        </w:rPr>
        <w:footnoteRef/>
      </w:r>
      <w:r>
        <w:t xml:space="preserve"> </w:t>
      </w:r>
      <w:r>
        <w:tab/>
        <w:t>ЦСБ, 2000 г.</w:t>
      </w:r>
    </w:p>
  </w:footnote>
  <w:footnote w:id="8">
    <w:p w:rsidR="00000000" w:rsidRDefault="00000000">
      <w:pPr>
        <w:pStyle w:val="FootnoteText"/>
        <w:tabs>
          <w:tab w:val="left" w:pos="227"/>
          <w:tab w:val="left" w:pos="284"/>
        </w:tabs>
        <w:rPr>
          <w:lang w:val="en-US"/>
        </w:rPr>
      </w:pPr>
      <w:r>
        <w:rPr>
          <w:rStyle w:val="FootnoteReference"/>
        </w:rPr>
        <w:footnoteRef/>
      </w:r>
      <w:r>
        <w:rPr>
          <w:lang w:val="en-US"/>
        </w:rPr>
        <w:t xml:space="preserve"> </w:t>
      </w:r>
      <w:r>
        <w:tab/>
      </w:r>
      <w:r>
        <w:rPr>
          <w:lang w:val="en-US"/>
        </w:rPr>
        <w:t>NPC, 2000.</w:t>
      </w:r>
    </w:p>
  </w:footnote>
  <w:footnote w:id="9">
    <w:p w:rsidR="00000000" w:rsidRDefault="00000000">
      <w:pPr>
        <w:pStyle w:val="FootnoteText"/>
        <w:tabs>
          <w:tab w:val="left" w:pos="227"/>
          <w:tab w:val="left" w:pos="284"/>
        </w:tabs>
        <w:rPr>
          <w:lang w:val="en-US"/>
        </w:rPr>
      </w:pPr>
      <w:r>
        <w:rPr>
          <w:rStyle w:val="FootnoteReference"/>
        </w:rPr>
        <w:footnoteRef/>
      </w:r>
      <w:r>
        <w:rPr>
          <w:lang w:val="en-US"/>
        </w:rPr>
        <w:t xml:space="preserve"> </w:t>
      </w:r>
      <w:r>
        <w:tab/>
      </w:r>
      <w:r>
        <w:rPr>
          <w:lang w:val="en-US"/>
        </w:rPr>
        <w:t xml:space="preserve">Namibia Trade Directory, 2001. </w:t>
      </w:r>
    </w:p>
  </w:footnote>
  <w:footnote w:id="10">
    <w:p w:rsidR="00000000" w:rsidRDefault="00000000">
      <w:pPr>
        <w:pStyle w:val="FootnoteText"/>
        <w:tabs>
          <w:tab w:val="left" w:pos="227"/>
          <w:tab w:val="left" w:pos="284"/>
        </w:tabs>
        <w:rPr>
          <w:lang w:val="en-US"/>
        </w:rPr>
      </w:pPr>
      <w:r>
        <w:rPr>
          <w:rStyle w:val="FootnoteReference"/>
        </w:rPr>
        <w:footnoteRef/>
      </w:r>
      <w:r>
        <w:rPr>
          <w:lang w:val="en-US"/>
        </w:rPr>
        <w:t xml:space="preserve"> </w:t>
      </w:r>
      <w:r>
        <w:tab/>
      </w:r>
      <w:r>
        <w:rPr>
          <w:lang w:val="en-US"/>
        </w:rPr>
        <w:t>NPC, 2002.</w:t>
      </w:r>
    </w:p>
  </w:footnote>
  <w:footnote w:id="11">
    <w:p w:rsidR="00000000" w:rsidRDefault="00000000">
      <w:pPr>
        <w:pStyle w:val="FootnoteText"/>
        <w:tabs>
          <w:tab w:val="left" w:pos="227"/>
          <w:tab w:val="left" w:pos="284"/>
        </w:tabs>
      </w:pPr>
      <w:r>
        <w:rPr>
          <w:rStyle w:val="FootnoteReference"/>
        </w:rPr>
        <w:footnoteRef/>
      </w:r>
      <w:r>
        <w:t xml:space="preserve"> </w:t>
      </w:r>
      <w:r>
        <w:tab/>
      </w:r>
      <w:r>
        <w:rPr>
          <w:lang w:val="en-US"/>
        </w:rPr>
        <w:t>Kalili</w:t>
      </w:r>
      <w:r>
        <w:t>, 2000.</w:t>
      </w:r>
    </w:p>
  </w:footnote>
  <w:footnote w:id="12">
    <w:p w:rsidR="00000000" w:rsidRDefault="00000000">
      <w:pPr>
        <w:pStyle w:val="FootnoteText"/>
        <w:tabs>
          <w:tab w:val="left" w:pos="227"/>
          <w:tab w:val="left" w:pos="284"/>
        </w:tabs>
      </w:pPr>
      <w:r>
        <w:rPr>
          <w:rStyle w:val="FootnoteReference"/>
        </w:rPr>
        <w:footnoteRef/>
      </w:r>
      <w:r>
        <w:t xml:space="preserve"> </w:t>
      </w:r>
      <w:r>
        <w:tab/>
      </w:r>
      <w:r>
        <w:rPr>
          <w:lang w:val="en-US"/>
        </w:rPr>
        <w:t>Namibia</w:t>
      </w:r>
      <w:r>
        <w:t xml:space="preserve"> </w:t>
      </w:r>
      <w:r>
        <w:rPr>
          <w:lang w:val="en-US"/>
        </w:rPr>
        <w:t>Trade</w:t>
      </w:r>
      <w:r>
        <w:t xml:space="preserve"> </w:t>
      </w:r>
      <w:r>
        <w:rPr>
          <w:lang w:val="en-US"/>
        </w:rPr>
        <w:t>Directory</w:t>
      </w:r>
      <w:r>
        <w:t>, 2001.</w:t>
      </w:r>
    </w:p>
  </w:footnote>
  <w:footnote w:id="13">
    <w:p w:rsidR="00000000" w:rsidRDefault="00000000">
      <w:pPr>
        <w:pStyle w:val="FootnoteText"/>
        <w:tabs>
          <w:tab w:val="left" w:pos="227"/>
          <w:tab w:val="left" w:pos="284"/>
        </w:tabs>
      </w:pPr>
      <w:r>
        <w:rPr>
          <w:rStyle w:val="FootnoteReference"/>
        </w:rPr>
        <w:footnoteRef/>
      </w:r>
      <w:r>
        <w:t xml:space="preserve"> </w:t>
      </w:r>
      <w:r>
        <w:tab/>
        <w:t>ЦСБ, 2001 г.</w:t>
      </w:r>
    </w:p>
  </w:footnote>
  <w:footnote w:id="14">
    <w:p w:rsidR="00000000" w:rsidRDefault="00000000">
      <w:pPr>
        <w:pStyle w:val="FootnoteText"/>
        <w:tabs>
          <w:tab w:val="left" w:pos="227"/>
          <w:tab w:val="left" w:pos="284"/>
        </w:tabs>
      </w:pPr>
      <w:r>
        <w:rPr>
          <w:rStyle w:val="FootnoteReference"/>
        </w:rPr>
        <w:footnoteRef/>
      </w:r>
      <w:r>
        <w:t xml:space="preserve"> </w:t>
      </w:r>
      <w:r>
        <w:tab/>
        <w:t>Географические районы Намибии: Каприви, Хардап, Эронго, Комас, Карас, Каванго, Кунене, Охангвена, Омахеке, Омусати, Ошана, Ошикото и Отжозонжупа.</w:t>
      </w:r>
    </w:p>
  </w:footnote>
  <w:footnote w:id="15">
    <w:p w:rsidR="00000000" w:rsidRDefault="00000000">
      <w:pPr>
        <w:pStyle w:val="FootnoteText"/>
        <w:tabs>
          <w:tab w:val="left" w:pos="227"/>
          <w:tab w:val="left" w:pos="284"/>
        </w:tabs>
      </w:pPr>
      <w:r>
        <w:rPr>
          <w:rStyle w:val="FootnoteReference"/>
        </w:rPr>
        <w:footnoteRef/>
      </w:r>
      <w:r>
        <w:t xml:space="preserve"> </w:t>
      </w:r>
      <w:r>
        <w:tab/>
        <w:t>Конституция Намибии, статья 79 (2).</w:t>
      </w:r>
    </w:p>
  </w:footnote>
  <w:footnote w:id="16">
    <w:p w:rsidR="00000000" w:rsidRDefault="00000000">
      <w:pPr>
        <w:pStyle w:val="FootnoteText"/>
        <w:tabs>
          <w:tab w:val="left" w:pos="227"/>
          <w:tab w:val="left" w:pos="284"/>
        </w:tabs>
      </w:pPr>
      <w:r>
        <w:rPr>
          <w:rStyle w:val="FootnoteReference"/>
        </w:rPr>
        <w:footnoteRef/>
      </w:r>
      <w:r>
        <w:t xml:space="preserve"> </w:t>
      </w:r>
      <w:r>
        <w:tab/>
        <w:t>Конституция Намибии, статья 80 (2).</w:t>
      </w:r>
    </w:p>
  </w:footnote>
  <w:footnote w:id="17">
    <w:p w:rsidR="00000000" w:rsidRDefault="00000000">
      <w:pPr>
        <w:pStyle w:val="FootnoteText"/>
        <w:tabs>
          <w:tab w:val="left" w:pos="227"/>
          <w:tab w:val="left" w:pos="284"/>
        </w:tabs>
      </w:pPr>
      <w:r>
        <w:rPr>
          <w:rStyle w:val="FootnoteReference"/>
        </w:rPr>
        <w:footnoteRef/>
      </w:r>
      <w:r>
        <w:t xml:space="preserve"> </w:t>
      </w:r>
      <w:r>
        <w:tab/>
        <w:t>ООН, КЛДЖ, июль 1990 г., стр. 3.</w:t>
      </w:r>
    </w:p>
  </w:footnote>
  <w:footnote w:id="18">
    <w:p w:rsidR="00000000" w:rsidRDefault="00000000">
      <w:pPr>
        <w:pStyle w:val="FootnoteText"/>
        <w:tabs>
          <w:tab w:val="left" w:pos="227"/>
          <w:tab w:val="left" w:pos="284"/>
        </w:tabs>
        <w:jc w:val="both"/>
      </w:pPr>
      <w:r>
        <w:rPr>
          <w:rStyle w:val="FootnoteReference"/>
        </w:rPr>
        <w:footnoteRef/>
      </w:r>
      <w:r>
        <w:t xml:space="preserve"> </w:t>
      </w:r>
      <w:r>
        <w:tab/>
        <w:t>Существовавший тогда Департамент по делам женщин поручил Центру правовой помощи подготовить проект первого странового доклада.</w:t>
      </w:r>
    </w:p>
  </w:footnote>
  <w:footnote w:id="19">
    <w:p w:rsidR="00000000" w:rsidRDefault="00000000">
      <w:pPr>
        <w:pStyle w:val="FootnoteText"/>
        <w:tabs>
          <w:tab w:val="left" w:pos="227"/>
          <w:tab w:val="left" w:pos="284"/>
        </w:tabs>
        <w:rPr>
          <w:lang w:val="en-US"/>
        </w:rPr>
      </w:pPr>
      <w:r>
        <w:rPr>
          <w:rStyle w:val="FootnoteReference"/>
        </w:rPr>
        <w:footnoteRef/>
      </w:r>
      <w:r>
        <w:rPr>
          <w:lang w:val="en-US"/>
        </w:rPr>
        <w:t xml:space="preserve"> </w:t>
      </w:r>
      <w:r>
        <w:tab/>
      </w:r>
      <w:r>
        <w:rPr>
          <w:lang w:val="en-US"/>
        </w:rPr>
        <w:t>Dianne Hubbard, Namibia and CEDAW, 1997.</w:t>
      </w:r>
    </w:p>
  </w:footnote>
  <w:footnote w:id="20">
    <w:p w:rsidR="00000000" w:rsidRDefault="00000000">
      <w:pPr>
        <w:pStyle w:val="FootnoteText"/>
        <w:tabs>
          <w:tab w:val="left" w:pos="227"/>
          <w:tab w:val="left" w:pos="284"/>
        </w:tabs>
      </w:pPr>
      <w:r>
        <w:rPr>
          <w:rStyle w:val="FootnoteReference"/>
        </w:rPr>
        <w:footnoteRef/>
      </w:r>
      <w:r>
        <w:t xml:space="preserve"> </w:t>
      </w:r>
      <w:r>
        <w:tab/>
        <w:t>См. сноску 2, выше, стр. 18.</w:t>
      </w:r>
    </w:p>
  </w:footnote>
  <w:footnote w:id="21">
    <w:p w:rsidR="00000000" w:rsidRDefault="00000000">
      <w:pPr>
        <w:pStyle w:val="FootnoteText"/>
        <w:tabs>
          <w:tab w:val="left" w:pos="227"/>
          <w:tab w:val="left" w:pos="284"/>
        </w:tabs>
      </w:pPr>
      <w:r>
        <w:rPr>
          <w:rStyle w:val="FootnoteReference"/>
        </w:rPr>
        <w:footnoteRef/>
      </w:r>
      <w:r>
        <w:t xml:space="preserve"> </w:t>
      </w:r>
      <w:r>
        <w:tab/>
        <w:t>Далее упоминается как Закон о равенстве лиц, состоящих в браке.</w:t>
      </w:r>
    </w:p>
  </w:footnote>
  <w:footnote w:id="22">
    <w:p w:rsidR="00000000" w:rsidRDefault="00000000">
      <w:pPr>
        <w:pStyle w:val="FootnoteText"/>
        <w:tabs>
          <w:tab w:val="left" w:pos="284"/>
        </w:tabs>
      </w:pPr>
      <w:r>
        <w:rPr>
          <w:rStyle w:val="FootnoteReference"/>
        </w:rPr>
        <w:t>21</w:t>
      </w:r>
      <w:r>
        <w:t xml:space="preserve"> </w:t>
      </w:r>
      <w:r>
        <w:tab/>
        <w:t>Конституция Намибии, статья 10.</w:t>
      </w:r>
    </w:p>
  </w:footnote>
  <w:footnote w:id="23">
    <w:p w:rsidR="00000000" w:rsidRDefault="00000000">
      <w:pPr>
        <w:pStyle w:val="FootnoteText"/>
        <w:tabs>
          <w:tab w:val="left" w:pos="284"/>
        </w:tabs>
      </w:pPr>
      <w:r>
        <w:rPr>
          <w:rStyle w:val="FootnoteReference"/>
        </w:rPr>
        <w:t>22</w:t>
      </w:r>
      <w:r>
        <w:t xml:space="preserve"> </w:t>
      </w:r>
      <w:r>
        <w:tab/>
        <w:t>Национальная гендерная политика, 1997 г.</w:t>
      </w:r>
    </w:p>
  </w:footnote>
  <w:footnote w:id="24">
    <w:p w:rsidR="00000000" w:rsidRDefault="00000000">
      <w:pPr>
        <w:pStyle w:val="FootnoteText"/>
        <w:tabs>
          <w:tab w:val="left" w:pos="284"/>
        </w:tabs>
        <w:rPr>
          <w:i/>
        </w:rPr>
      </w:pPr>
      <w:r>
        <w:rPr>
          <w:rStyle w:val="FootnoteReference"/>
        </w:rPr>
        <w:t>23</w:t>
      </w:r>
      <w:r>
        <w:t xml:space="preserve"> </w:t>
      </w:r>
      <w:r>
        <w:tab/>
        <w:t>Там же</w:t>
      </w:r>
      <w:r>
        <w:rPr>
          <w:i/>
        </w:rPr>
        <w:t>.</w:t>
      </w:r>
    </w:p>
  </w:footnote>
  <w:footnote w:id="25">
    <w:p w:rsidR="00000000" w:rsidRDefault="00000000">
      <w:pPr>
        <w:pStyle w:val="FootnoteText"/>
        <w:tabs>
          <w:tab w:val="left" w:pos="284"/>
        </w:tabs>
        <w:jc w:val="both"/>
      </w:pPr>
      <w:r>
        <w:rPr>
          <w:rStyle w:val="FootnoteReference"/>
        </w:rPr>
        <w:t>24</w:t>
      </w:r>
      <w:r>
        <w:t xml:space="preserve"> </w:t>
      </w:r>
      <w:r>
        <w:tab/>
        <w:t>Анализ SWOT был проведен в ноябре 2001 года миссией Экономической комиссии Организации Объединенных Наций для Африки (ЭКАООН), возглавляемой Хильдой Тадриа, специальным советником ЭКАООН по гендерным вопросам.</w:t>
      </w:r>
    </w:p>
  </w:footnote>
  <w:footnote w:id="26">
    <w:p w:rsidR="00000000" w:rsidRDefault="00000000">
      <w:pPr>
        <w:pStyle w:val="FootnoteText"/>
        <w:tabs>
          <w:tab w:val="left" w:pos="284"/>
        </w:tabs>
        <w:jc w:val="both"/>
      </w:pPr>
      <w:r>
        <w:rPr>
          <w:rStyle w:val="FootnoteReference"/>
        </w:rPr>
        <w:t>25</w:t>
      </w:r>
      <w:r>
        <w:tab/>
        <w:t>UNECA, Report of the Mission to Namibia: Gender Mainstreaming Programme, July 2002, p. 27.</w:t>
      </w:r>
    </w:p>
  </w:footnote>
  <w:footnote w:id="27">
    <w:p w:rsidR="00000000" w:rsidRDefault="00000000">
      <w:pPr>
        <w:pStyle w:val="FootnoteText"/>
        <w:tabs>
          <w:tab w:val="left" w:pos="284"/>
        </w:tabs>
        <w:jc w:val="both"/>
      </w:pPr>
      <w:r>
        <w:rPr>
          <w:rStyle w:val="FootnoteReference"/>
        </w:rPr>
        <w:t>26</w:t>
      </w:r>
      <w:r>
        <w:t xml:space="preserve"> </w:t>
      </w:r>
      <w:r>
        <w:tab/>
        <w:t>Конституция Намибии.</w:t>
      </w:r>
    </w:p>
  </w:footnote>
  <w:footnote w:id="28">
    <w:p w:rsidR="00000000" w:rsidRDefault="00000000">
      <w:pPr>
        <w:pStyle w:val="FootnoteText"/>
        <w:tabs>
          <w:tab w:val="left" w:pos="284"/>
        </w:tabs>
        <w:jc w:val="both"/>
      </w:pPr>
      <w:r>
        <w:rPr>
          <w:rStyle w:val="FootnoteReference"/>
        </w:rPr>
        <w:t>27</w:t>
      </w:r>
      <w:r>
        <w:t xml:space="preserve"> </w:t>
      </w:r>
      <w:r>
        <w:tab/>
        <w:t>Статья 91 (d) возлагает на омбудсмена "обязанность расследовать жалобы, касающиеся методов и действий лиц, предприятий и других частных учреждений в тех случаях, когда в таких жалобах утверждается, что имели место нарушения основных прав и свобод, предусмотренных Конституцией".</w:t>
      </w:r>
    </w:p>
  </w:footnote>
  <w:footnote w:id="29">
    <w:p w:rsidR="00000000" w:rsidRDefault="00000000">
      <w:pPr>
        <w:pStyle w:val="FootnoteText"/>
        <w:tabs>
          <w:tab w:val="left" w:pos="170"/>
          <w:tab w:val="left" w:pos="284"/>
        </w:tabs>
        <w:jc w:val="both"/>
      </w:pPr>
      <w:r>
        <w:rPr>
          <w:rStyle w:val="FootnoteReference"/>
        </w:rPr>
        <w:t>28</w:t>
      </w:r>
      <w:r>
        <w:t xml:space="preserve"> </w:t>
      </w:r>
      <w:r>
        <w:tab/>
        <w:t>Namibia Today, 18-24 October 2002.</w:t>
      </w:r>
    </w:p>
  </w:footnote>
  <w:footnote w:id="30">
    <w:p w:rsidR="00000000" w:rsidRDefault="00000000">
      <w:pPr>
        <w:pStyle w:val="FootnoteText"/>
        <w:tabs>
          <w:tab w:val="left" w:pos="284"/>
          <w:tab w:val="left" w:pos="567"/>
        </w:tabs>
        <w:ind w:left="567" w:hanging="567"/>
        <w:jc w:val="both"/>
      </w:pPr>
      <w:r>
        <w:rPr>
          <w:rStyle w:val="FootnoteReference"/>
        </w:rPr>
        <w:t>29</w:t>
      </w:r>
      <w:r>
        <w:tab/>
        <w:t>a)</w:t>
      </w:r>
      <w:r>
        <w:tab/>
        <w:t>когда продолжение беременности угрожает жизни женщины;</w:t>
      </w:r>
    </w:p>
    <w:p w:rsidR="00000000" w:rsidRDefault="00000000">
      <w:pPr>
        <w:pStyle w:val="FootnoteText"/>
        <w:tabs>
          <w:tab w:val="left" w:pos="284"/>
          <w:tab w:val="left" w:pos="567"/>
        </w:tabs>
        <w:ind w:left="567" w:hanging="567"/>
        <w:jc w:val="both"/>
      </w:pPr>
      <w:r>
        <w:tab/>
        <w:t>b)</w:t>
      </w:r>
      <w:r>
        <w:tab/>
        <w:t>когда она создает серьезную угрозу ее физическому здоровью;</w:t>
      </w:r>
    </w:p>
    <w:p w:rsidR="00000000" w:rsidRDefault="00000000">
      <w:pPr>
        <w:pStyle w:val="FootnoteText"/>
        <w:tabs>
          <w:tab w:val="left" w:pos="284"/>
          <w:tab w:val="left" w:pos="567"/>
        </w:tabs>
        <w:ind w:left="567" w:hanging="567"/>
        <w:jc w:val="both"/>
      </w:pPr>
      <w:r>
        <w:tab/>
        <w:t>c)</w:t>
      </w:r>
      <w:r>
        <w:tab/>
        <w:t>когда она создает серьезную угрозу ее психическому здоровью;</w:t>
      </w:r>
    </w:p>
    <w:p w:rsidR="00000000" w:rsidRDefault="00000000">
      <w:pPr>
        <w:pStyle w:val="FootnoteText"/>
        <w:tabs>
          <w:tab w:val="left" w:pos="284"/>
          <w:tab w:val="left" w:pos="567"/>
        </w:tabs>
        <w:ind w:left="567" w:hanging="567"/>
        <w:jc w:val="both"/>
      </w:pPr>
      <w:r>
        <w:tab/>
        <w:t>d)</w:t>
      </w:r>
      <w:r>
        <w:tab/>
        <w:t>когда существует серьезный риск того, что рожденный ребенок будет страдать физическим недостатком такого характера, который приведет его к неизлечимой инвалидности;</w:t>
      </w:r>
    </w:p>
    <w:p w:rsidR="00000000" w:rsidRDefault="00000000">
      <w:pPr>
        <w:pStyle w:val="FootnoteText"/>
        <w:tabs>
          <w:tab w:val="left" w:pos="284"/>
          <w:tab w:val="left" w:pos="567"/>
        </w:tabs>
        <w:ind w:left="567" w:hanging="567"/>
        <w:jc w:val="both"/>
      </w:pPr>
      <w:r>
        <w:tab/>
        <w:t>e)</w:t>
      </w:r>
      <w:r>
        <w:tab/>
        <w:t>когда существует серьезный риск того, что ребенок будет страдать от умственного недостатка такого характера, который приведет его к неизлечимой инвалидности;</w:t>
      </w:r>
    </w:p>
    <w:p w:rsidR="00000000" w:rsidRDefault="00000000">
      <w:pPr>
        <w:pStyle w:val="FootnoteText"/>
        <w:tabs>
          <w:tab w:val="left" w:pos="284"/>
          <w:tab w:val="left" w:pos="567"/>
        </w:tabs>
        <w:ind w:left="567" w:hanging="567"/>
        <w:jc w:val="both"/>
      </w:pPr>
      <w:r>
        <w:tab/>
        <w:t>f)</w:t>
      </w:r>
      <w:r>
        <w:tab/>
        <w:t>когда плод предположительно был зачат в результате инцеста;</w:t>
      </w:r>
    </w:p>
    <w:p w:rsidR="00000000" w:rsidRDefault="00000000">
      <w:pPr>
        <w:pStyle w:val="FootnoteText"/>
        <w:tabs>
          <w:tab w:val="left" w:pos="284"/>
          <w:tab w:val="left" w:pos="567"/>
        </w:tabs>
        <w:ind w:left="567" w:hanging="567"/>
        <w:jc w:val="both"/>
      </w:pPr>
      <w:r>
        <w:tab/>
        <w:t>g)</w:t>
      </w:r>
      <w:r>
        <w:tab/>
        <w:t>когда плод предположительно был зачат в результате изнасилования.</w:t>
      </w:r>
    </w:p>
  </w:footnote>
  <w:footnote w:id="31">
    <w:p w:rsidR="00000000" w:rsidRDefault="00000000">
      <w:pPr>
        <w:pStyle w:val="FootnoteText"/>
        <w:tabs>
          <w:tab w:val="left" w:pos="284"/>
        </w:tabs>
      </w:pPr>
      <w:r>
        <w:rPr>
          <w:rStyle w:val="FootnoteReference"/>
        </w:rPr>
        <w:t>30</w:t>
      </w:r>
      <w:r>
        <w:t xml:space="preserve"> </w:t>
      </w:r>
      <w:r>
        <w:tab/>
        <w:t>КЛДЖ, 1995 г., стp. 25.</w:t>
      </w:r>
    </w:p>
  </w:footnote>
  <w:footnote w:id="32">
    <w:p w:rsidR="00000000" w:rsidRDefault="00000000">
      <w:pPr>
        <w:pStyle w:val="FootnoteText"/>
        <w:tabs>
          <w:tab w:val="left" w:pos="284"/>
        </w:tabs>
      </w:pPr>
      <w:r>
        <w:rPr>
          <w:rStyle w:val="FootnoteReference"/>
        </w:rPr>
        <w:t>31</w:t>
      </w:r>
      <w:r>
        <w:t xml:space="preserve"> </w:t>
      </w:r>
      <w:r>
        <w:tab/>
        <w:t>SIAPAC, Inequalities and Social Welfare: Vision 2030, 2002, p. 89.</w:t>
      </w:r>
    </w:p>
  </w:footnote>
  <w:footnote w:id="33">
    <w:p w:rsidR="00000000" w:rsidRDefault="00000000">
      <w:pPr>
        <w:pStyle w:val="FootnoteText"/>
        <w:tabs>
          <w:tab w:val="left" w:pos="284"/>
        </w:tabs>
      </w:pPr>
      <w:r>
        <w:rPr>
          <w:rStyle w:val="FootnoteReference"/>
        </w:rPr>
        <w:t>32</w:t>
      </w:r>
      <w:r>
        <w:t xml:space="preserve"> </w:t>
      </w:r>
      <w:r>
        <w:tab/>
        <w:t>Dianne Hubbard, 2001.</w:t>
      </w:r>
    </w:p>
  </w:footnote>
  <w:footnote w:id="34">
    <w:p w:rsidR="00000000" w:rsidRDefault="00000000">
      <w:pPr>
        <w:pStyle w:val="FootnoteText"/>
        <w:tabs>
          <w:tab w:val="left" w:pos="284"/>
        </w:tabs>
      </w:pPr>
      <w:r>
        <w:rPr>
          <w:rStyle w:val="FootnoteReference"/>
        </w:rPr>
        <w:t>33</w:t>
      </w:r>
      <w:r>
        <w:t xml:space="preserve"> </w:t>
      </w:r>
      <w:r>
        <w:tab/>
        <w:t>Dianne Hubbard, 2001.</w:t>
      </w:r>
    </w:p>
  </w:footnote>
  <w:footnote w:id="35">
    <w:p w:rsidR="00000000" w:rsidRDefault="00000000">
      <w:pPr>
        <w:pStyle w:val="FootnoteText"/>
        <w:tabs>
          <w:tab w:val="left" w:pos="284"/>
        </w:tabs>
      </w:pPr>
      <w:r>
        <w:rPr>
          <w:rStyle w:val="FootnoteReference"/>
        </w:rPr>
        <w:t>34</w:t>
      </w:r>
      <w:r>
        <w:t xml:space="preserve"> </w:t>
      </w:r>
      <w:r>
        <w:tab/>
        <w:t>Называемый в дальнейшем Законом о борьбе с изнасилованием.</w:t>
      </w:r>
    </w:p>
  </w:footnote>
  <w:footnote w:id="36">
    <w:p w:rsidR="00000000" w:rsidRDefault="00000000">
      <w:pPr>
        <w:pStyle w:val="FootnoteText"/>
        <w:tabs>
          <w:tab w:val="left" w:pos="284"/>
        </w:tabs>
      </w:pPr>
      <w:r>
        <w:rPr>
          <w:rStyle w:val="FootnoteReference"/>
        </w:rPr>
        <w:t>35</w:t>
      </w:r>
      <w:r>
        <w:t xml:space="preserve"> </w:t>
      </w:r>
      <w:r>
        <w:tab/>
        <w:t>LAC, Guide to Combating Rape Act, 2001.</w:t>
      </w:r>
    </w:p>
  </w:footnote>
  <w:footnote w:id="37">
    <w:p w:rsidR="00000000" w:rsidRDefault="00000000">
      <w:pPr>
        <w:pStyle w:val="FootnoteText"/>
        <w:tabs>
          <w:tab w:val="left" w:pos="284"/>
        </w:tabs>
      </w:pPr>
      <w:r>
        <w:rPr>
          <w:rStyle w:val="FootnoteReference"/>
        </w:rPr>
        <w:t>36</w:t>
      </w:r>
      <w:r>
        <w:t xml:space="preserve"> </w:t>
      </w:r>
      <w:r>
        <w:tab/>
        <w:t>Министерство по делам женщин и охране детства (MWACW), 2000 г.</w:t>
      </w:r>
    </w:p>
  </w:footnote>
  <w:footnote w:id="38">
    <w:p w:rsidR="00000000" w:rsidRDefault="00000000">
      <w:pPr>
        <w:pStyle w:val="FootnoteText"/>
        <w:tabs>
          <w:tab w:val="left" w:pos="284"/>
        </w:tabs>
      </w:pPr>
      <w:r>
        <w:rPr>
          <w:rStyle w:val="FootnoteReference"/>
        </w:rPr>
        <w:t>37</w:t>
      </w:r>
      <w:r>
        <w:t xml:space="preserve"> </w:t>
      </w:r>
      <w:r>
        <w:tab/>
        <w:t>WCPU, 2000.</w:t>
      </w:r>
    </w:p>
  </w:footnote>
  <w:footnote w:id="39">
    <w:p w:rsidR="00000000" w:rsidRDefault="00000000">
      <w:pPr>
        <w:pStyle w:val="FootnoteText"/>
        <w:tabs>
          <w:tab w:val="left" w:pos="284"/>
        </w:tabs>
      </w:pPr>
      <w:r>
        <w:rPr>
          <w:rStyle w:val="FootnoteReference"/>
        </w:rPr>
        <w:t>38</w:t>
      </w:r>
      <w:r>
        <w:t xml:space="preserve"> </w:t>
      </w:r>
      <w:r>
        <w:tab/>
        <w:t>Комиссия по правовой реформе и развитию, Доклад о бытовом насилии, декабрь 2000 г.</w:t>
      </w:r>
    </w:p>
  </w:footnote>
  <w:footnote w:id="40">
    <w:p w:rsidR="00000000" w:rsidRDefault="00000000">
      <w:pPr>
        <w:pStyle w:val="FootnoteText"/>
        <w:tabs>
          <w:tab w:val="left" w:pos="284"/>
        </w:tabs>
      </w:pPr>
      <w:r>
        <w:rPr>
          <w:rStyle w:val="FootnoteReference"/>
        </w:rPr>
        <w:t>39</w:t>
      </w:r>
      <w:r>
        <w:t xml:space="preserve"> </w:t>
      </w:r>
      <w:r>
        <w:tab/>
        <w:t>SIAPAC, 2002.</w:t>
      </w:r>
    </w:p>
  </w:footnote>
  <w:footnote w:id="41">
    <w:p w:rsidR="00000000" w:rsidRDefault="00000000">
      <w:pPr>
        <w:pStyle w:val="FootnoteText"/>
        <w:tabs>
          <w:tab w:val="left" w:pos="284"/>
        </w:tabs>
      </w:pPr>
      <w:r>
        <w:rPr>
          <w:rStyle w:val="FootnoteReference"/>
        </w:rPr>
        <w:t>40</w:t>
      </w:r>
      <w:r>
        <w:t xml:space="preserve"> </w:t>
      </w:r>
      <w:r>
        <w:tab/>
        <w:t>"A situation analysis of Orphans Children in Namibia", April 2002 (исследование, проведенное SIAPAC).</w:t>
      </w:r>
    </w:p>
  </w:footnote>
  <w:footnote w:id="42">
    <w:p w:rsidR="00000000" w:rsidRDefault="00000000">
      <w:pPr>
        <w:pStyle w:val="FootnoteText"/>
        <w:tabs>
          <w:tab w:val="left" w:pos="284"/>
        </w:tabs>
      </w:pPr>
      <w:r>
        <w:rPr>
          <w:rStyle w:val="FootnoteReference"/>
        </w:rPr>
        <w:t>41</w:t>
      </w:r>
      <w:r>
        <w:t xml:space="preserve"> </w:t>
      </w:r>
      <w:r>
        <w:tab/>
        <w:t>Там же.</w:t>
      </w:r>
    </w:p>
  </w:footnote>
  <w:footnote w:id="43">
    <w:p w:rsidR="00000000" w:rsidRDefault="00000000">
      <w:pPr>
        <w:pStyle w:val="FootnoteText"/>
        <w:tabs>
          <w:tab w:val="left" w:pos="284"/>
        </w:tabs>
      </w:pPr>
      <w:r>
        <w:rPr>
          <w:rStyle w:val="FootnoteReference"/>
        </w:rPr>
        <w:t>42</w:t>
      </w:r>
      <w:r>
        <w:t xml:space="preserve"> </w:t>
      </w:r>
      <w:r>
        <w:tab/>
        <w:t>Там же.</w:t>
      </w:r>
    </w:p>
  </w:footnote>
  <w:footnote w:id="44">
    <w:p w:rsidR="00000000" w:rsidRDefault="00000000">
      <w:pPr>
        <w:pStyle w:val="FootnoteText"/>
        <w:tabs>
          <w:tab w:val="left" w:pos="284"/>
        </w:tabs>
      </w:pPr>
      <w:r>
        <w:rPr>
          <w:rStyle w:val="FootnoteReference"/>
        </w:rPr>
        <w:t>43</w:t>
      </w:r>
      <w:r>
        <w:t xml:space="preserve"> </w:t>
      </w:r>
      <w:r>
        <w:tab/>
        <w:t>Называемый далее Законом о позитивных действиях (в области занятости).</w:t>
      </w:r>
    </w:p>
  </w:footnote>
  <w:footnote w:id="45">
    <w:p w:rsidR="00000000" w:rsidRDefault="00000000">
      <w:pPr>
        <w:pStyle w:val="FootnoteText"/>
        <w:tabs>
          <w:tab w:val="left" w:pos="284"/>
        </w:tabs>
      </w:pPr>
      <w:r>
        <w:rPr>
          <w:rStyle w:val="FootnoteReference"/>
        </w:rPr>
        <w:t>44</w:t>
      </w:r>
      <w:r>
        <w:t xml:space="preserve"> </w:t>
      </w:r>
      <w:r>
        <w:tab/>
        <w:t>Национальная политика в области расселения (MLRR).</w:t>
      </w:r>
    </w:p>
  </w:footnote>
  <w:footnote w:id="46">
    <w:p w:rsidR="00000000" w:rsidRDefault="00000000">
      <w:pPr>
        <w:pStyle w:val="FootnoteText"/>
        <w:tabs>
          <w:tab w:val="left" w:pos="284"/>
        </w:tabs>
      </w:pPr>
      <w:r>
        <w:rPr>
          <w:rStyle w:val="FootnoteReference"/>
        </w:rPr>
        <w:t>45</w:t>
      </w:r>
      <w:r>
        <w:t xml:space="preserve"> </w:t>
      </w:r>
      <w:r>
        <w:tab/>
        <w:t xml:space="preserve">Закон № 23 о кооперативах 1996 г. </w:t>
      </w:r>
    </w:p>
  </w:footnote>
  <w:footnote w:id="47">
    <w:p w:rsidR="00000000" w:rsidRDefault="00000000">
      <w:pPr>
        <w:pStyle w:val="FootnoteText"/>
        <w:tabs>
          <w:tab w:val="left" w:pos="284"/>
        </w:tabs>
      </w:pPr>
      <w:r>
        <w:rPr>
          <w:rStyle w:val="FootnoteReference"/>
        </w:rPr>
        <w:t>46</w:t>
      </w:r>
      <w:r>
        <w:t xml:space="preserve"> </w:t>
      </w:r>
      <w:r>
        <w:tab/>
        <w:t>Закон № 34 о социальном обеспечении 1994 г.</w:t>
      </w:r>
    </w:p>
  </w:footnote>
  <w:footnote w:id="48">
    <w:p w:rsidR="00000000" w:rsidRDefault="00000000">
      <w:pPr>
        <w:pStyle w:val="FootnoteText"/>
        <w:tabs>
          <w:tab w:val="left" w:pos="284"/>
        </w:tabs>
      </w:pPr>
      <w:r>
        <w:rPr>
          <w:rStyle w:val="FootnoteReference"/>
        </w:rPr>
        <w:t>47</w:t>
      </w:r>
      <w:r>
        <w:t xml:space="preserve"> </w:t>
      </w:r>
      <w:r>
        <w:tab/>
        <w:t>Закон Намибии № 7 о спорте 1995 г.</w:t>
      </w:r>
    </w:p>
  </w:footnote>
  <w:footnote w:id="49">
    <w:p w:rsidR="00000000" w:rsidRDefault="00000000">
      <w:pPr>
        <w:pStyle w:val="FootnoteText"/>
        <w:tabs>
          <w:tab w:val="left" w:pos="284"/>
        </w:tabs>
        <w:jc w:val="both"/>
      </w:pPr>
      <w:r>
        <w:rPr>
          <w:rStyle w:val="FootnoteReference"/>
        </w:rPr>
        <w:t>48</w:t>
      </w:r>
      <w:r>
        <w:t xml:space="preserve"> </w:t>
      </w:r>
      <w:r>
        <w:tab/>
        <w:t>Под целевыми группами подразумеваются лица, находящиеся в неблагоприятном положении в силу расовой принадлежности, женщины и инвалиды.</w:t>
      </w:r>
    </w:p>
  </w:footnote>
  <w:footnote w:id="50">
    <w:p w:rsidR="00000000" w:rsidRDefault="00000000">
      <w:pPr>
        <w:pStyle w:val="FootnoteText"/>
        <w:tabs>
          <w:tab w:val="left" w:pos="284"/>
        </w:tabs>
      </w:pPr>
      <w:r>
        <w:rPr>
          <w:rStyle w:val="FootnoteReference"/>
        </w:rPr>
        <w:t>49</w:t>
      </w:r>
      <w:r>
        <w:t xml:space="preserve"> </w:t>
      </w:r>
      <w:r>
        <w:tab/>
        <w:t>Dianne Hubbard, LAC, August 2002.</w:t>
      </w:r>
    </w:p>
  </w:footnote>
  <w:footnote w:id="51">
    <w:p w:rsidR="00000000" w:rsidRDefault="00000000">
      <w:pPr>
        <w:pStyle w:val="FootnoteText"/>
        <w:tabs>
          <w:tab w:val="left" w:pos="284"/>
        </w:tabs>
      </w:pPr>
      <w:r>
        <w:rPr>
          <w:rStyle w:val="FootnoteReference"/>
        </w:rPr>
        <w:t>50</w:t>
      </w:r>
      <w:r>
        <w:t xml:space="preserve"> </w:t>
      </w:r>
      <w:r>
        <w:tab/>
        <w:t>Закон № 21 от 1980 года.</w:t>
      </w:r>
    </w:p>
  </w:footnote>
  <w:footnote w:id="52">
    <w:p w:rsidR="00000000" w:rsidRDefault="00000000">
      <w:pPr>
        <w:pStyle w:val="FootnoteText"/>
        <w:tabs>
          <w:tab w:val="left" w:pos="284"/>
        </w:tabs>
      </w:pPr>
      <w:r>
        <w:rPr>
          <w:rStyle w:val="FootnoteReference"/>
        </w:rPr>
        <w:t>51</w:t>
      </w:r>
      <w:r>
        <w:t xml:space="preserve"> </w:t>
      </w:r>
      <w:r>
        <w:tab/>
        <w:t>Центр правовой помощи, 2002 г., стр. 67.</w:t>
      </w:r>
    </w:p>
  </w:footnote>
  <w:footnote w:id="53">
    <w:p w:rsidR="00000000" w:rsidRDefault="00000000">
      <w:pPr>
        <w:pStyle w:val="FootnoteText"/>
        <w:tabs>
          <w:tab w:val="left" w:pos="284"/>
        </w:tabs>
      </w:pPr>
      <w:r>
        <w:rPr>
          <w:rStyle w:val="FootnoteReference"/>
        </w:rPr>
        <w:t>52</w:t>
      </w:r>
      <w:r>
        <w:t xml:space="preserve"> </w:t>
      </w:r>
      <w:r>
        <w:tab/>
        <w:t>Термин "большинство" здесь относится к большинству полученных ответов.</w:t>
      </w:r>
    </w:p>
  </w:footnote>
  <w:footnote w:id="54">
    <w:p w:rsidR="00000000" w:rsidRDefault="00000000">
      <w:pPr>
        <w:pStyle w:val="FootnoteText"/>
        <w:tabs>
          <w:tab w:val="left" w:pos="284"/>
        </w:tabs>
      </w:pPr>
      <w:r>
        <w:rPr>
          <w:rStyle w:val="FootnoteReference"/>
        </w:rPr>
        <w:t>53</w:t>
      </w:r>
      <w:r>
        <w:t xml:space="preserve"> </w:t>
      </w:r>
      <w:r>
        <w:tab/>
        <w:t>Центр правовой помощи, 2002 г. стр. 16.</w:t>
      </w:r>
    </w:p>
  </w:footnote>
  <w:footnote w:id="55">
    <w:p w:rsidR="00000000" w:rsidRDefault="00000000">
      <w:pPr>
        <w:pStyle w:val="FootnoteText"/>
        <w:tabs>
          <w:tab w:val="left" w:pos="284"/>
        </w:tabs>
      </w:pPr>
      <w:r>
        <w:rPr>
          <w:rStyle w:val="FootnoteReference"/>
        </w:rPr>
        <w:t>54</w:t>
      </w:r>
      <w:r>
        <w:t xml:space="preserve"> </w:t>
      </w:r>
      <w:r>
        <w:tab/>
        <w:t xml:space="preserve">The Namibian, 9 April 2001. </w:t>
      </w:r>
    </w:p>
  </w:footnote>
  <w:footnote w:id="56">
    <w:p w:rsidR="00000000" w:rsidRDefault="00000000">
      <w:pPr>
        <w:pStyle w:val="FootnoteText"/>
        <w:tabs>
          <w:tab w:val="left" w:pos="284"/>
        </w:tabs>
      </w:pPr>
      <w:r>
        <w:rPr>
          <w:rStyle w:val="FootnoteReference"/>
        </w:rPr>
        <w:t>55</w:t>
      </w:r>
      <w:r>
        <w:t xml:space="preserve"> </w:t>
      </w:r>
      <w:r>
        <w:tab/>
        <w:t>The Namibian, 21 May 2002.</w:t>
      </w:r>
    </w:p>
  </w:footnote>
  <w:footnote w:id="57">
    <w:p w:rsidR="00000000" w:rsidRDefault="00000000">
      <w:pPr>
        <w:pStyle w:val="FootnoteText"/>
        <w:tabs>
          <w:tab w:val="left" w:pos="284"/>
        </w:tabs>
      </w:pPr>
      <w:r>
        <w:rPr>
          <w:rStyle w:val="FootnoteReference"/>
        </w:rPr>
        <w:t>56</w:t>
      </w:r>
      <w:r>
        <w:t xml:space="preserve"> </w:t>
      </w:r>
      <w:r>
        <w:tab/>
        <w:t>The Namibian, 14 December 2000.</w:t>
      </w:r>
    </w:p>
  </w:footnote>
  <w:footnote w:id="58">
    <w:p w:rsidR="00000000" w:rsidRDefault="00000000">
      <w:pPr>
        <w:pStyle w:val="FootnoteText"/>
        <w:tabs>
          <w:tab w:val="left" w:pos="284"/>
        </w:tabs>
        <w:jc w:val="both"/>
      </w:pPr>
      <w:r>
        <w:rPr>
          <w:rStyle w:val="FootnoteReference"/>
        </w:rPr>
        <w:t>57</w:t>
      </w:r>
      <w:r>
        <w:t xml:space="preserve"> </w:t>
      </w:r>
      <w:r>
        <w:tab/>
        <w:t>Конституция Намибии, статья 17 (2). Эти права могут быть "аннулированы, приостановлены или ограничены Парламентом в отношении определенных категорий лиц лишь на таких основаниях недееспособности или исходя из таких соображений общественных интересов или нравственности, какие необходимы в демократическом обществе".</w:t>
      </w:r>
    </w:p>
  </w:footnote>
  <w:footnote w:id="59">
    <w:p w:rsidR="00000000" w:rsidRDefault="00000000">
      <w:pPr>
        <w:pStyle w:val="FootnoteText"/>
        <w:tabs>
          <w:tab w:val="left" w:pos="284"/>
        </w:tabs>
      </w:pPr>
      <w:r>
        <w:rPr>
          <w:rStyle w:val="FootnoteReference"/>
        </w:rPr>
        <w:t>58</w:t>
      </w:r>
      <w:r>
        <w:t xml:space="preserve"> </w:t>
      </w:r>
      <w:r>
        <w:tab/>
        <w:t>Конституция Намибии, статья 23 (3).</w:t>
      </w:r>
    </w:p>
  </w:footnote>
  <w:footnote w:id="60">
    <w:p w:rsidR="00000000" w:rsidRDefault="00000000">
      <w:pPr>
        <w:pStyle w:val="FootnoteText"/>
        <w:tabs>
          <w:tab w:val="left" w:pos="284"/>
        </w:tabs>
      </w:pPr>
      <w:r>
        <w:rPr>
          <w:rStyle w:val="FootnoteReference"/>
        </w:rPr>
        <w:t>59</w:t>
      </w:r>
      <w:r>
        <w:t xml:space="preserve"> </w:t>
      </w:r>
      <w:r>
        <w:tab/>
      </w:r>
      <w:r>
        <w:rPr>
          <w:lang w:val="en-US"/>
        </w:rPr>
        <w:t>SADC Gender Monitor, March 2001, p. </w:t>
      </w:r>
      <w:r>
        <w:t>1.</w:t>
      </w:r>
    </w:p>
  </w:footnote>
  <w:footnote w:id="61">
    <w:p w:rsidR="00000000" w:rsidRDefault="00000000">
      <w:pPr>
        <w:pStyle w:val="FootnoteText"/>
        <w:tabs>
          <w:tab w:val="left" w:pos="284"/>
        </w:tabs>
      </w:pPr>
      <w:r>
        <w:rPr>
          <w:rStyle w:val="FootnoteReference"/>
        </w:rPr>
        <w:t>60</w:t>
      </w:r>
      <w:r>
        <w:t xml:space="preserve"> </w:t>
      </w:r>
      <w:r>
        <w:tab/>
        <w:t>Комиссия по вопросам равноправия в области занятости, Ежегодный доклад, 2001–2002 гг., стр. 21.</w:t>
      </w:r>
    </w:p>
  </w:footnote>
  <w:footnote w:id="62">
    <w:p w:rsidR="00000000" w:rsidRDefault="00000000">
      <w:pPr>
        <w:pStyle w:val="FootnoteText"/>
        <w:tabs>
          <w:tab w:val="left" w:pos="284"/>
        </w:tabs>
      </w:pPr>
      <w:r>
        <w:rPr>
          <w:rStyle w:val="FootnoteReference"/>
        </w:rPr>
        <w:t>61</w:t>
      </w:r>
      <w:r>
        <w:t xml:space="preserve"> </w:t>
      </w:r>
      <w:r>
        <w:tab/>
      </w:r>
      <w:r>
        <w:rPr>
          <w:lang w:val="en-US"/>
        </w:rPr>
        <w:t>UNAM</w:t>
      </w:r>
      <w:r>
        <w:t>, Ежегодный доклад, 2001 г.</w:t>
      </w:r>
    </w:p>
  </w:footnote>
  <w:footnote w:id="63">
    <w:p w:rsidR="00000000" w:rsidRDefault="00000000">
      <w:pPr>
        <w:pStyle w:val="FootnoteText"/>
        <w:tabs>
          <w:tab w:val="left" w:pos="284"/>
        </w:tabs>
        <w:rPr>
          <w:sz w:val="22"/>
        </w:rPr>
      </w:pPr>
      <w:r>
        <w:rPr>
          <w:rStyle w:val="FootnoteReference"/>
        </w:rPr>
        <w:t>62</w:t>
      </w:r>
      <w:r>
        <w:t xml:space="preserve"> </w:t>
      </w:r>
      <w:r>
        <w:tab/>
      </w:r>
      <w:r>
        <w:rPr>
          <w:lang w:val="en-US"/>
        </w:rPr>
        <w:t>UNAM</w:t>
      </w:r>
      <w:r>
        <w:t>, Ежегодный доклад, 1999 г.</w:t>
      </w:r>
    </w:p>
  </w:footnote>
  <w:footnote w:id="64">
    <w:p w:rsidR="00000000" w:rsidRDefault="00000000">
      <w:pPr>
        <w:pStyle w:val="FootnoteText"/>
        <w:tabs>
          <w:tab w:val="left" w:pos="284"/>
        </w:tabs>
      </w:pPr>
      <w:r>
        <w:rPr>
          <w:rStyle w:val="FootnoteReference"/>
        </w:rPr>
        <w:t>63</w:t>
      </w:r>
      <w:r>
        <w:t xml:space="preserve"> См. сноску 2, выше.</w:t>
      </w:r>
    </w:p>
  </w:footnote>
  <w:footnote w:id="65">
    <w:p w:rsidR="00000000" w:rsidRDefault="00000000">
      <w:pPr>
        <w:pStyle w:val="FootnoteText"/>
        <w:tabs>
          <w:tab w:val="left" w:pos="284"/>
        </w:tabs>
      </w:pPr>
      <w:r>
        <w:rPr>
          <w:rStyle w:val="FootnoteReference"/>
        </w:rPr>
        <w:t>64</w:t>
      </w:r>
      <w:r>
        <w:t xml:space="preserve"> Там же.</w:t>
      </w:r>
    </w:p>
  </w:footnote>
  <w:footnote w:id="66">
    <w:p w:rsidR="00000000" w:rsidRDefault="00000000">
      <w:pPr>
        <w:pStyle w:val="FootnoteText"/>
        <w:tabs>
          <w:tab w:val="left" w:pos="284"/>
        </w:tabs>
      </w:pPr>
      <w:r>
        <w:rPr>
          <w:rStyle w:val="FootnoteReference"/>
        </w:rPr>
        <w:t>65</w:t>
      </w:r>
      <w:r>
        <w:t xml:space="preserve"> "</w:t>
      </w:r>
      <w:r>
        <w:rPr>
          <w:lang w:val="en-US"/>
        </w:rPr>
        <w:t>New Era</w:t>
      </w:r>
      <w:r>
        <w:t>" – газета, субсидируемая правительством.</w:t>
      </w:r>
    </w:p>
  </w:footnote>
  <w:footnote w:id="67">
    <w:p w:rsidR="00000000" w:rsidRDefault="00000000">
      <w:pPr>
        <w:pStyle w:val="FootnoteText"/>
        <w:tabs>
          <w:tab w:val="left" w:pos="284"/>
        </w:tabs>
        <w:rPr>
          <w:lang w:val="en-US"/>
        </w:rPr>
      </w:pPr>
      <w:r>
        <w:rPr>
          <w:rStyle w:val="FootnoteReference"/>
        </w:rPr>
        <w:t>66</w:t>
      </w:r>
      <w:r>
        <w:rPr>
          <w:lang w:val="en-US"/>
        </w:rPr>
        <w:t xml:space="preserve"> </w:t>
      </w:r>
      <w:r>
        <w:tab/>
      </w:r>
      <w:r>
        <w:rPr>
          <w:lang w:val="en-US"/>
        </w:rPr>
        <w:t>The National Gender Study, Vol. 1, 2000, p.</w:t>
      </w:r>
      <w:r>
        <w:t xml:space="preserve"> </w:t>
      </w:r>
      <w:r>
        <w:rPr>
          <w:lang w:val="en-US"/>
        </w:rPr>
        <w:t>156.</w:t>
      </w:r>
    </w:p>
  </w:footnote>
  <w:footnote w:id="68">
    <w:p w:rsidR="00000000" w:rsidRDefault="00000000">
      <w:pPr>
        <w:pStyle w:val="FootnoteText"/>
        <w:tabs>
          <w:tab w:val="left" w:pos="284"/>
        </w:tabs>
      </w:pPr>
      <w:r>
        <w:rPr>
          <w:rStyle w:val="FootnoteReference"/>
        </w:rPr>
        <w:t>67</w:t>
      </w:r>
      <w:r>
        <w:t xml:space="preserve"> </w:t>
      </w:r>
      <w:r>
        <w:tab/>
        <w:t>Министерство высшего образования, профессиональной подготовки, науки и техники (</w:t>
      </w:r>
      <w:r>
        <w:rPr>
          <w:lang w:val="en-US"/>
        </w:rPr>
        <w:t>MHEVST</w:t>
      </w:r>
      <w:r>
        <w:t>), Ежегодный доклад, 1999 г., стр. 41.</w:t>
      </w:r>
    </w:p>
  </w:footnote>
  <w:footnote w:id="69">
    <w:p w:rsidR="00000000" w:rsidRDefault="00000000">
      <w:pPr>
        <w:pStyle w:val="FootnoteText"/>
        <w:tabs>
          <w:tab w:val="left" w:pos="284"/>
        </w:tabs>
      </w:pPr>
      <w:r>
        <w:rPr>
          <w:rStyle w:val="FootnoteReference"/>
        </w:rPr>
        <w:t>68</w:t>
      </w:r>
      <w:r>
        <w:t xml:space="preserve"> </w:t>
      </w:r>
      <w:r>
        <w:tab/>
      </w:r>
      <w:r>
        <w:rPr>
          <w:lang w:val="en-US"/>
        </w:rPr>
        <w:t>MHEVST</w:t>
      </w:r>
      <w:r>
        <w:t>, Ежегодный доклад, 1999 г., стр. 47.</w:t>
      </w:r>
    </w:p>
  </w:footnote>
  <w:footnote w:id="70">
    <w:p w:rsidR="00000000" w:rsidRDefault="00000000">
      <w:pPr>
        <w:pStyle w:val="FootnoteText"/>
        <w:tabs>
          <w:tab w:val="left" w:pos="284"/>
        </w:tabs>
      </w:pPr>
      <w:r>
        <w:rPr>
          <w:rStyle w:val="FootnoteReference"/>
        </w:rPr>
        <w:t>69</w:t>
      </w:r>
      <w:r>
        <w:t xml:space="preserve"> </w:t>
      </w:r>
      <w:r>
        <w:tab/>
      </w:r>
      <w:r>
        <w:rPr>
          <w:lang w:val="en-US"/>
        </w:rPr>
        <w:t>MHEVST</w:t>
      </w:r>
      <w:r>
        <w:t>, Ежегодный доклад, 2001 г.</w:t>
      </w:r>
    </w:p>
  </w:footnote>
  <w:footnote w:id="71">
    <w:p w:rsidR="00000000" w:rsidRDefault="00000000">
      <w:pPr>
        <w:pStyle w:val="FootnoteText"/>
        <w:tabs>
          <w:tab w:val="left" w:pos="284"/>
        </w:tabs>
      </w:pPr>
      <w:r>
        <w:rPr>
          <w:rStyle w:val="FootnoteReference"/>
        </w:rPr>
        <w:t>70</w:t>
      </w:r>
      <w:r>
        <w:t xml:space="preserve"> </w:t>
      </w:r>
      <w:r>
        <w:tab/>
      </w:r>
      <w:r>
        <w:rPr>
          <w:lang w:val="en-US"/>
        </w:rPr>
        <w:t>UNAM</w:t>
      </w:r>
      <w:r>
        <w:t>, Ежегодный доклад, 2002 г.</w:t>
      </w:r>
    </w:p>
  </w:footnote>
  <w:footnote w:id="72">
    <w:p w:rsidR="00000000" w:rsidRDefault="00000000">
      <w:pPr>
        <w:pStyle w:val="FootnoteText"/>
        <w:tabs>
          <w:tab w:val="left" w:pos="284"/>
        </w:tabs>
        <w:jc w:val="both"/>
      </w:pPr>
      <w:r>
        <w:rPr>
          <w:rStyle w:val="FootnoteReference"/>
        </w:rPr>
        <w:t>71</w:t>
      </w:r>
      <w:r>
        <w:t xml:space="preserve"> </w:t>
      </w:r>
      <w:r>
        <w:tab/>
        <w:t>Министерство базового образования и культуры, Политика по вопросам беременности среди учащихся-подростков, 1997 г.</w:t>
      </w:r>
    </w:p>
  </w:footnote>
  <w:footnote w:id="73">
    <w:p w:rsidR="00000000" w:rsidRDefault="00000000">
      <w:pPr>
        <w:pStyle w:val="FootnoteText"/>
        <w:tabs>
          <w:tab w:val="left" w:pos="284"/>
        </w:tabs>
      </w:pPr>
      <w:r>
        <w:rPr>
          <w:rStyle w:val="FootnoteReference"/>
        </w:rPr>
        <w:t>72</w:t>
      </w:r>
      <w:r>
        <w:rPr>
          <w:lang w:val="en-US"/>
        </w:rPr>
        <w:t xml:space="preserve"> </w:t>
      </w:r>
      <w:r>
        <w:tab/>
      </w:r>
      <w:r>
        <w:rPr>
          <w:lang w:val="en-US"/>
        </w:rPr>
        <w:t>The Impact of HIV/AIDS on Education, June 2000</w:t>
      </w:r>
      <w:r>
        <w:t>.</w:t>
      </w:r>
    </w:p>
  </w:footnote>
  <w:footnote w:id="74">
    <w:p w:rsidR="00000000" w:rsidRDefault="00000000">
      <w:pPr>
        <w:pStyle w:val="FootnoteText"/>
        <w:tabs>
          <w:tab w:val="left" w:pos="284"/>
        </w:tabs>
      </w:pPr>
      <w:r>
        <w:rPr>
          <w:rStyle w:val="FootnoteReference"/>
        </w:rPr>
        <w:t>73</w:t>
      </w:r>
      <w:r>
        <w:t xml:space="preserve"> </w:t>
      </w:r>
      <w:r>
        <w:tab/>
        <w:t>Обследование, проведенное Министерством труда в 2000 г.</w:t>
      </w:r>
    </w:p>
  </w:footnote>
  <w:footnote w:id="75">
    <w:p w:rsidR="00000000" w:rsidRDefault="00000000">
      <w:pPr>
        <w:pStyle w:val="FootnoteText"/>
        <w:tabs>
          <w:tab w:val="left" w:pos="284"/>
        </w:tabs>
      </w:pPr>
      <w:r>
        <w:rPr>
          <w:rStyle w:val="FootnoteReference"/>
        </w:rPr>
        <w:t>74</w:t>
      </w:r>
      <w:r>
        <w:t xml:space="preserve"> </w:t>
      </w:r>
      <w:r>
        <w:tab/>
      </w:r>
      <w:r>
        <w:rPr>
          <w:lang w:val="en-US"/>
        </w:rPr>
        <w:t>NPC</w:t>
      </w:r>
      <w:r>
        <w:t>, НПР-</w:t>
      </w:r>
      <w:r>
        <w:rPr>
          <w:lang w:val="en-US"/>
        </w:rPr>
        <w:t>I</w:t>
      </w:r>
      <w:r>
        <w:t>, 1995 год, стр. 230 в КЛДЖ, 1995 г., стр. 103.</w:t>
      </w:r>
    </w:p>
  </w:footnote>
  <w:footnote w:id="76">
    <w:p w:rsidR="00000000" w:rsidRDefault="00000000">
      <w:pPr>
        <w:pStyle w:val="FootnoteText"/>
        <w:tabs>
          <w:tab w:val="left" w:pos="284"/>
        </w:tabs>
      </w:pPr>
      <w:r>
        <w:rPr>
          <w:rStyle w:val="FootnoteReference"/>
        </w:rPr>
        <w:t>75</w:t>
      </w:r>
      <w:r>
        <w:t xml:space="preserve"> </w:t>
      </w:r>
      <w:r>
        <w:tab/>
        <w:t>См. сноску 2, выше, стр. 103</w:t>
      </w:r>
    </w:p>
  </w:footnote>
  <w:footnote w:id="77">
    <w:p w:rsidR="00000000" w:rsidRDefault="00000000">
      <w:pPr>
        <w:pStyle w:val="FootnoteText"/>
        <w:tabs>
          <w:tab w:val="left" w:pos="284"/>
        </w:tabs>
      </w:pPr>
      <w:r>
        <w:rPr>
          <w:rStyle w:val="FootnoteReference"/>
        </w:rPr>
        <w:t>76</w:t>
      </w:r>
      <w:r>
        <w:t xml:space="preserve"> </w:t>
      </w:r>
      <w:r>
        <w:tab/>
        <w:t>Министерство здравоохранения и социального обеспечения, ОДЗН, 2001 г.</w:t>
      </w:r>
    </w:p>
  </w:footnote>
  <w:footnote w:id="78">
    <w:p w:rsidR="00000000" w:rsidRDefault="00000000">
      <w:pPr>
        <w:pStyle w:val="FootnoteText"/>
        <w:tabs>
          <w:tab w:val="left" w:pos="284"/>
        </w:tabs>
      </w:pPr>
      <w:r>
        <w:rPr>
          <w:rStyle w:val="FootnoteReference"/>
        </w:rPr>
        <w:t>77</w:t>
      </w:r>
      <w:r>
        <w:t xml:space="preserve"> </w:t>
      </w:r>
      <w:r>
        <w:tab/>
        <w:t xml:space="preserve">ОДЗН, 2000 год, в </w:t>
      </w:r>
      <w:r>
        <w:rPr>
          <w:lang w:val="en-US"/>
        </w:rPr>
        <w:t>SIAPAC</w:t>
      </w:r>
      <w:r>
        <w:t xml:space="preserve"> 2002, </w:t>
      </w:r>
      <w:r>
        <w:rPr>
          <w:lang w:val="en-US"/>
        </w:rPr>
        <w:t>p</w:t>
      </w:r>
      <w:r>
        <w:t>. 36.</w:t>
      </w:r>
    </w:p>
  </w:footnote>
  <w:footnote w:id="79">
    <w:p w:rsidR="00000000" w:rsidRDefault="00000000">
      <w:pPr>
        <w:pStyle w:val="FootnoteText"/>
        <w:tabs>
          <w:tab w:val="left" w:pos="284"/>
        </w:tabs>
      </w:pPr>
      <w:r>
        <w:rPr>
          <w:rStyle w:val="FootnoteReference"/>
        </w:rPr>
        <w:t>78</w:t>
      </w:r>
      <w:r>
        <w:t xml:space="preserve"> </w:t>
      </w:r>
      <w:r>
        <w:tab/>
        <w:t>Там же.</w:t>
      </w:r>
    </w:p>
  </w:footnote>
  <w:footnote w:id="80">
    <w:p w:rsidR="00000000" w:rsidRDefault="00000000">
      <w:pPr>
        <w:pStyle w:val="FootnoteText"/>
        <w:tabs>
          <w:tab w:val="left" w:pos="284"/>
        </w:tabs>
      </w:pPr>
      <w:r>
        <w:rPr>
          <w:rStyle w:val="FootnoteReference"/>
        </w:rPr>
        <w:t>79</w:t>
      </w:r>
      <w:r>
        <w:t xml:space="preserve"> </w:t>
      </w:r>
      <w:r>
        <w:tab/>
        <w:t>ОДЗН, 2000 г.</w:t>
      </w:r>
    </w:p>
  </w:footnote>
  <w:footnote w:id="81">
    <w:p w:rsidR="00000000" w:rsidRDefault="00000000">
      <w:pPr>
        <w:pStyle w:val="FootnoteText"/>
        <w:tabs>
          <w:tab w:val="left" w:pos="284"/>
        </w:tabs>
      </w:pPr>
      <w:r>
        <w:rPr>
          <w:rStyle w:val="FootnoteReference"/>
        </w:rPr>
        <w:t>80</w:t>
      </w:r>
      <w:r>
        <w:t xml:space="preserve"> </w:t>
      </w:r>
      <w:r>
        <w:tab/>
      </w:r>
      <w:r>
        <w:rPr>
          <w:lang w:val="en-US"/>
        </w:rPr>
        <w:t>NPC</w:t>
      </w:r>
      <w:r>
        <w:t>, НПР-2, 2002 г.</w:t>
      </w:r>
    </w:p>
  </w:footnote>
  <w:footnote w:id="82">
    <w:p w:rsidR="00000000" w:rsidRDefault="00000000">
      <w:pPr>
        <w:pStyle w:val="FootnoteText"/>
        <w:tabs>
          <w:tab w:val="left" w:pos="284"/>
        </w:tabs>
        <w:jc w:val="both"/>
      </w:pPr>
      <w:r>
        <w:rPr>
          <w:rStyle w:val="FootnoteReference"/>
        </w:rPr>
        <w:t>81</w:t>
      </w:r>
      <w:r>
        <w:t xml:space="preserve"> </w:t>
      </w:r>
      <w:r>
        <w:tab/>
        <w:t>Министерство здравоохранения и социального обеспечения, Доклад об эпидемиологической ситуации, 1998 г.</w:t>
      </w:r>
    </w:p>
  </w:footnote>
  <w:footnote w:id="83">
    <w:p w:rsidR="00000000" w:rsidRDefault="00000000">
      <w:pPr>
        <w:pStyle w:val="FootnoteText"/>
        <w:tabs>
          <w:tab w:val="left" w:pos="284"/>
        </w:tabs>
        <w:jc w:val="both"/>
      </w:pPr>
      <w:r>
        <w:rPr>
          <w:rStyle w:val="FootnoteReference"/>
        </w:rPr>
        <w:t>82</w:t>
      </w:r>
      <w:r>
        <w:t xml:space="preserve"> </w:t>
      </w:r>
      <w:r>
        <w:tab/>
        <w:t>Департамент по делам женщин, Национальный доклад Намибии о ходе выполнения Пекинской платформы действий, 1999 г.</w:t>
      </w:r>
    </w:p>
  </w:footnote>
  <w:footnote w:id="84">
    <w:p w:rsidR="00000000" w:rsidRDefault="00000000">
      <w:pPr>
        <w:pStyle w:val="FootnoteText"/>
        <w:tabs>
          <w:tab w:val="left" w:pos="284"/>
        </w:tabs>
      </w:pPr>
      <w:r>
        <w:rPr>
          <w:rStyle w:val="FootnoteReference"/>
        </w:rPr>
        <w:t>83</w:t>
      </w:r>
      <w:r>
        <w:t xml:space="preserve"> </w:t>
      </w:r>
      <w:r>
        <w:tab/>
        <w:t>См. сноску 2, выше, стр. 114.</w:t>
      </w:r>
    </w:p>
  </w:footnote>
  <w:footnote w:id="85">
    <w:p w:rsidR="00000000" w:rsidRDefault="00000000">
      <w:pPr>
        <w:pStyle w:val="FootnoteText"/>
        <w:tabs>
          <w:tab w:val="left" w:pos="284"/>
        </w:tabs>
        <w:jc w:val="both"/>
      </w:pPr>
      <w:r>
        <w:rPr>
          <w:rStyle w:val="FootnoteReference"/>
        </w:rPr>
        <w:t>84</w:t>
      </w:r>
      <w:r>
        <w:rPr>
          <w:lang w:val="en-US"/>
        </w:rPr>
        <w:t xml:space="preserve"> </w:t>
      </w:r>
      <w:r>
        <w:tab/>
        <w:t>Закон</w:t>
      </w:r>
      <w:r>
        <w:rPr>
          <w:lang w:val="en-US"/>
        </w:rPr>
        <w:t xml:space="preserve"> № 23 </w:t>
      </w:r>
      <w:r>
        <w:t>о</w:t>
      </w:r>
      <w:r>
        <w:rPr>
          <w:lang w:val="en-US"/>
        </w:rPr>
        <w:t xml:space="preserve"> </w:t>
      </w:r>
      <w:r>
        <w:t>денежном</w:t>
      </w:r>
      <w:r>
        <w:rPr>
          <w:lang w:val="en-US"/>
        </w:rPr>
        <w:t xml:space="preserve"> </w:t>
      </w:r>
      <w:r>
        <w:t>содержании</w:t>
      </w:r>
      <w:r>
        <w:rPr>
          <w:lang w:val="en-US"/>
        </w:rPr>
        <w:t xml:space="preserve"> </w:t>
      </w:r>
      <w:r>
        <w:t>от</w:t>
      </w:r>
      <w:r>
        <w:rPr>
          <w:lang w:val="en-US"/>
        </w:rPr>
        <w:t xml:space="preserve"> 1963 </w:t>
      </w:r>
      <w:r>
        <w:t>года</w:t>
      </w:r>
      <w:r>
        <w:rPr>
          <w:lang w:val="en-US"/>
        </w:rPr>
        <w:t xml:space="preserve"> </w:t>
      </w:r>
      <w:r>
        <w:t>в</w:t>
      </w:r>
      <w:r>
        <w:rPr>
          <w:lang w:val="en-US"/>
        </w:rPr>
        <w:t xml:space="preserve"> Dianne Hubbard, Gender and Law Reform in Namibia: The First Ten Years, p.</w:t>
      </w:r>
      <w:r>
        <w:t xml:space="preserve"> </w:t>
      </w:r>
      <w:r>
        <w:rPr>
          <w:lang w:val="en-US"/>
        </w:rPr>
        <w:t>9</w:t>
      </w:r>
      <w:r>
        <w:t>.</w:t>
      </w:r>
    </w:p>
  </w:footnote>
  <w:footnote w:id="86">
    <w:p w:rsidR="00000000" w:rsidRDefault="00000000">
      <w:pPr>
        <w:pStyle w:val="FootnoteText"/>
        <w:tabs>
          <w:tab w:val="left" w:pos="284"/>
        </w:tabs>
        <w:jc w:val="both"/>
      </w:pPr>
      <w:r>
        <w:rPr>
          <w:rStyle w:val="FootnoteReference"/>
        </w:rPr>
        <w:t>85</w:t>
      </w:r>
      <w:r>
        <w:t xml:space="preserve"> </w:t>
      </w:r>
      <w:r>
        <w:tab/>
        <w:t>Комиссия по правовой реформе и развитию, Доклад по проблемам денежного содержания (LRDC 5, сентябрь 1997 г.).</w:t>
      </w:r>
    </w:p>
  </w:footnote>
  <w:footnote w:id="87">
    <w:p w:rsidR="00000000" w:rsidRDefault="00000000">
      <w:pPr>
        <w:pStyle w:val="FootnoteText"/>
        <w:tabs>
          <w:tab w:val="left" w:pos="284"/>
        </w:tabs>
      </w:pPr>
      <w:r>
        <w:rPr>
          <w:rStyle w:val="FootnoteReference"/>
        </w:rPr>
        <w:t>86</w:t>
      </w:r>
      <w:r>
        <w:rPr>
          <w:lang w:val="en-US"/>
        </w:rPr>
        <w:t xml:space="preserve"> </w:t>
      </w:r>
      <w:r>
        <w:tab/>
      </w:r>
      <w:r>
        <w:rPr>
          <w:lang w:val="en-US"/>
        </w:rPr>
        <w:t>Dianne Hubbard, 2000, p.</w:t>
      </w:r>
      <w:r>
        <w:t xml:space="preserve"> </w:t>
      </w:r>
      <w:r>
        <w:rPr>
          <w:lang w:val="en-US"/>
        </w:rPr>
        <w:t>9</w:t>
      </w:r>
      <w:r>
        <w:t>.</w:t>
      </w:r>
    </w:p>
  </w:footnote>
  <w:footnote w:id="88">
    <w:p w:rsidR="00000000" w:rsidRDefault="00000000">
      <w:pPr>
        <w:pStyle w:val="FootnoteText"/>
        <w:tabs>
          <w:tab w:val="left" w:pos="284"/>
        </w:tabs>
      </w:pPr>
      <w:r>
        <w:rPr>
          <w:rStyle w:val="FootnoteReference"/>
        </w:rPr>
        <w:t>87</w:t>
      </w:r>
      <w:r>
        <w:t xml:space="preserve"> </w:t>
      </w:r>
      <w:r>
        <w:tab/>
        <w:t>NHIS, 1993/1994.</w:t>
      </w:r>
    </w:p>
  </w:footnote>
  <w:footnote w:id="89">
    <w:p w:rsidR="00000000" w:rsidRDefault="00000000">
      <w:pPr>
        <w:pStyle w:val="FootnoteText"/>
        <w:tabs>
          <w:tab w:val="left" w:pos="284"/>
        </w:tabs>
      </w:pPr>
      <w:r>
        <w:rPr>
          <w:rStyle w:val="FootnoteReference"/>
        </w:rPr>
        <w:t>88</w:t>
      </w:r>
      <w:r>
        <w:t xml:space="preserve"> </w:t>
      </w:r>
      <w:r>
        <w:tab/>
        <w:t>Министерство сельского хозяйства, водных ресурсов и развития сельских районов, Национальная политика в области сельского хозяйства, 1995 г.</w:t>
      </w:r>
    </w:p>
  </w:footnote>
  <w:footnote w:id="90">
    <w:p w:rsidR="00000000" w:rsidRDefault="00000000">
      <w:pPr>
        <w:pStyle w:val="FootnoteText"/>
        <w:tabs>
          <w:tab w:val="left" w:pos="284"/>
        </w:tabs>
      </w:pPr>
      <w:r>
        <w:rPr>
          <w:rStyle w:val="FootnoteReference"/>
        </w:rPr>
        <w:t>89</w:t>
      </w:r>
      <w:r>
        <w:t xml:space="preserve"> </w:t>
      </w:r>
      <w:r>
        <w:tab/>
        <w:t>Далее называемый Законом об общинной земельной реформе.</w:t>
      </w:r>
    </w:p>
  </w:footnote>
  <w:footnote w:id="91">
    <w:p w:rsidR="00000000" w:rsidRDefault="00000000">
      <w:pPr>
        <w:pStyle w:val="FootnoteText"/>
        <w:tabs>
          <w:tab w:val="left" w:pos="284"/>
        </w:tabs>
        <w:jc w:val="both"/>
      </w:pPr>
      <w:r>
        <w:rPr>
          <w:rStyle w:val="FootnoteReference"/>
        </w:rPr>
        <w:t>90</w:t>
      </w:r>
      <w:r>
        <w:t xml:space="preserve"> </w:t>
      </w:r>
      <w:r>
        <w:tab/>
        <w:t>Департамент по делам женщин, Доклад Намибии о ходе выполнения Пекинской платформы действий, 1999 г., стр. 51.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646BABE"/>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6AE2D17A"/>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76622C02"/>
    <w:lvl w:ilvl="0">
      <w:start w:val="1"/>
      <w:numFmt w:val="bullet"/>
      <w:lvlText w:val=""/>
      <w:lvlJc w:val="left"/>
      <w:pPr>
        <w:tabs>
          <w:tab w:val="num" w:pos="360"/>
        </w:tabs>
        <w:ind w:left="360" w:hanging="360"/>
      </w:pPr>
      <w:rPr>
        <w:rFonts w:ascii="Symbol" w:hAnsi="Symbol" w:hint="default"/>
      </w:rPr>
    </w:lvl>
  </w:abstractNum>
  <w:abstractNum w:abstractNumId="3">
    <w:nsid w:val="01606C37"/>
    <w:multiLevelType w:val="multilevel"/>
    <w:tmpl w:val="84F8C27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1722ED1"/>
    <w:multiLevelType w:val="multilevel"/>
    <w:tmpl w:val="715436C0"/>
    <w:lvl w:ilvl="0">
      <w:start w:val="13"/>
      <w:numFmt w:val="decimal"/>
      <w:lvlText w:val="%1"/>
      <w:lvlJc w:val="left"/>
      <w:pPr>
        <w:tabs>
          <w:tab w:val="num" w:pos="705"/>
        </w:tabs>
        <w:ind w:left="705" w:hanging="70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2825852"/>
    <w:multiLevelType w:val="hybridMultilevel"/>
    <w:tmpl w:val="0DFE1D7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02EF498D"/>
    <w:multiLevelType w:val="multilevel"/>
    <w:tmpl w:val="ED9AE4A4"/>
    <w:lvl w:ilvl="0">
      <w:start w:val="2"/>
      <w:numFmt w:val="decimal"/>
      <w:lvlText w:val="%1"/>
      <w:lvlJc w:val="left"/>
      <w:pPr>
        <w:tabs>
          <w:tab w:val="num" w:pos="375"/>
        </w:tabs>
        <w:ind w:left="375" w:hanging="37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nsid w:val="033110B6"/>
    <w:multiLevelType w:val="hybridMultilevel"/>
    <w:tmpl w:val="AC3E5AC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43E5BF2"/>
    <w:multiLevelType w:val="hybridMultilevel"/>
    <w:tmpl w:val="ED6CD1D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51F37EF"/>
    <w:multiLevelType w:val="hybridMultilevel"/>
    <w:tmpl w:val="DBF4D3EE"/>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64943A9"/>
    <w:multiLevelType w:val="multilevel"/>
    <w:tmpl w:val="B5981706"/>
    <w:lvl w:ilvl="0">
      <w:start w:val="12"/>
      <w:numFmt w:val="decimal"/>
      <w:lvlText w:val="%1"/>
      <w:lvlJc w:val="left"/>
      <w:pPr>
        <w:tabs>
          <w:tab w:val="num" w:pos="630"/>
        </w:tabs>
        <w:ind w:left="630" w:hanging="630"/>
      </w:pPr>
      <w:rPr>
        <w:rFonts w:hint="default"/>
      </w:rPr>
    </w:lvl>
    <w:lvl w:ilvl="1">
      <w:start w:val="1"/>
      <w:numFmt w:val="decimal"/>
      <w:lvlText w:val="%1.%2"/>
      <w:lvlJc w:val="left"/>
      <w:pPr>
        <w:tabs>
          <w:tab w:val="num" w:pos="1200"/>
        </w:tabs>
        <w:ind w:left="1200" w:hanging="63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790"/>
        </w:tabs>
        <w:ind w:left="5790" w:hanging="1800"/>
      </w:pPr>
      <w:rPr>
        <w:rFonts w:hint="default"/>
      </w:rPr>
    </w:lvl>
    <w:lvl w:ilvl="8">
      <w:start w:val="1"/>
      <w:numFmt w:val="decimal"/>
      <w:lvlText w:val="%1.%2.%3.%4.%5.%6.%7.%8.%9"/>
      <w:lvlJc w:val="left"/>
      <w:pPr>
        <w:tabs>
          <w:tab w:val="num" w:pos="6720"/>
        </w:tabs>
        <w:ind w:left="6720" w:hanging="2160"/>
      </w:pPr>
      <w:rPr>
        <w:rFonts w:hint="default"/>
      </w:rPr>
    </w:lvl>
  </w:abstractNum>
  <w:abstractNum w:abstractNumId="11">
    <w:nsid w:val="065633FD"/>
    <w:multiLevelType w:val="multilevel"/>
    <w:tmpl w:val="5B72817E"/>
    <w:lvl w:ilvl="0">
      <w:start w:val="2"/>
      <w:numFmt w:val="decimal"/>
      <w:lvlText w:val="%1"/>
      <w:lvlJc w:val="left"/>
      <w:pPr>
        <w:tabs>
          <w:tab w:val="num" w:pos="672"/>
        </w:tabs>
        <w:ind w:left="672" w:hanging="672"/>
      </w:pPr>
      <w:rPr>
        <w:rFonts w:hint="default"/>
      </w:rPr>
    </w:lvl>
    <w:lvl w:ilvl="1">
      <w:start w:val="5"/>
      <w:numFmt w:val="decimal"/>
      <w:lvlText w:val="%1.%2"/>
      <w:lvlJc w:val="left"/>
      <w:pPr>
        <w:tabs>
          <w:tab w:val="num" w:pos="1356"/>
        </w:tabs>
        <w:ind w:left="1356" w:hanging="672"/>
      </w:pPr>
      <w:rPr>
        <w:rFonts w:hint="default"/>
      </w:rPr>
    </w:lvl>
    <w:lvl w:ilvl="2">
      <w:start w:val="1"/>
      <w:numFmt w:val="decimal"/>
      <w:lvlText w:val="%1.%2.%3"/>
      <w:lvlJc w:val="left"/>
      <w:pPr>
        <w:tabs>
          <w:tab w:val="num" w:pos="2088"/>
        </w:tabs>
        <w:ind w:left="2088" w:hanging="720"/>
      </w:pPr>
      <w:rPr>
        <w:rFonts w:hint="default"/>
      </w:rPr>
    </w:lvl>
    <w:lvl w:ilvl="3">
      <w:start w:val="1"/>
      <w:numFmt w:val="decimal"/>
      <w:lvlText w:val="%1.%2.%3.%4"/>
      <w:lvlJc w:val="left"/>
      <w:pPr>
        <w:tabs>
          <w:tab w:val="num" w:pos="2772"/>
        </w:tabs>
        <w:ind w:left="2772" w:hanging="720"/>
      </w:pPr>
      <w:rPr>
        <w:rFonts w:hint="default"/>
      </w:rPr>
    </w:lvl>
    <w:lvl w:ilvl="4">
      <w:start w:val="1"/>
      <w:numFmt w:val="decimal"/>
      <w:lvlText w:val="%1.%2.%3.%4.%5"/>
      <w:lvlJc w:val="left"/>
      <w:pPr>
        <w:tabs>
          <w:tab w:val="num" w:pos="3816"/>
        </w:tabs>
        <w:ind w:left="3816" w:hanging="1080"/>
      </w:pPr>
      <w:rPr>
        <w:rFonts w:hint="default"/>
      </w:rPr>
    </w:lvl>
    <w:lvl w:ilvl="5">
      <w:start w:val="1"/>
      <w:numFmt w:val="decimal"/>
      <w:lvlText w:val="%1.%2.%3.%4.%5.%6"/>
      <w:lvlJc w:val="left"/>
      <w:pPr>
        <w:tabs>
          <w:tab w:val="num" w:pos="4500"/>
        </w:tabs>
        <w:ind w:left="4500" w:hanging="1080"/>
      </w:pPr>
      <w:rPr>
        <w:rFonts w:hint="default"/>
      </w:rPr>
    </w:lvl>
    <w:lvl w:ilvl="6">
      <w:start w:val="1"/>
      <w:numFmt w:val="decimal"/>
      <w:lvlText w:val="%1.%2.%3.%4.%5.%6.%7"/>
      <w:lvlJc w:val="left"/>
      <w:pPr>
        <w:tabs>
          <w:tab w:val="num" w:pos="5544"/>
        </w:tabs>
        <w:ind w:left="5544" w:hanging="1440"/>
      </w:pPr>
      <w:rPr>
        <w:rFonts w:hint="default"/>
      </w:rPr>
    </w:lvl>
    <w:lvl w:ilvl="7">
      <w:start w:val="1"/>
      <w:numFmt w:val="decimal"/>
      <w:lvlText w:val="%1.%2.%3.%4.%5.%6.%7.%8"/>
      <w:lvlJc w:val="left"/>
      <w:pPr>
        <w:tabs>
          <w:tab w:val="num" w:pos="6228"/>
        </w:tabs>
        <w:ind w:left="6228" w:hanging="1440"/>
      </w:pPr>
      <w:rPr>
        <w:rFonts w:hint="default"/>
      </w:rPr>
    </w:lvl>
    <w:lvl w:ilvl="8">
      <w:start w:val="1"/>
      <w:numFmt w:val="decimal"/>
      <w:lvlText w:val="%1.%2.%3.%4.%5.%6.%7.%8.%9"/>
      <w:lvlJc w:val="left"/>
      <w:pPr>
        <w:tabs>
          <w:tab w:val="num" w:pos="6912"/>
        </w:tabs>
        <w:ind w:left="6912" w:hanging="1440"/>
      </w:pPr>
      <w:rPr>
        <w:rFonts w:hint="default"/>
      </w:rPr>
    </w:lvl>
  </w:abstractNum>
  <w:abstractNum w:abstractNumId="12">
    <w:nsid w:val="074629EF"/>
    <w:multiLevelType w:val="multilevel"/>
    <w:tmpl w:val="FCB665FC"/>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1035"/>
        </w:tabs>
        <w:ind w:left="1035" w:hanging="600"/>
      </w:pPr>
      <w:rPr>
        <w:rFonts w:hint="default"/>
      </w:rPr>
    </w:lvl>
    <w:lvl w:ilvl="2">
      <w:start w:val="1"/>
      <w:numFmt w:val="decimal"/>
      <w:lvlText w:val="%1.%2.%3"/>
      <w:lvlJc w:val="left"/>
      <w:pPr>
        <w:tabs>
          <w:tab w:val="num" w:pos="1590"/>
        </w:tabs>
        <w:ind w:left="1590" w:hanging="720"/>
      </w:pPr>
      <w:rPr>
        <w:rFonts w:hint="default"/>
      </w:rPr>
    </w:lvl>
    <w:lvl w:ilvl="3">
      <w:start w:val="1"/>
      <w:numFmt w:val="decimal"/>
      <w:lvlText w:val="%1.%2.%3.%4"/>
      <w:lvlJc w:val="left"/>
      <w:pPr>
        <w:tabs>
          <w:tab w:val="num" w:pos="2385"/>
        </w:tabs>
        <w:ind w:left="2385" w:hanging="1080"/>
      </w:pPr>
      <w:rPr>
        <w:rFonts w:hint="default"/>
      </w:rPr>
    </w:lvl>
    <w:lvl w:ilvl="4">
      <w:start w:val="1"/>
      <w:numFmt w:val="decimal"/>
      <w:lvlText w:val="%1.%2.%3.%4.%5"/>
      <w:lvlJc w:val="left"/>
      <w:pPr>
        <w:tabs>
          <w:tab w:val="num" w:pos="2820"/>
        </w:tabs>
        <w:ind w:left="2820" w:hanging="1080"/>
      </w:pPr>
      <w:rPr>
        <w:rFonts w:hint="default"/>
      </w:rPr>
    </w:lvl>
    <w:lvl w:ilvl="5">
      <w:start w:val="1"/>
      <w:numFmt w:val="decimal"/>
      <w:lvlText w:val="%1.%2.%3.%4.%5.%6"/>
      <w:lvlJc w:val="left"/>
      <w:pPr>
        <w:tabs>
          <w:tab w:val="num" w:pos="3615"/>
        </w:tabs>
        <w:ind w:left="3615" w:hanging="1440"/>
      </w:pPr>
      <w:rPr>
        <w:rFonts w:hint="default"/>
      </w:rPr>
    </w:lvl>
    <w:lvl w:ilvl="6">
      <w:start w:val="1"/>
      <w:numFmt w:val="decimal"/>
      <w:lvlText w:val="%1.%2.%3.%4.%5.%6.%7"/>
      <w:lvlJc w:val="left"/>
      <w:pPr>
        <w:tabs>
          <w:tab w:val="num" w:pos="4050"/>
        </w:tabs>
        <w:ind w:left="4050" w:hanging="1440"/>
      </w:pPr>
      <w:rPr>
        <w:rFonts w:hint="default"/>
      </w:rPr>
    </w:lvl>
    <w:lvl w:ilvl="7">
      <w:start w:val="1"/>
      <w:numFmt w:val="decimal"/>
      <w:lvlText w:val="%1.%2.%3.%4.%5.%6.%7.%8"/>
      <w:lvlJc w:val="left"/>
      <w:pPr>
        <w:tabs>
          <w:tab w:val="num" w:pos="4845"/>
        </w:tabs>
        <w:ind w:left="4845" w:hanging="1800"/>
      </w:pPr>
      <w:rPr>
        <w:rFonts w:hint="default"/>
      </w:rPr>
    </w:lvl>
    <w:lvl w:ilvl="8">
      <w:start w:val="1"/>
      <w:numFmt w:val="decimal"/>
      <w:lvlText w:val="%1.%2.%3.%4.%5.%6.%7.%8.%9"/>
      <w:lvlJc w:val="left"/>
      <w:pPr>
        <w:tabs>
          <w:tab w:val="num" w:pos="5640"/>
        </w:tabs>
        <w:ind w:left="5640" w:hanging="2160"/>
      </w:pPr>
      <w:rPr>
        <w:rFonts w:hint="default"/>
      </w:rPr>
    </w:lvl>
  </w:abstractNum>
  <w:abstractNum w:abstractNumId="13">
    <w:nsid w:val="07B60A90"/>
    <w:multiLevelType w:val="multilevel"/>
    <w:tmpl w:val="47C607EA"/>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
    <w:nsid w:val="08141720"/>
    <w:multiLevelType w:val="singleLevel"/>
    <w:tmpl w:val="B6CE8F3E"/>
    <w:lvl w:ilvl="0">
      <w:start w:val="10"/>
      <w:numFmt w:val="bullet"/>
      <w:lvlText w:val=""/>
      <w:lvlJc w:val="left"/>
      <w:pPr>
        <w:tabs>
          <w:tab w:val="num" w:pos="450"/>
        </w:tabs>
        <w:ind w:left="450" w:hanging="450"/>
      </w:pPr>
      <w:rPr>
        <w:rFonts w:ascii="Symbol" w:hAnsi="Symbol" w:hint="default"/>
      </w:rPr>
    </w:lvl>
  </w:abstractNum>
  <w:abstractNum w:abstractNumId="15">
    <w:nsid w:val="088E5355"/>
    <w:multiLevelType w:val="singleLevel"/>
    <w:tmpl w:val="5E344424"/>
    <w:lvl w:ilvl="0">
      <w:start w:val="23"/>
      <w:numFmt w:val="decimal"/>
      <w:lvlText w:val="%1."/>
      <w:lvlJc w:val="left"/>
      <w:pPr>
        <w:tabs>
          <w:tab w:val="num" w:pos="1575"/>
        </w:tabs>
        <w:ind w:left="1575" w:hanging="495"/>
      </w:pPr>
      <w:rPr>
        <w:rFonts w:hint="default"/>
      </w:rPr>
    </w:lvl>
  </w:abstractNum>
  <w:abstractNum w:abstractNumId="16">
    <w:nsid w:val="091A5BAF"/>
    <w:multiLevelType w:val="multilevel"/>
    <w:tmpl w:val="10B8C0F4"/>
    <w:lvl w:ilvl="0">
      <w:start w:val="12"/>
      <w:numFmt w:val="decimal"/>
      <w:lvlText w:val="%1"/>
      <w:lvlJc w:val="left"/>
      <w:pPr>
        <w:tabs>
          <w:tab w:val="num" w:pos="525"/>
        </w:tabs>
        <w:ind w:left="525" w:hanging="525"/>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17">
    <w:nsid w:val="093741C0"/>
    <w:multiLevelType w:val="singleLevel"/>
    <w:tmpl w:val="4000BED2"/>
    <w:lvl w:ilvl="0">
      <w:start w:val="1"/>
      <w:numFmt w:val="decimal"/>
      <w:lvlText w:val="(%1)"/>
      <w:lvlJc w:val="left"/>
      <w:pPr>
        <w:tabs>
          <w:tab w:val="num" w:pos="855"/>
        </w:tabs>
        <w:ind w:left="855" w:hanging="855"/>
      </w:pPr>
      <w:rPr>
        <w:rFonts w:hint="default"/>
      </w:rPr>
    </w:lvl>
  </w:abstractNum>
  <w:abstractNum w:abstractNumId="18">
    <w:nsid w:val="09472711"/>
    <w:multiLevelType w:val="multilevel"/>
    <w:tmpl w:val="E2E27D80"/>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09512773"/>
    <w:multiLevelType w:val="multilevel"/>
    <w:tmpl w:val="1AACABC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0800"/>
        </w:tabs>
        <w:ind w:left="10800" w:hanging="2160"/>
      </w:pPr>
      <w:rPr>
        <w:rFonts w:hint="default"/>
      </w:rPr>
    </w:lvl>
  </w:abstractNum>
  <w:abstractNum w:abstractNumId="20">
    <w:nsid w:val="0B101883"/>
    <w:multiLevelType w:val="multilevel"/>
    <w:tmpl w:val="CFCECDF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nsid w:val="0B2405BE"/>
    <w:multiLevelType w:val="singleLevel"/>
    <w:tmpl w:val="04190001"/>
    <w:lvl w:ilvl="0">
      <w:start w:val="10"/>
      <w:numFmt w:val="bullet"/>
      <w:lvlText w:val=""/>
      <w:lvlJc w:val="left"/>
      <w:pPr>
        <w:tabs>
          <w:tab w:val="num" w:pos="360"/>
        </w:tabs>
        <w:ind w:left="360" w:hanging="360"/>
      </w:pPr>
      <w:rPr>
        <w:rFonts w:ascii="Symbol" w:hAnsi="Symbol" w:hint="default"/>
      </w:rPr>
    </w:lvl>
  </w:abstractNum>
  <w:abstractNum w:abstractNumId="22">
    <w:nsid w:val="0B50326E"/>
    <w:multiLevelType w:val="singleLevel"/>
    <w:tmpl w:val="E582416C"/>
    <w:lvl w:ilvl="0">
      <w:start w:val="1"/>
      <w:numFmt w:val="lowerRoman"/>
      <w:lvlText w:val="(%1)"/>
      <w:lvlJc w:val="left"/>
      <w:pPr>
        <w:tabs>
          <w:tab w:val="num" w:pos="720"/>
        </w:tabs>
        <w:ind w:left="720" w:hanging="720"/>
      </w:pPr>
      <w:rPr>
        <w:rFonts w:hint="default"/>
      </w:rPr>
    </w:lvl>
  </w:abstractNum>
  <w:abstractNum w:abstractNumId="23">
    <w:nsid w:val="0B8B1018"/>
    <w:multiLevelType w:val="multilevel"/>
    <w:tmpl w:val="31BA2146"/>
    <w:lvl w:ilvl="0">
      <w:start w:val="14"/>
      <w:numFmt w:val="decimal"/>
      <w:lvlText w:val="%1"/>
      <w:lvlJc w:val="left"/>
      <w:pPr>
        <w:tabs>
          <w:tab w:val="num" w:pos="1065"/>
        </w:tabs>
        <w:ind w:left="1065" w:hanging="1065"/>
      </w:pPr>
      <w:rPr>
        <w:rFonts w:hint="default"/>
      </w:rPr>
    </w:lvl>
    <w:lvl w:ilvl="1">
      <w:start w:val="1"/>
      <w:numFmt w:val="decimal"/>
      <w:lvlText w:val="%1.%2"/>
      <w:lvlJc w:val="left"/>
      <w:pPr>
        <w:tabs>
          <w:tab w:val="num" w:pos="1065"/>
        </w:tabs>
        <w:ind w:left="1065" w:hanging="1065"/>
      </w:pPr>
      <w:rPr>
        <w:rFonts w:hint="default"/>
      </w:rPr>
    </w:lvl>
    <w:lvl w:ilvl="2">
      <w:start w:val="1"/>
      <w:numFmt w:val="decimal"/>
      <w:lvlText w:val="%1.%2.%3"/>
      <w:lvlJc w:val="left"/>
      <w:pPr>
        <w:tabs>
          <w:tab w:val="num" w:pos="1065"/>
        </w:tabs>
        <w:ind w:left="1065" w:hanging="10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0C6A5FC4"/>
    <w:multiLevelType w:val="multilevel"/>
    <w:tmpl w:val="51906172"/>
    <w:lvl w:ilvl="0">
      <w:start w:val="9"/>
      <w:numFmt w:val="decimal"/>
      <w:lvlText w:val="%1"/>
      <w:lvlJc w:val="left"/>
      <w:pPr>
        <w:tabs>
          <w:tab w:val="num" w:pos="705"/>
        </w:tabs>
        <w:ind w:left="705" w:hanging="705"/>
      </w:pPr>
      <w:rPr>
        <w:rFonts w:hint="default"/>
      </w:rPr>
    </w:lvl>
    <w:lvl w:ilvl="1">
      <w:start w:val="1"/>
      <w:numFmt w:val="decimal"/>
      <w:lvlText w:val="%1.%2"/>
      <w:lvlJc w:val="left"/>
      <w:pPr>
        <w:tabs>
          <w:tab w:val="num" w:pos="1275"/>
        </w:tabs>
        <w:ind w:left="1275" w:hanging="705"/>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790"/>
        </w:tabs>
        <w:ind w:left="5790" w:hanging="1800"/>
      </w:pPr>
      <w:rPr>
        <w:rFonts w:hint="default"/>
      </w:rPr>
    </w:lvl>
    <w:lvl w:ilvl="8">
      <w:start w:val="1"/>
      <w:numFmt w:val="decimal"/>
      <w:lvlText w:val="%1.%2.%3.%4.%5.%6.%7.%8.%9"/>
      <w:lvlJc w:val="left"/>
      <w:pPr>
        <w:tabs>
          <w:tab w:val="num" w:pos="6720"/>
        </w:tabs>
        <w:ind w:left="6720" w:hanging="2160"/>
      </w:pPr>
      <w:rPr>
        <w:rFonts w:hint="default"/>
      </w:rPr>
    </w:lvl>
  </w:abstractNum>
  <w:abstractNum w:abstractNumId="25">
    <w:nsid w:val="0C6B1384"/>
    <w:multiLevelType w:val="multilevel"/>
    <w:tmpl w:val="BA34FF3C"/>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1275"/>
        </w:tabs>
        <w:ind w:left="1275" w:hanging="705"/>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790"/>
        </w:tabs>
        <w:ind w:left="5790" w:hanging="1800"/>
      </w:pPr>
      <w:rPr>
        <w:rFonts w:hint="default"/>
      </w:rPr>
    </w:lvl>
    <w:lvl w:ilvl="8">
      <w:start w:val="1"/>
      <w:numFmt w:val="decimal"/>
      <w:lvlText w:val="%1.%2.%3.%4.%5.%6.%7.%8.%9"/>
      <w:lvlJc w:val="left"/>
      <w:pPr>
        <w:tabs>
          <w:tab w:val="num" w:pos="6720"/>
        </w:tabs>
        <w:ind w:left="6720" w:hanging="2160"/>
      </w:pPr>
      <w:rPr>
        <w:rFonts w:hint="default"/>
      </w:rPr>
    </w:lvl>
  </w:abstractNum>
  <w:abstractNum w:abstractNumId="26">
    <w:nsid w:val="0C7C1115"/>
    <w:multiLevelType w:val="hybridMultilevel"/>
    <w:tmpl w:val="935EF86A"/>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7">
    <w:nsid w:val="0CDD3ADB"/>
    <w:multiLevelType w:val="multilevel"/>
    <w:tmpl w:val="4FC0E44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0CF245DA"/>
    <w:multiLevelType w:val="multilevel"/>
    <w:tmpl w:val="E60844D6"/>
    <w:lvl w:ilvl="0">
      <w:start w:val="1"/>
      <w:numFmt w:val="decimal"/>
      <w:lvlText w:val="%1.0"/>
      <w:lvlJc w:val="left"/>
      <w:pPr>
        <w:tabs>
          <w:tab w:val="num" w:pos="960"/>
        </w:tabs>
        <w:ind w:left="960" w:hanging="420"/>
      </w:pPr>
      <w:rPr>
        <w:rFonts w:hint="default"/>
      </w:rPr>
    </w:lvl>
    <w:lvl w:ilvl="1">
      <w:start w:val="1"/>
      <w:numFmt w:val="decimal"/>
      <w:lvlText w:val="%1.%2"/>
      <w:lvlJc w:val="left"/>
      <w:pPr>
        <w:tabs>
          <w:tab w:val="num" w:pos="960"/>
        </w:tabs>
        <w:ind w:left="960" w:hanging="420"/>
      </w:pPr>
      <w:rPr>
        <w:rFonts w:hint="default"/>
      </w:rPr>
    </w:lvl>
    <w:lvl w:ilvl="2">
      <w:start w:val="1"/>
      <w:numFmt w:val="decimal"/>
      <w:lvlText w:val="%1.%2.%3"/>
      <w:lvlJc w:val="left"/>
      <w:pPr>
        <w:tabs>
          <w:tab w:val="num" w:pos="2700"/>
        </w:tabs>
        <w:ind w:left="2700" w:hanging="720"/>
      </w:pPr>
      <w:rPr>
        <w:rFonts w:hint="default"/>
      </w:rPr>
    </w:lvl>
    <w:lvl w:ilvl="3">
      <w:start w:val="1"/>
      <w:numFmt w:val="decimal"/>
      <w:lvlText w:val="%1.%2.%3.%4"/>
      <w:lvlJc w:val="left"/>
      <w:pPr>
        <w:tabs>
          <w:tab w:val="num" w:pos="3780"/>
        </w:tabs>
        <w:ind w:left="3780" w:hanging="108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580"/>
        </w:tabs>
        <w:ind w:left="5580" w:hanging="1440"/>
      </w:pPr>
      <w:rPr>
        <w:rFonts w:hint="default"/>
      </w:rPr>
    </w:lvl>
    <w:lvl w:ilvl="6">
      <w:start w:val="1"/>
      <w:numFmt w:val="decimal"/>
      <w:lvlText w:val="%1.%2.%3.%4.%5.%6.%7"/>
      <w:lvlJc w:val="left"/>
      <w:pPr>
        <w:tabs>
          <w:tab w:val="num" w:pos="6300"/>
        </w:tabs>
        <w:ind w:left="6300" w:hanging="1440"/>
      </w:pPr>
      <w:rPr>
        <w:rFonts w:hint="default"/>
      </w:rPr>
    </w:lvl>
    <w:lvl w:ilvl="7">
      <w:start w:val="1"/>
      <w:numFmt w:val="decimal"/>
      <w:lvlText w:val="%1.%2.%3.%4.%5.%6.%7.%8"/>
      <w:lvlJc w:val="left"/>
      <w:pPr>
        <w:tabs>
          <w:tab w:val="num" w:pos="7380"/>
        </w:tabs>
        <w:ind w:left="7380" w:hanging="1800"/>
      </w:pPr>
      <w:rPr>
        <w:rFonts w:hint="default"/>
      </w:rPr>
    </w:lvl>
    <w:lvl w:ilvl="8">
      <w:start w:val="1"/>
      <w:numFmt w:val="decimal"/>
      <w:lvlText w:val="%1.%2.%3.%4.%5.%6.%7.%8.%9"/>
      <w:lvlJc w:val="left"/>
      <w:pPr>
        <w:tabs>
          <w:tab w:val="num" w:pos="8460"/>
        </w:tabs>
        <w:ind w:left="8460" w:hanging="2160"/>
      </w:pPr>
      <w:rPr>
        <w:rFonts w:hint="default"/>
      </w:rPr>
    </w:lvl>
  </w:abstractNum>
  <w:abstractNum w:abstractNumId="29">
    <w:nsid w:val="0F6F4E39"/>
    <w:multiLevelType w:val="multilevel"/>
    <w:tmpl w:val="3ED8450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0">
    <w:nsid w:val="10234F06"/>
    <w:multiLevelType w:val="singleLevel"/>
    <w:tmpl w:val="04190001"/>
    <w:lvl w:ilvl="0">
      <w:start w:val="23"/>
      <w:numFmt w:val="bullet"/>
      <w:lvlText w:val=""/>
      <w:lvlJc w:val="left"/>
      <w:pPr>
        <w:tabs>
          <w:tab w:val="num" w:pos="360"/>
        </w:tabs>
        <w:ind w:left="360" w:hanging="360"/>
      </w:pPr>
      <w:rPr>
        <w:rFonts w:ascii="Symbol" w:hAnsi="Symbol" w:hint="default"/>
      </w:rPr>
    </w:lvl>
  </w:abstractNum>
  <w:abstractNum w:abstractNumId="31">
    <w:nsid w:val="10374BD4"/>
    <w:multiLevelType w:val="multilevel"/>
    <w:tmpl w:val="AFBA136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1038636D"/>
    <w:multiLevelType w:val="hybridMultilevel"/>
    <w:tmpl w:val="1C404DF2"/>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3">
    <w:nsid w:val="10497ADD"/>
    <w:multiLevelType w:val="multilevel"/>
    <w:tmpl w:val="8F94A8E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10CC223F"/>
    <w:multiLevelType w:val="hybridMultilevel"/>
    <w:tmpl w:val="0636BB14"/>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5">
    <w:nsid w:val="11AC2840"/>
    <w:multiLevelType w:val="hybridMultilevel"/>
    <w:tmpl w:val="F2D6B86C"/>
    <w:lvl w:ilvl="0">
      <w:start w:val="17"/>
      <w:numFmt w:val="decimal"/>
      <w:lvlText w:val="%1"/>
      <w:lvlJc w:val="left"/>
      <w:pPr>
        <w:tabs>
          <w:tab w:val="num" w:pos="5400"/>
        </w:tabs>
        <w:ind w:left="5400" w:hanging="50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1200456D"/>
    <w:multiLevelType w:val="multilevel"/>
    <w:tmpl w:val="63343D8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129A630E"/>
    <w:multiLevelType w:val="multilevel"/>
    <w:tmpl w:val="9E86161E"/>
    <w:lvl w:ilvl="0">
      <w:start w:val="7"/>
      <w:numFmt w:val="decimal"/>
      <w:lvlText w:val="%1"/>
      <w:lvlJc w:val="left"/>
      <w:pPr>
        <w:tabs>
          <w:tab w:val="num" w:pos="870"/>
        </w:tabs>
        <w:ind w:left="870" w:hanging="870"/>
      </w:pPr>
      <w:rPr>
        <w:rFonts w:hint="default"/>
      </w:rPr>
    </w:lvl>
    <w:lvl w:ilvl="1">
      <w:start w:val="1"/>
      <w:numFmt w:val="decimal"/>
      <w:lvlText w:val="%1.%2"/>
      <w:lvlJc w:val="left"/>
      <w:pPr>
        <w:tabs>
          <w:tab w:val="num" w:pos="870"/>
        </w:tabs>
        <w:ind w:left="870" w:hanging="87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38">
    <w:nsid w:val="12C364D9"/>
    <w:multiLevelType w:val="multilevel"/>
    <w:tmpl w:val="27EE3F18"/>
    <w:lvl w:ilvl="0">
      <w:start w:val="9"/>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13B40BF1"/>
    <w:multiLevelType w:val="multilevel"/>
    <w:tmpl w:val="50A2B74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14094329"/>
    <w:multiLevelType w:val="multilevel"/>
    <w:tmpl w:val="9670B63E"/>
    <w:lvl w:ilvl="0">
      <w:start w:val="2"/>
      <w:numFmt w:val="decimal"/>
      <w:lvlText w:val="%1"/>
      <w:lvlJc w:val="left"/>
      <w:pPr>
        <w:tabs>
          <w:tab w:val="num" w:pos="510"/>
        </w:tabs>
        <w:ind w:left="510" w:hanging="51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14106A93"/>
    <w:multiLevelType w:val="multilevel"/>
    <w:tmpl w:val="BF0A87B4"/>
    <w:lvl w:ilvl="0">
      <w:start w:val="13"/>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14744A45"/>
    <w:multiLevelType w:val="hybridMultilevel"/>
    <w:tmpl w:val="16203900"/>
    <w:lvl w:ilvl="0">
      <w:start w:val="12"/>
      <w:numFmt w:val="decimal"/>
      <w:lvlText w:val="%1."/>
      <w:lvlJc w:val="left"/>
      <w:pPr>
        <w:tabs>
          <w:tab w:val="num" w:pos="1875"/>
        </w:tabs>
        <w:ind w:left="1875" w:hanging="375"/>
      </w:pPr>
      <w:rPr>
        <w:rFonts w:hint="default"/>
      </w:rPr>
    </w:lvl>
    <w:lvl w:ilvl="1" w:tentative="1">
      <w:start w:val="1"/>
      <w:numFmt w:val="lowerLetter"/>
      <w:lvlText w:val="%2."/>
      <w:lvlJc w:val="left"/>
      <w:pPr>
        <w:tabs>
          <w:tab w:val="num" w:pos="2580"/>
        </w:tabs>
        <w:ind w:left="2580" w:hanging="360"/>
      </w:pPr>
    </w:lvl>
    <w:lvl w:ilvl="2" w:tentative="1">
      <w:start w:val="1"/>
      <w:numFmt w:val="lowerRoman"/>
      <w:lvlText w:val="%3."/>
      <w:lvlJc w:val="right"/>
      <w:pPr>
        <w:tabs>
          <w:tab w:val="num" w:pos="3300"/>
        </w:tabs>
        <w:ind w:left="3300" w:hanging="180"/>
      </w:pPr>
    </w:lvl>
    <w:lvl w:ilvl="3" w:tentative="1">
      <w:start w:val="1"/>
      <w:numFmt w:val="decimal"/>
      <w:lvlText w:val="%4."/>
      <w:lvlJc w:val="left"/>
      <w:pPr>
        <w:tabs>
          <w:tab w:val="num" w:pos="4020"/>
        </w:tabs>
        <w:ind w:left="4020" w:hanging="360"/>
      </w:pPr>
    </w:lvl>
    <w:lvl w:ilvl="4" w:tentative="1">
      <w:start w:val="1"/>
      <w:numFmt w:val="lowerLetter"/>
      <w:lvlText w:val="%5."/>
      <w:lvlJc w:val="left"/>
      <w:pPr>
        <w:tabs>
          <w:tab w:val="num" w:pos="4740"/>
        </w:tabs>
        <w:ind w:left="4740" w:hanging="360"/>
      </w:pPr>
    </w:lvl>
    <w:lvl w:ilvl="5" w:tentative="1">
      <w:start w:val="1"/>
      <w:numFmt w:val="lowerRoman"/>
      <w:lvlText w:val="%6."/>
      <w:lvlJc w:val="right"/>
      <w:pPr>
        <w:tabs>
          <w:tab w:val="num" w:pos="5460"/>
        </w:tabs>
        <w:ind w:left="5460" w:hanging="180"/>
      </w:pPr>
    </w:lvl>
    <w:lvl w:ilvl="6" w:tentative="1">
      <w:start w:val="1"/>
      <w:numFmt w:val="decimal"/>
      <w:lvlText w:val="%7."/>
      <w:lvlJc w:val="left"/>
      <w:pPr>
        <w:tabs>
          <w:tab w:val="num" w:pos="6180"/>
        </w:tabs>
        <w:ind w:left="6180" w:hanging="360"/>
      </w:pPr>
    </w:lvl>
    <w:lvl w:ilvl="7" w:tentative="1">
      <w:start w:val="1"/>
      <w:numFmt w:val="lowerLetter"/>
      <w:lvlText w:val="%8."/>
      <w:lvlJc w:val="left"/>
      <w:pPr>
        <w:tabs>
          <w:tab w:val="num" w:pos="6900"/>
        </w:tabs>
        <w:ind w:left="6900" w:hanging="360"/>
      </w:pPr>
    </w:lvl>
    <w:lvl w:ilvl="8" w:tentative="1">
      <w:start w:val="1"/>
      <w:numFmt w:val="lowerRoman"/>
      <w:lvlText w:val="%9."/>
      <w:lvlJc w:val="right"/>
      <w:pPr>
        <w:tabs>
          <w:tab w:val="num" w:pos="7620"/>
        </w:tabs>
        <w:ind w:left="7620" w:hanging="180"/>
      </w:pPr>
    </w:lvl>
  </w:abstractNum>
  <w:abstractNum w:abstractNumId="43">
    <w:nsid w:val="158E2B91"/>
    <w:multiLevelType w:val="multilevel"/>
    <w:tmpl w:val="2C6A399E"/>
    <w:lvl w:ilvl="0">
      <w:start w:val="15"/>
      <w:numFmt w:val="decimal"/>
      <w:lvlText w:val="%1"/>
      <w:lvlJc w:val="left"/>
      <w:pPr>
        <w:tabs>
          <w:tab w:val="num" w:pos="630"/>
        </w:tabs>
        <w:ind w:left="630" w:hanging="630"/>
      </w:pPr>
      <w:rPr>
        <w:rFonts w:hint="default"/>
      </w:rPr>
    </w:lvl>
    <w:lvl w:ilvl="1">
      <w:start w:val="1"/>
      <w:numFmt w:val="decimal"/>
      <w:lvlText w:val="%1.%2"/>
      <w:lvlJc w:val="left"/>
      <w:pPr>
        <w:tabs>
          <w:tab w:val="num" w:pos="1200"/>
        </w:tabs>
        <w:ind w:left="1200" w:hanging="63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790"/>
        </w:tabs>
        <w:ind w:left="5790" w:hanging="1800"/>
      </w:pPr>
      <w:rPr>
        <w:rFonts w:hint="default"/>
      </w:rPr>
    </w:lvl>
    <w:lvl w:ilvl="8">
      <w:start w:val="1"/>
      <w:numFmt w:val="decimal"/>
      <w:lvlText w:val="%1.%2.%3.%4.%5.%6.%7.%8.%9"/>
      <w:lvlJc w:val="left"/>
      <w:pPr>
        <w:tabs>
          <w:tab w:val="num" w:pos="6720"/>
        </w:tabs>
        <w:ind w:left="6720" w:hanging="2160"/>
      </w:pPr>
      <w:rPr>
        <w:rFonts w:hint="default"/>
      </w:rPr>
    </w:lvl>
  </w:abstractNum>
  <w:abstractNum w:abstractNumId="44">
    <w:nsid w:val="168D44FA"/>
    <w:multiLevelType w:val="multilevel"/>
    <w:tmpl w:val="C13235A0"/>
    <w:lvl w:ilvl="0">
      <w:start w:val="13"/>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18732BFD"/>
    <w:multiLevelType w:val="hybridMultilevel"/>
    <w:tmpl w:val="64AA2CFE"/>
    <w:lvl w:ilvl="0">
      <w:start w:val="1"/>
      <w:numFmt w:val="bullet"/>
      <w:lvlText w:val=""/>
      <w:lvlJc w:val="left"/>
      <w:pPr>
        <w:tabs>
          <w:tab w:val="num" w:pos="1740"/>
        </w:tabs>
        <w:ind w:left="1740" w:hanging="360"/>
      </w:pPr>
      <w:rPr>
        <w:rFonts w:ascii="Symbol" w:hAnsi="Symbol" w:hint="default"/>
      </w:rPr>
    </w:lvl>
    <w:lvl w:ilvl="1" w:tentative="1">
      <w:start w:val="1"/>
      <w:numFmt w:val="bullet"/>
      <w:lvlText w:val="o"/>
      <w:lvlJc w:val="left"/>
      <w:pPr>
        <w:tabs>
          <w:tab w:val="num" w:pos="2460"/>
        </w:tabs>
        <w:ind w:left="2460" w:hanging="360"/>
      </w:pPr>
      <w:rPr>
        <w:rFonts w:ascii="Courier New" w:hAnsi="Courier New" w:hint="default"/>
      </w:rPr>
    </w:lvl>
    <w:lvl w:ilvl="2" w:tentative="1">
      <w:start w:val="1"/>
      <w:numFmt w:val="bullet"/>
      <w:lvlText w:val=""/>
      <w:lvlJc w:val="left"/>
      <w:pPr>
        <w:tabs>
          <w:tab w:val="num" w:pos="3180"/>
        </w:tabs>
        <w:ind w:left="3180" w:hanging="360"/>
      </w:pPr>
      <w:rPr>
        <w:rFonts w:ascii="Wingdings" w:hAnsi="Wingdings" w:hint="default"/>
      </w:rPr>
    </w:lvl>
    <w:lvl w:ilvl="3" w:tentative="1">
      <w:start w:val="1"/>
      <w:numFmt w:val="bullet"/>
      <w:lvlText w:val=""/>
      <w:lvlJc w:val="left"/>
      <w:pPr>
        <w:tabs>
          <w:tab w:val="num" w:pos="3900"/>
        </w:tabs>
        <w:ind w:left="3900" w:hanging="360"/>
      </w:pPr>
      <w:rPr>
        <w:rFonts w:ascii="Symbol" w:hAnsi="Symbol" w:hint="default"/>
      </w:rPr>
    </w:lvl>
    <w:lvl w:ilvl="4" w:tentative="1">
      <w:start w:val="1"/>
      <w:numFmt w:val="bullet"/>
      <w:lvlText w:val="o"/>
      <w:lvlJc w:val="left"/>
      <w:pPr>
        <w:tabs>
          <w:tab w:val="num" w:pos="4620"/>
        </w:tabs>
        <w:ind w:left="4620" w:hanging="360"/>
      </w:pPr>
      <w:rPr>
        <w:rFonts w:ascii="Courier New" w:hAnsi="Courier New" w:hint="default"/>
      </w:rPr>
    </w:lvl>
    <w:lvl w:ilvl="5" w:tentative="1">
      <w:start w:val="1"/>
      <w:numFmt w:val="bullet"/>
      <w:lvlText w:val=""/>
      <w:lvlJc w:val="left"/>
      <w:pPr>
        <w:tabs>
          <w:tab w:val="num" w:pos="5340"/>
        </w:tabs>
        <w:ind w:left="5340" w:hanging="360"/>
      </w:pPr>
      <w:rPr>
        <w:rFonts w:ascii="Wingdings" w:hAnsi="Wingdings" w:hint="default"/>
      </w:rPr>
    </w:lvl>
    <w:lvl w:ilvl="6" w:tentative="1">
      <w:start w:val="1"/>
      <w:numFmt w:val="bullet"/>
      <w:lvlText w:val=""/>
      <w:lvlJc w:val="left"/>
      <w:pPr>
        <w:tabs>
          <w:tab w:val="num" w:pos="6060"/>
        </w:tabs>
        <w:ind w:left="6060" w:hanging="360"/>
      </w:pPr>
      <w:rPr>
        <w:rFonts w:ascii="Symbol" w:hAnsi="Symbol" w:hint="default"/>
      </w:rPr>
    </w:lvl>
    <w:lvl w:ilvl="7" w:tentative="1">
      <w:start w:val="1"/>
      <w:numFmt w:val="bullet"/>
      <w:lvlText w:val="o"/>
      <w:lvlJc w:val="left"/>
      <w:pPr>
        <w:tabs>
          <w:tab w:val="num" w:pos="6780"/>
        </w:tabs>
        <w:ind w:left="6780" w:hanging="360"/>
      </w:pPr>
      <w:rPr>
        <w:rFonts w:ascii="Courier New" w:hAnsi="Courier New" w:hint="default"/>
      </w:rPr>
    </w:lvl>
    <w:lvl w:ilvl="8" w:tentative="1">
      <w:start w:val="1"/>
      <w:numFmt w:val="bullet"/>
      <w:lvlText w:val=""/>
      <w:lvlJc w:val="left"/>
      <w:pPr>
        <w:tabs>
          <w:tab w:val="num" w:pos="7500"/>
        </w:tabs>
        <w:ind w:left="7500" w:hanging="360"/>
      </w:pPr>
      <w:rPr>
        <w:rFonts w:ascii="Wingdings" w:hAnsi="Wingdings" w:hint="default"/>
      </w:rPr>
    </w:lvl>
  </w:abstractNum>
  <w:abstractNum w:abstractNumId="46">
    <w:nsid w:val="18D141B9"/>
    <w:multiLevelType w:val="hybridMultilevel"/>
    <w:tmpl w:val="525C160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18D26542"/>
    <w:multiLevelType w:val="multilevel"/>
    <w:tmpl w:val="CA12BDA2"/>
    <w:lvl w:ilvl="0">
      <w:start w:val="10"/>
      <w:numFmt w:val="decimal"/>
      <w:lvlText w:val="%1"/>
      <w:lvlJc w:val="left"/>
      <w:pPr>
        <w:tabs>
          <w:tab w:val="num" w:pos="465"/>
        </w:tabs>
        <w:ind w:left="465" w:hanging="46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18F7791D"/>
    <w:multiLevelType w:val="hybridMultilevel"/>
    <w:tmpl w:val="6720937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9">
    <w:nsid w:val="191457DA"/>
    <w:multiLevelType w:val="multilevel"/>
    <w:tmpl w:val="FD289B6C"/>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19515C60"/>
    <w:multiLevelType w:val="multilevel"/>
    <w:tmpl w:val="103C389C"/>
    <w:lvl w:ilvl="0">
      <w:start w:val="1"/>
      <w:numFmt w:val="decimal"/>
      <w:lvlText w:val="%1"/>
      <w:lvlJc w:val="left"/>
      <w:pPr>
        <w:tabs>
          <w:tab w:val="num" w:pos="645"/>
        </w:tabs>
        <w:ind w:left="645" w:hanging="645"/>
      </w:pPr>
      <w:rPr>
        <w:rFonts w:hint="default"/>
      </w:rPr>
    </w:lvl>
    <w:lvl w:ilvl="1">
      <w:start w:val="5"/>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19627A64"/>
    <w:multiLevelType w:val="hybridMultilevel"/>
    <w:tmpl w:val="223E2D50"/>
    <w:lvl w:ilvl="0">
      <w:start w:val="15"/>
      <w:numFmt w:val="decimal"/>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19982367"/>
    <w:multiLevelType w:val="multilevel"/>
    <w:tmpl w:val="D5D03BC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3">
    <w:nsid w:val="1D0A5205"/>
    <w:multiLevelType w:val="multilevel"/>
    <w:tmpl w:val="C24EB834"/>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1D4F0EF4"/>
    <w:multiLevelType w:val="hybridMultilevel"/>
    <w:tmpl w:val="7E62F332"/>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1E8C1CEC"/>
    <w:multiLevelType w:val="multilevel"/>
    <w:tmpl w:val="64E63094"/>
    <w:lvl w:ilvl="0">
      <w:start w:val="10"/>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1EB66FFC"/>
    <w:multiLevelType w:val="multilevel"/>
    <w:tmpl w:val="D1E4A9CC"/>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1EBB1B3F"/>
    <w:multiLevelType w:val="multilevel"/>
    <w:tmpl w:val="E14E2CAA"/>
    <w:lvl w:ilvl="0">
      <w:start w:val="8"/>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8">
    <w:nsid w:val="1FB0492D"/>
    <w:multiLevelType w:val="multilevel"/>
    <w:tmpl w:val="0B60C596"/>
    <w:lvl w:ilvl="0">
      <w:start w:val="1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20505EA1"/>
    <w:multiLevelType w:val="hybridMultilevel"/>
    <w:tmpl w:val="1264FE48"/>
    <w:lvl w:ilvl="0">
      <w:start w:val="1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20FA432E"/>
    <w:multiLevelType w:val="multilevel"/>
    <w:tmpl w:val="E9E45BD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210210CE"/>
    <w:multiLevelType w:val="multilevel"/>
    <w:tmpl w:val="CF429674"/>
    <w:lvl w:ilvl="0">
      <w:start w:val="7"/>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62">
    <w:nsid w:val="21265B5B"/>
    <w:multiLevelType w:val="hybridMultilevel"/>
    <w:tmpl w:val="F6BC1C4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21335B0F"/>
    <w:multiLevelType w:val="multilevel"/>
    <w:tmpl w:val="3EBAB848"/>
    <w:lvl w:ilvl="0">
      <w:start w:val="7"/>
      <w:numFmt w:val="decimal"/>
      <w:lvlText w:val="%1"/>
      <w:lvlJc w:val="left"/>
      <w:pPr>
        <w:tabs>
          <w:tab w:val="num" w:pos="675"/>
        </w:tabs>
        <w:ind w:left="675" w:hanging="675"/>
      </w:pPr>
      <w:rPr>
        <w:rFonts w:hint="default"/>
      </w:rPr>
    </w:lvl>
    <w:lvl w:ilvl="1">
      <w:start w:val="2"/>
      <w:numFmt w:val="decimal"/>
      <w:lvlText w:val="%1.%2"/>
      <w:lvlJc w:val="left"/>
      <w:pPr>
        <w:tabs>
          <w:tab w:val="num" w:pos="675"/>
        </w:tabs>
        <w:ind w:left="675" w:hanging="6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21FC6851"/>
    <w:multiLevelType w:val="multilevel"/>
    <w:tmpl w:val="73A4D0E4"/>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22013463"/>
    <w:multiLevelType w:val="multilevel"/>
    <w:tmpl w:val="F8F8F89C"/>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66">
    <w:nsid w:val="220D7E5E"/>
    <w:multiLevelType w:val="multilevel"/>
    <w:tmpl w:val="610A3F9A"/>
    <w:lvl w:ilvl="0">
      <w:start w:val="15"/>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236D3B1D"/>
    <w:multiLevelType w:val="multilevel"/>
    <w:tmpl w:val="2A3A55A8"/>
    <w:lvl w:ilvl="0">
      <w:start w:val="13"/>
      <w:numFmt w:val="decimal"/>
      <w:lvlText w:val="%1"/>
      <w:lvlJc w:val="left"/>
      <w:pPr>
        <w:tabs>
          <w:tab w:val="num" w:pos="540"/>
        </w:tabs>
        <w:ind w:left="540" w:hanging="54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68">
    <w:nsid w:val="248237F3"/>
    <w:multiLevelType w:val="multilevel"/>
    <w:tmpl w:val="36EA3468"/>
    <w:lvl w:ilvl="0">
      <w:start w:val="10"/>
      <w:numFmt w:val="decimal"/>
      <w:lvlText w:val="%1"/>
      <w:lvlJc w:val="left"/>
      <w:pPr>
        <w:tabs>
          <w:tab w:val="num" w:pos="960"/>
        </w:tabs>
        <w:ind w:left="960" w:hanging="960"/>
      </w:pPr>
      <w:rPr>
        <w:rFonts w:hint="default"/>
      </w:rPr>
    </w:lvl>
    <w:lvl w:ilvl="1">
      <w:start w:val="1"/>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2588161B"/>
    <w:multiLevelType w:val="multilevel"/>
    <w:tmpl w:val="581233B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25DC2698"/>
    <w:multiLevelType w:val="multilevel"/>
    <w:tmpl w:val="B1F4764E"/>
    <w:lvl w:ilvl="0">
      <w:start w:val="14"/>
      <w:numFmt w:val="decimal"/>
      <w:lvlText w:val="%1"/>
      <w:lvlJc w:val="left"/>
      <w:pPr>
        <w:tabs>
          <w:tab w:val="num" w:pos="675"/>
        </w:tabs>
        <w:ind w:left="675" w:hanging="67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1">
    <w:nsid w:val="26DE3E45"/>
    <w:multiLevelType w:val="multilevel"/>
    <w:tmpl w:val="2C24EB08"/>
    <w:lvl w:ilvl="0">
      <w:start w:val="2"/>
      <w:numFmt w:val="decimal"/>
      <w:lvlText w:val="%1"/>
      <w:lvlJc w:val="left"/>
      <w:pPr>
        <w:tabs>
          <w:tab w:val="num" w:pos="585"/>
        </w:tabs>
        <w:ind w:left="585" w:hanging="585"/>
      </w:pPr>
      <w:rPr>
        <w:rFonts w:hint="default"/>
      </w:rPr>
    </w:lvl>
    <w:lvl w:ilvl="1">
      <w:start w:val="2"/>
      <w:numFmt w:val="decimal"/>
      <w:lvlText w:val="%1.%2"/>
      <w:lvlJc w:val="left"/>
      <w:pPr>
        <w:tabs>
          <w:tab w:val="num" w:pos="1035"/>
        </w:tabs>
        <w:ind w:left="1035" w:hanging="585"/>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430"/>
        </w:tabs>
        <w:ind w:left="2430" w:hanging="108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690"/>
        </w:tabs>
        <w:ind w:left="3690" w:hanging="144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950"/>
        </w:tabs>
        <w:ind w:left="4950" w:hanging="1800"/>
      </w:pPr>
      <w:rPr>
        <w:rFonts w:hint="default"/>
      </w:rPr>
    </w:lvl>
    <w:lvl w:ilvl="8">
      <w:start w:val="1"/>
      <w:numFmt w:val="decimal"/>
      <w:lvlText w:val="%1.%2.%3.%4.%5.%6.%7.%8.%9"/>
      <w:lvlJc w:val="left"/>
      <w:pPr>
        <w:tabs>
          <w:tab w:val="num" w:pos="5760"/>
        </w:tabs>
        <w:ind w:left="5760" w:hanging="2160"/>
      </w:pPr>
      <w:rPr>
        <w:rFonts w:hint="default"/>
      </w:rPr>
    </w:lvl>
  </w:abstractNum>
  <w:abstractNum w:abstractNumId="72">
    <w:nsid w:val="27454089"/>
    <w:multiLevelType w:val="multilevel"/>
    <w:tmpl w:val="BED0E8D6"/>
    <w:lvl w:ilvl="0">
      <w:start w:val="7"/>
      <w:numFmt w:val="decimal"/>
      <w:lvlText w:val="%1"/>
      <w:lvlJc w:val="left"/>
      <w:pPr>
        <w:tabs>
          <w:tab w:val="num" w:pos="510"/>
        </w:tabs>
        <w:ind w:left="510" w:hanging="510"/>
      </w:pPr>
      <w:rPr>
        <w:rFonts w:hint="default"/>
        <w:sz w:val="32"/>
      </w:rPr>
    </w:lvl>
    <w:lvl w:ilvl="1">
      <w:start w:val="1"/>
      <w:numFmt w:val="decimal"/>
      <w:lvlText w:val="%1.%2"/>
      <w:lvlJc w:val="left"/>
      <w:pPr>
        <w:tabs>
          <w:tab w:val="num" w:pos="720"/>
        </w:tabs>
        <w:ind w:left="720" w:hanging="720"/>
      </w:pPr>
      <w:rPr>
        <w:rFonts w:hint="default"/>
        <w:sz w:val="28"/>
        <w:szCs w:val="28"/>
      </w:rPr>
    </w:lvl>
    <w:lvl w:ilvl="2">
      <w:start w:val="1"/>
      <w:numFmt w:val="decimal"/>
      <w:lvlText w:val="%1.%2.%3"/>
      <w:lvlJc w:val="left"/>
      <w:pPr>
        <w:tabs>
          <w:tab w:val="num" w:pos="1080"/>
        </w:tabs>
        <w:ind w:left="1080" w:hanging="1080"/>
      </w:pPr>
      <w:rPr>
        <w:rFonts w:hint="default"/>
        <w:b/>
        <w:sz w:val="24"/>
        <w:szCs w:val="24"/>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2160"/>
        </w:tabs>
        <w:ind w:left="2160" w:hanging="216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73">
    <w:nsid w:val="27983016"/>
    <w:multiLevelType w:val="hybridMultilevel"/>
    <w:tmpl w:val="8A903040"/>
    <w:lvl w:ilvl="0">
      <w:start w:val="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283815B8"/>
    <w:multiLevelType w:val="hybridMultilevel"/>
    <w:tmpl w:val="E99450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28A46422"/>
    <w:multiLevelType w:val="multilevel"/>
    <w:tmpl w:val="73C4C3A6"/>
    <w:lvl w:ilvl="0">
      <w:start w:val="3"/>
      <w:numFmt w:val="decimal"/>
      <w:lvlText w:val="%1"/>
      <w:lvlJc w:val="left"/>
      <w:pPr>
        <w:tabs>
          <w:tab w:val="num" w:pos="510"/>
        </w:tabs>
        <w:ind w:left="510" w:hanging="51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nsid w:val="29710020"/>
    <w:multiLevelType w:val="multilevel"/>
    <w:tmpl w:val="0E6A4C44"/>
    <w:lvl w:ilvl="0">
      <w:start w:val="11"/>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2A5D7541"/>
    <w:multiLevelType w:val="hybridMultilevel"/>
    <w:tmpl w:val="CA14D48C"/>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2B3014EB"/>
    <w:multiLevelType w:val="multilevel"/>
    <w:tmpl w:val="448ACBE4"/>
    <w:lvl w:ilvl="0">
      <w:start w:val="7"/>
      <w:numFmt w:val="decimal"/>
      <w:lvlText w:val="%1"/>
      <w:lvlJc w:val="left"/>
      <w:pPr>
        <w:tabs>
          <w:tab w:val="num" w:pos="690"/>
        </w:tabs>
        <w:ind w:left="690" w:hanging="690"/>
      </w:pPr>
      <w:rPr>
        <w:rFonts w:hint="default"/>
      </w:rPr>
    </w:lvl>
    <w:lvl w:ilvl="1">
      <w:start w:val="1"/>
      <w:numFmt w:val="decimal"/>
      <w:lvlText w:val="%1.%2"/>
      <w:lvlJc w:val="left"/>
      <w:pPr>
        <w:tabs>
          <w:tab w:val="num" w:pos="1260"/>
        </w:tabs>
        <w:ind w:left="1260" w:hanging="69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790"/>
        </w:tabs>
        <w:ind w:left="5790" w:hanging="1800"/>
      </w:pPr>
      <w:rPr>
        <w:rFonts w:hint="default"/>
      </w:rPr>
    </w:lvl>
    <w:lvl w:ilvl="8">
      <w:start w:val="1"/>
      <w:numFmt w:val="decimal"/>
      <w:lvlText w:val="%1.%2.%3.%4.%5.%6.%7.%8.%9"/>
      <w:lvlJc w:val="left"/>
      <w:pPr>
        <w:tabs>
          <w:tab w:val="num" w:pos="6720"/>
        </w:tabs>
        <w:ind w:left="6720" w:hanging="2160"/>
      </w:pPr>
      <w:rPr>
        <w:rFonts w:hint="default"/>
      </w:rPr>
    </w:lvl>
  </w:abstractNum>
  <w:abstractNum w:abstractNumId="79">
    <w:nsid w:val="2B4C2E05"/>
    <w:multiLevelType w:val="multilevel"/>
    <w:tmpl w:val="67A0C71E"/>
    <w:lvl w:ilvl="0">
      <w:start w:val="15"/>
      <w:numFmt w:val="decimal"/>
      <w:lvlText w:val="%1"/>
      <w:lvlJc w:val="left"/>
      <w:pPr>
        <w:tabs>
          <w:tab w:val="num" w:pos="630"/>
        </w:tabs>
        <w:ind w:left="630" w:hanging="630"/>
      </w:pPr>
      <w:rPr>
        <w:rFonts w:hint="default"/>
      </w:rPr>
    </w:lvl>
    <w:lvl w:ilvl="1">
      <w:start w:val="2"/>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0">
    <w:nsid w:val="2DC76B87"/>
    <w:multiLevelType w:val="singleLevel"/>
    <w:tmpl w:val="D81A07D6"/>
    <w:lvl w:ilvl="0">
      <w:start w:val="3"/>
      <w:numFmt w:val="lowerRoman"/>
      <w:lvlText w:val="(%1)"/>
      <w:lvlJc w:val="left"/>
      <w:pPr>
        <w:tabs>
          <w:tab w:val="num" w:pos="720"/>
        </w:tabs>
        <w:ind w:left="720" w:hanging="720"/>
      </w:pPr>
      <w:rPr>
        <w:rFonts w:hint="default"/>
      </w:rPr>
    </w:lvl>
  </w:abstractNum>
  <w:abstractNum w:abstractNumId="81">
    <w:nsid w:val="2DE85245"/>
    <w:multiLevelType w:val="multilevel"/>
    <w:tmpl w:val="F3FEF48C"/>
    <w:lvl w:ilvl="0">
      <w:start w:val="8"/>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2">
    <w:nsid w:val="2E093935"/>
    <w:multiLevelType w:val="hybridMultilevel"/>
    <w:tmpl w:val="AE964E9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2E2337AD"/>
    <w:multiLevelType w:val="multilevel"/>
    <w:tmpl w:val="2A320D4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4">
    <w:nsid w:val="2E7B719F"/>
    <w:multiLevelType w:val="multilevel"/>
    <w:tmpl w:val="58841298"/>
    <w:lvl w:ilvl="0">
      <w:start w:val="3"/>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800"/>
        </w:tabs>
        <w:ind w:left="1800" w:hanging="1800"/>
      </w:pPr>
      <w:rPr>
        <w:rFonts w:hint="default"/>
        <w:u w:val="none"/>
      </w:rPr>
    </w:lvl>
    <w:lvl w:ilvl="7">
      <w:start w:val="1"/>
      <w:numFmt w:val="decimal"/>
      <w:lvlText w:val="%1.%2.%3.%4.%5.%6.%7.%8"/>
      <w:lvlJc w:val="left"/>
      <w:pPr>
        <w:tabs>
          <w:tab w:val="num" w:pos="2160"/>
        </w:tabs>
        <w:ind w:left="2160" w:hanging="2160"/>
      </w:pPr>
      <w:rPr>
        <w:rFonts w:hint="default"/>
        <w:u w:val="none"/>
      </w:rPr>
    </w:lvl>
    <w:lvl w:ilvl="8">
      <w:start w:val="1"/>
      <w:numFmt w:val="decimal"/>
      <w:lvlText w:val="%1.%2.%3.%4.%5.%6.%7.%8.%9"/>
      <w:lvlJc w:val="left"/>
      <w:pPr>
        <w:tabs>
          <w:tab w:val="num" w:pos="2160"/>
        </w:tabs>
        <w:ind w:left="2160" w:hanging="2160"/>
      </w:pPr>
      <w:rPr>
        <w:rFonts w:hint="default"/>
        <w:u w:val="none"/>
      </w:rPr>
    </w:lvl>
  </w:abstractNum>
  <w:abstractNum w:abstractNumId="85">
    <w:nsid w:val="2EC50717"/>
    <w:multiLevelType w:val="hybridMultilevel"/>
    <w:tmpl w:val="67209372"/>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6">
    <w:nsid w:val="30724178"/>
    <w:multiLevelType w:val="multilevel"/>
    <w:tmpl w:val="D14E4042"/>
    <w:lvl w:ilvl="0">
      <w:start w:val="4"/>
      <w:numFmt w:val="decimal"/>
      <w:lvlText w:val="%1"/>
      <w:lvlJc w:val="left"/>
      <w:pPr>
        <w:tabs>
          <w:tab w:val="num" w:pos="450"/>
        </w:tabs>
        <w:ind w:left="450" w:hanging="45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87">
    <w:nsid w:val="307E17A3"/>
    <w:multiLevelType w:val="multilevel"/>
    <w:tmpl w:val="EDAEE49A"/>
    <w:lvl w:ilvl="0">
      <w:start w:val="8"/>
      <w:numFmt w:val="decimal"/>
      <w:lvlText w:val="%1"/>
      <w:lvlJc w:val="left"/>
      <w:pPr>
        <w:tabs>
          <w:tab w:val="num" w:pos="660"/>
        </w:tabs>
        <w:ind w:left="660" w:hanging="660"/>
      </w:pPr>
      <w:rPr>
        <w:rFonts w:hint="default"/>
        <w:b w:val="0"/>
      </w:rPr>
    </w:lvl>
    <w:lvl w:ilvl="1">
      <w:start w:val="1"/>
      <w:numFmt w:val="decimal"/>
      <w:lvlText w:val="%1.%2"/>
      <w:lvlJc w:val="left"/>
      <w:pPr>
        <w:tabs>
          <w:tab w:val="num" w:pos="660"/>
        </w:tabs>
        <w:ind w:left="660" w:hanging="6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8">
    <w:nsid w:val="30992342"/>
    <w:multiLevelType w:val="hybridMultilevel"/>
    <w:tmpl w:val="B4968972"/>
    <w:lvl w:ilvl="0">
      <w:start w:val="1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35861645"/>
    <w:multiLevelType w:val="multilevel"/>
    <w:tmpl w:val="1104158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0">
    <w:nsid w:val="35CE563D"/>
    <w:multiLevelType w:val="multilevel"/>
    <w:tmpl w:val="57CA73F0"/>
    <w:lvl w:ilvl="0">
      <w:start w:val="1"/>
      <w:numFmt w:val="decimal"/>
      <w:lvlText w:val="%1"/>
      <w:lvlJc w:val="left"/>
      <w:pPr>
        <w:tabs>
          <w:tab w:val="num" w:pos="360"/>
        </w:tabs>
        <w:ind w:left="360" w:hanging="360"/>
      </w:pPr>
      <w:rPr>
        <w:rFonts w:ascii="Times New Roman" w:hAnsi="Times New Roman" w:cs="Times New Roman" w:hint="default"/>
      </w:rPr>
    </w:lvl>
    <w:lvl w:ilvl="1">
      <w:start w:val="5"/>
      <w:numFmt w:val="decimal"/>
      <w:lvlText w:val="%1.%2"/>
      <w:lvlJc w:val="left"/>
      <w:pPr>
        <w:tabs>
          <w:tab w:val="num" w:pos="1800"/>
        </w:tabs>
        <w:ind w:left="1800" w:hanging="360"/>
      </w:pPr>
      <w:rPr>
        <w:rFonts w:ascii="Times New Roman" w:hAnsi="Times New Roman" w:cs="Times New Roman" w:hint="default"/>
      </w:rPr>
    </w:lvl>
    <w:lvl w:ilvl="2">
      <w:start w:val="1"/>
      <w:numFmt w:val="decimal"/>
      <w:lvlText w:val="%1.%2.%3"/>
      <w:lvlJc w:val="left"/>
      <w:pPr>
        <w:tabs>
          <w:tab w:val="num" w:pos="3600"/>
        </w:tabs>
        <w:ind w:left="3600" w:hanging="720"/>
      </w:pPr>
      <w:rPr>
        <w:rFonts w:ascii="Times New Roman" w:hAnsi="Times New Roman" w:cs="Times New Roman" w:hint="default"/>
      </w:rPr>
    </w:lvl>
    <w:lvl w:ilvl="3">
      <w:start w:val="1"/>
      <w:numFmt w:val="decimal"/>
      <w:lvlText w:val="%1.%2.%3.%4"/>
      <w:lvlJc w:val="left"/>
      <w:pPr>
        <w:tabs>
          <w:tab w:val="num" w:pos="5040"/>
        </w:tabs>
        <w:ind w:left="5040" w:hanging="720"/>
      </w:pPr>
      <w:rPr>
        <w:rFonts w:ascii="Times New Roman" w:hAnsi="Times New Roman" w:cs="Times New Roman" w:hint="default"/>
      </w:rPr>
    </w:lvl>
    <w:lvl w:ilvl="4">
      <w:start w:val="1"/>
      <w:numFmt w:val="decimal"/>
      <w:lvlText w:val="%1.%2.%3.%4.%5"/>
      <w:lvlJc w:val="left"/>
      <w:pPr>
        <w:tabs>
          <w:tab w:val="num" w:pos="6840"/>
        </w:tabs>
        <w:ind w:left="6840" w:hanging="1080"/>
      </w:pPr>
      <w:rPr>
        <w:rFonts w:ascii="Times New Roman" w:hAnsi="Times New Roman" w:cs="Times New Roman" w:hint="default"/>
      </w:rPr>
    </w:lvl>
    <w:lvl w:ilvl="5">
      <w:start w:val="1"/>
      <w:numFmt w:val="decimal"/>
      <w:lvlText w:val="%1.%2.%3.%4.%5.%6"/>
      <w:lvlJc w:val="left"/>
      <w:pPr>
        <w:tabs>
          <w:tab w:val="num" w:pos="8280"/>
        </w:tabs>
        <w:ind w:left="8280" w:hanging="1080"/>
      </w:pPr>
      <w:rPr>
        <w:rFonts w:ascii="Times New Roman" w:hAnsi="Times New Roman" w:cs="Times New Roman" w:hint="default"/>
      </w:rPr>
    </w:lvl>
    <w:lvl w:ilvl="6">
      <w:start w:val="1"/>
      <w:numFmt w:val="decimal"/>
      <w:lvlText w:val="%1.%2.%3.%4.%5.%6.%7"/>
      <w:lvlJc w:val="left"/>
      <w:pPr>
        <w:tabs>
          <w:tab w:val="num" w:pos="10080"/>
        </w:tabs>
        <w:ind w:left="10080" w:hanging="1440"/>
      </w:pPr>
      <w:rPr>
        <w:rFonts w:ascii="Times New Roman" w:hAnsi="Times New Roman" w:cs="Times New Roman" w:hint="default"/>
      </w:rPr>
    </w:lvl>
    <w:lvl w:ilvl="7">
      <w:start w:val="1"/>
      <w:numFmt w:val="decimal"/>
      <w:lvlText w:val="%1.%2.%3.%4.%5.%6.%7.%8"/>
      <w:lvlJc w:val="left"/>
      <w:pPr>
        <w:tabs>
          <w:tab w:val="num" w:pos="11520"/>
        </w:tabs>
        <w:ind w:left="11520" w:hanging="1440"/>
      </w:pPr>
      <w:rPr>
        <w:rFonts w:ascii="Times New Roman" w:hAnsi="Times New Roman" w:cs="Times New Roman" w:hint="default"/>
      </w:rPr>
    </w:lvl>
    <w:lvl w:ilvl="8">
      <w:start w:val="1"/>
      <w:numFmt w:val="decimal"/>
      <w:lvlText w:val="%1.%2.%3.%4.%5.%6.%7.%8.%9"/>
      <w:lvlJc w:val="left"/>
      <w:pPr>
        <w:tabs>
          <w:tab w:val="num" w:pos="13320"/>
        </w:tabs>
        <w:ind w:left="13320" w:hanging="1800"/>
      </w:pPr>
      <w:rPr>
        <w:rFonts w:ascii="Times New Roman" w:hAnsi="Times New Roman" w:cs="Times New Roman" w:hint="default"/>
      </w:rPr>
    </w:lvl>
  </w:abstractNum>
  <w:abstractNum w:abstractNumId="91">
    <w:nsid w:val="363673CA"/>
    <w:multiLevelType w:val="multilevel"/>
    <w:tmpl w:val="94BED268"/>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2">
    <w:nsid w:val="364D6982"/>
    <w:multiLevelType w:val="hybridMultilevel"/>
    <w:tmpl w:val="D960F4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nsid w:val="37934415"/>
    <w:multiLevelType w:val="multilevel"/>
    <w:tmpl w:val="5CB623B2"/>
    <w:lvl w:ilvl="0">
      <w:start w:val="12"/>
      <w:numFmt w:val="decimal"/>
      <w:lvlText w:val="%1"/>
      <w:lvlJc w:val="left"/>
      <w:pPr>
        <w:tabs>
          <w:tab w:val="num" w:pos="420"/>
        </w:tabs>
        <w:ind w:left="420" w:hanging="420"/>
      </w:pPr>
      <w:rPr>
        <w:rFonts w:hint="default"/>
      </w:rPr>
    </w:lvl>
    <w:lvl w:ilvl="1">
      <w:start w:val="5"/>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383A41FC"/>
    <w:multiLevelType w:val="multilevel"/>
    <w:tmpl w:val="313E7992"/>
    <w:lvl w:ilvl="0">
      <w:start w:val="1"/>
      <w:numFmt w:val="decimal"/>
      <w:lvlText w:val="%1.0"/>
      <w:lvlJc w:val="left"/>
      <w:pPr>
        <w:tabs>
          <w:tab w:val="num" w:pos="975"/>
        </w:tabs>
        <w:ind w:left="975" w:hanging="975"/>
      </w:pPr>
      <w:rPr>
        <w:rFonts w:hint="default"/>
      </w:rPr>
    </w:lvl>
    <w:lvl w:ilvl="1">
      <w:start w:val="1"/>
      <w:numFmt w:val="decimal"/>
      <w:lvlText w:val="%1.%2"/>
      <w:lvlJc w:val="left"/>
      <w:pPr>
        <w:tabs>
          <w:tab w:val="num" w:pos="1695"/>
        </w:tabs>
        <w:ind w:left="1695" w:hanging="975"/>
      </w:pPr>
      <w:rPr>
        <w:rFonts w:hint="default"/>
      </w:rPr>
    </w:lvl>
    <w:lvl w:ilvl="2">
      <w:start w:val="1"/>
      <w:numFmt w:val="decimal"/>
      <w:lvlText w:val="%1.%2.%3"/>
      <w:lvlJc w:val="left"/>
      <w:pPr>
        <w:tabs>
          <w:tab w:val="num" w:pos="2415"/>
        </w:tabs>
        <w:ind w:left="2415" w:hanging="97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95">
    <w:nsid w:val="39651E6D"/>
    <w:multiLevelType w:val="singleLevel"/>
    <w:tmpl w:val="F7F4FE9C"/>
    <w:lvl w:ilvl="0">
      <w:start w:val="1"/>
      <w:numFmt w:val="decimal"/>
      <w:lvlText w:val="%1."/>
      <w:lvlJc w:val="left"/>
      <w:pPr>
        <w:tabs>
          <w:tab w:val="num" w:pos="390"/>
        </w:tabs>
        <w:ind w:left="390" w:hanging="390"/>
      </w:pPr>
      <w:rPr>
        <w:rFonts w:hint="default"/>
      </w:rPr>
    </w:lvl>
  </w:abstractNum>
  <w:abstractNum w:abstractNumId="96">
    <w:nsid w:val="39BC238A"/>
    <w:multiLevelType w:val="hybridMultilevel"/>
    <w:tmpl w:val="18B2A69E"/>
    <w:lvl w:ilvl="0">
      <w:start w:val="1"/>
      <w:numFmt w:val="bullet"/>
      <w:lvlText w:val=""/>
      <w:lvlJc w:val="left"/>
      <w:pPr>
        <w:tabs>
          <w:tab w:val="num" w:pos="788"/>
        </w:tabs>
        <w:ind w:left="788" w:hanging="360"/>
      </w:pPr>
      <w:rPr>
        <w:rFonts w:ascii="Wingdings" w:hAnsi="Wingdings" w:hint="default"/>
      </w:rPr>
    </w:lvl>
    <w:lvl w:ilvl="1">
      <w:start w:val="1"/>
      <w:numFmt w:val="bullet"/>
      <w:lvlText w:val=""/>
      <w:lvlJc w:val="left"/>
      <w:pPr>
        <w:tabs>
          <w:tab w:val="num" w:pos="1508"/>
        </w:tabs>
        <w:ind w:left="1508" w:hanging="360"/>
      </w:pPr>
      <w:rPr>
        <w:rFonts w:ascii="Wingdings" w:hAnsi="Wingdings" w:hint="default"/>
        <w:sz w:val="16"/>
      </w:rPr>
    </w:lvl>
    <w:lvl w:ilvl="2" w:tentative="1">
      <w:start w:val="1"/>
      <w:numFmt w:val="bullet"/>
      <w:lvlText w:val=""/>
      <w:lvlJc w:val="left"/>
      <w:pPr>
        <w:tabs>
          <w:tab w:val="num" w:pos="2228"/>
        </w:tabs>
        <w:ind w:left="2228" w:hanging="360"/>
      </w:pPr>
      <w:rPr>
        <w:rFonts w:ascii="Wingdings" w:hAnsi="Wingdings" w:hint="default"/>
      </w:rPr>
    </w:lvl>
    <w:lvl w:ilvl="3" w:tentative="1">
      <w:start w:val="1"/>
      <w:numFmt w:val="bullet"/>
      <w:lvlText w:val=""/>
      <w:lvlJc w:val="left"/>
      <w:pPr>
        <w:tabs>
          <w:tab w:val="num" w:pos="2948"/>
        </w:tabs>
        <w:ind w:left="2948" w:hanging="360"/>
      </w:pPr>
      <w:rPr>
        <w:rFonts w:ascii="Symbol" w:hAnsi="Symbol" w:hint="default"/>
      </w:rPr>
    </w:lvl>
    <w:lvl w:ilvl="4" w:tentative="1">
      <w:start w:val="1"/>
      <w:numFmt w:val="bullet"/>
      <w:lvlText w:val="o"/>
      <w:lvlJc w:val="left"/>
      <w:pPr>
        <w:tabs>
          <w:tab w:val="num" w:pos="3668"/>
        </w:tabs>
        <w:ind w:left="3668" w:hanging="360"/>
      </w:pPr>
      <w:rPr>
        <w:rFonts w:ascii="Courier New" w:hAnsi="Courier New" w:hint="default"/>
      </w:rPr>
    </w:lvl>
    <w:lvl w:ilvl="5" w:tentative="1">
      <w:start w:val="1"/>
      <w:numFmt w:val="bullet"/>
      <w:lvlText w:val=""/>
      <w:lvlJc w:val="left"/>
      <w:pPr>
        <w:tabs>
          <w:tab w:val="num" w:pos="4388"/>
        </w:tabs>
        <w:ind w:left="4388" w:hanging="360"/>
      </w:pPr>
      <w:rPr>
        <w:rFonts w:ascii="Wingdings" w:hAnsi="Wingdings" w:hint="default"/>
      </w:rPr>
    </w:lvl>
    <w:lvl w:ilvl="6" w:tentative="1">
      <w:start w:val="1"/>
      <w:numFmt w:val="bullet"/>
      <w:lvlText w:val=""/>
      <w:lvlJc w:val="left"/>
      <w:pPr>
        <w:tabs>
          <w:tab w:val="num" w:pos="5108"/>
        </w:tabs>
        <w:ind w:left="5108" w:hanging="360"/>
      </w:pPr>
      <w:rPr>
        <w:rFonts w:ascii="Symbol" w:hAnsi="Symbol" w:hint="default"/>
      </w:rPr>
    </w:lvl>
    <w:lvl w:ilvl="7" w:tentative="1">
      <w:start w:val="1"/>
      <w:numFmt w:val="bullet"/>
      <w:lvlText w:val="o"/>
      <w:lvlJc w:val="left"/>
      <w:pPr>
        <w:tabs>
          <w:tab w:val="num" w:pos="5828"/>
        </w:tabs>
        <w:ind w:left="5828" w:hanging="360"/>
      </w:pPr>
      <w:rPr>
        <w:rFonts w:ascii="Courier New" w:hAnsi="Courier New" w:hint="default"/>
      </w:rPr>
    </w:lvl>
    <w:lvl w:ilvl="8" w:tentative="1">
      <w:start w:val="1"/>
      <w:numFmt w:val="bullet"/>
      <w:lvlText w:val=""/>
      <w:lvlJc w:val="left"/>
      <w:pPr>
        <w:tabs>
          <w:tab w:val="num" w:pos="6548"/>
        </w:tabs>
        <w:ind w:left="6548" w:hanging="360"/>
      </w:pPr>
      <w:rPr>
        <w:rFonts w:ascii="Wingdings" w:hAnsi="Wingdings" w:hint="default"/>
      </w:rPr>
    </w:lvl>
  </w:abstractNum>
  <w:abstractNum w:abstractNumId="97">
    <w:nsid w:val="39FB17A7"/>
    <w:multiLevelType w:val="hybridMultilevel"/>
    <w:tmpl w:val="2970F3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3A284D23"/>
    <w:multiLevelType w:val="multilevel"/>
    <w:tmpl w:val="10AA9530"/>
    <w:lvl w:ilvl="0">
      <w:start w:val="1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3AEB7A30"/>
    <w:multiLevelType w:val="multilevel"/>
    <w:tmpl w:val="787EEB48"/>
    <w:lvl w:ilvl="0">
      <w:start w:val="4"/>
      <w:numFmt w:val="decimal"/>
      <w:lvlText w:val="%1"/>
      <w:lvlJc w:val="left"/>
      <w:pPr>
        <w:tabs>
          <w:tab w:val="num" w:pos="375"/>
        </w:tabs>
        <w:ind w:left="375" w:hanging="375"/>
      </w:pPr>
      <w:rPr>
        <w:rFonts w:cs="Times New Roman" w:hint="default"/>
        <w:sz w:val="24"/>
      </w:rPr>
    </w:lvl>
    <w:lvl w:ilvl="1">
      <w:start w:val="5"/>
      <w:numFmt w:val="decimal"/>
      <w:lvlText w:val="%1.%2"/>
      <w:lvlJc w:val="left"/>
      <w:pPr>
        <w:tabs>
          <w:tab w:val="num" w:pos="720"/>
        </w:tabs>
        <w:ind w:left="720" w:hanging="720"/>
      </w:pPr>
      <w:rPr>
        <w:rFonts w:cs="Times New Roman" w:hint="default"/>
        <w:sz w:val="24"/>
        <w:szCs w:val="24"/>
      </w:rPr>
    </w:lvl>
    <w:lvl w:ilvl="2">
      <w:start w:val="1"/>
      <w:numFmt w:val="decimal"/>
      <w:lvlText w:val="%1.%2.%3"/>
      <w:lvlJc w:val="left"/>
      <w:pPr>
        <w:tabs>
          <w:tab w:val="num" w:pos="0"/>
        </w:tabs>
        <w:ind w:left="0" w:hanging="1080"/>
      </w:pPr>
      <w:rPr>
        <w:rFonts w:cs="Times New Roman" w:hint="default"/>
        <w:sz w:val="24"/>
      </w:rPr>
    </w:lvl>
    <w:lvl w:ilvl="3">
      <w:start w:val="1"/>
      <w:numFmt w:val="decimal"/>
      <w:lvlText w:val="%1.%2.%3.%4"/>
      <w:lvlJc w:val="left"/>
      <w:pPr>
        <w:tabs>
          <w:tab w:val="num" w:pos="-180"/>
        </w:tabs>
        <w:ind w:left="-180" w:hanging="1440"/>
      </w:pPr>
      <w:rPr>
        <w:rFonts w:cs="Times New Roman" w:hint="default"/>
        <w:sz w:val="24"/>
      </w:rPr>
    </w:lvl>
    <w:lvl w:ilvl="4">
      <w:start w:val="1"/>
      <w:numFmt w:val="decimal"/>
      <w:lvlText w:val="%1.%2.%3.%4.%5"/>
      <w:lvlJc w:val="left"/>
      <w:pPr>
        <w:tabs>
          <w:tab w:val="num" w:pos="-360"/>
        </w:tabs>
        <w:ind w:left="-360" w:hanging="1800"/>
      </w:pPr>
      <w:rPr>
        <w:rFonts w:cs="Times New Roman" w:hint="default"/>
        <w:sz w:val="24"/>
      </w:rPr>
    </w:lvl>
    <w:lvl w:ilvl="5">
      <w:start w:val="1"/>
      <w:numFmt w:val="decimal"/>
      <w:lvlText w:val="%1.%2.%3.%4.%5.%6"/>
      <w:lvlJc w:val="left"/>
      <w:pPr>
        <w:tabs>
          <w:tab w:val="num" w:pos="-540"/>
        </w:tabs>
        <w:ind w:left="-540" w:hanging="2160"/>
      </w:pPr>
      <w:rPr>
        <w:rFonts w:cs="Times New Roman" w:hint="default"/>
        <w:sz w:val="24"/>
      </w:rPr>
    </w:lvl>
    <w:lvl w:ilvl="6">
      <w:start w:val="1"/>
      <w:numFmt w:val="decimal"/>
      <w:lvlText w:val="%1.%2.%3.%4.%5.%6.%7"/>
      <w:lvlJc w:val="left"/>
      <w:pPr>
        <w:tabs>
          <w:tab w:val="num" w:pos="-1080"/>
        </w:tabs>
        <w:ind w:left="-1080" w:hanging="2160"/>
      </w:pPr>
      <w:rPr>
        <w:rFonts w:cs="Times New Roman" w:hint="default"/>
        <w:sz w:val="24"/>
      </w:rPr>
    </w:lvl>
    <w:lvl w:ilvl="7">
      <w:start w:val="1"/>
      <w:numFmt w:val="decimal"/>
      <w:lvlText w:val="%1.%2.%3.%4.%5.%6.%7.%8"/>
      <w:lvlJc w:val="left"/>
      <w:pPr>
        <w:tabs>
          <w:tab w:val="num" w:pos="-1260"/>
        </w:tabs>
        <w:ind w:left="-1260" w:hanging="2520"/>
      </w:pPr>
      <w:rPr>
        <w:rFonts w:cs="Times New Roman" w:hint="default"/>
        <w:sz w:val="24"/>
      </w:rPr>
    </w:lvl>
    <w:lvl w:ilvl="8">
      <w:start w:val="1"/>
      <w:numFmt w:val="decimal"/>
      <w:lvlText w:val="%1.%2.%3.%4.%5.%6.%7.%8.%9"/>
      <w:lvlJc w:val="left"/>
      <w:pPr>
        <w:tabs>
          <w:tab w:val="num" w:pos="-1440"/>
        </w:tabs>
        <w:ind w:left="-1440" w:hanging="2880"/>
      </w:pPr>
      <w:rPr>
        <w:rFonts w:cs="Times New Roman" w:hint="default"/>
        <w:sz w:val="24"/>
      </w:rPr>
    </w:lvl>
  </w:abstractNum>
  <w:abstractNum w:abstractNumId="100">
    <w:nsid w:val="3B4463EA"/>
    <w:multiLevelType w:val="multilevel"/>
    <w:tmpl w:val="CD68A54A"/>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3C653AC2"/>
    <w:multiLevelType w:val="hybridMultilevel"/>
    <w:tmpl w:val="E55EFB98"/>
    <w:lvl w:ilvl="0">
      <w:start w:val="1"/>
      <w:numFmt w:val="bullet"/>
      <w:lvlText w:val=""/>
      <w:lvlJc w:val="left"/>
      <w:pPr>
        <w:tabs>
          <w:tab w:val="num" w:pos="2235"/>
        </w:tabs>
        <w:ind w:left="2235" w:hanging="360"/>
      </w:pPr>
      <w:rPr>
        <w:rFonts w:ascii="Symbol" w:hAnsi="Symbol" w:hint="default"/>
      </w:rPr>
    </w:lvl>
    <w:lvl w:ilvl="1" w:tentative="1">
      <w:start w:val="1"/>
      <w:numFmt w:val="bullet"/>
      <w:lvlText w:val="o"/>
      <w:lvlJc w:val="left"/>
      <w:pPr>
        <w:tabs>
          <w:tab w:val="num" w:pos="2955"/>
        </w:tabs>
        <w:ind w:left="2955" w:hanging="360"/>
      </w:pPr>
      <w:rPr>
        <w:rFonts w:ascii="Courier New" w:hAnsi="Courier New" w:hint="default"/>
      </w:rPr>
    </w:lvl>
    <w:lvl w:ilvl="2" w:tentative="1">
      <w:start w:val="1"/>
      <w:numFmt w:val="bullet"/>
      <w:lvlText w:val=""/>
      <w:lvlJc w:val="left"/>
      <w:pPr>
        <w:tabs>
          <w:tab w:val="num" w:pos="3675"/>
        </w:tabs>
        <w:ind w:left="3675" w:hanging="360"/>
      </w:pPr>
      <w:rPr>
        <w:rFonts w:ascii="Wingdings" w:hAnsi="Wingdings" w:hint="default"/>
      </w:rPr>
    </w:lvl>
    <w:lvl w:ilvl="3" w:tentative="1">
      <w:start w:val="1"/>
      <w:numFmt w:val="bullet"/>
      <w:lvlText w:val=""/>
      <w:lvlJc w:val="left"/>
      <w:pPr>
        <w:tabs>
          <w:tab w:val="num" w:pos="4395"/>
        </w:tabs>
        <w:ind w:left="4395" w:hanging="360"/>
      </w:pPr>
      <w:rPr>
        <w:rFonts w:ascii="Symbol" w:hAnsi="Symbol" w:hint="default"/>
      </w:rPr>
    </w:lvl>
    <w:lvl w:ilvl="4" w:tentative="1">
      <w:start w:val="1"/>
      <w:numFmt w:val="bullet"/>
      <w:lvlText w:val="o"/>
      <w:lvlJc w:val="left"/>
      <w:pPr>
        <w:tabs>
          <w:tab w:val="num" w:pos="5115"/>
        </w:tabs>
        <w:ind w:left="5115" w:hanging="360"/>
      </w:pPr>
      <w:rPr>
        <w:rFonts w:ascii="Courier New" w:hAnsi="Courier New" w:hint="default"/>
      </w:rPr>
    </w:lvl>
    <w:lvl w:ilvl="5" w:tentative="1">
      <w:start w:val="1"/>
      <w:numFmt w:val="bullet"/>
      <w:lvlText w:val=""/>
      <w:lvlJc w:val="left"/>
      <w:pPr>
        <w:tabs>
          <w:tab w:val="num" w:pos="5835"/>
        </w:tabs>
        <w:ind w:left="5835" w:hanging="360"/>
      </w:pPr>
      <w:rPr>
        <w:rFonts w:ascii="Wingdings" w:hAnsi="Wingdings" w:hint="default"/>
      </w:rPr>
    </w:lvl>
    <w:lvl w:ilvl="6" w:tentative="1">
      <w:start w:val="1"/>
      <w:numFmt w:val="bullet"/>
      <w:lvlText w:val=""/>
      <w:lvlJc w:val="left"/>
      <w:pPr>
        <w:tabs>
          <w:tab w:val="num" w:pos="6555"/>
        </w:tabs>
        <w:ind w:left="6555" w:hanging="360"/>
      </w:pPr>
      <w:rPr>
        <w:rFonts w:ascii="Symbol" w:hAnsi="Symbol" w:hint="default"/>
      </w:rPr>
    </w:lvl>
    <w:lvl w:ilvl="7" w:tentative="1">
      <w:start w:val="1"/>
      <w:numFmt w:val="bullet"/>
      <w:lvlText w:val="o"/>
      <w:lvlJc w:val="left"/>
      <w:pPr>
        <w:tabs>
          <w:tab w:val="num" w:pos="7275"/>
        </w:tabs>
        <w:ind w:left="7275" w:hanging="360"/>
      </w:pPr>
      <w:rPr>
        <w:rFonts w:ascii="Courier New" w:hAnsi="Courier New" w:hint="default"/>
      </w:rPr>
    </w:lvl>
    <w:lvl w:ilvl="8" w:tentative="1">
      <w:start w:val="1"/>
      <w:numFmt w:val="bullet"/>
      <w:lvlText w:val=""/>
      <w:lvlJc w:val="left"/>
      <w:pPr>
        <w:tabs>
          <w:tab w:val="num" w:pos="7995"/>
        </w:tabs>
        <w:ind w:left="7995" w:hanging="360"/>
      </w:pPr>
      <w:rPr>
        <w:rFonts w:ascii="Wingdings" w:hAnsi="Wingdings" w:hint="default"/>
      </w:rPr>
    </w:lvl>
  </w:abstractNum>
  <w:abstractNum w:abstractNumId="102">
    <w:nsid w:val="3C6F3F1D"/>
    <w:multiLevelType w:val="multilevel"/>
    <w:tmpl w:val="0C1CE786"/>
    <w:lvl w:ilvl="0">
      <w:start w:val="7"/>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740"/>
        </w:tabs>
        <w:ind w:left="4740" w:hanging="1800"/>
      </w:pPr>
      <w:rPr>
        <w:rFonts w:hint="default"/>
      </w:rPr>
    </w:lvl>
    <w:lvl w:ilvl="8">
      <w:start w:val="1"/>
      <w:numFmt w:val="decimal"/>
      <w:lvlText w:val="%1.%2.%3.%4.%5.%6.%7.%8.%9"/>
      <w:lvlJc w:val="left"/>
      <w:pPr>
        <w:tabs>
          <w:tab w:val="num" w:pos="5520"/>
        </w:tabs>
        <w:ind w:left="5520" w:hanging="2160"/>
      </w:pPr>
      <w:rPr>
        <w:rFonts w:hint="default"/>
      </w:rPr>
    </w:lvl>
  </w:abstractNum>
  <w:abstractNum w:abstractNumId="103">
    <w:nsid w:val="3E4C2C6A"/>
    <w:multiLevelType w:val="multilevel"/>
    <w:tmpl w:val="2C6C8742"/>
    <w:lvl w:ilvl="0">
      <w:start w:val="7"/>
      <w:numFmt w:val="decimal"/>
      <w:lvlText w:val="%1"/>
      <w:lvlJc w:val="left"/>
      <w:pPr>
        <w:tabs>
          <w:tab w:val="num" w:pos="510"/>
        </w:tabs>
        <w:ind w:left="510" w:hanging="51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104">
    <w:nsid w:val="3EE87D50"/>
    <w:multiLevelType w:val="singleLevel"/>
    <w:tmpl w:val="70EA2FB2"/>
    <w:lvl w:ilvl="0">
      <w:start w:val="17"/>
      <w:numFmt w:val="decimal"/>
      <w:lvlText w:val="%1."/>
      <w:lvlJc w:val="left"/>
      <w:pPr>
        <w:tabs>
          <w:tab w:val="num" w:pos="1575"/>
        </w:tabs>
        <w:ind w:left="1575" w:hanging="495"/>
      </w:pPr>
      <w:rPr>
        <w:rFonts w:hint="default"/>
        <w:b w:val="0"/>
      </w:rPr>
    </w:lvl>
  </w:abstractNum>
  <w:abstractNum w:abstractNumId="105">
    <w:nsid w:val="4071006A"/>
    <w:multiLevelType w:val="multilevel"/>
    <w:tmpl w:val="42F06B0C"/>
    <w:lvl w:ilvl="0">
      <w:start w:val="4"/>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6">
    <w:nsid w:val="40C91AA3"/>
    <w:multiLevelType w:val="multilevel"/>
    <w:tmpl w:val="4072AABE"/>
    <w:lvl w:ilvl="0">
      <w:start w:val="7"/>
      <w:numFmt w:val="decimal"/>
      <w:lvlText w:val="%1"/>
      <w:lvlJc w:val="left"/>
      <w:pPr>
        <w:tabs>
          <w:tab w:val="num" w:pos="975"/>
        </w:tabs>
        <w:ind w:left="975" w:hanging="975"/>
      </w:pPr>
      <w:rPr>
        <w:rFonts w:hint="default"/>
      </w:rPr>
    </w:lvl>
    <w:lvl w:ilvl="1">
      <w:start w:val="1"/>
      <w:numFmt w:val="decimal"/>
      <w:lvlText w:val="%1.%2"/>
      <w:lvlJc w:val="left"/>
      <w:pPr>
        <w:tabs>
          <w:tab w:val="num" w:pos="975"/>
        </w:tabs>
        <w:ind w:left="975" w:hanging="975"/>
      </w:pPr>
      <w:rPr>
        <w:rFonts w:hint="default"/>
      </w:rPr>
    </w:lvl>
    <w:lvl w:ilvl="2">
      <w:start w:val="1"/>
      <w:numFmt w:val="decimal"/>
      <w:lvlText w:val="%1.%2.%3"/>
      <w:lvlJc w:val="left"/>
      <w:pPr>
        <w:tabs>
          <w:tab w:val="num" w:pos="975"/>
        </w:tabs>
        <w:ind w:left="975" w:hanging="97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7">
    <w:nsid w:val="41453ACF"/>
    <w:multiLevelType w:val="hybridMultilevel"/>
    <w:tmpl w:val="BF9E977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
    <w:nsid w:val="4174432D"/>
    <w:multiLevelType w:val="hybridMultilevel"/>
    <w:tmpl w:val="A22E41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nsid w:val="41E35642"/>
    <w:multiLevelType w:val="hybridMultilevel"/>
    <w:tmpl w:val="CBEE0FB6"/>
    <w:lvl w:ilvl="0">
      <w:start w:val="1"/>
      <w:numFmt w:val="bullet"/>
      <w:lvlText w:val=""/>
      <w:lvlJc w:val="left"/>
      <w:pPr>
        <w:tabs>
          <w:tab w:val="num" w:pos="870"/>
        </w:tabs>
        <w:ind w:left="870" w:hanging="360"/>
      </w:pPr>
      <w:rPr>
        <w:rFonts w:ascii="Wingdings" w:hAnsi="Wingdings" w:hint="default"/>
      </w:rPr>
    </w:lvl>
    <w:lvl w:ilvl="1" w:tentative="1">
      <w:start w:val="1"/>
      <w:numFmt w:val="bullet"/>
      <w:lvlText w:val="o"/>
      <w:lvlJc w:val="left"/>
      <w:pPr>
        <w:tabs>
          <w:tab w:val="num" w:pos="1590"/>
        </w:tabs>
        <w:ind w:left="1590" w:hanging="360"/>
      </w:pPr>
      <w:rPr>
        <w:rFonts w:ascii="Courier New" w:hAnsi="Courier New" w:hint="default"/>
      </w:rPr>
    </w:lvl>
    <w:lvl w:ilvl="2" w:tentative="1">
      <w:start w:val="1"/>
      <w:numFmt w:val="bullet"/>
      <w:lvlText w:val=""/>
      <w:lvlJc w:val="left"/>
      <w:pPr>
        <w:tabs>
          <w:tab w:val="num" w:pos="2310"/>
        </w:tabs>
        <w:ind w:left="2310" w:hanging="360"/>
      </w:pPr>
      <w:rPr>
        <w:rFonts w:ascii="Wingdings" w:hAnsi="Wingdings" w:hint="default"/>
      </w:rPr>
    </w:lvl>
    <w:lvl w:ilvl="3" w:tentative="1">
      <w:start w:val="1"/>
      <w:numFmt w:val="bullet"/>
      <w:lvlText w:val=""/>
      <w:lvlJc w:val="left"/>
      <w:pPr>
        <w:tabs>
          <w:tab w:val="num" w:pos="3030"/>
        </w:tabs>
        <w:ind w:left="3030" w:hanging="360"/>
      </w:pPr>
      <w:rPr>
        <w:rFonts w:ascii="Symbol" w:hAnsi="Symbol" w:hint="default"/>
      </w:rPr>
    </w:lvl>
    <w:lvl w:ilvl="4" w:tentative="1">
      <w:start w:val="1"/>
      <w:numFmt w:val="bullet"/>
      <w:lvlText w:val="o"/>
      <w:lvlJc w:val="left"/>
      <w:pPr>
        <w:tabs>
          <w:tab w:val="num" w:pos="3750"/>
        </w:tabs>
        <w:ind w:left="3750" w:hanging="360"/>
      </w:pPr>
      <w:rPr>
        <w:rFonts w:ascii="Courier New" w:hAnsi="Courier New" w:hint="default"/>
      </w:rPr>
    </w:lvl>
    <w:lvl w:ilvl="5" w:tentative="1">
      <w:start w:val="1"/>
      <w:numFmt w:val="bullet"/>
      <w:lvlText w:val=""/>
      <w:lvlJc w:val="left"/>
      <w:pPr>
        <w:tabs>
          <w:tab w:val="num" w:pos="4470"/>
        </w:tabs>
        <w:ind w:left="4470" w:hanging="360"/>
      </w:pPr>
      <w:rPr>
        <w:rFonts w:ascii="Wingdings" w:hAnsi="Wingdings" w:hint="default"/>
      </w:rPr>
    </w:lvl>
    <w:lvl w:ilvl="6" w:tentative="1">
      <w:start w:val="1"/>
      <w:numFmt w:val="bullet"/>
      <w:lvlText w:val=""/>
      <w:lvlJc w:val="left"/>
      <w:pPr>
        <w:tabs>
          <w:tab w:val="num" w:pos="5190"/>
        </w:tabs>
        <w:ind w:left="5190" w:hanging="360"/>
      </w:pPr>
      <w:rPr>
        <w:rFonts w:ascii="Symbol" w:hAnsi="Symbol" w:hint="default"/>
      </w:rPr>
    </w:lvl>
    <w:lvl w:ilvl="7" w:tentative="1">
      <w:start w:val="1"/>
      <w:numFmt w:val="bullet"/>
      <w:lvlText w:val="o"/>
      <w:lvlJc w:val="left"/>
      <w:pPr>
        <w:tabs>
          <w:tab w:val="num" w:pos="5910"/>
        </w:tabs>
        <w:ind w:left="5910" w:hanging="360"/>
      </w:pPr>
      <w:rPr>
        <w:rFonts w:ascii="Courier New" w:hAnsi="Courier New" w:hint="default"/>
      </w:rPr>
    </w:lvl>
    <w:lvl w:ilvl="8" w:tentative="1">
      <w:start w:val="1"/>
      <w:numFmt w:val="bullet"/>
      <w:lvlText w:val=""/>
      <w:lvlJc w:val="left"/>
      <w:pPr>
        <w:tabs>
          <w:tab w:val="num" w:pos="6630"/>
        </w:tabs>
        <w:ind w:left="6630" w:hanging="360"/>
      </w:pPr>
      <w:rPr>
        <w:rFonts w:ascii="Wingdings" w:hAnsi="Wingdings" w:hint="default"/>
      </w:rPr>
    </w:lvl>
  </w:abstractNum>
  <w:abstractNum w:abstractNumId="110">
    <w:nsid w:val="42155867"/>
    <w:multiLevelType w:val="singleLevel"/>
    <w:tmpl w:val="7922AEE4"/>
    <w:lvl w:ilvl="0">
      <w:start w:val="9"/>
      <w:numFmt w:val="decimal"/>
      <w:lvlText w:val="%1."/>
      <w:lvlJc w:val="left"/>
      <w:pPr>
        <w:tabs>
          <w:tab w:val="num" w:pos="1440"/>
        </w:tabs>
        <w:ind w:left="1440" w:hanging="360"/>
      </w:pPr>
      <w:rPr>
        <w:rFonts w:hint="default"/>
      </w:rPr>
    </w:lvl>
  </w:abstractNum>
  <w:abstractNum w:abstractNumId="111">
    <w:nsid w:val="43596225"/>
    <w:multiLevelType w:val="multilevel"/>
    <w:tmpl w:val="FE7ED8A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
    <w:nsid w:val="43DF1664"/>
    <w:multiLevelType w:val="hybridMultilevel"/>
    <w:tmpl w:val="17B00AC6"/>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452F570C"/>
    <w:multiLevelType w:val="multilevel"/>
    <w:tmpl w:val="7AF4486E"/>
    <w:lvl w:ilvl="0">
      <w:start w:val="14"/>
      <w:numFmt w:val="decimal"/>
      <w:lvlText w:val="%1"/>
      <w:lvlJc w:val="left"/>
      <w:pPr>
        <w:tabs>
          <w:tab w:val="num" w:pos="540"/>
        </w:tabs>
        <w:ind w:left="540" w:hanging="54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14">
    <w:nsid w:val="45BE424F"/>
    <w:multiLevelType w:val="multilevel"/>
    <w:tmpl w:val="2A6CCF7E"/>
    <w:lvl w:ilvl="0">
      <w:start w:val="7"/>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5">
    <w:nsid w:val="45DB1A9D"/>
    <w:multiLevelType w:val="multilevel"/>
    <w:tmpl w:val="82FC67CA"/>
    <w:lvl w:ilvl="0">
      <w:start w:val="14"/>
      <w:numFmt w:val="decimal"/>
      <w:lvlText w:val="%1"/>
      <w:lvlJc w:val="left"/>
      <w:pPr>
        <w:tabs>
          <w:tab w:val="num" w:pos="930"/>
        </w:tabs>
        <w:ind w:left="930" w:hanging="930"/>
      </w:pPr>
      <w:rPr>
        <w:rFonts w:hint="default"/>
      </w:rPr>
    </w:lvl>
    <w:lvl w:ilvl="1">
      <w:start w:val="2"/>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6">
    <w:nsid w:val="464B6B3A"/>
    <w:multiLevelType w:val="multilevel"/>
    <w:tmpl w:val="C0FE6850"/>
    <w:lvl w:ilvl="0">
      <w:start w:val="2"/>
      <w:numFmt w:val="decimal"/>
      <w:lvlText w:val="%1"/>
      <w:lvlJc w:val="left"/>
      <w:pPr>
        <w:tabs>
          <w:tab w:val="num" w:pos="375"/>
        </w:tabs>
        <w:ind w:left="375" w:hanging="37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17">
    <w:nsid w:val="47124523"/>
    <w:multiLevelType w:val="multilevel"/>
    <w:tmpl w:val="01FA2F5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2220"/>
        </w:tabs>
        <w:ind w:left="2220" w:hanging="720"/>
      </w:pPr>
      <w:rPr>
        <w:rFonts w:hint="default"/>
      </w:rPr>
    </w:lvl>
    <w:lvl w:ilvl="2">
      <w:start w:val="1"/>
      <w:numFmt w:val="decimal"/>
      <w:lvlText w:val="%1.%2.%3"/>
      <w:lvlJc w:val="left"/>
      <w:pPr>
        <w:tabs>
          <w:tab w:val="num" w:pos="3720"/>
        </w:tabs>
        <w:ind w:left="3720" w:hanging="720"/>
      </w:pPr>
      <w:rPr>
        <w:rFonts w:hint="default"/>
      </w:rPr>
    </w:lvl>
    <w:lvl w:ilvl="3">
      <w:start w:val="1"/>
      <w:numFmt w:val="decimal"/>
      <w:lvlText w:val="%1.%2.%3.%4"/>
      <w:lvlJc w:val="left"/>
      <w:pPr>
        <w:tabs>
          <w:tab w:val="num" w:pos="5580"/>
        </w:tabs>
        <w:ind w:left="5580" w:hanging="1080"/>
      </w:pPr>
      <w:rPr>
        <w:rFonts w:hint="default"/>
      </w:rPr>
    </w:lvl>
    <w:lvl w:ilvl="4">
      <w:start w:val="1"/>
      <w:numFmt w:val="decimal"/>
      <w:lvlText w:val="%1.%2.%3.%4.%5"/>
      <w:lvlJc w:val="left"/>
      <w:pPr>
        <w:tabs>
          <w:tab w:val="num" w:pos="7440"/>
        </w:tabs>
        <w:ind w:left="7440" w:hanging="1440"/>
      </w:pPr>
      <w:rPr>
        <w:rFonts w:hint="default"/>
      </w:rPr>
    </w:lvl>
    <w:lvl w:ilvl="5">
      <w:start w:val="1"/>
      <w:numFmt w:val="decimal"/>
      <w:lvlText w:val="%1.%2.%3.%4.%5.%6"/>
      <w:lvlJc w:val="left"/>
      <w:pPr>
        <w:tabs>
          <w:tab w:val="num" w:pos="8940"/>
        </w:tabs>
        <w:ind w:left="8940" w:hanging="1440"/>
      </w:pPr>
      <w:rPr>
        <w:rFonts w:hint="default"/>
      </w:rPr>
    </w:lvl>
    <w:lvl w:ilvl="6">
      <w:start w:val="1"/>
      <w:numFmt w:val="decimal"/>
      <w:lvlText w:val="%1.%2.%3.%4.%5.%6.%7"/>
      <w:lvlJc w:val="left"/>
      <w:pPr>
        <w:tabs>
          <w:tab w:val="num" w:pos="10800"/>
        </w:tabs>
        <w:ind w:left="10800" w:hanging="1800"/>
      </w:pPr>
      <w:rPr>
        <w:rFonts w:hint="default"/>
      </w:rPr>
    </w:lvl>
    <w:lvl w:ilvl="7">
      <w:start w:val="1"/>
      <w:numFmt w:val="decimal"/>
      <w:lvlText w:val="%1.%2.%3.%4.%5.%6.%7.%8"/>
      <w:lvlJc w:val="left"/>
      <w:pPr>
        <w:tabs>
          <w:tab w:val="num" w:pos="12660"/>
        </w:tabs>
        <w:ind w:left="12660" w:hanging="2160"/>
      </w:pPr>
      <w:rPr>
        <w:rFonts w:hint="default"/>
      </w:rPr>
    </w:lvl>
    <w:lvl w:ilvl="8">
      <w:start w:val="1"/>
      <w:numFmt w:val="decimal"/>
      <w:lvlText w:val="%1.%2.%3.%4.%5.%6.%7.%8.%9"/>
      <w:lvlJc w:val="left"/>
      <w:pPr>
        <w:tabs>
          <w:tab w:val="num" w:pos="14160"/>
        </w:tabs>
        <w:ind w:left="14160" w:hanging="2160"/>
      </w:pPr>
      <w:rPr>
        <w:rFonts w:hint="default"/>
      </w:rPr>
    </w:lvl>
  </w:abstractNum>
  <w:abstractNum w:abstractNumId="118">
    <w:nsid w:val="471C3C4C"/>
    <w:multiLevelType w:val="hybridMultilevel"/>
    <w:tmpl w:val="A4F6F702"/>
    <w:lvl w:ilvl="0">
      <w:start w:val="3"/>
      <w:numFmt w:val="decimal"/>
      <w:lvlText w:val="%1."/>
      <w:lvlJc w:val="left"/>
      <w:pPr>
        <w:tabs>
          <w:tab w:val="num" w:pos="1110"/>
        </w:tabs>
        <w:ind w:left="1110" w:hanging="360"/>
      </w:pPr>
      <w:rPr>
        <w:rFonts w:hint="default"/>
      </w:rPr>
    </w:lvl>
    <w:lvl w:ilvl="1" w:tentative="1">
      <w:start w:val="1"/>
      <w:numFmt w:val="lowerLetter"/>
      <w:lvlText w:val="%2."/>
      <w:lvlJc w:val="left"/>
      <w:pPr>
        <w:tabs>
          <w:tab w:val="num" w:pos="1830"/>
        </w:tabs>
        <w:ind w:left="1830" w:hanging="360"/>
      </w:pPr>
    </w:lvl>
    <w:lvl w:ilvl="2" w:tentative="1">
      <w:start w:val="1"/>
      <w:numFmt w:val="lowerRoman"/>
      <w:lvlText w:val="%3."/>
      <w:lvlJc w:val="right"/>
      <w:pPr>
        <w:tabs>
          <w:tab w:val="num" w:pos="2550"/>
        </w:tabs>
        <w:ind w:left="2550" w:hanging="180"/>
      </w:pPr>
    </w:lvl>
    <w:lvl w:ilvl="3" w:tentative="1">
      <w:start w:val="1"/>
      <w:numFmt w:val="decimal"/>
      <w:lvlText w:val="%4."/>
      <w:lvlJc w:val="left"/>
      <w:pPr>
        <w:tabs>
          <w:tab w:val="num" w:pos="3270"/>
        </w:tabs>
        <w:ind w:left="3270" w:hanging="360"/>
      </w:pPr>
    </w:lvl>
    <w:lvl w:ilvl="4" w:tentative="1">
      <w:start w:val="1"/>
      <w:numFmt w:val="lowerLetter"/>
      <w:lvlText w:val="%5."/>
      <w:lvlJc w:val="left"/>
      <w:pPr>
        <w:tabs>
          <w:tab w:val="num" w:pos="3990"/>
        </w:tabs>
        <w:ind w:left="3990" w:hanging="360"/>
      </w:pPr>
    </w:lvl>
    <w:lvl w:ilvl="5" w:tentative="1">
      <w:start w:val="1"/>
      <w:numFmt w:val="lowerRoman"/>
      <w:lvlText w:val="%6."/>
      <w:lvlJc w:val="right"/>
      <w:pPr>
        <w:tabs>
          <w:tab w:val="num" w:pos="4710"/>
        </w:tabs>
        <w:ind w:left="4710" w:hanging="180"/>
      </w:pPr>
    </w:lvl>
    <w:lvl w:ilvl="6" w:tentative="1">
      <w:start w:val="1"/>
      <w:numFmt w:val="decimal"/>
      <w:lvlText w:val="%7."/>
      <w:lvlJc w:val="left"/>
      <w:pPr>
        <w:tabs>
          <w:tab w:val="num" w:pos="5430"/>
        </w:tabs>
        <w:ind w:left="5430" w:hanging="360"/>
      </w:pPr>
    </w:lvl>
    <w:lvl w:ilvl="7" w:tentative="1">
      <w:start w:val="1"/>
      <w:numFmt w:val="lowerLetter"/>
      <w:lvlText w:val="%8."/>
      <w:lvlJc w:val="left"/>
      <w:pPr>
        <w:tabs>
          <w:tab w:val="num" w:pos="6150"/>
        </w:tabs>
        <w:ind w:left="6150" w:hanging="360"/>
      </w:pPr>
    </w:lvl>
    <w:lvl w:ilvl="8" w:tentative="1">
      <w:start w:val="1"/>
      <w:numFmt w:val="lowerRoman"/>
      <w:lvlText w:val="%9."/>
      <w:lvlJc w:val="right"/>
      <w:pPr>
        <w:tabs>
          <w:tab w:val="num" w:pos="6870"/>
        </w:tabs>
        <w:ind w:left="6870" w:hanging="180"/>
      </w:pPr>
    </w:lvl>
  </w:abstractNum>
  <w:abstractNum w:abstractNumId="119">
    <w:nsid w:val="479D105B"/>
    <w:multiLevelType w:val="hybridMultilevel"/>
    <w:tmpl w:val="4CF2631C"/>
    <w:lvl w:ilvl="0">
      <w:start w:val="1"/>
      <w:numFmt w:val="bullet"/>
      <w:lvlText w:val=""/>
      <w:lvlJc w:val="left"/>
      <w:pPr>
        <w:tabs>
          <w:tab w:val="num" w:pos="945"/>
        </w:tabs>
        <w:ind w:left="945" w:hanging="360"/>
      </w:pPr>
      <w:rPr>
        <w:rFonts w:ascii="Wingdings" w:hAnsi="Wingdings" w:hint="default"/>
      </w:rPr>
    </w:lvl>
    <w:lvl w:ilvl="1" w:tentative="1">
      <w:start w:val="1"/>
      <w:numFmt w:val="bullet"/>
      <w:lvlText w:val="o"/>
      <w:lvlJc w:val="left"/>
      <w:pPr>
        <w:tabs>
          <w:tab w:val="num" w:pos="1665"/>
        </w:tabs>
        <w:ind w:left="1665" w:hanging="360"/>
      </w:pPr>
      <w:rPr>
        <w:rFonts w:ascii="Courier New" w:hAnsi="Courier New" w:hint="default"/>
      </w:rPr>
    </w:lvl>
    <w:lvl w:ilvl="2" w:tentative="1">
      <w:start w:val="1"/>
      <w:numFmt w:val="bullet"/>
      <w:lvlText w:val=""/>
      <w:lvlJc w:val="left"/>
      <w:pPr>
        <w:tabs>
          <w:tab w:val="num" w:pos="2385"/>
        </w:tabs>
        <w:ind w:left="2385" w:hanging="360"/>
      </w:pPr>
      <w:rPr>
        <w:rFonts w:ascii="Wingdings" w:hAnsi="Wingdings" w:hint="default"/>
      </w:rPr>
    </w:lvl>
    <w:lvl w:ilvl="3" w:tentative="1">
      <w:start w:val="1"/>
      <w:numFmt w:val="bullet"/>
      <w:lvlText w:val=""/>
      <w:lvlJc w:val="left"/>
      <w:pPr>
        <w:tabs>
          <w:tab w:val="num" w:pos="3105"/>
        </w:tabs>
        <w:ind w:left="3105" w:hanging="360"/>
      </w:pPr>
      <w:rPr>
        <w:rFonts w:ascii="Symbol" w:hAnsi="Symbol" w:hint="default"/>
      </w:rPr>
    </w:lvl>
    <w:lvl w:ilvl="4" w:tentative="1">
      <w:start w:val="1"/>
      <w:numFmt w:val="bullet"/>
      <w:lvlText w:val="o"/>
      <w:lvlJc w:val="left"/>
      <w:pPr>
        <w:tabs>
          <w:tab w:val="num" w:pos="3825"/>
        </w:tabs>
        <w:ind w:left="3825" w:hanging="360"/>
      </w:pPr>
      <w:rPr>
        <w:rFonts w:ascii="Courier New" w:hAnsi="Courier New" w:hint="default"/>
      </w:rPr>
    </w:lvl>
    <w:lvl w:ilvl="5" w:tentative="1">
      <w:start w:val="1"/>
      <w:numFmt w:val="bullet"/>
      <w:lvlText w:val=""/>
      <w:lvlJc w:val="left"/>
      <w:pPr>
        <w:tabs>
          <w:tab w:val="num" w:pos="4545"/>
        </w:tabs>
        <w:ind w:left="4545" w:hanging="360"/>
      </w:pPr>
      <w:rPr>
        <w:rFonts w:ascii="Wingdings" w:hAnsi="Wingdings" w:hint="default"/>
      </w:rPr>
    </w:lvl>
    <w:lvl w:ilvl="6" w:tentative="1">
      <w:start w:val="1"/>
      <w:numFmt w:val="bullet"/>
      <w:lvlText w:val=""/>
      <w:lvlJc w:val="left"/>
      <w:pPr>
        <w:tabs>
          <w:tab w:val="num" w:pos="5265"/>
        </w:tabs>
        <w:ind w:left="5265" w:hanging="360"/>
      </w:pPr>
      <w:rPr>
        <w:rFonts w:ascii="Symbol" w:hAnsi="Symbol" w:hint="default"/>
      </w:rPr>
    </w:lvl>
    <w:lvl w:ilvl="7" w:tentative="1">
      <w:start w:val="1"/>
      <w:numFmt w:val="bullet"/>
      <w:lvlText w:val="o"/>
      <w:lvlJc w:val="left"/>
      <w:pPr>
        <w:tabs>
          <w:tab w:val="num" w:pos="5985"/>
        </w:tabs>
        <w:ind w:left="5985" w:hanging="360"/>
      </w:pPr>
      <w:rPr>
        <w:rFonts w:ascii="Courier New" w:hAnsi="Courier New" w:hint="default"/>
      </w:rPr>
    </w:lvl>
    <w:lvl w:ilvl="8" w:tentative="1">
      <w:start w:val="1"/>
      <w:numFmt w:val="bullet"/>
      <w:lvlText w:val=""/>
      <w:lvlJc w:val="left"/>
      <w:pPr>
        <w:tabs>
          <w:tab w:val="num" w:pos="6705"/>
        </w:tabs>
        <w:ind w:left="6705" w:hanging="360"/>
      </w:pPr>
      <w:rPr>
        <w:rFonts w:ascii="Wingdings" w:hAnsi="Wingdings" w:hint="default"/>
      </w:rPr>
    </w:lvl>
  </w:abstractNum>
  <w:abstractNum w:abstractNumId="120">
    <w:nsid w:val="488C595D"/>
    <w:multiLevelType w:val="hybridMultilevel"/>
    <w:tmpl w:val="42541ABC"/>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1">
    <w:nsid w:val="49310F0D"/>
    <w:multiLevelType w:val="multilevel"/>
    <w:tmpl w:val="2C08B914"/>
    <w:lvl w:ilvl="0">
      <w:start w:val="12"/>
      <w:numFmt w:val="decimal"/>
      <w:lvlText w:val="%1"/>
      <w:lvlJc w:val="left"/>
      <w:pPr>
        <w:tabs>
          <w:tab w:val="num" w:pos="720"/>
        </w:tabs>
        <w:ind w:left="720" w:hanging="720"/>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2">
    <w:nsid w:val="49CA1665"/>
    <w:multiLevelType w:val="hybridMultilevel"/>
    <w:tmpl w:val="A0AC5AB0"/>
    <w:lvl w:ilvl="0">
      <w:start w:val="1"/>
      <w:numFmt w:val="decimal"/>
      <w:lvlText w:val="(%1)"/>
      <w:lvlJc w:val="left"/>
      <w:pPr>
        <w:tabs>
          <w:tab w:val="num" w:pos="600"/>
        </w:tabs>
        <w:ind w:left="600" w:hanging="360"/>
      </w:pPr>
      <w:rPr>
        <w:rFonts w:hint="default"/>
      </w:rPr>
    </w:lvl>
    <w:lvl w:ilvl="1" w:tentative="1">
      <w:start w:val="1"/>
      <w:numFmt w:val="lowerLetter"/>
      <w:lvlText w:val="%2."/>
      <w:lvlJc w:val="left"/>
      <w:pPr>
        <w:tabs>
          <w:tab w:val="num" w:pos="1320"/>
        </w:tabs>
        <w:ind w:left="1320" w:hanging="360"/>
      </w:pPr>
    </w:lvl>
    <w:lvl w:ilvl="2" w:tentative="1">
      <w:start w:val="1"/>
      <w:numFmt w:val="lowerRoman"/>
      <w:lvlText w:val="%3."/>
      <w:lvlJc w:val="right"/>
      <w:pPr>
        <w:tabs>
          <w:tab w:val="num" w:pos="2040"/>
        </w:tabs>
        <w:ind w:left="2040" w:hanging="180"/>
      </w:pPr>
    </w:lvl>
    <w:lvl w:ilvl="3" w:tentative="1">
      <w:start w:val="1"/>
      <w:numFmt w:val="decimal"/>
      <w:lvlText w:val="%4."/>
      <w:lvlJc w:val="left"/>
      <w:pPr>
        <w:tabs>
          <w:tab w:val="num" w:pos="2760"/>
        </w:tabs>
        <w:ind w:left="2760" w:hanging="360"/>
      </w:pPr>
    </w:lvl>
    <w:lvl w:ilvl="4" w:tentative="1">
      <w:start w:val="1"/>
      <w:numFmt w:val="lowerLetter"/>
      <w:lvlText w:val="%5."/>
      <w:lvlJc w:val="left"/>
      <w:pPr>
        <w:tabs>
          <w:tab w:val="num" w:pos="3480"/>
        </w:tabs>
        <w:ind w:left="3480" w:hanging="360"/>
      </w:pPr>
    </w:lvl>
    <w:lvl w:ilvl="5" w:tentative="1">
      <w:start w:val="1"/>
      <w:numFmt w:val="lowerRoman"/>
      <w:lvlText w:val="%6."/>
      <w:lvlJc w:val="right"/>
      <w:pPr>
        <w:tabs>
          <w:tab w:val="num" w:pos="4200"/>
        </w:tabs>
        <w:ind w:left="4200" w:hanging="180"/>
      </w:pPr>
    </w:lvl>
    <w:lvl w:ilvl="6" w:tentative="1">
      <w:start w:val="1"/>
      <w:numFmt w:val="decimal"/>
      <w:lvlText w:val="%7."/>
      <w:lvlJc w:val="left"/>
      <w:pPr>
        <w:tabs>
          <w:tab w:val="num" w:pos="4920"/>
        </w:tabs>
        <w:ind w:left="4920" w:hanging="360"/>
      </w:pPr>
    </w:lvl>
    <w:lvl w:ilvl="7" w:tentative="1">
      <w:start w:val="1"/>
      <w:numFmt w:val="lowerLetter"/>
      <w:lvlText w:val="%8."/>
      <w:lvlJc w:val="left"/>
      <w:pPr>
        <w:tabs>
          <w:tab w:val="num" w:pos="5640"/>
        </w:tabs>
        <w:ind w:left="5640" w:hanging="360"/>
      </w:pPr>
    </w:lvl>
    <w:lvl w:ilvl="8" w:tentative="1">
      <w:start w:val="1"/>
      <w:numFmt w:val="lowerRoman"/>
      <w:lvlText w:val="%9."/>
      <w:lvlJc w:val="right"/>
      <w:pPr>
        <w:tabs>
          <w:tab w:val="num" w:pos="6360"/>
        </w:tabs>
        <w:ind w:left="6360" w:hanging="180"/>
      </w:pPr>
    </w:lvl>
  </w:abstractNum>
  <w:abstractNum w:abstractNumId="123">
    <w:nsid w:val="4A8B0B79"/>
    <w:multiLevelType w:val="hybridMultilevel"/>
    <w:tmpl w:val="A45866EA"/>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4">
    <w:nsid w:val="4B49727C"/>
    <w:multiLevelType w:val="hybridMultilevel"/>
    <w:tmpl w:val="B5F89B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5">
    <w:nsid w:val="4B624387"/>
    <w:multiLevelType w:val="hybridMultilevel"/>
    <w:tmpl w:val="DB0842F0"/>
    <w:lvl w:ilvl="0">
      <w:start w:val="1"/>
      <w:numFmt w:val="decimal"/>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6">
    <w:nsid w:val="4B787859"/>
    <w:multiLevelType w:val="hybridMultilevel"/>
    <w:tmpl w:val="C1546688"/>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4BCB5F58"/>
    <w:multiLevelType w:val="multilevel"/>
    <w:tmpl w:val="0A10515A"/>
    <w:lvl w:ilvl="0">
      <w:start w:val="13"/>
      <w:numFmt w:val="decimal"/>
      <w:lvlText w:val="%1"/>
      <w:lvlJc w:val="left"/>
      <w:pPr>
        <w:tabs>
          <w:tab w:val="num" w:pos="675"/>
        </w:tabs>
        <w:ind w:left="675" w:hanging="675"/>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128">
    <w:nsid w:val="4BE60A3D"/>
    <w:multiLevelType w:val="hybridMultilevel"/>
    <w:tmpl w:val="690C6B2C"/>
    <w:lvl w:ilvl="0">
      <w:start w:val="1"/>
      <w:numFmt w:val="decimal"/>
      <w:lvlText w:val="(%1)"/>
      <w:lvlJc w:val="left"/>
      <w:pPr>
        <w:tabs>
          <w:tab w:val="num" w:pos="1440"/>
        </w:tabs>
        <w:ind w:left="1440" w:hanging="73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29">
    <w:nsid w:val="4BF25755"/>
    <w:multiLevelType w:val="hybridMultilevel"/>
    <w:tmpl w:val="1FD0EED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0">
    <w:nsid w:val="4C06496A"/>
    <w:multiLevelType w:val="multilevel"/>
    <w:tmpl w:val="3E220BDC"/>
    <w:lvl w:ilvl="0">
      <w:start w:val="12"/>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1">
    <w:nsid w:val="4CCD1480"/>
    <w:multiLevelType w:val="multilevel"/>
    <w:tmpl w:val="6CB27F18"/>
    <w:lvl w:ilvl="0">
      <w:start w:val="2"/>
      <w:numFmt w:val="decimal"/>
      <w:lvlText w:val="%1"/>
      <w:lvlJc w:val="left"/>
      <w:pPr>
        <w:tabs>
          <w:tab w:val="num" w:pos="975"/>
        </w:tabs>
        <w:ind w:left="975" w:hanging="975"/>
      </w:pPr>
      <w:rPr>
        <w:rFonts w:hint="default"/>
      </w:rPr>
    </w:lvl>
    <w:lvl w:ilvl="1">
      <w:start w:val="2"/>
      <w:numFmt w:val="decimal"/>
      <w:lvlText w:val="%1.%2"/>
      <w:lvlJc w:val="left"/>
      <w:pPr>
        <w:tabs>
          <w:tab w:val="num" w:pos="975"/>
        </w:tabs>
        <w:ind w:left="975" w:hanging="975"/>
      </w:pPr>
      <w:rPr>
        <w:rFonts w:hint="default"/>
      </w:rPr>
    </w:lvl>
    <w:lvl w:ilvl="2">
      <w:start w:val="2"/>
      <w:numFmt w:val="decimal"/>
      <w:lvlText w:val="%1.%2.%3"/>
      <w:lvlJc w:val="left"/>
      <w:pPr>
        <w:tabs>
          <w:tab w:val="num" w:pos="975"/>
        </w:tabs>
        <w:ind w:left="975" w:hanging="97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2">
    <w:nsid w:val="4CF17B92"/>
    <w:multiLevelType w:val="multilevel"/>
    <w:tmpl w:val="DD4EA5DE"/>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3">
    <w:nsid w:val="4D1E3AC6"/>
    <w:multiLevelType w:val="hybridMultilevel"/>
    <w:tmpl w:val="192051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4">
    <w:nsid w:val="4DCF5328"/>
    <w:multiLevelType w:val="multilevel"/>
    <w:tmpl w:val="DF2EAB38"/>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1350"/>
        </w:tabs>
        <w:ind w:left="1350" w:hanging="63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35">
    <w:nsid w:val="4DE34914"/>
    <w:multiLevelType w:val="multilevel"/>
    <w:tmpl w:val="834EACF0"/>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36">
    <w:nsid w:val="4DFA23AA"/>
    <w:multiLevelType w:val="multilevel"/>
    <w:tmpl w:val="DC38EA58"/>
    <w:lvl w:ilvl="0">
      <w:start w:val="13"/>
      <w:numFmt w:val="decimal"/>
      <w:lvlText w:val="%1.0"/>
      <w:lvlJc w:val="left"/>
      <w:pPr>
        <w:tabs>
          <w:tab w:val="num" w:pos="645"/>
        </w:tabs>
        <w:ind w:left="645" w:hanging="645"/>
      </w:pPr>
      <w:rPr>
        <w:rFonts w:hint="default"/>
      </w:rPr>
    </w:lvl>
    <w:lvl w:ilvl="1">
      <w:start w:val="1"/>
      <w:numFmt w:val="decimal"/>
      <w:lvlText w:val="%1.%2"/>
      <w:lvlJc w:val="left"/>
      <w:pPr>
        <w:tabs>
          <w:tab w:val="num" w:pos="1365"/>
        </w:tabs>
        <w:ind w:left="1365" w:hanging="64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37">
    <w:nsid w:val="4E30463F"/>
    <w:multiLevelType w:val="multilevel"/>
    <w:tmpl w:val="39944B66"/>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8">
    <w:nsid w:val="4E350985"/>
    <w:multiLevelType w:val="hybridMultilevel"/>
    <w:tmpl w:val="E2960F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9">
    <w:nsid w:val="4E9022B9"/>
    <w:multiLevelType w:val="multilevel"/>
    <w:tmpl w:val="B048484C"/>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1275"/>
        </w:tabs>
        <w:ind w:left="1275" w:hanging="705"/>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790"/>
        </w:tabs>
        <w:ind w:left="5790" w:hanging="1800"/>
      </w:pPr>
      <w:rPr>
        <w:rFonts w:hint="default"/>
      </w:rPr>
    </w:lvl>
    <w:lvl w:ilvl="8">
      <w:start w:val="1"/>
      <w:numFmt w:val="decimal"/>
      <w:lvlText w:val="%1.%2.%3.%4.%5.%6.%7.%8.%9"/>
      <w:lvlJc w:val="left"/>
      <w:pPr>
        <w:tabs>
          <w:tab w:val="num" w:pos="6720"/>
        </w:tabs>
        <w:ind w:left="6720" w:hanging="2160"/>
      </w:pPr>
      <w:rPr>
        <w:rFonts w:hint="default"/>
      </w:rPr>
    </w:lvl>
  </w:abstractNum>
  <w:abstractNum w:abstractNumId="140">
    <w:nsid w:val="50A47CBE"/>
    <w:multiLevelType w:val="hybridMultilevel"/>
    <w:tmpl w:val="AD2854F4"/>
    <w:lvl w:ilvl="0">
      <w:numFmt w:val="decimal"/>
      <w:lvlText w:val="%1"/>
      <w:lvlJc w:val="left"/>
      <w:pPr>
        <w:tabs>
          <w:tab w:val="num" w:pos="5580"/>
        </w:tabs>
        <w:ind w:left="5580" w:hanging="52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1">
    <w:nsid w:val="50E950DE"/>
    <w:multiLevelType w:val="hybridMultilevel"/>
    <w:tmpl w:val="4A68010C"/>
    <w:lvl w:ilvl="0">
      <w:numFmt w:val="decimal"/>
      <w:lvlText w:val="%1"/>
      <w:lvlJc w:val="left"/>
      <w:pPr>
        <w:tabs>
          <w:tab w:val="num" w:pos="5580"/>
        </w:tabs>
        <w:ind w:left="5580" w:hanging="52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2">
    <w:nsid w:val="50F91C03"/>
    <w:multiLevelType w:val="multilevel"/>
    <w:tmpl w:val="A7D07BA2"/>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3">
    <w:nsid w:val="517D701B"/>
    <w:multiLevelType w:val="hybridMultilevel"/>
    <w:tmpl w:val="59B4A4A6"/>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4">
    <w:nsid w:val="51D52BC9"/>
    <w:multiLevelType w:val="multilevel"/>
    <w:tmpl w:val="E4DED7DA"/>
    <w:lvl w:ilvl="0">
      <w:start w:val="10"/>
      <w:numFmt w:val="decimal"/>
      <w:lvlText w:val="%1"/>
      <w:lvlJc w:val="left"/>
      <w:pPr>
        <w:tabs>
          <w:tab w:val="num" w:pos="645"/>
        </w:tabs>
        <w:ind w:left="645" w:hanging="645"/>
      </w:pPr>
      <w:rPr>
        <w:rFonts w:hint="default"/>
      </w:rPr>
    </w:lvl>
    <w:lvl w:ilvl="1">
      <w:start w:val="5"/>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5">
    <w:nsid w:val="5356462E"/>
    <w:multiLevelType w:val="hybridMultilevel"/>
    <w:tmpl w:val="4200456E"/>
    <w:lvl w:ilvl="0">
      <w:start w:val="1"/>
      <w:numFmt w:val="bullet"/>
      <w:lvlText w:val=""/>
      <w:lvlJc w:val="left"/>
      <w:pPr>
        <w:tabs>
          <w:tab w:val="num" w:pos="2565"/>
        </w:tabs>
        <w:ind w:left="2565" w:hanging="360"/>
      </w:pPr>
      <w:rPr>
        <w:rFonts w:ascii="Wingdings" w:hAnsi="Wingdings" w:hint="default"/>
      </w:rPr>
    </w:lvl>
    <w:lvl w:ilvl="1" w:tentative="1">
      <w:start w:val="1"/>
      <w:numFmt w:val="bullet"/>
      <w:lvlText w:val="o"/>
      <w:lvlJc w:val="left"/>
      <w:pPr>
        <w:tabs>
          <w:tab w:val="num" w:pos="3285"/>
        </w:tabs>
        <w:ind w:left="3285" w:hanging="360"/>
      </w:pPr>
      <w:rPr>
        <w:rFonts w:ascii="Courier New" w:hAnsi="Courier New" w:hint="default"/>
      </w:rPr>
    </w:lvl>
    <w:lvl w:ilvl="2" w:tentative="1">
      <w:start w:val="1"/>
      <w:numFmt w:val="bullet"/>
      <w:lvlText w:val=""/>
      <w:lvlJc w:val="left"/>
      <w:pPr>
        <w:tabs>
          <w:tab w:val="num" w:pos="4005"/>
        </w:tabs>
        <w:ind w:left="4005" w:hanging="360"/>
      </w:pPr>
      <w:rPr>
        <w:rFonts w:ascii="Wingdings" w:hAnsi="Wingdings" w:hint="default"/>
      </w:rPr>
    </w:lvl>
    <w:lvl w:ilvl="3" w:tentative="1">
      <w:start w:val="1"/>
      <w:numFmt w:val="bullet"/>
      <w:lvlText w:val=""/>
      <w:lvlJc w:val="left"/>
      <w:pPr>
        <w:tabs>
          <w:tab w:val="num" w:pos="4725"/>
        </w:tabs>
        <w:ind w:left="4725" w:hanging="360"/>
      </w:pPr>
      <w:rPr>
        <w:rFonts w:ascii="Symbol" w:hAnsi="Symbol" w:hint="default"/>
      </w:rPr>
    </w:lvl>
    <w:lvl w:ilvl="4" w:tentative="1">
      <w:start w:val="1"/>
      <w:numFmt w:val="bullet"/>
      <w:lvlText w:val="o"/>
      <w:lvlJc w:val="left"/>
      <w:pPr>
        <w:tabs>
          <w:tab w:val="num" w:pos="5445"/>
        </w:tabs>
        <w:ind w:left="5445" w:hanging="360"/>
      </w:pPr>
      <w:rPr>
        <w:rFonts w:ascii="Courier New" w:hAnsi="Courier New" w:hint="default"/>
      </w:rPr>
    </w:lvl>
    <w:lvl w:ilvl="5" w:tentative="1">
      <w:start w:val="1"/>
      <w:numFmt w:val="bullet"/>
      <w:lvlText w:val=""/>
      <w:lvlJc w:val="left"/>
      <w:pPr>
        <w:tabs>
          <w:tab w:val="num" w:pos="6165"/>
        </w:tabs>
        <w:ind w:left="6165" w:hanging="360"/>
      </w:pPr>
      <w:rPr>
        <w:rFonts w:ascii="Wingdings" w:hAnsi="Wingdings" w:hint="default"/>
      </w:rPr>
    </w:lvl>
    <w:lvl w:ilvl="6" w:tentative="1">
      <w:start w:val="1"/>
      <w:numFmt w:val="bullet"/>
      <w:lvlText w:val=""/>
      <w:lvlJc w:val="left"/>
      <w:pPr>
        <w:tabs>
          <w:tab w:val="num" w:pos="6885"/>
        </w:tabs>
        <w:ind w:left="6885" w:hanging="360"/>
      </w:pPr>
      <w:rPr>
        <w:rFonts w:ascii="Symbol" w:hAnsi="Symbol" w:hint="default"/>
      </w:rPr>
    </w:lvl>
    <w:lvl w:ilvl="7" w:tentative="1">
      <w:start w:val="1"/>
      <w:numFmt w:val="bullet"/>
      <w:lvlText w:val="o"/>
      <w:lvlJc w:val="left"/>
      <w:pPr>
        <w:tabs>
          <w:tab w:val="num" w:pos="7605"/>
        </w:tabs>
        <w:ind w:left="7605" w:hanging="360"/>
      </w:pPr>
      <w:rPr>
        <w:rFonts w:ascii="Courier New" w:hAnsi="Courier New" w:hint="default"/>
      </w:rPr>
    </w:lvl>
    <w:lvl w:ilvl="8" w:tentative="1">
      <w:start w:val="1"/>
      <w:numFmt w:val="bullet"/>
      <w:lvlText w:val=""/>
      <w:lvlJc w:val="left"/>
      <w:pPr>
        <w:tabs>
          <w:tab w:val="num" w:pos="8325"/>
        </w:tabs>
        <w:ind w:left="8325" w:hanging="360"/>
      </w:pPr>
      <w:rPr>
        <w:rFonts w:ascii="Wingdings" w:hAnsi="Wingdings" w:hint="default"/>
      </w:rPr>
    </w:lvl>
  </w:abstractNum>
  <w:abstractNum w:abstractNumId="146">
    <w:nsid w:val="53BE5D30"/>
    <w:multiLevelType w:val="singleLevel"/>
    <w:tmpl w:val="9ED2623C"/>
    <w:lvl w:ilvl="0">
      <w:start w:val="1"/>
      <w:numFmt w:val="decimal"/>
      <w:lvlText w:val="(%1)"/>
      <w:lvlJc w:val="left"/>
      <w:pPr>
        <w:tabs>
          <w:tab w:val="num" w:pos="1170"/>
        </w:tabs>
        <w:ind w:left="1170" w:hanging="465"/>
      </w:pPr>
      <w:rPr>
        <w:rFonts w:hint="default"/>
      </w:rPr>
    </w:lvl>
  </w:abstractNum>
  <w:abstractNum w:abstractNumId="147">
    <w:nsid w:val="540051D0"/>
    <w:multiLevelType w:val="hybridMultilevel"/>
    <w:tmpl w:val="8228DADE"/>
    <w:lvl w:ilvl="0">
      <w:start w:val="1"/>
      <w:numFmt w:val="bullet"/>
      <w:lvlText w:val=""/>
      <w:lvlJc w:val="left"/>
      <w:pPr>
        <w:tabs>
          <w:tab w:val="num" w:pos="720"/>
        </w:tabs>
        <w:ind w:left="720" w:hanging="360"/>
      </w:pPr>
      <w:rPr>
        <w:rFonts w:ascii="Symbol" w:hAnsi="Symbol" w:hint="default"/>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8">
    <w:nsid w:val="54260134"/>
    <w:multiLevelType w:val="multilevel"/>
    <w:tmpl w:val="8BB88830"/>
    <w:lvl w:ilvl="0">
      <w:start w:val="10"/>
      <w:numFmt w:val="decimal"/>
      <w:lvlText w:val="%1"/>
      <w:lvlJc w:val="left"/>
      <w:pPr>
        <w:tabs>
          <w:tab w:val="num" w:pos="780"/>
        </w:tabs>
        <w:ind w:left="780" w:hanging="780"/>
      </w:pPr>
      <w:rPr>
        <w:rFonts w:hint="default"/>
      </w:rPr>
    </w:lvl>
    <w:lvl w:ilvl="1">
      <w:start w:val="2"/>
      <w:numFmt w:val="decimal"/>
      <w:lvlText w:val="%1.%2"/>
      <w:lvlJc w:val="left"/>
      <w:pPr>
        <w:tabs>
          <w:tab w:val="num" w:pos="1380"/>
        </w:tabs>
        <w:ind w:left="1380" w:hanging="780"/>
      </w:pPr>
      <w:rPr>
        <w:rFonts w:hint="default"/>
      </w:rPr>
    </w:lvl>
    <w:lvl w:ilvl="2">
      <w:start w:val="1"/>
      <w:numFmt w:val="decimal"/>
      <w:lvlText w:val="%1.%2.%3"/>
      <w:lvlJc w:val="left"/>
      <w:pPr>
        <w:tabs>
          <w:tab w:val="num" w:pos="1980"/>
        </w:tabs>
        <w:ind w:left="1980" w:hanging="780"/>
      </w:pPr>
      <w:rPr>
        <w:rFonts w:hint="default"/>
      </w:rPr>
    </w:lvl>
    <w:lvl w:ilvl="3">
      <w:start w:val="1"/>
      <w:numFmt w:val="decimal"/>
      <w:lvlText w:val="%1.%2.%3.%4"/>
      <w:lvlJc w:val="left"/>
      <w:pPr>
        <w:tabs>
          <w:tab w:val="num" w:pos="2580"/>
        </w:tabs>
        <w:ind w:left="2580" w:hanging="7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149">
    <w:nsid w:val="54B56A47"/>
    <w:multiLevelType w:val="multilevel"/>
    <w:tmpl w:val="F3DCC6EC"/>
    <w:lvl w:ilvl="0">
      <w:start w:val="12"/>
      <w:numFmt w:val="decimal"/>
      <w:lvlText w:val="%1"/>
      <w:lvlJc w:val="left"/>
      <w:pPr>
        <w:tabs>
          <w:tab w:val="num" w:pos="420"/>
        </w:tabs>
        <w:ind w:left="420" w:hanging="420"/>
      </w:pPr>
      <w:rPr>
        <w:rFonts w:hint="default"/>
      </w:rPr>
    </w:lvl>
    <w:lvl w:ilvl="1">
      <w:start w:val="5"/>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0">
    <w:nsid w:val="5637324E"/>
    <w:multiLevelType w:val="hybridMultilevel"/>
    <w:tmpl w:val="BE8C7190"/>
    <w:lvl w:ilvl="0">
      <w:start w:val="1"/>
      <w:numFmt w:val="lowerRoman"/>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i w:val="0"/>
      </w:rPr>
    </w:lvl>
    <w:lvl w:ilvl="2">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1">
    <w:nsid w:val="568500A1"/>
    <w:multiLevelType w:val="multilevel"/>
    <w:tmpl w:val="0C1CE786"/>
    <w:lvl w:ilvl="0">
      <w:start w:val="7"/>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740"/>
        </w:tabs>
        <w:ind w:left="4740" w:hanging="1800"/>
      </w:pPr>
      <w:rPr>
        <w:rFonts w:hint="default"/>
      </w:rPr>
    </w:lvl>
    <w:lvl w:ilvl="8">
      <w:start w:val="1"/>
      <w:numFmt w:val="decimal"/>
      <w:lvlText w:val="%1.%2.%3.%4.%5.%6.%7.%8.%9"/>
      <w:lvlJc w:val="left"/>
      <w:pPr>
        <w:tabs>
          <w:tab w:val="num" w:pos="5520"/>
        </w:tabs>
        <w:ind w:left="5520" w:hanging="2160"/>
      </w:pPr>
      <w:rPr>
        <w:rFonts w:hint="default"/>
      </w:rPr>
    </w:lvl>
  </w:abstractNum>
  <w:abstractNum w:abstractNumId="152">
    <w:nsid w:val="56913830"/>
    <w:multiLevelType w:val="multilevel"/>
    <w:tmpl w:val="873EDA02"/>
    <w:lvl w:ilvl="0">
      <w:start w:val="13"/>
      <w:numFmt w:val="decimal"/>
      <w:lvlText w:val="%1.0"/>
      <w:lvlJc w:val="left"/>
      <w:pPr>
        <w:tabs>
          <w:tab w:val="num" w:pos="1200"/>
        </w:tabs>
        <w:ind w:left="1200" w:hanging="630"/>
      </w:pPr>
      <w:rPr>
        <w:rFonts w:hint="default"/>
      </w:rPr>
    </w:lvl>
    <w:lvl w:ilvl="1">
      <w:start w:val="1"/>
      <w:numFmt w:val="decimal"/>
      <w:lvlText w:val="%1.%2"/>
      <w:lvlJc w:val="left"/>
      <w:pPr>
        <w:tabs>
          <w:tab w:val="num" w:pos="1920"/>
        </w:tabs>
        <w:ind w:left="1920" w:hanging="63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810"/>
        </w:tabs>
        <w:ind w:left="3810" w:hanging="1080"/>
      </w:pPr>
      <w:rPr>
        <w:rFonts w:hint="default"/>
      </w:rPr>
    </w:lvl>
    <w:lvl w:ilvl="4">
      <w:start w:val="1"/>
      <w:numFmt w:val="decimal"/>
      <w:lvlText w:val="%1.%2.%3.%4.%5"/>
      <w:lvlJc w:val="left"/>
      <w:pPr>
        <w:tabs>
          <w:tab w:val="num" w:pos="4530"/>
        </w:tabs>
        <w:ind w:left="4530" w:hanging="1080"/>
      </w:pPr>
      <w:rPr>
        <w:rFonts w:hint="default"/>
      </w:rPr>
    </w:lvl>
    <w:lvl w:ilvl="5">
      <w:start w:val="1"/>
      <w:numFmt w:val="decimal"/>
      <w:lvlText w:val="%1.%2.%3.%4.%5.%6"/>
      <w:lvlJc w:val="left"/>
      <w:pPr>
        <w:tabs>
          <w:tab w:val="num" w:pos="5610"/>
        </w:tabs>
        <w:ind w:left="5610" w:hanging="1440"/>
      </w:pPr>
      <w:rPr>
        <w:rFonts w:hint="default"/>
      </w:rPr>
    </w:lvl>
    <w:lvl w:ilvl="6">
      <w:start w:val="1"/>
      <w:numFmt w:val="decimal"/>
      <w:lvlText w:val="%1.%2.%3.%4.%5.%6.%7"/>
      <w:lvlJc w:val="left"/>
      <w:pPr>
        <w:tabs>
          <w:tab w:val="num" w:pos="6330"/>
        </w:tabs>
        <w:ind w:left="6330" w:hanging="1440"/>
      </w:pPr>
      <w:rPr>
        <w:rFonts w:hint="default"/>
      </w:rPr>
    </w:lvl>
    <w:lvl w:ilvl="7">
      <w:start w:val="1"/>
      <w:numFmt w:val="decimal"/>
      <w:lvlText w:val="%1.%2.%3.%4.%5.%6.%7.%8"/>
      <w:lvlJc w:val="left"/>
      <w:pPr>
        <w:tabs>
          <w:tab w:val="num" w:pos="7410"/>
        </w:tabs>
        <w:ind w:left="7410" w:hanging="1800"/>
      </w:pPr>
      <w:rPr>
        <w:rFonts w:hint="default"/>
      </w:rPr>
    </w:lvl>
    <w:lvl w:ilvl="8">
      <w:start w:val="1"/>
      <w:numFmt w:val="decimal"/>
      <w:lvlText w:val="%1.%2.%3.%4.%5.%6.%7.%8.%9"/>
      <w:lvlJc w:val="left"/>
      <w:pPr>
        <w:tabs>
          <w:tab w:val="num" w:pos="8490"/>
        </w:tabs>
        <w:ind w:left="8490" w:hanging="2160"/>
      </w:pPr>
      <w:rPr>
        <w:rFonts w:hint="default"/>
      </w:rPr>
    </w:lvl>
  </w:abstractNum>
  <w:abstractNum w:abstractNumId="153">
    <w:nsid w:val="58E936B4"/>
    <w:multiLevelType w:val="multilevel"/>
    <w:tmpl w:val="CA84D51C"/>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4">
    <w:nsid w:val="58FD295A"/>
    <w:multiLevelType w:val="hybridMultilevel"/>
    <w:tmpl w:val="D1C2B584"/>
    <w:lvl w:ilvl="0">
      <w:start w:val="5"/>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55">
    <w:nsid w:val="595B328F"/>
    <w:multiLevelType w:val="singleLevel"/>
    <w:tmpl w:val="C8CE3212"/>
    <w:lvl w:ilvl="0">
      <w:start w:val="2"/>
      <w:numFmt w:val="decimal"/>
      <w:lvlText w:val="(%1)"/>
      <w:lvlJc w:val="left"/>
      <w:pPr>
        <w:tabs>
          <w:tab w:val="num" w:pos="1080"/>
        </w:tabs>
        <w:ind w:left="1080" w:hanging="360"/>
      </w:pPr>
      <w:rPr>
        <w:rFonts w:hint="default"/>
      </w:rPr>
    </w:lvl>
  </w:abstractNum>
  <w:abstractNum w:abstractNumId="156">
    <w:nsid w:val="5A401D4D"/>
    <w:multiLevelType w:val="multilevel"/>
    <w:tmpl w:val="90A4763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0800"/>
        </w:tabs>
        <w:ind w:left="10800" w:hanging="2160"/>
      </w:pPr>
      <w:rPr>
        <w:rFonts w:hint="default"/>
      </w:rPr>
    </w:lvl>
  </w:abstractNum>
  <w:abstractNum w:abstractNumId="157">
    <w:nsid w:val="5A4D14E9"/>
    <w:multiLevelType w:val="multilevel"/>
    <w:tmpl w:val="DF5C75F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8">
    <w:nsid w:val="5B3266BC"/>
    <w:multiLevelType w:val="multilevel"/>
    <w:tmpl w:val="054442F4"/>
    <w:lvl w:ilvl="0">
      <w:start w:val="4"/>
      <w:numFmt w:val="decimal"/>
      <w:lvlText w:val="%1"/>
      <w:lvlJc w:val="left"/>
      <w:pPr>
        <w:tabs>
          <w:tab w:val="num" w:pos="780"/>
        </w:tabs>
        <w:ind w:left="780" w:hanging="780"/>
      </w:pPr>
      <w:rPr>
        <w:rFonts w:hint="default"/>
      </w:rPr>
    </w:lvl>
    <w:lvl w:ilvl="1">
      <w:start w:val="1"/>
      <w:numFmt w:val="decimal"/>
      <w:lvlText w:val="%1.%2"/>
      <w:lvlJc w:val="left"/>
      <w:pPr>
        <w:tabs>
          <w:tab w:val="num" w:pos="1350"/>
        </w:tabs>
        <w:ind w:left="1350" w:hanging="780"/>
      </w:pPr>
      <w:rPr>
        <w:rFonts w:hint="default"/>
      </w:rPr>
    </w:lvl>
    <w:lvl w:ilvl="2">
      <w:start w:val="1"/>
      <w:numFmt w:val="decimal"/>
      <w:lvlText w:val="%1.%2.%3"/>
      <w:lvlJc w:val="left"/>
      <w:pPr>
        <w:tabs>
          <w:tab w:val="num" w:pos="1920"/>
        </w:tabs>
        <w:ind w:left="1920" w:hanging="78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790"/>
        </w:tabs>
        <w:ind w:left="5790" w:hanging="1800"/>
      </w:pPr>
      <w:rPr>
        <w:rFonts w:hint="default"/>
      </w:rPr>
    </w:lvl>
    <w:lvl w:ilvl="8">
      <w:start w:val="1"/>
      <w:numFmt w:val="decimal"/>
      <w:lvlText w:val="%1.%2.%3.%4.%5.%6.%7.%8.%9"/>
      <w:lvlJc w:val="left"/>
      <w:pPr>
        <w:tabs>
          <w:tab w:val="num" w:pos="6720"/>
        </w:tabs>
        <w:ind w:left="6720" w:hanging="2160"/>
      </w:pPr>
      <w:rPr>
        <w:rFonts w:hint="default"/>
      </w:rPr>
    </w:lvl>
  </w:abstractNum>
  <w:abstractNum w:abstractNumId="159">
    <w:nsid w:val="5B9A61F5"/>
    <w:multiLevelType w:val="multilevel"/>
    <w:tmpl w:val="7130D2FA"/>
    <w:lvl w:ilvl="0">
      <w:start w:val="15"/>
      <w:numFmt w:val="decimal"/>
      <w:lvlText w:val="%1"/>
      <w:lvlJc w:val="left"/>
      <w:pPr>
        <w:tabs>
          <w:tab w:val="num" w:pos="540"/>
        </w:tabs>
        <w:ind w:left="540" w:hanging="54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0">
    <w:nsid w:val="5CD93E62"/>
    <w:multiLevelType w:val="multilevel"/>
    <w:tmpl w:val="04A81738"/>
    <w:lvl w:ilvl="0">
      <w:start w:val="2"/>
      <w:numFmt w:val="decimal"/>
      <w:lvlText w:val="%1"/>
      <w:lvlJc w:val="left"/>
      <w:pPr>
        <w:tabs>
          <w:tab w:val="num" w:pos="375"/>
        </w:tabs>
        <w:ind w:left="375" w:hanging="37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1">
    <w:nsid w:val="5D137E75"/>
    <w:multiLevelType w:val="hybridMultilevel"/>
    <w:tmpl w:val="C1A445D2"/>
    <w:lvl w:ilvl="0">
      <w:start w:val="1"/>
      <w:numFmt w:val="decimal"/>
      <w:lvlText w:val="%1)"/>
      <w:lvlJc w:val="left"/>
      <w:pPr>
        <w:tabs>
          <w:tab w:val="num" w:pos="1125"/>
        </w:tabs>
        <w:ind w:left="1125" w:hanging="375"/>
      </w:pPr>
      <w:rPr>
        <w:rFonts w:hint="default"/>
      </w:rPr>
    </w:lvl>
    <w:lvl w:ilvl="1" w:tentative="1">
      <w:start w:val="1"/>
      <w:numFmt w:val="lowerLetter"/>
      <w:lvlText w:val="%2."/>
      <w:lvlJc w:val="left"/>
      <w:pPr>
        <w:tabs>
          <w:tab w:val="num" w:pos="1830"/>
        </w:tabs>
        <w:ind w:left="1830" w:hanging="360"/>
      </w:pPr>
    </w:lvl>
    <w:lvl w:ilvl="2" w:tentative="1">
      <w:start w:val="1"/>
      <w:numFmt w:val="lowerRoman"/>
      <w:lvlText w:val="%3."/>
      <w:lvlJc w:val="right"/>
      <w:pPr>
        <w:tabs>
          <w:tab w:val="num" w:pos="2550"/>
        </w:tabs>
        <w:ind w:left="2550" w:hanging="180"/>
      </w:pPr>
    </w:lvl>
    <w:lvl w:ilvl="3" w:tentative="1">
      <w:start w:val="1"/>
      <w:numFmt w:val="decimal"/>
      <w:lvlText w:val="%4."/>
      <w:lvlJc w:val="left"/>
      <w:pPr>
        <w:tabs>
          <w:tab w:val="num" w:pos="3270"/>
        </w:tabs>
        <w:ind w:left="3270" w:hanging="360"/>
      </w:pPr>
    </w:lvl>
    <w:lvl w:ilvl="4" w:tentative="1">
      <w:start w:val="1"/>
      <w:numFmt w:val="lowerLetter"/>
      <w:lvlText w:val="%5."/>
      <w:lvlJc w:val="left"/>
      <w:pPr>
        <w:tabs>
          <w:tab w:val="num" w:pos="3990"/>
        </w:tabs>
        <w:ind w:left="3990" w:hanging="360"/>
      </w:pPr>
    </w:lvl>
    <w:lvl w:ilvl="5" w:tentative="1">
      <w:start w:val="1"/>
      <w:numFmt w:val="lowerRoman"/>
      <w:lvlText w:val="%6."/>
      <w:lvlJc w:val="right"/>
      <w:pPr>
        <w:tabs>
          <w:tab w:val="num" w:pos="4710"/>
        </w:tabs>
        <w:ind w:left="4710" w:hanging="180"/>
      </w:pPr>
    </w:lvl>
    <w:lvl w:ilvl="6" w:tentative="1">
      <w:start w:val="1"/>
      <w:numFmt w:val="decimal"/>
      <w:lvlText w:val="%7."/>
      <w:lvlJc w:val="left"/>
      <w:pPr>
        <w:tabs>
          <w:tab w:val="num" w:pos="5430"/>
        </w:tabs>
        <w:ind w:left="5430" w:hanging="360"/>
      </w:pPr>
    </w:lvl>
    <w:lvl w:ilvl="7" w:tentative="1">
      <w:start w:val="1"/>
      <w:numFmt w:val="lowerLetter"/>
      <w:lvlText w:val="%8."/>
      <w:lvlJc w:val="left"/>
      <w:pPr>
        <w:tabs>
          <w:tab w:val="num" w:pos="6150"/>
        </w:tabs>
        <w:ind w:left="6150" w:hanging="360"/>
      </w:pPr>
    </w:lvl>
    <w:lvl w:ilvl="8" w:tentative="1">
      <w:start w:val="1"/>
      <w:numFmt w:val="lowerRoman"/>
      <w:lvlText w:val="%9."/>
      <w:lvlJc w:val="right"/>
      <w:pPr>
        <w:tabs>
          <w:tab w:val="num" w:pos="6870"/>
        </w:tabs>
        <w:ind w:left="6870" w:hanging="180"/>
      </w:pPr>
    </w:lvl>
  </w:abstractNum>
  <w:abstractNum w:abstractNumId="162">
    <w:nsid w:val="5EA35247"/>
    <w:multiLevelType w:val="hybridMultilevel"/>
    <w:tmpl w:val="4516D6A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3">
    <w:nsid w:val="5F0C1059"/>
    <w:multiLevelType w:val="hybridMultilevel"/>
    <w:tmpl w:val="71AAF4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5F883F3A"/>
    <w:multiLevelType w:val="hybridMultilevel"/>
    <w:tmpl w:val="3186693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5">
    <w:nsid w:val="62BC0E91"/>
    <w:multiLevelType w:val="multilevel"/>
    <w:tmpl w:val="08341A6E"/>
    <w:lvl w:ilvl="0">
      <w:start w:val="10"/>
      <w:numFmt w:val="decimal"/>
      <w:lvlText w:val="%1"/>
      <w:lvlJc w:val="left"/>
      <w:pPr>
        <w:tabs>
          <w:tab w:val="num" w:pos="765"/>
        </w:tabs>
        <w:ind w:left="765" w:hanging="765"/>
      </w:pPr>
      <w:rPr>
        <w:rFonts w:hint="default"/>
      </w:rPr>
    </w:lvl>
    <w:lvl w:ilvl="1">
      <w:start w:val="1"/>
      <w:numFmt w:val="decimal"/>
      <w:lvlText w:val="%1.%2"/>
      <w:lvlJc w:val="left"/>
      <w:pPr>
        <w:tabs>
          <w:tab w:val="num" w:pos="765"/>
        </w:tabs>
        <w:ind w:left="765" w:hanging="765"/>
      </w:pPr>
      <w:rPr>
        <w:rFonts w:hint="default"/>
      </w:rPr>
    </w:lvl>
    <w:lvl w:ilvl="2">
      <w:start w:val="3"/>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6">
    <w:nsid w:val="630579AF"/>
    <w:multiLevelType w:val="singleLevel"/>
    <w:tmpl w:val="04190011"/>
    <w:lvl w:ilvl="0">
      <w:start w:val="1"/>
      <w:numFmt w:val="decimal"/>
      <w:lvlText w:val="%1)"/>
      <w:lvlJc w:val="left"/>
      <w:pPr>
        <w:tabs>
          <w:tab w:val="num" w:pos="360"/>
        </w:tabs>
        <w:ind w:left="360" w:hanging="360"/>
      </w:pPr>
      <w:rPr>
        <w:rFonts w:hint="default"/>
      </w:rPr>
    </w:lvl>
  </w:abstractNum>
  <w:abstractNum w:abstractNumId="167">
    <w:nsid w:val="63866840"/>
    <w:multiLevelType w:val="hybridMultilevel"/>
    <w:tmpl w:val="5D9C93A4"/>
    <w:lvl w:ilvl="0">
      <w:start w:val="2"/>
      <w:numFmt w:val="decimal"/>
      <w:lvlText w:val="%1."/>
      <w:lvlJc w:val="left"/>
      <w:pPr>
        <w:tabs>
          <w:tab w:val="num" w:pos="720"/>
        </w:tabs>
        <w:ind w:left="720" w:hanging="360"/>
      </w:pPr>
      <w:rPr>
        <w:rFonts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641016F3"/>
    <w:multiLevelType w:val="multilevel"/>
    <w:tmpl w:val="5EF8EEB4"/>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9">
    <w:nsid w:val="64BC598C"/>
    <w:multiLevelType w:val="multilevel"/>
    <w:tmpl w:val="33ACA84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nsid w:val="65843385"/>
    <w:multiLevelType w:val="singleLevel"/>
    <w:tmpl w:val="89F6284A"/>
    <w:lvl w:ilvl="0">
      <w:numFmt w:val="bullet"/>
      <w:lvlText w:val=""/>
      <w:lvlJc w:val="left"/>
      <w:pPr>
        <w:tabs>
          <w:tab w:val="num" w:pos="495"/>
        </w:tabs>
        <w:ind w:left="495" w:hanging="495"/>
      </w:pPr>
      <w:rPr>
        <w:rFonts w:ascii="Symbol" w:hAnsi="Symbol" w:hint="default"/>
      </w:rPr>
    </w:lvl>
  </w:abstractNum>
  <w:abstractNum w:abstractNumId="171">
    <w:nsid w:val="65AA0716"/>
    <w:multiLevelType w:val="multilevel"/>
    <w:tmpl w:val="2090A57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2">
    <w:nsid w:val="668536B9"/>
    <w:multiLevelType w:val="hybridMultilevel"/>
    <w:tmpl w:val="F7A40B16"/>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3">
    <w:nsid w:val="67393EDC"/>
    <w:multiLevelType w:val="hybridMultilevel"/>
    <w:tmpl w:val="67209372"/>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4">
    <w:nsid w:val="67A8734C"/>
    <w:multiLevelType w:val="multilevel"/>
    <w:tmpl w:val="4DD2056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5">
    <w:nsid w:val="67B30738"/>
    <w:multiLevelType w:val="hybridMultilevel"/>
    <w:tmpl w:val="44D6569C"/>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6">
    <w:nsid w:val="684731DB"/>
    <w:multiLevelType w:val="multilevel"/>
    <w:tmpl w:val="B42A1C66"/>
    <w:lvl w:ilvl="0">
      <w:start w:val="2"/>
      <w:numFmt w:val="decimal"/>
      <w:lvlText w:val="%1"/>
      <w:lvlJc w:val="left"/>
      <w:pPr>
        <w:tabs>
          <w:tab w:val="num" w:pos="360"/>
        </w:tabs>
        <w:ind w:left="360" w:hanging="360"/>
      </w:pPr>
      <w:rPr>
        <w:rFonts w:hint="default"/>
        <w:b w:val="0"/>
      </w:rPr>
    </w:lvl>
    <w:lvl w:ilvl="1">
      <w:start w:val="5"/>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2160"/>
        </w:tabs>
        <w:ind w:left="2160" w:hanging="216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520"/>
        </w:tabs>
        <w:ind w:left="2520" w:hanging="2520"/>
      </w:pPr>
      <w:rPr>
        <w:rFonts w:hint="default"/>
        <w:b w:val="0"/>
      </w:rPr>
    </w:lvl>
  </w:abstractNum>
  <w:abstractNum w:abstractNumId="177">
    <w:nsid w:val="68CF0949"/>
    <w:multiLevelType w:val="hybridMultilevel"/>
    <w:tmpl w:val="D3002022"/>
    <w:lvl w:ilvl="0">
      <w:start w:val="1"/>
      <w:numFmt w:val="bullet"/>
      <w:lvlText w:val=""/>
      <w:lvlJc w:val="left"/>
      <w:pPr>
        <w:tabs>
          <w:tab w:val="num" w:pos="1515"/>
        </w:tabs>
        <w:ind w:left="1515" w:hanging="360"/>
      </w:pPr>
      <w:rPr>
        <w:rFonts w:ascii="Wingdings" w:hAnsi="Wingdings" w:hint="default"/>
      </w:rPr>
    </w:lvl>
    <w:lvl w:ilvl="1" w:tentative="1">
      <w:start w:val="1"/>
      <w:numFmt w:val="bullet"/>
      <w:lvlText w:val="o"/>
      <w:lvlJc w:val="left"/>
      <w:pPr>
        <w:tabs>
          <w:tab w:val="num" w:pos="2235"/>
        </w:tabs>
        <w:ind w:left="2235" w:hanging="360"/>
      </w:pPr>
      <w:rPr>
        <w:rFonts w:ascii="Courier New" w:hAnsi="Courier New" w:hint="default"/>
      </w:rPr>
    </w:lvl>
    <w:lvl w:ilvl="2" w:tentative="1">
      <w:start w:val="1"/>
      <w:numFmt w:val="bullet"/>
      <w:lvlText w:val=""/>
      <w:lvlJc w:val="left"/>
      <w:pPr>
        <w:tabs>
          <w:tab w:val="num" w:pos="2955"/>
        </w:tabs>
        <w:ind w:left="2955" w:hanging="360"/>
      </w:pPr>
      <w:rPr>
        <w:rFonts w:ascii="Wingdings" w:hAnsi="Wingdings" w:hint="default"/>
      </w:rPr>
    </w:lvl>
    <w:lvl w:ilvl="3" w:tentative="1">
      <w:start w:val="1"/>
      <w:numFmt w:val="bullet"/>
      <w:lvlText w:val=""/>
      <w:lvlJc w:val="left"/>
      <w:pPr>
        <w:tabs>
          <w:tab w:val="num" w:pos="3675"/>
        </w:tabs>
        <w:ind w:left="3675" w:hanging="360"/>
      </w:pPr>
      <w:rPr>
        <w:rFonts w:ascii="Symbol" w:hAnsi="Symbol" w:hint="default"/>
      </w:rPr>
    </w:lvl>
    <w:lvl w:ilvl="4" w:tentative="1">
      <w:start w:val="1"/>
      <w:numFmt w:val="bullet"/>
      <w:lvlText w:val="o"/>
      <w:lvlJc w:val="left"/>
      <w:pPr>
        <w:tabs>
          <w:tab w:val="num" w:pos="4395"/>
        </w:tabs>
        <w:ind w:left="4395" w:hanging="360"/>
      </w:pPr>
      <w:rPr>
        <w:rFonts w:ascii="Courier New" w:hAnsi="Courier New" w:hint="default"/>
      </w:rPr>
    </w:lvl>
    <w:lvl w:ilvl="5" w:tentative="1">
      <w:start w:val="1"/>
      <w:numFmt w:val="bullet"/>
      <w:lvlText w:val=""/>
      <w:lvlJc w:val="left"/>
      <w:pPr>
        <w:tabs>
          <w:tab w:val="num" w:pos="5115"/>
        </w:tabs>
        <w:ind w:left="5115" w:hanging="360"/>
      </w:pPr>
      <w:rPr>
        <w:rFonts w:ascii="Wingdings" w:hAnsi="Wingdings" w:hint="default"/>
      </w:rPr>
    </w:lvl>
    <w:lvl w:ilvl="6" w:tentative="1">
      <w:start w:val="1"/>
      <w:numFmt w:val="bullet"/>
      <w:lvlText w:val=""/>
      <w:lvlJc w:val="left"/>
      <w:pPr>
        <w:tabs>
          <w:tab w:val="num" w:pos="5835"/>
        </w:tabs>
        <w:ind w:left="5835" w:hanging="360"/>
      </w:pPr>
      <w:rPr>
        <w:rFonts w:ascii="Symbol" w:hAnsi="Symbol" w:hint="default"/>
      </w:rPr>
    </w:lvl>
    <w:lvl w:ilvl="7" w:tentative="1">
      <w:start w:val="1"/>
      <w:numFmt w:val="bullet"/>
      <w:lvlText w:val="o"/>
      <w:lvlJc w:val="left"/>
      <w:pPr>
        <w:tabs>
          <w:tab w:val="num" w:pos="6555"/>
        </w:tabs>
        <w:ind w:left="6555" w:hanging="360"/>
      </w:pPr>
      <w:rPr>
        <w:rFonts w:ascii="Courier New" w:hAnsi="Courier New" w:hint="default"/>
      </w:rPr>
    </w:lvl>
    <w:lvl w:ilvl="8" w:tentative="1">
      <w:start w:val="1"/>
      <w:numFmt w:val="bullet"/>
      <w:lvlText w:val=""/>
      <w:lvlJc w:val="left"/>
      <w:pPr>
        <w:tabs>
          <w:tab w:val="num" w:pos="7275"/>
        </w:tabs>
        <w:ind w:left="7275" w:hanging="360"/>
      </w:pPr>
      <w:rPr>
        <w:rFonts w:ascii="Wingdings" w:hAnsi="Wingdings" w:hint="default"/>
      </w:rPr>
    </w:lvl>
  </w:abstractNum>
  <w:abstractNum w:abstractNumId="178">
    <w:nsid w:val="69401818"/>
    <w:multiLevelType w:val="hybridMultilevel"/>
    <w:tmpl w:val="F940C08E"/>
    <w:lvl w:ilvl="0">
      <w:start w:val="1"/>
      <w:numFmt w:val="bullet"/>
      <w:lvlText w:val="o"/>
      <w:lvlJc w:val="left"/>
      <w:pPr>
        <w:tabs>
          <w:tab w:val="num" w:pos="3000"/>
        </w:tabs>
        <w:ind w:left="3000" w:hanging="360"/>
      </w:pPr>
      <w:rPr>
        <w:rFonts w:ascii="Courier New" w:hAnsi="Courier New" w:hint="default"/>
      </w:rPr>
    </w:lvl>
    <w:lvl w:ilvl="1" w:tentative="1">
      <w:start w:val="1"/>
      <w:numFmt w:val="bullet"/>
      <w:lvlText w:val="o"/>
      <w:lvlJc w:val="left"/>
      <w:pPr>
        <w:tabs>
          <w:tab w:val="num" w:pos="3720"/>
        </w:tabs>
        <w:ind w:left="3720" w:hanging="360"/>
      </w:pPr>
      <w:rPr>
        <w:rFonts w:ascii="Courier New" w:hAnsi="Courier New" w:hint="default"/>
      </w:rPr>
    </w:lvl>
    <w:lvl w:ilvl="2" w:tentative="1">
      <w:start w:val="1"/>
      <w:numFmt w:val="bullet"/>
      <w:lvlText w:val=""/>
      <w:lvlJc w:val="left"/>
      <w:pPr>
        <w:tabs>
          <w:tab w:val="num" w:pos="4440"/>
        </w:tabs>
        <w:ind w:left="4440" w:hanging="360"/>
      </w:pPr>
      <w:rPr>
        <w:rFonts w:ascii="Wingdings" w:hAnsi="Wingdings" w:hint="default"/>
      </w:rPr>
    </w:lvl>
    <w:lvl w:ilvl="3" w:tentative="1">
      <w:start w:val="1"/>
      <w:numFmt w:val="bullet"/>
      <w:lvlText w:val=""/>
      <w:lvlJc w:val="left"/>
      <w:pPr>
        <w:tabs>
          <w:tab w:val="num" w:pos="5160"/>
        </w:tabs>
        <w:ind w:left="5160" w:hanging="360"/>
      </w:pPr>
      <w:rPr>
        <w:rFonts w:ascii="Symbol" w:hAnsi="Symbol" w:hint="default"/>
      </w:rPr>
    </w:lvl>
    <w:lvl w:ilvl="4" w:tentative="1">
      <w:start w:val="1"/>
      <w:numFmt w:val="bullet"/>
      <w:lvlText w:val="o"/>
      <w:lvlJc w:val="left"/>
      <w:pPr>
        <w:tabs>
          <w:tab w:val="num" w:pos="5880"/>
        </w:tabs>
        <w:ind w:left="5880" w:hanging="360"/>
      </w:pPr>
      <w:rPr>
        <w:rFonts w:ascii="Courier New" w:hAnsi="Courier New" w:hint="default"/>
      </w:rPr>
    </w:lvl>
    <w:lvl w:ilvl="5" w:tentative="1">
      <w:start w:val="1"/>
      <w:numFmt w:val="bullet"/>
      <w:lvlText w:val=""/>
      <w:lvlJc w:val="left"/>
      <w:pPr>
        <w:tabs>
          <w:tab w:val="num" w:pos="6600"/>
        </w:tabs>
        <w:ind w:left="6600" w:hanging="360"/>
      </w:pPr>
      <w:rPr>
        <w:rFonts w:ascii="Wingdings" w:hAnsi="Wingdings" w:hint="default"/>
      </w:rPr>
    </w:lvl>
    <w:lvl w:ilvl="6" w:tentative="1">
      <w:start w:val="1"/>
      <w:numFmt w:val="bullet"/>
      <w:lvlText w:val=""/>
      <w:lvlJc w:val="left"/>
      <w:pPr>
        <w:tabs>
          <w:tab w:val="num" w:pos="7320"/>
        </w:tabs>
        <w:ind w:left="7320" w:hanging="360"/>
      </w:pPr>
      <w:rPr>
        <w:rFonts w:ascii="Symbol" w:hAnsi="Symbol" w:hint="default"/>
      </w:rPr>
    </w:lvl>
    <w:lvl w:ilvl="7" w:tentative="1">
      <w:start w:val="1"/>
      <w:numFmt w:val="bullet"/>
      <w:lvlText w:val="o"/>
      <w:lvlJc w:val="left"/>
      <w:pPr>
        <w:tabs>
          <w:tab w:val="num" w:pos="8040"/>
        </w:tabs>
        <w:ind w:left="8040" w:hanging="360"/>
      </w:pPr>
      <w:rPr>
        <w:rFonts w:ascii="Courier New" w:hAnsi="Courier New" w:hint="default"/>
      </w:rPr>
    </w:lvl>
    <w:lvl w:ilvl="8" w:tentative="1">
      <w:start w:val="1"/>
      <w:numFmt w:val="bullet"/>
      <w:lvlText w:val=""/>
      <w:lvlJc w:val="left"/>
      <w:pPr>
        <w:tabs>
          <w:tab w:val="num" w:pos="8760"/>
        </w:tabs>
        <w:ind w:left="8760" w:hanging="360"/>
      </w:pPr>
      <w:rPr>
        <w:rFonts w:ascii="Wingdings" w:hAnsi="Wingdings" w:hint="default"/>
      </w:rPr>
    </w:lvl>
  </w:abstractNum>
  <w:abstractNum w:abstractNumId="179">
    <w:nsid w:val="69D012C1"/>
    <w:multiLevelType w:val="multilevel"/>
    <w:tmpl w:val="55AABFA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1350"/>
        </w:tabs>
        <w:ind w:left="1350" w:hanging="705"/>
      </w:pPr>
      <w:rPr>
        <w:rFonts w:hint="default"/>
      </w:rPr>
    </w:lvl>
    <w:lvl w:ilvl="2">
      <w:start w:val="1"/>
      <w:numFmt w:val="decimal"/>
      <w:lvlText w:val="%1.%2.%3"/>
      <w:lvlJc w:val="left"/>
      <w:pPr>
        <w:tabs>
          <w:tab w:val="num" w:pos="2010"/>
        </w:tabs>
        <w:ind w:left="2010" w:hanging="720"/>
      </w:pPr>
      <w:rPr>
        <w:rFonts w:hint="default"/>
      </w:rPr>
    </w:lvl>
    <w:lvl w:ilvl="3">
      <w:start w:val="1"/>
      <w:numFmt w:val="decimal"/>
      <w:lvlText w:val="%1.%2.%3.%4"/>
      <w:lvlJc w:val="left"/>
      <w:pPr>
        <w:tabs>
          <w:tab w:val="num" w:pos="3015"/>
        </w:tabs>
        <w:ind w:left="3015" w:hanging="1080"/>
      </w:pPr>
      <w:rPr>
        <w:rFonts w:hint="default"/>
      </w:rPr>
    </w:lvl>
    <w:lvl w:ilvl="4">
      <w:start w:val="1"/>
      <w:numFmt w:val="decimal"/>
      <w:lvlText w:val="%1.%2.%3.%4.%5"/>
      <w:lvlJc w:val="left"/>
      <w:pPr>
        <w:tabs>
          <w:tab w:val="num" w:pos="3660"/>
        </w:tabs>
        <w:ind w:left="3660" w:hanging="1080"/>
      </w:pPr>
      <w:rPr>
        <w:rFonts w:hint="default"/>
      </w:rPr>
    </w:lvl>
    <w:lvl w:ilvl="5">
      <w:start w:val="1"/>
      <w:numFmt w:val="decimal"/>
      <w:lvlText w:val="%1.%2.%3.%4.%5.%6"/>
      <w:lvlJc w:val="left"/>
      <w:pPr>
        <w:tabs>
          <w:tab w:val="num" w:pos="4665"/>
        </w:tabs>
        <w:ind w:left="4665" w:hanging="1440"/>
      </w:pPr>
      <w:rPr>
        <w:rFonts w:hint="default"/>
      </w:rPr>
    </w:lvl>
    <w:lvl w:ilvl="6">
      <w:start w:val="1"/>
      <w:numFmt w:val="decimal"/>
      <w:lvlText w:val="%1.%2.%3.%4.%5.%6.%7"/>
      <w:lvlJc w:val="left"/>
      <w:pPr>
        <w:tabs>
          <w:tab w:val="num" w:pos="5310"/>
        </w:tabs>
        <w:ind w:left="5310" w:hanging="1440"/>
      </w:pPr>
      <w:rPr>
        <w:rFonts w:hint="default"/>
      </w:rPr>
    </w:lvl>
    <w:lvl w:ilvl="7">
      <w:start w:val="1"/>
      <w:numFmt w:val="decimal"/>
      <w:lvlText w:val="%1.%2.%3.%4.%5.%6.%7.%8"/>
      <w:lvlJc w:val="left"/>
      <w:pPr>
        <w:tabs>
          <w:tab w:val="num" w:pos="6315"/>
        </w:tabs>
        <w:ind w:left="6315" w:hanging="1800"/>
      </w:pPr>
      <w:rPr>
        <w:rFonts w:hint="default"/>
      </w:rPr>
    </w:lvl>
    <w:lvl w:ilvl="8">
      <w:start w:val="1"/>
      <w:numFmt w:val="decimal"/>
      <w:lvlText w:val="%1.%2.%3.%4.%5.%6.%7.%8.%9"/>
      <w:lvlJc w:val="left"/>
      <w:pPr>
        <w:tabs>
          <w:tab w:val="num" w:pos="7320"/>
        </w:tabs>
        <w:ind w:left="7320" w:hanging="2160"/>
      </w:pPr>
      <w:rPr>
        <w:rFonts w:hint="default"/>
      </w:rPr>
    </w:lvl>
  </w:abstractNum>
  <w:abstractNum w:abstractNumId="180">
    <w:nsid w:val="69DD0C59"/>
    <w:multiLevelType w:val="multilevel"/>
    <w:tmpl w:val="D544450E"/>
    <w:lvl w:ilvl="0">
      <w:start w:val="7"/>
      <w:numFmt w:val="decimal"/>
      <w:lvlText w:val="%1"/>
      <w:lvlJc w:val="left"/>
      <w:pPr>
        <w:tabs>
          <w:tab w:val="num" w:pos="375"/>
        </w:tabs>
        <w:ind w:left="375" w:hanging="375"/>
      </w:pPr>
      <w:rPr>
        <w:rFonts w:cs="Times New Roman" w:hint="default"/>
        <w:sz w:val="24"/>
      </w:rPr>
    </w:lvl>
    <w:lvl w:ilvl="1">
      <w:start w:val="3"/>
      <w:numFmt w:val="decimal"/>
      <w:lvlText w:val="%1.%2"/>
      <w:lvlJc w:val="left"/>
      <w:pPr>
        <w:tabs>
          <w:tab w:val="num" w:pos="720"/>
        </w:tabs>
        <w:ind w:left="720" w:hanging="720"/>
      </w:pPr>
      <w:rPr>
        <w:rFonts w:cs="Times New Roman" w:hint="default"/>
        <w:b/>
        <w:sz w:val="24"/>
        <w:szCs w:val="24"/>
      </w:rPr>
    </w:lvl>
    <w:lvl w:ilvl="2">
      <w:start w:val="1"/>
      <w:numFmt w:val="decimal"/>
      <w:lvlText w:val="%1.%2.%3"/>
      <w:lvlJc w:val="left"/>
      <w:pPr>
        <w:tabs>
          <w:tab w:val="num" w:pos="1080"/>
        </w:tabs>
        <w:ind w:left="1080" w:hanging="1080"/>
      </w:pPr>
      <w:rPr>
        <w:rFonts w:cs="Times New Roman" w:hint="default"/>
        <w:sz w:val="24"/>
      </w:rPr>
    </w:lvl>
    <w:lvl w:ilvl="3">
      <w:start w:val="1"/>
      <w:numFmt w:val="decimal"/>
      <w:lvlText w:val="%1.%2.%3.%4"/>
      <w:lvlJc w:val="left"/>
      <w:pPr>
        <w:tabs>
          <w:tab w:val="num" w:pos="1440"/>
        </w:tabs>
        <w:ind w:left="1440" w:hanging="1440"/>
      </w:pPr>
      <w:rPr>
        <w:rFonts w:cs="Times New Roman" w:hint="default"/>
        <w:sz w:val="24"/>
      </w:rPr>
    </w:lvl>
    <w:lvl w:ilvl="4">
      <w:start w:val="1"/>
      <w:numFmt w:val="decimal"/>
      <w:lvlText w:val="%1.%2.%3.%4.%5"/>
      <w:lvlJc w:val="left"/>
      <w:pPr>
        <w:tabs>
          <w:tab w:val="num" w:pos="1800"/>
        </w:tabs>
        <w:ind w:left="1800" w:hanging="1800"/>
      </w:pPr>
      <w:rPr>
        <w:rFonts w:cs="Times New Roman" w:hint="default"/>
        <w:sz w:val="24"/>
      </w:rPr>
    </w:lvl>
    <w:lvl w:ilvl="5">
      <w:start w:val="1"/>
      <w:numFmt w:val="decimal"/>
      <w:lvlText w:val="%1.%2.%3.%4.%5.%6"/>
      <w:lvlJc w:val="left"/>
      <w:pPr>
        <w:tabs>
          <w:tab w:val="num" w:pos="2160"/>
        </w:tabs>
        <w:ind w:left="2160" w:hanging="2160"/>
      </w:pPr>
      <w:rPr>
        <w:rFonts w:cs="Times New Roman" w:hint="default"/>
        <w:sz w:val="24"/>
      </w:rPr>
    </w:lvl>
    <w:lvl w:ilvl="6">
      <w:start w:val="1"/>
      <w:numFmt w:val="decimal"/>
      <w:lvlText w:val="%1.%2.%3.%4.%5.%6.%7"/>
      <w:lvlJc w:val="left"/>
      <w:pPr>
        <w:tabs>
          <w:tab w:val="num" w:pos="2160"/>
        </w:tabs>
        <w:ind w:left="2160" w:hanging="2160"/>
      </w:pPr>
      <w:rPr>
        <w:rFonts w:cs="Times New Roman" w:hint="default"/>
        <w:sz w:val="24"/>
      </w:rPr>
    </w:lvl>
    <w:lvl w:ilvl="7">
      <w:start w:val="1"/>
      <w:numFmt w:val="decimal"/>
      <w:lvlText w:val="%1.%2.%3.%4.%5.%6.%7.%8"/>
      <w:lvlJc w:val="left"/>
      <w:pPr>
        <w:tabs>
          <w:tab w:val="num" w:pos="2520"/>
        </w:tabs>
        <w:ind w:left="2520" w:hanging="2520"/>
      </w:pPr>
      <w:rPr>
        <w:rFonts w:cs="Times New Roman" w:hint="default"/>
        <w:sz w:val="24"/>
      </w:rPr>
    </w:lvl>
    <w:lvl w:ilvl="8">
      <w:start w:val="1"/>
      <w:numFmt w:val="decimal"/>
      <w:lvlText w:val="%1.%2.%3.%4.%5.%6.%7.%8.%9"/>
      <w:lvlJc w:val="left"/>
      <w:pPr>
        <w:tabs>
          <w:tab w:val="num" w:pos="2880"/>
        </w:tabs>
        <w:ind w:left="2880" w:hanging="2880"/>
      </w:pPr>
      <w:rPr>
        <w:rFonts w:cs="Times New Roman" w:hint="default"/>
        <w:sz w:val="24"/>
      </w:rPr>
    </w:lvl>
  </w:abstractNum>
  <w:abstractNum w:abstractNumId="181">
    <w:nsid w:val="6A120B2F"/>
    <w:multiLevelType w:val="multilevel"/>
    <w:tmpl w:val="6348153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2">
    <w:nsid w:val="6A45384D"/>
    <w:multiLevelType w:val="multilevel"/>
    <w:tmpl w:val="3676D9B0"/>
    <w:lvl w:ilvl="0">
      <w:start w:val="14"/>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83">
    <w:nsid w:val="6BA149F9"/>
    <w:multiLevelType w:val="multilevel"/>
    <w:tmpl w:val="3154E9CE"/>
    <w:lvl w:ilvl="0">
      <w:start w:val="11"/>
      <w:numFmt w:val="decimal"/>
      <w:lvlText w:val="%1"/>
      <w:lvlJc w:val="left"/>
      <w:pPr>
        <w:tabs>
          <w:tab w:val="num" w:pos="630"/>
        </w:tabs>
        <w:ind w:left="630" w:hanging="630"/>
      </w:pPr>
      <w:rPr>
        <w:rFonts w:hint="default"/>
      </w:rPr>
    </w:lvl>
    <w:lvl w:ilvl="1">
      <w:start w:val="1"/>
      <w:numFmt w:val="decimal"/>
      <w:lvlText w:val="%1.%2"/>
      <w:lvlJc w:val="left"/>
      <w:pPr>
        <w:tabs>
          <w:tab w:val="num" w:pos="1200"/>
        </w:tabs>
        <w:ind w:left="1200" w:hanging="63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790"/>
        </w:tabs>
        <w:ind w:left="5790" w:hanging="1800"/>
      </w:pPr>
      <w:rPr>
        <w:rFonts w:hint="default"/>
      </w:rPr>
    </w:lvl>
    <w:lvl w:ilvl="8">
      <w:start w:val="1"/>
      <w:numFmt w:val="decimal"/>
      <w:lvlText w:val="%1.%2.%3.%4.%5.%6.%7.%8.%9"/>
      <w:lvlJc w:val="left"/>
      <w:pPr>
        <w:tabs>
          <w:tab w:val="num" w:pos="6720"/>
        </w:tabs>
        <w:ind w:left="6720" w:hanging="2160"/>
      </w:pPr>
      <w:rPr>
        <w:rFonts w:hint="default"/>
      </w:rPr>
    </w:lvl>
  </w:abstractNum>
  <w:abstractNum w:abstractNumId="184">
    <w:nsid w:val="6BDA4F02"/>
    <w:multiLevelType w:val="multilevel"/>
    <w:tmpl w:val="9BCC8FCC"/>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185">
    <w:nsid w:val="6C9A1B8C"/>
    <w:multiLevelType w:val="hybridMultilevel"/>
    <w:tmpl w:val="ECBA201C"/>
    <w:lvl w:ilvl="0">
      <w:start w:val="2"/>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6">
    <w:nsid w:val="6CB64B3B"/>
    <w:multiLevelType w:val="multilevel"/>
    <w:tmpl w:val="A9CC89E8"/>
    <w:lvl w:ilvl="0">
      <w:start w:val="12"/>
      <w:numFmt w:val="decimal"/>
      <w:lvlText w:val="%1"/>
      <w:lvlJc w:val="left"/>
      <w:pPr>
        <w:tabs>
          <w:tab w:val="num" w:pos="840"/>
        </w:tabs>
        <w:ind w:left="840" w:hanging="840"/>
      </w:pPr>
      <w:rPr>
        <w:rFonts w:hint="default"/>
      </w:rPr>
    </w:lvl>
    <w:lvl w:ilvl="1">
      <w:start w:val="1"/>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7">
    <w:nsid w:val="6CD02D06"/>
    <w:multiLevelType w:val="multilevel"/>
    <w:tmpl w:val="0AF49B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8">
    <w:nsid w:val="6E992B20"/>
    <w:multiLevelType w:val="hybridMultilevel"/>
    <w:tmpl w:val="2B68B24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9">
    <w:nsid w:val="6ECA0ECF"/>
    <w:multiLevelType w:val="multilevel"/>
    <w:tmpl w:val="765080A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645"/>
        </w:tabs>
        <w:ind w:left="645" w:hanging="64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0">
    <w:nsid w:val="6F5E3989"/>
    <w:multiLevelType w:val="multilevel"/>
    <w:tmpl w:val="D23A8EC8"/>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1">
    <w:nsid w:val="6F763F71"/>
    <w:multiLevelType w:val="singleLevel"/>
    <w:tmpl w:val="185AB706"/>
    <w:lvl w:ilvl="0">
      <w:start w:val="1"/>
      <w:numFmt w:val="decimal"/>
      <w:lvlText w:val="(%1)"/>
      <w:lvlJc w:val="left"/>
      <w:pPr>
        <w:tabs>
          <w:tab w:val="num" w:pos="1245"/>
        </w:tabs>
        <w:ind w:left="1245" w:hanging="1245"/>
      </w:pPr>
      <w:rPr>
        <w:rFonts w:hint="default"/>
      </w:rPr>
    </w:lvl>
  </w:abstractNum>
  <w:abstractNum w:abstractNumId="192">
    <w:nsid w:val="70EF4525"/>
    <w:multiLevelType w:val="multilevel"/>
    <w:tmpl w:val="B492CA58"/>
    <w:lvl w:ilvl="0">
      <w:start w:val="15"/>
      <w:numFmt w:val="decimal"/>
      <w:lvlText w:val="%1"/>
      <w:lvlJc w:val="left"/>
      <w:pPr>
        <w:tabs>
          <w:tab w:val="num" w:pos="525"/>
        </w:tabs>
        <w:ind w:left="525" w:hanging="525"/>
      </w:pPr>
      <w:rPr>
        <w:rFonts w:hint="default"/>
      </w:rPr>
    </w:lvl>
    <w:lvl w:ilvl="1">
      <w:start w:val="1"/>
      <w:numFmt w:val="decimal"/>
      <w:lvlText w:val="%1.%2"/>
      <w:lvlJc w:val="left"/>
      <w:pPr>
        <w:tabs>
          <w:tab w:val="num" w:pos="795"/>
        </w:tabs>
        <w:ind w:left="795" w:hanging="720"/>
      </w:pPr>
      <w:rPr>
        <w:rFonts w:hint="default"/>
      </w:rPr>
    </w:lvl>
    <w:lvl w:ilvl="2">
      <w:start w:val="1"/>
      <w:numFmt w:val="decimal"/>
      <w:lvlText w:val="%1.%2.%3"/>
      <w:lvlJc w:val="left"/>
      <w:pPr>
        <w:tabs>
          <w:tab w:val="num" w:pos="1230"/>
        </w:tabs>
        <w:ind w:left="1230" w:hanging="108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740"/>
        </w:tabs>
        <w:ind w:left="1740" w:hanging="1440"/>
      </w:pPr>
      <w:rPr>
        <w:rFonts w:hint="default"/>
      </w:rPr>
    </w:lvl>
    <w:lvl w:ilvl="5">
      <w:start w:val="1"/>
      <w:numFmt w:val="decimal"/>
      <w:lvlText w:val="%1.%2.%3.%4.%5.%6"/>
      <w:lvlJc w:val="left"/>
      <w:pPr>
        <w:tabs>
          <w:tab w:val="num" w:pos="2175"/>
        </w:tabs>
        <w:ind w:left="2175" w:hanging="1800"/>
      </w:pPr>
      <w:rPr>
        <w:rFonts w:hint="default"/>
      </w:rPr>
    </w:lvl>
    <w:lvl w:ilvl="6">
      <w:start w:val="1"/>
      <w:numFmt w:val="decimal"/>
      <w:lvlText w:val="%1.%2.%3.%4.%5.%6.%7"/>
      <w:lvlJc w:val="left"/>
      <w:pPr>
        <w:tabs>
          <w:tab w:val="num" w:pos="2610"/>
        </w:tabs>
        <w:ind w:left="2610" w:hanging="2160"/>
      </w:pPr>
      <w:rPr>
        <w:rFonts w:hint="default"/>
      </w:rPr>
    </w:lvl>
    <w:lvl w:ilvl="7">
      <w:start w:val="1"/>
      <w:numFmt w:val="decimal"/>
      <w:lvlText w:val="%1.%2.%3.%4.%5.%6.%7.%8"/>
      <w:lvlJc w:val="left"/>
      <w:pPr>
        <w:tabs>
          <w:tab w:val="num" w:pos="2685"/>
        </w:tabs>
        <w:ind w:left="2685" w:hanging="2160"/>
      </w:pPr>
      <w:rPr>
        <w:rFonts w:hint="default"/>
      </w:rPr>
    </w:lvl>
    <w:lvl w:ilvl="8">
      <w:start w:val="1"/>
      <w:numFmt w:val="decimal"/>
      <w:lvlText w:val="%1.%2.%3.%4.%5.%6.%7.%8.%9"/>
      <w:lvlJc w:val="left"/>
      <w:pPr>
        <w:tabs>
          <w:tab w:val="num" w:pos="3120"/>
        </w:tabs>
        <w:ind w:left="3120" w:hanging="2520"/>
      </w:pPr>
      <w:rPr>
        <w:rFonts w:hint="default"/>
      </w:rPr>
    </w:lvl>
  </w:abstractNum>
  <w:abstractNum w:abstractNumId="193">
    <w:nsid w:val="710D57A9"/>
    <w:multiLevelType w:val="multilevel"/>
    <w:tmpl w:val="74B4C2A6"/>
    <w:lvl w:ilvl="0">
      <w:start w:val="12"/>
      <w:numFmt w:val="decimal"/>
      <w:lvlText w:val="%1."/>
      <w:lvlJc w:val="left"/>
      <w:pPr>
        <w:tabs>
          <w:tab w:val="num" w:pos="600"/>
        </w:tabs>
        <w:ind w:left="600" w:hanging="600"/>
      </w:pPr>
      <w:rPr>
        <w:rFonts w:hint="default"/>
      </w:rPr>
    </w:lvl>
    <w:lvl w:ilvl="1">
      <w:start w:val="4"/>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4">
    <w:nsid w:val="711628AC"/>
    <w:multiLevelType w:val="hybridMultilevel"/>
    <w:tmpl w:val="FD7646C4"/>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95">
    <w:nsid w:val="713B2589"/>
    <w:multiLevelType w:val="multilevel"/>
    <w:tmpl w:val="6E4607D2"/>
    <w:lvl w:ilvl="0">
      <w:start w:val="1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6">
    <w:nsid w:val="71D25B99"/>
    <w:multiLevelType w:val="multilevel"/>
    <w:tmpl w:val="9384A8D8"/>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7">
    <w:nsid w:val="72A91DAE"/>
    <w:multiLevelType w:val="hybridMultilevel"/>
    <w:tmpl w:val="B01EDC60"/>
    <w:lvl w:ilvl="0">
      <w:start w:val="1"/>
      <w:numFmt w:val="bullet"/>
      <w:lvlText w:val=""/>
      <w:lvlJc w:val="left"/>
      <w:pPr>
        <w:tabs>
          <w:tab w:val="num" w:pos="864"/>
        </w:tabs>
        <w:ind w:left="864" w:hanging="360"/>
      </w:pPr>
      <w:rPr>
        <w:rFonts w:ascii="Symbol" w:hAnsi="Symbol" w:hint="default"/>
      </w:rPr>
    </w:lvl>
    <w:lvl w:ilvl="1" w:tentative="1">
      <w:start w:val="1"/>
      <w:numFmt w:val="bullet"/>
      <w:lvlText w:val="o"/>
      <w:lvlJc w:val="left"/>
      <w:pPr>
        <w:tabs>
          <w:tab w:val="num" w:pos="1584"/>
        </w:tabs>
        <w:ind w:left="1584" w:hanging="360"/>
      </w:pPr>
      <w:rPr>
        <w:rFonts w:ascii="Courier New" w:hAnsi="Courier New" w:hint="default"/>
      </w:rPr>
    </w:lvl>
    <w:lvl w:ilvl="2" w:tentative="1">
      <w:start w:val="1"/>
      <w:numFmt w:val="bullet"/>
      <w:lvlText w:val=""/>
      <w:lvlJc w:val="left"/>
      <w:pPr>
        <w:tabs>
          <w:tab w:val="num" w:pos="2304"/>
        </w:tabs>
        <w:ind w:left="2304" w:hanging="360"/>
      </w:pPr>
      <w:rPr>
        <w:rFonts w:ascii="Wingdings" w:hAnsi="Wingdings" w:hint="default"/>
      </w:rPr>
    </w:lvl>
    <w:lvl w:ilvl="3" w:tentative="1">
      <w:start w:val="1"/>
      <w:numFmt w:val="bullet"/>
      <w:lvlText w:val=""/>
      <w:lvlJc w:val="left"/>
      <w:pPr>
        <w:tabs>
          <w:tab w:val="num" w:pos="3024"/>
        </w:tabs>
        <w:ind w:left="3024" w:hanging="360"/>
      </w:pPr>
      <w:rPr>
        <w:rFonts w:ascii="Symbol" w:hAnsi="Symbol" w:hint="default"/>
      </w:rPr>
    </w:lvl>
    <w:lvl w:ilvl="4" w:tentative="1">
      <w:start w:val="1"/>
      <w:numFmt w:val="bullet"/>
      <w:lvlText w:val="o"/>
      <w:lvlJc w:val="left"/>
      <w:pPr>
        <w:tabs>
          <w:tab w:val="num" w:pos="3744"/>
        </w:tabs>
        <w:ind w:left="3744" w:hanging="360"/>
      </w:pPr>
      <w:rPr>
        <w:rFonts w:ascii="Courier New" w:hAnsi="Courier New" w:hint="default"/>
      </w:rPr>
    </w:lvl>
    <w:lvl w:ilvl="5" w:tentative="1">
      <w:start w:val="1"/>
      <w:numFmt w:val="bullet"/>
      <w:lvlText w:val=""/>
      <w:lvlJc w:val="left"/>
      <w:pPr>
        <w:tabs>
          <w:tab w:val="num" w:pos="4464"/>
        </w:tabs>
        <w:ind w:left="4464" w:hanging="360"/>
      </w:pPr>
      <w:rPr>
        <w:rFonts w:ascii="Wingdings" w:hAnsi="Wingdings" w:hint="default"/>
      </w:rPr>
    </w:lvl>
    <w:lvl w:ilvl="6" w:tentative="1">
      <w:start w:val="1"/>
      <w:numFmt w:val="bullet"/>
      <w:lvlText w:val=""/>
      <w:lvlJc w:val="left"/>
      <w:pPr>
        <w:tabs>
          <w:tab w:val="num" w:pos="5184"/>
        </w:tabs>
        <w:ind w:left="5184" w:hanging="360"/>
      </w:pPr>
      <w:rPr>
        <w:rFonts w:ascii="Symbol" w:hAnsi="Symbol" w:hint="default"/>
      </w:rPr>
    </w:lvl>
    <w:lvl w:ilvl="7" w:tentative="1">
      <w:start w:val="1"/>
      <w:numFmt w:val="bullet"/>
      <w:lvlText w:val="o"/>
      <w:lvlJc w:val="left"/>
      <w:pPr>
        <w:tabs>
          <w:tab w:val="num" w:pos="5904"/>
        </w:tabs>
        <w:ind w:left="5904" w:hanging="360"/>
      </w:pPr>
      <w:rPr>
        <w:rFonts w:ascii="Courier New" w:hAnsi="Courier New" w:hint="default"/>
      </w:rPr>
    </w:lvl>
    <w:lvl w:ilvl="8" w:tentative="1">
      <w:start w:val="1"/>
      <w:numFmt w:val="bullet"/>
      <w:lvlText w:val=""/>
      <w:lvlJc w:val="left"/>
      <w:pPr>
        <w:tabs>
          <w:tab w:val="num" w:pos="6624"/>
        </w:tabs>
        <w:ind w:left="6624" w:hanging="360"/>
      </w:pPr>
      <w:rPr>
        <w:rFonts w:ascii="Wingdings" w:hAnsi="Wingdings" w:hint="default"/>
      </w:rPr>
    </w:lvl>
  </w:abstractNum>
  <w:abstractNum w:abstractNumId="198">
    <w:nsid w:val="72C3765D"/>
    <w:multiLevelType w:val="multilevel"/>
    <w:tmpl w:val="61FC725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nsid w:val="7412362F"/>
    <w:multiLevelType w:val="multilevel"/>
    <w:tmpl w:val="B17C74C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00">
    <w:nsid w:val="75576E60"/>
    <w:multiLevelType w:val="multilevel"/>
    <w:tmpl w:val="5E80BF86"/>
    <w:lvl w:ilvl="0">
      <w:start w:val="1"/>
      <w:numFmt w:val="decimal"/>
      <w:lvlText w:val="%1.0"/>
      <w:lvlJc w:val="left"/>
      <w:pPr>
        <w:tabs>
          <w:tab w:val="num" w:pos="645"/>
        </w:tabs>
        <w:ind w:left="645" w:hanging="645"/>
      </w:pPr>
      <w:rPr>
        <w:rFonts w:hint="default"/>
      </w:rPr>
    </w:lvl>
    <w:lvl w:ilvl="1">
      <w:start w:val="1"/>
      <w:numFmt w:val="decimal"/>
      <w:lvlText w:val="%1.%2"/>
      <w:lvlJc w:val="left"/>
      <w:pPr>
        <w:tabs>
          <w:tab w:val="num" w:pos="1365"/>
        </w:tabs>
        <w:ind w:left="1365" w:hanging="64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01">
    <w:nsid w:val="75800211"/>
    <w:multiLevelType w:val="hybridMultilevel"/>
    <w:tmpl w:val="1F964460"/>
    <w:lvl w:ilvl="0">
      <w:start w:val="1"/>
      <w:numFmt w:val="lowerLetter"/>
      <w:lvlText w:val="%1)"/>
      <w:lvlJc w:val="left"/>
      <w:pPr>
        <w:tabs>
          <w:tab w:val="num" w:pos="1080"/>
        </w:tabs>
        <w:ind w:left="1080" w:hanging="720"/>
      </w:pPr>
      <w:rPr>
        <w:rFonts w:hint="default"/>
      </w:rPr>
    </w:lvl>
    <w:lvl w:ilvl="1">
      <w:start w:val="2"/>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2">
    <w:nsid w:val="76543984"/>
    <w:multiLevelType w:val="multilevel"/>
    <w:tmpl w:val="78F017A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3">
    <w:nsid w:val="767407FF"/>
    <w:multiLevelType w:val="hybridMultilevel"/>
    <w:tmpl w:val="EF6C9B58"/>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4">
    <w:nsid w:val="777059B1"/>
    <w:multiLevelType w:val="hybridMultilevel"/>
    <w:tmpl w:val="EA10F284"/>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5">
    <w:nsid w:val="779A11B6"/>
    <w:multiLevelType w:val="multilevel"/>
    <w:tmpl w:val="5AB685BC"/>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6">
    <w:nsid w:val="77D92336"/>
    <w:multiLevelType w:val="hybridMultilevel"/>
    <w:tmpl w:val="3272D0AC"/>
    <w:lvl w:ilvl="0">
      <w:start w:val="1"/>
      <w:numFmt w:val="lowerRoman"/>
      <w:lvlText w:val="%1)"/>
      <w:lvlJc w:val="left"/>
      <w:pPr>
        <w:tabs>
          <w:tab w:val="num" w:pos="1440"/>
        </w:tabs>
        <w:ind w:left="1440" w:hanging="720"/>
      </w:pPr>
      <w:rPr>
        <w:rFonts w:hint="default"/>
      </w:rPr>
    </w:lvl>
    <w:lvl w:ilvl="1">
      <w:start w:val="1"/>
      <w:numFmt w:val="decimal"/>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07">
    <w:nsid w:val="77FF4004"/>
    <w:multiLevelType w:val="multilevel"/>
    <w:tmpl w:val="10BC46D4"/>
    <w:lvl w:ilvl="0">
      <w:start w:val="13"/>
      <w:numFmt w:val="decimal"/>
      <w:lvlText w:val="%1"/>
      <w:lvlJc w:val="left"/>
      <w:pPr>
        <w:tabs>
          <w:tab w:val="num" w:pos="525"/>
        </w:tabs>
        <w:ind w:left="525" w:hanging="52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208">
    <w:nsid w:val="78EE22ED"/>
    <w:multiLevelType w:val="hybridMultilevel"/>
    <w:tmpl w:val="3A183BD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9">
    <w:nsid w:val="79162309"/>
    <w:multiLevelType w:val="multilevel"/>
    <w:tmpl w:val="7840B184"/>
    <w:lvl w:ilvl="0">
      <w:start w:val="4"/>
      <w:numFmt w:val="decimal"/>
      <w:lvlText w:val="%1."/>
      <w:lvlJc w:val="left"/>
      <w:pPr>
        <w:tabs>
          <w:tab w:val="num" w:pos="570"/>
        </w:tabs>
        <w:ind w:left="570" w:hanging="57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0">
    <w:nsid w:val="79504510"/>
    <w:multiLevelType w:val="multilevel"/>
    <w:tmpl w:val="F4CE4B66"/>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760"/>
        </w:tabs>
        <w:ind w:left="5760" w:hanging="144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720"/>
        </w:tabs>
        <w:ind w:left="9720" w:hanging="2160"/>
      </w:pPr>
      <w:rPr>
        <w:rFonts w:hint="default"/>
      </w:rPr>
    </w:lvl>
    <w:lvl w:ilvl="8">
      <w:start w:val="1"/>
      <w:numFmt w:val="decimal"/>
      <w:lvlText w:val="%1.%2.%3.%4.%5.%6.%7.%8.%9"/>
      <w:lvlJc w:val="left"/>
      <w:pPr>
        <w:tabs>
          <w:tab w:val="num" w:pos="10800"/>
        </w:tabs>
        <w:ind w:left="10800" w:hanging="2160"/>
      </w:pPr>
      <w:rPr>
        <w:rFonts w:hint="default"/>
      </w:rPr>
    </w:lvl>
  </w:abstractNum>
  <w:abstractNum w:abstractNumId="211">
    <w:nsid w:val="7B7F16CA"/>
    <w:multiLevelType w:val="hybridMultilevel"/>
    <w:tmpl w:val="F980353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2">
    <w:nsid w:val="7B9B2C0C"/>
    <w:multiLevelType w:val="hybridMultilevel"/>
    <w:tmpl w:val="024EE6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3">
    <w:nsid w:val="7BD7433E"/>
    <w:multiLevelType w:val="hybridMultilevel"/>
    <w:tmpl w:val="A0127088"/>
    <w:lvl w:ilvl="0">
      <w:start w:val="13"/>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4">
    <w:nsid w:val="7BF70920"/>
    <w:multiLevelType w:val="hybridMultilevel"/>
    <w:tmpl w:val="F2E85274"/>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5">
    <w:nsid w:val="7D0B653F"/>
    <w:multiLevelType w:val="hybridMultilevel"/>
    <w:tmpl w:val="EDF44C7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6">
    <w:nsid w:val="7E7649C5"/>
    <w:multiLevelType w:val="multilevel"/>
    <w:tmpl w:val="8FAAF5F2"/>
    <w:lvl w:ilvl="0">
      <w:start w:val="10"/>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7">
    <w:nsid w:val="7F6E65AD"/>
    <w:multiLevelType w:val="multilevel"/>
    <w:tmpl w:val="C2802180"/>
    <w:lvl w:ilvl="0">
      <w:start w:val="7"/>
      <w:numFmt w:val="decimal"/>
      <w:lvlText w:val="%1"/>
      <w:lvlJc w:val="left"/>
      <w:pPr>
        <w:tabs>
          <w:tab w:val="num" w:pos="525"/>
        </w:tabs>
        <w:ind w:left="525" w:hanging="52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18">
    <w:nsid w:val="7F860DA3"/>
    <w:multiLevelType w:val="multilevel"/>
    <w:tmpl w:val="D58860FC"/>
    <w:lvl w:ilvl="0">
      <w:start w:val="13"/>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1"/>
  </w:num>
  <w:num w:numId="2">
    <w:abstractNumId w:val="200"/>
  </w:num>
  <w:num w:numId="3">
    <w:abstractNumId w:val="50"/>
  </w:num>
  <w:num w:numId="4">
    <w:abstractNumId w:val="60"/>
  </w:num>
  <w:num w:numId="5">
    <w:abstractNumId w:val="179"/>
  </w:num>
  <w:num w:numId="6">
    <w:abstractNumId w:val="158"/>
  </w:num>
  <w:num w:numId="7">
    <w:abstractNumId w:val="25"/>
  </w:num>
  <w:num w:numId="8">
    <w:abstractNumId w:val="78"/>
  </w:num>
  <w:num w:numId="9">
    <w:abstractNumId w:val="139"/>
  </w:num>
  <w:num w:numId="10">
    <w:abstractNumId w:val="24"/>
  </w:num>
  <w:num w:numId="11">
    <w:abstractNumId w:val="183"/>
  </w:num>
  <w:num w:numId="12">
    <w:abstractNumId w:val="10"/>
  </w:num>
  <w:num w:numId="13">
    <w:abstractNumId w:val="152"/>
  </w:num>
  <w:num w:numId="14">
    <w:abstractNumId w:val="43"/>
  </w:num>
  <w:num w:numId="15">
    <w:abstractNumId w:val="27"/>
  </w:num>
  <w:num w:numId="16">
    <w:abstractNumId w:val="71"/>
  </w:num>
  <w:num w:numId="17">
    <w:abstractNumId w:val="12"/>
  </w:num>
  <w:num w:numId="18">
    <w:abstractNumId w:val="105"/>
  </w:num>
  <w:num w:numId="19">
    <w:abstractNumId w:val="63"/>
  </w:num>
  <w:num w:numId="20">
    <w:abstractNumId w:val="68"/>
  </w:num>
  <w:num w:numId="21">
    <w:abstractNumId w:val="186"/>
  </w:num>
  <w:num w:numId="22">
    <w:abstractNumId w:val="44"/>
  </w:num>
  <w:num w:numId="23">
    <w:abstractNumId w:val="115"/>
  </w:num>
  <w:num w:numId="24">
    <w:abstractNumId w:val="66"/>
  </w:num>
  <w:num w:numId="25">
    <w:abstractNumId w:val="94"/>
  </w:num>
  <w:num w:numId="26">
    <w:abstractNumId w:val="170"/>
  </w:num>
  <w:num w:numId="27">
    <w:abstractNumId w:val="191"/>
  </w:num>
  <w:num w:numId="28">
    <w:abstractNumId w:val="17"/>
  </w:num>
  <w:num w:numId="29">
    <w:abstractNumId w:val="29"/>
  </w:num>
  <w:num w:numId="30">
    <w:abstractNumId w:val="208"/>
  </w:num>
  <w:num w:numId="31">
    <w:abstractNumId w:val="92"/>
  </w:num>
  <w:num w:numId="32">
    <w:abstractNumId w:val="135"/>
  </w:num>
  <w:num w:numId="33">
    <w:abstractNumId w:val="11"/>
  </w:num>
  <w:num w:numId="34">
    <w:abstractNumId w:val="40"/>
  </w:num>
  <w:num w:numId="35">
    <w:abstractNumId w:val="30"/>
  </w:num>
  <w:num w:numId="36">
    <w:abstractNumId w:val="131"/>
  </w:num>
  <w:num w:numId="37">
    <w:abstractNumId w:val="187"/>
  </w:num>
  <w:num w:numId="38">
    <w:abstractNumId w:val="153"/>
  </w:num>
  <w:num w:numId="39">
    <w:abstractNumId w:val="75"/>
  </w:num>
  <w:num w:numId="40">
    <w:abstractNumId w:val="166"/>
  </w:num>
  <w:num w:numId="41">
    <w:abstractNumId w:val="22"/>
  </w:num>
  <w:num w:numId="42">
    <w:abstractNumId w:val="80"/>
  </w:num>
  <w:num w:numId="43">
    <w:abstractNumId w:val="196"/>
  </w:num>
  <w:num w:numId="44">
    <w:abstractNumId w:val="209"/>
  </w:num>
  <w:num w:numId="45">
    <w:abstractNumId w:val="168"/>
  </w:num>
  <w:num w:numId="46">
    <w:abstractNumId w:val="106"/>
  </w:num>
  <w:num w:numId="47">
    <w:abstractNumId w:val="52"/>
  </w:num>
  <w:num w:numId="48">
    <w:abstractNumId w:val="2"/>
  </w:num>
  <w:num w:numId="49">
    <w:abstractNumId w:val="1"/>
  </w:num>
  <w:num w:numId="50">
    <w:abstractNumId w:val="0"/>
  </w:num>
  <w:num w:numId="51">
    <w:abstractNumId w:val="114"/>
  </w:num>
  <w:num w:numId="52">
    <w:abstractNumId w:val="81"/>
  </w:num>
  <w:num w:numId="53">
    <w:abstractNumId w:val="38"/>
  </w:num>
  <w:num w:numId="54">
    <w:abstractNumId w:val="216"/>
  </w:num>
  <w:num w:numId="55">
    <w:abstractNumId w:val="14"/>
  </w:num>
  <w:num w:numId="56">
    <w:abstractNumId w:val="189"/>
  </w:num>
  <w:num w:numId="57">
    <w:abstractNumId w:val="56"/>
  </w:num>
  <w:num w:numId="58">
    <w:abstractNumId w:val="144"/>
  </w:num>
  <w:num w:numId="59">
    <w:abstractNumId w:val="76"/>
  </w:num>
  <w:num w:numId="60">
    <w:abstractNumId w:val="130"/>
  </w:num>
  <w:num w:numId="61">
    <w:abstractNumId w:val="136"/>
  </w:num>
  <w:num w:numId="62">
    <w:abstractNumId w:val="23"/>
  </w:num>
  <w:num w:numId="63">
    <w:abstractNumId w:val="79"/>
  </w:num>
  <w:num w:numId="64">
    <w:abstractNumId w:val="95"/>
  </w:num>
  <w:num w:numId="65">
    <w:abstractNumId w:val="138"/>
  </w:num>
  <w:num w:numId="66">
    <w:abstractNumId w:val="28"/>
  </w:num>
  <w:num w:numId="67">
    <w:abstractNumId w:val="134"/>
  </w:num>
  <w:num w:numId="68">
    <w:abstractNumId w:val="49"/>
  </w:num>
  <w:num w:numId="69">
    <w:abstractNumId w:val="215"/>
  </w:num>
  <w:num w:numId="70">
    <w:abstractNumId w:val="172"/>
  </w:num>
  <w:num w:numId="71">
    <w:abstractNumId w:val="175"/>
  </w:num>
  <w:num w:numId="72">
    <w:abstractNumId w:val="204"/>
  </w:num>
  <w:num w:numId="73">
    <w:abstractNumId w:val="150"/>
  </w:num>
  <w:num w:numId="74">
    <w:abstractNumId w:val="89"/>
  </w:num>
  <w:num w:numId="75">
    <w:abstractNumId w:val="32"/>
  </w:num>
  <w:num w:numId="76">
    <w:abstractNumId w:val="181"/>
  </w:num>
  <w:num w:numId="77">
    <w:abstractNumId w:val="84"/>
  </w:num>
  <w:num w:numId="78">
    <w:abstractNumId w:val="173"/>
  </w:num>
  <w:num w:numId="79">
    <w:abstractNumId w:val="212"/>
  </w:num>
  <w:num w:numId="80">
    <w:abstractNumId w:val="122"/>
  </w:num>
  <w:num w:numId="81">
    <w:abstractNumId w:val="35"/>
  </w:num>
  <w:num w:numId="82">
    <w:abstractNumId w:val="140"/>
  </w:num>
  <w:num w:numId="83">
    <w:abstractNumId w:val="141"/>
  </w:num>
  <w:num w:numId="84">
    <w:abstractNumId w:val="73"/>
  </w:num>
  <w:num w:numId="85">
    <w:abstractNumId w:val="108"/>
  </w:num>
  <w:num w:numId="86">
    <w:abstractNumId w:val="156"/>
  </w:num>
  <w:num w:numId="87">
    <w:abstractNumId w:val="210"/>
  </w:num>
  <w:num w:numId="88">
    <w:abstractNumId w:val="211"/>
  </w:num>
  <w:num w:numId="89">
    <w:abstractNumId w:val="124"/>
  </w:num>
  <w:num w:numId="90">
    <w:abstractNumId w:val="62"/>
  </w:num>
  <w:num w:numId="91">
    <w:abstractNumId w:val="70"/>
  </w:num>
  <w:num w:numId="92">
    <w:abstractNumId w:val="46"/>
  </w:num>
  <w:num w:numId="93">
    <w:abstractNumId w:val="133"/>
  </w:num>
  <w:num w:numId="94">
    <w:abstractNumId w:val="96"/>
  </w:num>
  <w:num w:numId="95">
    <w:abstractNumId w:val="119"/>
  </w:num>
  <w:num w:numId="96">
    <w:abstractNumId w:val="19"/>
  </w:num>
  <w:num w:numId="97">
    <w:abstractNumId w:val="54"/>
  </w:num>
  <w:num w:numId="98">
    <w:abstractNumId w:val="112"/>
  </w:num>
  <w:num w:numId="99">
    <w:abstractNumId w:val="9"/>
  </w:num>
  <w:num w:numId="100">
    <w:abstractNumId w:val="8"/>
  </w:num>
  <w:num w:numId="101">
    <w:abstractNumId w:val="123"/>
  </w:num>
  <w:num w:numId="102">
    <w:abstractNumId w:val="164"/>
  </w:num>
  <w:num w:numId="103">
    <w:abstractNumId w:val="109"/>
  </w:num>
  <w:num w:numId="104">
    <w:abstractNumId w:val="5"/>
  </w:num>
  <w:num w:numId="105">
    <w:abstractNumId w:val="129"/>
  </w:num>
  <w:num w:numId="106">
    <w:abstractNumId w:val="188"/>
  </w:num>
  <w:num w:numId="107">
    <w:abstractNumId w:val="162"/>
  </w:num>
  <w:num w:numId="108">
    <w:abstractNumId w:val="107"/>
  </w:num>
  <w:num w:numId="109">
    <w:abstractNumId w:val="74"/>
  </w:num>
  <w:num w:numId="110">
    <w:abstractNumId w:val="147"/>
  </w:num>
  <w:num w:numId="111">
    <w:abstractNumId w:val="201"/>
  </w:num>
  <w:num w:numId="112">
    <w:abstractNumId w:val="53"/>
  </w:num>
  <w:num w:numId="113">
    <w:abstractNumId w:val="36"/>
  </w:num>
  <w:num w:numId="114">
    <w:abstractNumId w:val="193"/>
  </w:num>
  <w:num w:numId="115">
    <w:abstractNumId w:val="203"/>
  </w:num>
  <w:num w:numId="116">
    <w:abstractNumId w:val="143"/>
  </w:num>
  <w:num w:numId="117">
    <w:abstractNumId w:val="214"/>
  </w:num>
  <w:num w:numId="118">
    <w:abstractNumId w:val="125"/>
  </w:num>
  <w:num w:numId="119">
    <w:abstractNumId w:val="85"/>
  </w:num>
  <w:num w:numId="120">
    <w:abstractNumId w:val="48"/>
  </w:num>
  <w:num w:numId="121">
    <w:abstractNumId w:val="120"/>
  </w:num>
  <w:num w:numId="122">
    <w:abstractNumId w:val="190"/>
  </w:num>
  <w:num w:numId="123">
    <w:abstractNumId w:val="93"/>
  </w:num>
  <w:num w:numId="124">
    <w:abstractNumId w:val="149"/>
  </w:num>
  <w:num w:numId="125">
    <w:abstractNumId w:val="213"/>
  </w:num>
  <w:num w:numId="126">
    <w:abstractNumId w:val="58"/>
  </w:num>
  <w:num w:numId="127">
    <w:abstractNumId w:val="132"/>
  </w:num>
  <w:num w:numId="128">
    <w:abstractNumId w:val="88"/>
  </w:num>
  <w:num w:numId="129">
    <w:abstractNumId w:val="77"/>
  </w:num>
  <w:num w:numId="130">
    <w:abstractNumId w:val="205"/>
  </w:num>
  <w:num w:numId="131">
    <w:abstractNumId w:val="33"/>
  </w:num>
  <w:num w:numId="132">
    <w:abstractNumId w:val="100"/>
  </w:num>
  <w:num w:numId="133">
    <w:abstractNumId w:val="82"/>
  </w:num>
  <w:num w:numId="134">
    <w:abstractNumId w:val="148"/>
  </w:num>
  <w:num w:numId="135">
    <w:abstractNumId w:val="59"/>
  </w:num>
  <w:num w:numId="136">
    <w:abstractNumId w:val="169"/>
  </w:num>
  <w:num w:numId="137">
    <w:abstractNumId w:val="18"/>
  </w:num>
  <w:num w:numId="138">
    <w:abstractNumId w:val="31"/>
  </w:num>
  <w:num w:numId="139">
    <w:abstractNumId w:val="198"/>
  </w:num>
  <w:num w:numId="140">
    <w:abstractNumId w:val="39"/>
  </w:num>
  <w:num w:numId="141">
    <w:abstractNumId w:val="7"/>
  </w:num>
  <w:num w:numId="142">
    <w:abstractNumId w:val="97"/>
  </w:num>
  <w:num w:numId="143">
    <w:abstractNumId w:val="102"/>
  </w:num>
  <w:num w:numId="144">
    <w:abstractNumId w:val="195"/>
  </w:num>
  <w:num w:numId="145">
    <w:abstractNumId w:val="98"/>
  </w:num>
  <w:num w:numId="146">
    <w:abstractNumId w:val="111"/>
  </w:num>
  <w:num w:numId="147">
    <w:abstractNumId w:val="126"/>
  </w:num>
  <w:num w:numId="148">
    <w:abstractNumId w:val="69"/>
  </w:num>
  <w:num w:numId="149">
    <w:abstractNumId w:val="167"/>
  </w:num>
  <w:num w:numId="150">
    <w:abstractNumId w:val="137"/>
  </w:num>
  <w:num w:numId="151">
    <w:abstractNumId w:val="206"/>
  </w:num>
  <w:num w:numId="152">
    <w:abstractNumId w:val="87"/>
  </w:num>
  <w:num w:numId="153">
    <w:abstractNumId w:val="142"/>
  </w:num>
  <w:num w:numId="154">
    <w:abstractNumId w:val="155"/>
  </w:num>
  <w:num w:numId="155">
    <w:abstractNumId w:val="174"/>
  </w:num>
  <w:num w:numId="156">
    <w:abstractNumId w:val="13"/>
  </w:num>
  <w:num w:numId="157">
    <w:abstractNumId w:val="207"/>
  </w:num>
  <w:num w:numId="158">
    <w:abstractNumId w:val="218"/>
  </w:num>
  <w:num w:numId="159">
    <w:abstractNumId w:val="20"/>
  </w:num>
  <w:num w:numId="160">
    <w:abstractNumId w:val="202"/>
  </w:num>
  <w:num w:numId="161">
    <w:abstractNumId w:val="91"/>
  </w:num>
  <w:num w:numId="162">
    <w:abstractNumId w:val="83"/>
  </w:num>
  <w:num w:numId="163">
    <w:abstractNumId w:val="110"/>
  </w:num>
  <w:num w:numId="164">
    <w:abstractNumId w:val="15"/>
  </w:num>
  <w:num w:numId="165">
    <w:abstractNumId w:val="104"/>
  </w:num>
  <w:num w:numId="166">
    <w:abstractNumId w:val="146"/>
  </w:num>
  <w:num w:numId="167">
    <w:abstractNumId w:val="185"/>
  </w:num>
  <w:num w:numId="168">
    <w:abstractNumId w:val="65"/>
  </w:num>
  <w:num w:numId="169">
    <w:abstractNumId w:val="145"/>
  </w:num>
  <w:num w:numId="170">
    <w:abstractNumId w:val="178"/>
  </w:num>
  <w:num w:numId="171">
    <w:abstractNumId w:val="121"/>
  </w:num>
  <w:num w:numId="172">
    <w:abstractNumId w:val="118"/>
  </w:num>
  <w:num w:numId="173">
    <w:abstractNumId w:val="161"/>
  </w:num>
  <w:num w:numId="174">
    <w:abstractNumId w:val="127"/>
  </w:num>
  <w:num w:numId="175">
    <w:abstractNumId w:val="64"/>
  </w:num>
  <w:num w:numId="176">
    <w:abstractNumId w:val="41"/>
  </w:num>
  <w:num w:numId="177">
    <w:abstractNumId w:val="128"/>
  </w:num>
  <w:num w:numId="178">
    <w:abstractNumId w:val="199"/>
  </w:num>
  <w:num w:numId="179">
    <w:abstractNumId w:val="55"/>
  </w:num>
  <w:num w:numId="180">
    <w:abstractNumId w:val="90"/>
  </w:num>
  <w:num w:numId="181">
    <w:abstractNumId w:val="117"/>
  </w:num>
  <w:num w:numId="182">
    <w:abstractNumId w:val="45"/>
  </w:num>
  <w:num w:numId="183">
    <w:abstractNumId w:val="101"/>
  </w:num>
  <w:num w:numId="184">
    <w:abstractNumId w:val="177"/>
  </w:num>
  <w:num w:numId="185">
    <w:abstractNumId w:val="160"/>
  </w:num>
  <w:num w:numId="186">
    <w:abstractNumId w:val="57"/>
  </w:num>
  <w:num w:numId="187">
    <w:abstractNumId w:val="182"/>
  </w:num>
  <w:num w:numId="188">
    <w:abstractNumId w:val="86"/>
  </w:num>
  <w:num w:numId="189">
    <w:abstractNumId w:val="116"/>
  </w:num>
  <w:num w:numId="190">
    <w:abstractNumId w:val="42"/>
  </w:num>
  <w:num w:numId="191">
    <w:abstractNumId w:val="16"/>
  </w:num>
  <w:num w:numId="192">
    <w:abstractNumId w:val="192"/>
  </w:num>
  <w:num w:numId="193">
    <w:abstractNumId w:val="51"/>
  </w:num>
  <w:num w:numId="194">
    <w:abstractNumId w:val="4"/>
  </w:num>
  <w:num w:numId="195">
    <w:abstractNumId w:val="197"/>
  </w:num>
  <w:num w:numId="196">
    <w:abstractNumId w:val="154"/>
  </w:num>
  <w:num w:numId="197">
    <w:abstractNumId w:val="217"/>
  </w:num>
  <w:num w:numId="198">
    <w:abstractNumId w:val="165"/>
  </w:num>
  <w:num w:numId="199">
    <w:abstractNumId w:val="6"/>
  </w:num>
  <w:num w:numId="200">
    <w:abstractNumId w:val="176"/>
  </w:num>
  <w:num w:numId="201">
    <w:abstractNumId w:val="184"/>
  </w:num>
  <w:num w:numId="202">
    <w:abstractNumId w:val="37"/>
  </w:num>
  <w:num w:numId="203">
    <w:abstractNumId w:val="103"/>
  </w:num>
  <w:num w:numId="204">
    <w:abstractNumId w:val="67"/>
  </w:num>
  <w:num w:numId="205">
    <w:abstractNumId w:val="113"/>
  </w:num>
  <w:num w:numId="206">
    <w:abstractNumId w:val="159"/>
  </w:num>
  <w:num w:numId="207">
    <w:abstractNumId w:val="26"/>
  </w:num>
  <w:num w:numId="208">
    <w:abstractNumId w:val="194"/>
  </w:num>
  <w:num w:numId="209">
    <w:abstractNumId w:val="34"/>
  </w:num>
  <w:num w:numId="210">
    <w:abstractNumId w:val="99"/>
  </w:num>
  <w:num w:numId="211">
    <w:abstractNumId w:val="61"/>
  </w:num>
  <w:num w:numId="212">
    <w:abstractNumId w:val="72"/>
  </w:num>
  <w:num w:numId="213">
    <w:abstractNumId w:val="180"/>
  </w:num>
  <w:num w:numId="214">
    <w:abstractNumId w:val="171"/>
  </w:num>
  <w:num w:numId="215">
    <w:abstractNumId w:val="151"/>
  </w:num>
  <w:num w:numId="216">
    <w:abstractNumId w:val="157"/>
  </w:num>
  <w:num w:numId="217">
    <w:abstractNumId w:val="3"/>
  </w:num>
  <w:num w:numId="218">
    <w:abstractNumId w:val="47"/>
  </w:num>
  <w:num w:numId="219">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u-RU" w:eastAsia="ru-RU"/>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ind w:left="284"/>
      <w:jc w:val="both"/>
      <w:outlineLvl w:val="1"/>
    </w:pPr>
    <w:rPr>
      <w:sz w:val="28"/>
      <w:u w:val="single"/>
    </w:rPr>
  </w:style>
  <w:style w:type="paragraph" w:styleId="Heading3">
    <w:name w:val="heading 3"/>
    <w:basedOn w:val="Normal"/>
    <w:next w:val="Normal"/>
    <w:qFormat/>
    <w:pPr>
      <w:keepNext/>
      <w:ind w:left="284"/>
      <w:jc w:val="both"/>
      <w:outlineLvl w:val="2"/>
    </w:pPr>
    <w:rPr>
      <w:sz w:val="28"/>
    </w:rPr>
  </w:style>
  <w:style w:type="paragraph" w:styleId="Heading4">
    <w:name w:val="heading 4"/>
    <w:basedOn w:val="Normal"/>
    <w:next w:val="Normal"/>
    <w:qFormat/>
    <w:pPr>
      <w:keepNext/>
      <w:jc w:val="both"/>
      <w:outlineLvl w:val="3"/>
    </w:pPr>
    <w:rPr>
      <w:sz w:val="28"/>
    </w:rPr>
  </w:style>
  <w:style w:type="paragraph" w:styleId="Heading5">
    <w:name w:val="heading 5"/>
    <w:basedOn w:val="Normal"/>
    <w:next w:val="Normal"/>
    <w:qFormat/>
    <w:pPr>
      <w:keepNext/>
      <w:jc w:val="center"/>
      <w:outlineLvl w:val="4"/>
    </w:pPr>
    <w:rPr>
      <w:caps/>
      <w:sz w:val="24"/>
    </w:rPr>
  </w:style>
  <w:style w:type="paragraph" w:styleId="Heading6">
    <w:name w:val="heading 6"/>
    <w:basedOn w:val="Normal"/>
    <w:next w:val="Normal"/>
    <w:qFormat/>
    <w:pPr>
      <w:keepNext/>
      <w:tabs>
        <w:tab w:val="left" w:pos="709"/>
        <w:tab w:val="left" w:pos="1276"/>
        <w:tab w:val="left" w:pos="1559"/>
        <w:tab w:val="left" w:leader="dot" w:pos="9072"/>
      </w:tabs>
      <w:spacing w:line="480" w:lineRule="auto"/>
      <w:jc w:val="both"/>
      <w:outlineLvl w:val="5"/>
    </w:pPr>
    <w:rPr>
      <w:sz w:val="24"/>
    </w:rPr>
  </w:style>
  <w:style w:type="paragraph" w:styleId="Heading7">
    <w:name w:val="heading 7"/>
    <w:basedOn w:val="Normal"/>
    <w:next w:val="Normal"/>
    <w:qFormat/>
    <w:pPr>
      <w:keepNext/>
      <w:tabs>
        <w:tab w:val="left" w:pos="709"/>
        <w:tab w:val="left" w:pos="1276"/>
        <w:tab w:val="left" w:pos="1559"/>
        <w:tab w:val="left" w:pos="2268"/>
        <w:tab w:val="left" w:leader="dot" w:pos="9072"/>
      </w:tabs>
      <w:spacing w:line="480" w:lineRule="auto"/>
      <w:outlineLvl w:val="6"/>
    </w:pPr>
    <w:rPr>
      <w:sz w:val="24"/>
    </w:rPr>
  </w:style>
  <w:style w:type="paragraph" w:styleId="Heading8">
    <w:name w:val="heading 8"/>
    <w:basedOn w:val="Normal"/>
    <w:next w:val="Normal"/>
    <w:qFormat/>
    <w:pPr>
      <w:keepNext/>
      <w:tabs>
        <w:tab w:val="left" w:pos="680"/>
        <w:tab w:val="left" w:pos="1134"/>
      </w:tabs>
      <w:spacing w:after="120"/>
      <w:outlineLvl w:val="7"/>
    </w:pPr>
    <w:rPr>
      <w:b/>
      <w:bCs/>
      <w:sz w:val="28"/>
      <w:szCs w:val="28"/>
    </w:rPr>
  </w:style>
  <w:style w:type="paragraph" w:styleId="Heading9">
    <w:name w:val="heading 9"/>
    <w:basedOn w:val="Normal"/>
    <w:next w:val="Normal"/>
    <w:qFormat/>
    <w:pPr>
      <w:spacing w:before="240" w:after="60"/>
      <w:outlineLvl w:val="8"/>
    </w:pPr>
    <w:rPr>
      <w:rFonts w:ascii="Arial" w:hAnsi="Arial" w:cs="Arial"/>
      <w:sz w:val="22"/>
      <w:szCs w:val="22"/>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8"/>
      <w:u w:val="single"/>
    </w:rPr>
  </w:style>
  <w:style w:type="paragraph" w:styleId="BodyText2">
    <w:name w:val="Body Text 2"/>
    <w:basedOn w:val="Normal"/>
    <w:semiHidden/>
    <w:rPr>
      <w:b/>
      <w:sz w:val="28"/>
    </w:rPr>
  </w:style>
  <w:style w:type="paragraph" w:styleId="BodyText3">
    <w:name w:val="Body Text 3"/>
    <w:basedOn w:val="Normal"/>
    <w:semiHidden/>
    <w:rPr>
      <w:sz w:val="28"/>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BodyTextIndent">
    <w:name w:val="Body Text Indent"/>
    <w:basedOn w:val="Normal"/>
    <w:semiHidden/>
    <w:pPr>
      <w:tabs>
        <w:tab w:val="left" w:pos="709"/>
        <w:tab w:val="left" w:pos="1276"/>
        <w:tab w:val="left" w:pos="1559"/>
        <w:tab w:val="left" w:pos="2268"/>
        <w:tab w:val="left" w:leader="dot" w:pos="9072"/>
      </w:tabs>
      <w:spacing w:line="480" w:lineRule="auto"/>
      <w:ind w:left="2268" w:hanging="2268"/>
    </w:pPr>
    <w:rPr>
      <w:sz w:val="24"/>
    </w:rPr>
  </w:style>
  <w:style w:type="paragraph" w:styleId="BodyTextIndent2">
    <w:name w:val="Body Text Indent 2"/>
    <w:basedOn w:val="Normal"/>
    <w:semiHidden/>
    <w:pPr>
      <w:tabs>
        <w:tab w:val="left" w:pos="709"/>
        <w:tab w:val="left" w:pos="1276"/>
        <w:tab w:val="left" w:pos="1560"/>
        <w:tab w:val="left" w:leader="dot" w:pos="9072"/>
      </w:tabs>
      <w:spacing w:line="480" w:lineRule="auto"/>
      <w:ind w:left="1276" w:hanging="1276"/>
    </w:pPr>
    <w:rPr>
      <w:sz w:val="24"/>
    </w:rPr>
  </w:style>
  <w:style w:type="paragraph" w:styleId="BodyTextIndent3">
    <w:name w:val="Body Text Indent 3"/>
    <w:basedOn w:val="Normal"/>
    <w:semiHidden/>
    <w:pPr>
      <w:spacing w:before="120" w:after="720"/>
      <w:ind w:left="284" w:hanging="284"/>
    </w:pPr>
    <w:rPr>
      <w:b/>
      <w:bCs/>
      <w:sz w:val="24"/>
      <w:szCs w:val="24"/>
    </w:rPr>
  </w:style>
  <w:style w:type="paragraph" w:styleId="IndexHeading">
    <w:name w:val="index heading"/>
    <w:basedOn w:val="Normal"/>
    <w:next w:val="Index1"/>
    <w:semiHidden/>
    <w:rPr>
      <w:sz w:val="24"/>
      <w:szCs w:val="24"/>
      <w:lang w:val="en-GB" w:eastAsia="en-US"/>
    </w:rPr>
  </w:style>
  <w:style w:type="paragraph" w:styleId="Index1">
    <w:name w:val="index 1"/>
    <w:basedOn w:val="Normal"/>
    <w:next w:val="Normal"/>
    <w:autoRedefine/>
    <w:semiHidden/>
    <w:pPr>
      <w:ind w:left="720"/>
    </w:pPr>
    <w:rPr>
      <w:rFonts w:ascii="Tahoma" w:hAnsi="Tahoma" w:cs="Tahoma"/>
      <w:sz w:val="24"/>
      <w:szCs w:val="24"/>
      <w:lang w:val="en-US" w:eastAsia="en-US"/>
    </w:rPr>
  </w:style>
  <w:style w:type="paragraph" w:styleId="List2">
    <w:name w:val="List 2"/>
    <w:basedOn w:val="Normal"/>
    <w:semiHidden/>
    <w:pPr>
      <w:ind w:left="720" w:hanging="360"/>
    </w:pPr>
    <w:rPr>
      <w:sz w:val="24"/>
      <w:szCs w:val="24"/>
      <w:lang w:val="en-GB" w:eastAsia="en-US"/>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4</Pages>
  <Words>24847</Words>
  <Characters>141633</Characters>
  <Application>Microsoft Office Word</Application>
  <DocSecurity>4</DocSecurity>
  <Lines>1180</Lines>
  <Paragraphs>283</Paragraphs>
  <ScaleCrop>false</ScaleCrop>
  <HeadingPairs>
    <vt:vector size="2" baseType="variant">
      <vt:variant>
        <vt:lpstr>Title</vt:lpstr>
      </vt:variant>
      <vt:variant>
        <vt:i4>1</vt:i4>
      </vt:variant>
    </vt:vector>
  </HeadingPairs>
  <TitlesOfParts>
    <vt:vector size="1" baseType="lpstr">
      <vt:lpstr>NAMIBIA</vt:lpstr>
    </vt:vector>
  </TitlesOfParts>
  <Company> </Company>
  <LinksUpToDate>false</LinksUpToDate>
  <CharactersWithSpaces>173935</CharactersWithSpaces>
  <SharedDoc>false</SharedDoc>
  <HLinks>
    <vt:vector size="6" baseType="variant">
      <vt:variant>
        <vt:i4>8257630</vt:i4>
      </vt:variant>
      <vt:variant>
        <vt:i4>1128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NAMIBIA</dc:title>
  <dc:subject/>
  <dc:creator> </dc:creator>
  <cp:keywords/>
  <dc:description/>
  <cp:lastModifiedBy>Tatiana.Panichkina</cp:lastModifiedBy>
  <cp:revision>7</cp:revision>
  <cp:lastPrinted>2006-01-12T07:00:00Z</cp:lastPrinted>
  <dcterms:created xsi:type="dcterms:W3CDTF">2006-01-12T06:52:00Z</dcterms:created>
  <dcterms:modified xsi:type="dcterms:W3CDTF">2006-01-12T10:43:00Z</dcterms:modified>
</cp:coreProperties>
</file>