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1DB8" w:rsidRDefault="003F1DB8" w:rsidP="003F1DB8">
      <w:pPr>
        <w:spacing w:line="60" w:lineRule="exact"/>
        <w:rPr>
          <w:sz w:val="6"/>
        </w:rPr>
        <w:sectPr w:rsidR="003F1DB8" w:rsidSect="003F1DB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F1DB8" w:rsidRDefault="003F1DB8" w:rsidP="003F1DB8">
      <w:pPr>
        <w:spacing w:line="60" w:lineRule="exact"/>
        <w:rPr>
          <w:sz w:val="6"/>
        </w:rPr>
      </w:pPr>
    </w:p>
    <w:p w:rsidR="004907BE" w:rsidRDefault="004907BE" w:rsidP="00490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4907BE" w:rsidRPr="004907BE" w:rsidRDefault="004907BE" w:rsidP="004907BE">
      <w:pPr>
        <w:pStyle w:val="SingleTxt"/>
        <w:spacing w:after="60"/>
        <w:ind w:left="0"/>
        <w:rPr>
          <w:rFonts w:ascii="SimHei" w:eastAsia="SimHei" w:hint="eastAsia"/>
          <w:color w:val="FF0000"/>
        </w:rPr>
      </w:pPr>
      <w:r w:rsidRPr="004907BE">
        <w:rPr>
          <w:rFonts w:ascii="SimHei" w:eastAsia="SimHei" w:hint="eastAsia"/>
          <w:color w:val="FF0000"/>
        </w:rPr>
        <w:t>会前工作组</w:t>
      </w:r>
    </w:p>
    <w:p w:rsidR="004907BE" w:rsidRPr="004907BE" w:rsidRDefault="004907BE" w:rsidP="004907BE">
      <w:pPr>
        <w:pStyle w:val="SingleTxt"/>
        <w:spacing w:after="60"/>
        <w:ind w:left="0"/>
        <w:rPr>
          <w:rFonts w:ascii="SimHei" w:eastAsia="SimHei" w:hint="eastAsia"/>
          <w:color w:val="FF0000"/>
        </w:rPr>
      </w:pPr>
      <w:r w:rsidRPr="004907BE">
        <w:rPr>
          <w:rFonts w:ascii="SimHei" w:eastAsia="SimHei" w:hint="eastAsia"/>
          <w:color w:val="FF0000"/>
        </w:rPr>
        <w:t>第三十九届会议</w:t>
      </w:r>
    </w:p>
    <w:p w:rsidR="004907BE" w:rsidRDefault="004907BE" w:rsidP="004907BE">
      <w:pPr>
        <w:pStyle w:val="SingleTxt"/>
        <w:ind w:left="0"/>
        <w:rPr>
          <w:rFonts w:hint="eastAsia"/>
        </w:rPr>
      </w:pPr>
      <w:r>
        <w:rPr>
          <w:rFonts w:hint="eastAsia"/>
        </w:rPr>
        <w:t>2007年7月23日至8月10日</w:t>
      </w:r>
    </w:p>
    <w:p w:rsidR="004907BE" w:rsidRPr="004907BE" w:rsidRDefault="004907BE" w:rsidP="004907BE">
      <w:pPr>
        <w:pStyle w:val="SingleTxt"/>
        <w:spacing w:after="0" w:line="120" w:lineRule="exact"/>
        <w:rPr>
          <w:rFonts w:hint="eastAsia"/>
          <w:sz w:val="10"/>
        </w:rPr>
      </w:pPr>
    </w:p>
    <w:p w:rsidR="004907BE" w:rsidRPr="004907BE" w:rsidRDefault="004907BE" w:rsidP="004907BE">
      <w:pPr>
        <w:pStyle w:val="SingleTxt"/>
        <w:spacing w:after="0" w:line="120" w:lineRule="exact"/>
        <w:rPr>
          <w:rFonts w:hint="eastAsia"/>
          <w:sz w:val="10"/>
        </w:rPr>
      </w:pPr>
    </w:p>
    <w:p w:rsidR="004907BE" w:rsidRDefault="004907BE" w:rsidP="004907B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与审议定期报告有关的议题和问题清单</w:t>
      </w:r>
    </w:p>
    <w:p w:rsidR="004907BE" w:rsidRPr="004907BE" w:rsidRDefault="004907BE" w:rsidP="00490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4907BE" w:rsidRPr="004907BE" w:rsidRDefault="004907BE" w:rsidP="00490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rFonts w:hint="eastAsia"/>
          <w:sz w:val="10"/>
        </w:rPr>
      </w:pPr>
    </w:p>
    <w:p w:rsidR="004907BE" w:rsidRDefault="004907BE" w:rsidP="004907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爱沙尼亚</w:t>
      </w:r>
    </w:p>
    <w:p w:rsidR="004907BE" w:rsidRPr="004907BE" w:rsidRDefault="004907BE" w:rsidP="004907BE">
      <w:pPr>
        <w:pStyle w:val="SingleTxt"/>
        <w:spacing w:after="0" w:line="120" w:lineRule="exact"/>
        <w:rPr>
          <w:rFonts w:hint="eastAsia"/>
          <w:sz w:val="10"/>
        </w:rPr>
      </w:pPr>
    </w:p>
    <w:p w:rsidR="004907BE" w:rsidRPr="004907BE" w:rsidRDefault="004907BE" w:rsidP="004907BE">
      <w:pPr>
        <w:pStyle w:val="SingleTxt"/>
        <w:spacing w:after="0" w:line="120" w:lineRule="exact"/>
        <w:rPr>
          <w:rFonts w:hint="eastAsia"/>
          <w:sz w:val="10"/>
        </w:rPr>
      </w:pPr>
    </w:p>
    <w:p w:rsidR="004907BE" w:rsidRDefault="004907BE" w:rsidP="004907BE">
      <w:pPr>
        <w:pStyle w:val="SingleTxt"/>
        <w:rPr>
          <w:rFonts w:hint="eastAsia"/>
        </w:rPr>
      </w:pPr>
      <w:r>
        <w:rPr>
          <w:rFonts w:hint="eastAsia"/>
        </w:rPr>
        <w:t>1.</w:t>
      </w:r>
      <w:r>
        <w:rPr>
          <w:rFonts w:hint="eastAsia"/>
        </w:rPr>
        <w:tab/>
        <w:t>会前工作组审议了爱沙尼亚的第四次定期报告</w:t>
      </w:r>
      <w:r w:rsidR="00C0139A">
        <w:rPr>
          <w:rFonts w:hint="eastAsia"/>
        </w:rPr>
        <w:t>（</w:t>
      </w:r>
      <w:r>
        <w:rPr>
          <w:rFonts w:hint="eastAsia"/>
        </w:rPr>
        <w:t>CEDAW/C/EST/4</w:t>
      </w:r>
      <w:r w:rsidR="00C0139A">
        <w:rPr>
          <w:rFonts w:hint="eastAsia"/>
        </w:rPr>
        <w:t>）</w:t>
      </w:r>
      <w:r>
        <w:rPr>
          <w:rFonts w:hint="eastAsia"/>
        </w:rPr>
        <w:t>。</w:t>
      </w:r>
    </w:p>
    <w:p w:rsidR="004907BE" w:rsidRPr="00C0139A" w:rsidRDefault="004907BE" w:rsidP="004907BE">
      <w:pPr>
        <w:pStyle w:val="SingleTxt"/>
        <w:rPr>
          <w:rFonts w:ascii="SimHei" w:eastAsia="SimHei" w:hint="eastAsia"/>
          <w:color w:val="FF0000"/>
        </w:rPr>
      </w:pPr>
      <w:r w:rsidRPr="00C0139A">
        <w:rPr>
          <w:rFonts w:ascii="SimHei" w:eastAsia="SimHei" w:hint="eastAsia"/>
          <w:color w:val="FF0000"/>
        </w:rPr>
        <w:t>宪法、法律和国家机制</w:t>
      </w:r>
    </w:p>
    <w:p w:rsidR="004907BE" w:rsidRDefault="004907BE" w:rsidP="004907BE">
      <w:pPr>
        <w:pStyle w:val="SingleTxt"/>
        <w:rPr>
          <w:rFonts w:hint="eastAsia"/>
        </w:rPr>
      </w:pPr>
      <w:r>
        <w:rPr>
          <w:rFonts w:hint="eastAsia"/>
        </w:rPr>
        <w:t>2.</w:t>
      </w:r>
      <w:r>
        <w:rPr>
          <w:rFonts w:hint="eastAsia"/>
        </w:rPr>
        <w:tab/>
        <w:t>请提供资料，说明《性别平等法》的执行情况及其对促进两性平等的影响。</w:t>
      </w:r>
    </w:p>
    <w:p w:rsidR="004907BE" w:rsidRDefault="004907BE" w:rsidP="004907BE">
      <w:pPr>
        <w:pStyle w:val="SingleTxt"/>
        <w:rPr>
          <w:rFonts w:hint="eastAsia"/>
        </w:rPr>
      </w:pPr>
      <w:r>
        <w:rPr>
          <w:rFonts w:hint="eastAsia"/>
        </w:rPr>
        <w:t>3.</w:t>
      </w:r>
      <w:r>
        <w:rPr>
          <w:rFonts w:hint="eastAsia"/>
        </w:rPr>
        <w:tab/>
        <w:t>报告指出，《性别平等法》规定，“如果由于特殊职业活动的性质或由于开展这些活动的背景而导致一个人的性别成为真正的、决定性的因素时，那么，在招募或提供招募所必须的培训过程中对一个人实施的基于性别的差别待遇，也不认为是歧视——如果差别待遇的目的合法、要求适当的话”。报告提到教育和培训方面的一个类似条款。请举例说明这些条款预计会产生什么结果以及在实践中如何实施。</w:t>
      </w:r>
    </w:p>
    <w:p w:rsidR="004907BE" w:rsidRDefault="004907BE" w:rsidP="004907BE">
      <w:pPr>
        <w:pStyle w:val="SingleTxt"/>
        <w:rPr>
          <w:rFonts w:hint="eastAsia"/>
        </w:rPr>
      </w:pPr>
      <w:r>
        <w:rPr>
          <w:rFonts w:hint="eastAsia"/>
        </w:rPr>
        <w:t>4.</w:t>
      </w:r>
      <w:r>
        <w:rPr>
          <w:rFonts w:hint="eastAsia"/>
        </w:rPr>
        <w:tab/>
        <w:t>考虑到没有资料显示法庭直接适用《公约》条款</w:t>
      </w:r>
      <w:r w:rsidR="005D02C7">
        <w:rPr>
          <w:rFonts w:hint="eastAsia"/>
        </w:rPr>
        <w:t>，</w:t>
      </w:r>
      <w:r>
        <w:rPr>
          <w:rFonts w:hint="eastAsia"/>
        </w:rPr>
        <w:t>请提供资料</w:t>
      </w:r>
      <w:r w:rsidR="005D02C7">
        <w:rPr>
          <w:rFonts w:hint="eastAsia"/>
        </w:rPr>
        <w:t>解释</w:t>
      </w:r>
      <w:r>
        <w:rPr>
          <w:rFonts w:hint="eastAsia"/>
        </w:rPr>
        <w:t>造成这种情况的原因。</w:t>
      </w:r>
    </w:p>
    <w:p w:rsidR="004907BE" w:rsidRDefault="004907BE" w:rsidP="004907BE">
      <w:pPr>
        <w:pStyle w:val="SingleTxt"/>
        <w:rPr>
          <w:rFonts w:hint="eastAsia"/>
        </w:rPr>
      </w:pPr>
      <w:r>
        <w:rPr>
          <w:rFonts w:hint="eastAsia"/>
        </w:rPr>
        <w:t>5.</w:t>
      </w:r>
      <w:r>
        <w:rPr>
          <w:rFonts w:hint="eastAsia"/>
        </w:rPr>
        <w:tab/>
        <w:t>报告提到，根据《性别平等法》将设立两个新机制</w:t>
      </w:r>
      <w:r w:rsidR="0066494F">
        <w:rPr>
          <w:rFonts w:hint="eastAsia"/>
        </w:rPr>
        <w:t>：</w:t>
      </w:r>
      <w:r>
        <w:rPr>
          <w:rFonts w:hint="eastAsia"/>
        </w:rPr>
        <w:t>性别平等专员和性别平等理事会。请提供资料，说明这些机制是否已经设立</w:t>
      </w:r>
      <w:r w:rsidR="005D02C7">
        <w:rPr>
          <w:rFonts w:hint="eastAsia"/>
        </w:rPr>
        <w:t>及</w:t>
      </w:r>
      <w:r>
        <w:rPr>
          <w:rFonts w:hint="eastAsia"/>
        </w:rPr>
        <w:t>其活动、人员配置和资源</w:t>
      </w:r>
      <w:r w:rsidR="005D02C7">
        <w:rPr>
          <w:rFonts w:hint="eastAsia"/>
        </w:rPr>
        <w:t>的</w:t>
      </w:r>
      <w:r>
        <w:rPr>
          <w:rFonts w:hint="eastAsia"/>
        </w:rPr>
        <w:t>情况。</w:t>
      </w:r>
    </w:p>
    <w:p w:rsidR="004907BE" w:rsidRDefault="004907BE" w:rsidP="004907BE">
      <w:pPr>
        <w:pStyle w:val="SingleTxt"/>
        <w:rPr>
          <w:rFonts w:hint="eastAsia"/>
        </w:rPr>
      </w:pPr>
      <w:r>
        <w:rPr>
          <w:rFonts w:hint="eastAsia"/>
        </w:rPr>
        <w:t>6.</w:t>
      </w:r>
      <w:r>
        <w:rPr>
          <w:rFonts w:hint="eastAsia"/>
        </w:rPr>
        <w:tab/>
        <w:t>请提供资料，说明部际委员会为促进两性平等开展的各项活动，以及这些活动的成果，该机构与上述新机制的关系。还请说明性别平等政策基本文件状况，说明是否已经通过，以及根据该政策开展的各项活动及其对促进性别平等产生的影响。</w:t>
      </w:r>
    </w:p>
    <w:p w:rsidR="004907BE" w:rsidRDefault="004907BE" w:rsidP="004907BE">
      <w:pPr>
        <w:pStyle w:val="SingleTxt"/>
        <w:rPr>
          <w:rFonts w:hint="eastAsia"/>
        </w:rPr>
      </w:pPr>
      <w:r>
        <w:rPr>
          <w:rFonts w:hint="eastAsia"/>
        </w:rPr>
        <w:t>7.</w:t>
      </w:r>
      <w:r>
        <w:rPr>
          <w:rFonts w:hint="eastAsia"/>
        </w:rPr>
        <w:tab/>
        <w:t>委员会在其2002年结论意见中指出，过去十年从中央计划经济向市场经济的过渡给切实有效实施《公约》带来了严峻挑战，同时结构调整对妇女</w:t>
      </w:r>
      <w:r w:rsidR="005D02C7">
        <w:rPr>
          <w:rFonts w:hint="eastAsia"/>
        </w:rPr>
        <w:t>造成不成比例的负面</w:t>
      </w:r>
      <w:r>
        <w:rPr>
          <w:rFonts w:hint="eastAsia"/>
        </w:rPr>
        <w:t>的影响。</w:t>
      </w:r>
      <w:r w:rsidR="005D02C7">
        <w:rPr>
          <w:rStyle w:val="FootnoteReference"/>
        </w:rPr>
        <w:footnoteReference w:id="1"/>
      </w:r>
      <w:r w:rsidR="005D02C7">
        <w:t xml:space="preserve"> </w:t>
      </w:r>
      <w:r>
        <w:rPr>
          <w:rFonts w:hint="eastAsia"/>
        </w:rPr>
        <w:t>请提供资料，说明该国当前宏观经济框架给妇女带来</w:t>
      </w:r>
      <w:r w:rsidR="005D02C7">
        <w:rPr>
          <w:rFonts w:hint="eastAsia"/>
        </w:rPr>
        <w:t>持续的巨大</w:t>
      </w:r>
      <w:r>
        <w:rPr>
          <w:rFonts w:hint="eastAsia"/>
        </w:rPr>
        <w:t>影响，以及政府为减轻、预防或改变这种影响而采取的措施。</w:t>
      </w:r>
    </w:p>
    <w:p w:rsidR="004907BE" w:rsidRDefault="004907BE" w:rsidP="004907BE">
      <w:pPr>
        <w:pStyle w:val="SingleTxt"/>
        <w:rPr>
          <w:rFonts w:hint="eastAsia"/>
        </w:rPr>
      </w:pPr>
      <w:r w:rsidRPr="00C0139A">
        <w:rPr>
          <w:rFonts w:ascii="SimHei" w:eastAsia="SimHei" w:hint="eastAsia"/>
          <w:color w:val="FF0000"/>
        </w:rPr>
        <w:t>暂行特别措施</w:t>
      </w:r>
    </w:p>
    <w:p w:rsidR="004907BE" w:rsidRDefault="004907BE" w:rsidP="004907BE">
      <w:pPr>
        <w:pStyle w:val="SingleTxt"/>
        <w:rPr>
          <w:rFonts w:hint="eastAsia"/>
        </w:rPr>
      </w:pPr>
      <w:r>
        <w:rPr>
          <w:rFonts w:hint="eastAsia"/>
        </w:rPr>
        <w:t>8.</w:t>
      </w:r>
      <w:r>
        <w:rPr>
          <w:rFonts w:hint="eastAsia"/>
        </w:rPr>
        <w:tab/>
      </w:r>
      <w:r w:rsidR="005D02C7">
        <w:rPr>
          <w:rFonts w:hint="eastAsia"/>
        </w:rPr>
        <w:t>委员会</w:t>
      </w:r>
      <w:r>
        <w:rPr>
          <w:rFonts w:hint="eastAsia"/>
        </w:rPr>
        <w:t>在其2002年结论意见中建议缔约国根据《公约》第四条第1款，在教育、就业和政治领域中实施暂行特别措施。</w:t>
      </w:r>
      <w:r w:rsidR="005D02C7">
        <w:rPr>
          <w:rStyle w:val="FootnoteReference"/>
        </w:rPr>
        <w:footnoteReference w:id="2"/>
      </w:r>
      <w:r w:rsidR="005D02C7">
        <w:t xml:space="preserve"> </w:t>
      </w:r>
      <w:r>
        <w:rPr>
          <w:rFonts w:hint="eastAsia"/>
        </w:rPr>
        <w:t>在其一般性建议25中，委员会着重指出暂行特别措施是加速实现妇女事实上平等战略的一部分，应与改善妇女儿童状况的社会长期总政策相区别。报告指出，《性别平等法》 载有多项特别措施。请提供其他详细情况，说明这种措施的类型</w:t>
      </w:r>
      <w:r w:rsidR="005D02C7">
        <w:rPr>
          <w:rFonts w:hint="eastAsia"/>
        </w:rPr>
        <w:t>、</w:t>
      </w:r>
      <w:r>
        <w:rPr>
          <w:rFonts w:hint="eastAsia"/>
        </w:rPr>
        <w:t>执行情况以及取得的成果。</w:t>
      </w:r>
    </w:p>
    <w:p w:rsidR="004907BE" w:rsidRDefault="004907BE" w:rsidP="004907BE">
      <w:pPr>
        <w:pStyle w:val="SingleTxt"/>
        <w:rPr>
          <w:rFonts w:hint="eastAsia"/>
        </w:rPr>
      </w:pPr>
      <w:r w:rsidRPr="00C0139A">
        <w:rPr>
          <w:rFonts w:ascii="SimHei" w:eastAsia="SimHei" w:hint="eastAsia"/>
          <w:color w:val="FF0000"/>
        </w:rPr>
        <w:t>参与政治、公共生活和决策</w:t>
      </w:r>
    </w:p>
    <w:p w:rsidR="004907BE" w:rsidRDefault="004907BE" w:rsidP="004907BE">
      <w:pPr>
        <w:pStyle w:val="SingleTxt"/>
        <w:rPr>
          <w:rFonts w:hint="eastAsia"/>
        </w:rPr>
      </w:pPr>
      <w:r>
        <w:rPr>
          <w:rFonts w:hint="eastAsia"/>
        </w:rPr>
        <w:t>9.</w:t>
      </w:r>
      <w:r>
        <w:rPr>
          <w:rFonts w:hint="eastAsia"/>
        </w:rPr>
        <w:tab/>
        <w:t>考虑到自上次报告以来，担任决策职务的妇女人数没有明显增加，请提供其他资料说明政府为推动妇女参与政治和公共生活、特别是担任高级别职务，包括爱沙尼亚议会、政府各部委和地方政府准备采取或计划采取的措施，同时考虑到针对《公约》第四条第1款的一般性建议25和关于妇女参与公共生活的一般性建议23。</w:t>
      </w:r>
    </w:p>
    <w:p w:rsidR="004907BE" w:rsidRDefault="004907BE" w:rsidP="004907BE">
      <w:pPr>
        <w:pStyle w:val="SingleTxt"/>
        <w:rPr>
          <w:rFonts w:hint="eastAsia"/>
        </w:rPr>
      </w:pPr>
      <w:r w:rsidRPr="00C0139A">
        <w:rPr>
          <w:rFonts w:ascii="SimHei" w:eastAsia="SimHei" w:hint="eastAsia"/>
          <w:color w:val="FF0000"/>
        </w:rPr>
        <w:t>对妇女的暴力行为</w:t>
      </w:r>
    </w:p>
    <w:p w:rsidR="004907BE" w:rsidRDefault="004907BE" w:rsidP="004907BE">
      <w:pPr>
        <w:pStyle w:val="SingleTxt"/>
        <w:rPr>
          <w:rFonts w:hint="eastAsia"/>
        </w:rPr>
      </w:pPr>
      <w:r>
        <w:rPr>
          <w:rFonts w:hint="eastAsia"/>
        </w:rPr>
        <w:t>10.</w:t>
      </w:r>
      <w:r>
        <w:rPr>
          <w:rFonts w:hint="eastAsia"/>
        </w:rPr>
        <w:tab/>
        <w:t>报告提到，委员会在 2002年结论意见中建议出台具体的制止家庭暴力法律，制定保护令和禁令及提供法律援助。</w:t>
      </w:r>
      <w:r w:rsidR="005D02C7">
        <w:rPr>
          <w:rStyle w:val="FootnoteReference"/>
        </w:rPr>
        <w:footnoteReference w:id="3"/>
      </w:r>
      <w:r w:rsidR="005D02C7">
        <w:t xml:space="preserve"> </w:t>
      </w:r>
      <w:r>
        <w:rPr>
          <w:rFonts w:hint="eastAsia"/>
        </w:rPr>
        <w:t>报告指出，“没有必要单独制定一部关于家庭暴力的法律，因为家庭暴力在《刑法典》中已有规定。《刑法典》还规定了保护免受家庭暴力”。请详细论述《刑法典》如何保护妇女免受家庭暴力。还请明确说明是否以及在什么情况下家庭暴力的女性受害者能够享有或得到法律援助。</w:t>
      </w:r>
    </w:p>
    <w:p w:rsidR="004907BE" w:rsidRDefault="004907BE" w:rsidP="004907BE">
      <w:pPr>
        <w:pStyle w:val="SingleTxt"/>
        <w:rPr>
          <w:rFonts w:hint="eastAsia"/>
        </w:rPr>
      </w:pPr>
      <w:r>
        <w:rPr>
          <w:rFonts w:hint="eastAsia"/>
        </w:rPr>
        <w:t>11.</w:t>
      </w:r>
      <w:r>
        <w:rPr>
          <w:rFonts w:hint="eastAsia"/>
        </w:rPr>
        <w:tab/>
        <w:t>报告提到，“2004年，检察官办公室共提起292件家庭暴力刑事诉讼案件”。请提供最新资料，说明对妇女实施暴力案件的数量，并说明定罪案件的数量和判决的平均刑期。</w:t>
      </w:r>
    </w:p>
    <w:p w:rsidR="004907BE" w:rsidRDefault="004907BE" w:rsidP="004907BE">
      <w:pPr>
        <w:pStyle w:val="SingleTxt"/>
        <w:rPr>
          <w:rFonts w:hint="eastAsia"/>
        </w:rPr>
      </w:pPr>
      <w:r>
        <w:rPr>
          <w:rFonts w:hint="eastAsia"/>
        </w:rPr>
        <w:t>12.</w:t>
      </w:r>
      <w:r>
        <w:rPr>
          <w:rFonts w:hint="eastAsia"/>
        </w:rPr>
        <w:tab/>
        <w:t>在其2002年结论意见中，委员会敦促缔约国修订《刑法典》，明确规定未经同意的性交为强奸罪，同时还建议修订法定强奸罪法。</w:t>
      </w:r>
      <w:r w:rsidR="005D02C7">
        <w:rPr>
          <w:rStyle w:val="FootnoteReference"/>
        </w:rPr>
        <w:footnoteReference w:id="4"/>
      </w:r>
      <w:r w:rsidR="005D02C7">
        <w:t xml:space="preserve"> </w:t>
      </w:r>
      <w:r>
        <w:rPr>
          <w:rFonts w:hint="eastAsia"/>
        </w:rPr>
        <w:t>请问都采取了哪些措施落实委员会的建议？</w:t>
      </w:r>
    </w:p>
    <w:p w:rsidR="004907BE" w:rsidRDefault="004907BE" w:rsidP="004907BE">
      <w:pPr>
        <w:pStyle w:val="SingleTxt"/>
        <w:rPr>
          <w:rFonts w:hint="eastAsia"/>
        </w:rPr>
      </w:pPr>
      <w:r w:rsidRPr="00C0139A">
        <w:rPr>
          <w:rFonts w:ascii="SimHei" w:eastAsia="SimHei" w:hint="eastAsia"/>
          <w:color w:val="FF0000"/>
        </w:rPr>
        <w:t>贩</w:t>
      </w:r>
      <w:r w:rsidR="005D02C7">
        <w:rPr>
          <w:rFonts w:ascii="Times New Roman" w:eastAsia="SimHei" w:hint="eastAsia"/>
          <w:color w:val="FF0000"/>
        </w:rPr>
        <w:t>运</w:t>
      </w:r>
      <w:r w:rsidRPr="00C0139A">
        <w:rPr>
          <w:rFonts w:ascii="SimHei" w:eastAsia="SimHei" w:hint="eastAsia"/>
          <w:color w:val="FF0000"/>
        </w:rPr>
        <w:t>人口</w:t>
      </w:r>
    </w:p>
    <w:p w:rsidR="004907BE" w:rsidRDefault="004907BE" w:rsidP="004907BE">
      <w:pPr>
        <w:pStyle w:val="SingleTxt"/>
        <w:rPr>
          <w:rFonts w:hint="eastAsia"/>
        </w:rPr>
      </w:pPr>
      <w:r>
        <w:rPr>
          <w:rFonts w:hint="eastAsia"/>
        </w:rPr>
        <w:t>13.</w:t>
      </w:r>
      <w:r>
        <w:rPr>
          <w:rFonts w:hint="eastAsia"/>
        </w:rPr>
        <w:tab/>
        <w:t>请提供资料，说明打击贩</w:t>
      </w:r>
      <w:r w:rsidR="005D02C7">
        <w:rPr>
          <w:rFonts w:hint="eastAsia"/>
        </w:rPr>
        <w:t>运</w:t>
      </w:r>
      <w:r>
        <w:rPr>
          <w:rFonts w:hint="eastAsia"/>
        </w:rPr>
        <w:t>人口国家行动计划草案的起草情况，包括是否已经获得通过，如果已经通过，请说明按照国家行动计划执行方案的情况及其影响。</w:t>
      </w:r>
    </w:p>
    <w:p w:rsidR="004907BE" w:rsidRDefault="004907BE" w:rsidP="004907BE">
      <w:pPr>
        <w:pStyle w:val="SingleTxt"/>
        <w:rPr>
          <w:rFonts w:hint="eastAsia"/>
        </w:rPr>
      </w:pPr>
      <w:r>
        <w:rPr>
          <w:rFonts w:hint="eastAsia"/>
        </w:rPr>
        <w:t>14.</w:t>
      </w:r>
      <w:r>
        <w:rPr>
          <w:rFonts w:hint="eastAsia"/>
        </w:rPr>
        <w:tab/>
        <w:t>请提供现有数据，说明被贩</w:t>
      </w:r>
      <w:r w:rsidR="005D02C7">
        <w:rPr>
          <w:rFonts w:hint="eastAsia"/>
        </w:rPr>
        <w:t>运</w:t>
      </w:r>
      <w:r>
        <w:rPr>
          <w:rFonts w:hint="eastAsia"/>
        </w:rPr>
        <w:t>到爱沙尼亚、从爱沙尼亚贩</w:t>
      </w:r>
      <w:r w:rsidR="005D02C7">
        <w:rPr>
          <w:rFonts w:hint="eastAsia"/>
        </w:rPr>
        <w:t>运</w:t>
      </w:r>
      <w:r>
        <w:rPr>
          <w:rFonts w:hint="eastAsia"/>
        </w:rPr>
        <w:t>出去和经爱沙尼亚转手贩</w:t>
      </w:r>
      <w:r w:rsidR="005D02C7">
        <w:rPr>
          <w:rFonts w:hint="eastAsia"/>
        </w:rPr>
        <w:t>运</w:t>
      </w:r>
      <w:r>
        <w:rPr>
          <w:rFonts w:hint="eastAsia"/>
        </w:rPr>
        <w:t>的妇女儿童数量。</w:t>
      </w:r>
    </w:p>
    <w:p w:rsidR="004907BE" w:rsidRDefault="004907BE" w:rsidP="004907BE">
      <w:pPr>
        <w:pStyle w:val="SingleTxt"/>
        <w:rPr>
          <w:rFonts w:hint="eastAsia"/>
        </w:rPr>
      </w:pPr>
      <w:r>
        <w:rPr>
          <w:rFonts w:hint="eastAsia"/>
        </w:rPr>
        <w:t>15.</w:t>
      </w:r>
      <w:r>
        <w:rPr>
          <w:rFonts w:hint="eastAsia"/>
        </w:rPr>
        <w:tab/>
        <w:t>请提供最新资料，说明对人口贩子提起诉讼和定罪的数字，同时还请提供进一步资料，说明人口贩</w:t>
      </w:r>
      <w:r w:rsidR="005D02C7">
        <w:rPr>
          <w:rFonts w:hint="eastAsia"/>
        </w:rPr>
        <w:t>运</w:t>
      </w:r>
      <w:r>
        <w:rPr>
          <w:rFonts w:hint="eastAsia"/>
        </w:rPr>
        <w:t>受害者能够得到的支助和援助方案。</w:t>
      </w:r>
    </w:p>
    <w:p w:rsidR="004907BE" w:rsidRDefault="004907BE" w:rsidP="004907BE">
      <w:pPr>
        <w:pStyle w:val="SingleTxt"/>
        <w:rPr>
          <w:rFonts w:hint="eastAsia"/>
        </w:rPr>
      </w:pPr>
      <w:r w:rsidRPr="00C0139A">
        <w:rPr>
          <w:rFonts w:ascii="SimHei" w:eastAsia="SimHei" w:hint="eastAsia"/>
          <w:color w:val="FF0000"/>
        </w:rPr>
        <w:t>陈规定型观念和教育</w:t>
      </w:r>
    </w:p>
    <w:p w:rsidR="004907BE" w:rsidRDefault="004907BE" w:rsidP="004907BE">
      <w:pPr>
        <w:pStyle w:val="SingleTxt"/>
        <w:rPr>
          <w:rFonts w:hint="eastAsia"/>
        </w:rPr>
      </w:pPr>
      <w:r>
        <w:rPr>
          <w:rFonts w:hint="eastAsia"/>
        </w:rPr>
        <w:t>16.</w:t>
      </w:r>
      <w:r>
        <w:rPr>
          <w:rFonts w:hint="eastAsia"/>
        </w:rPr>
        <w:tab/>
        <w:t>报告讨论了爱沙尼亚重男轻女性别偏见普遍严重的问题，同时提到委员会2002年结论意见。委员会在结论意见中敦促缔约国设计和实施教育系统综合计划，鼓励传媒在男女性别角色和任务方面推动理念变化。</w:t>
      </w:r>
      <w:r w:rsidR="005D02C7">
        <w:rPr>
          <w:rStyle w:val="FootnoteReference"/>
        </w:rPr>
        <w:footnoteReference w:id="5"/>
      </w:r>
      <w:r w:rsidR="005D02C7">
        <w:t xml:space="preserve"> </w:t>
      </w:r>
      <w:r>
        <w:rPr>
          <w:rFonts w:hint="eastAsia"/>
        </w:rPr>
        <w:t>报告指出，爱沙尼亚尚未全面实施这项建议，但是承认存在这个问题。请说明拖延执行建议的情况，以及缔约国是否打算采取全面行动落实委员会的建议，包括时限。</w:t>
      </w:r>
    </w:p>
    <w:p w:rsidR="004907BE" w:rsidRDefault="004907BE" w:rsidP="004907BE">
      <w:pPr>
        <w:pStyle w:val="SingleTxt"/>
        <w:rPr>
          <w:rFonts w:hint="eastAsia"/>
        </w:rPr>
      </w:pPr>
      <w:r>
        <w:rPr>
          <w:rFonts w:hint="eastAsia"/>
        </w:rPr>
        <w:t>17.</w:t>
      </w:r>
      <w:r>
        <w:rPr>
          <w:rFonts w:hint="eastAsia"/>
        </w:rPr>
        <w:tab/>
        <w:t>表10.2显示，在2003/04年期间，在总共467名教授中，只有76名女教授。请提供最新数据，说明正在采取哪些措施增加从事学术研究工作的女教授，以及这些措施在短期、中期内有可能产生的影响。</w:t>
      </w:r>
    </w:p>
    <w:p w:rsidR="004907BE" w:rsidRDefault="004907BE" w:rsidP="004907BE">
      <w:pPr>
        <w:pStyle w:val="SingleTxt"/>
        <w:rPr>
          <w:rFonts w:hint="eastAsia"/>
        </w:rPr>
      </w:pPr>
      <w:r>
        <w:rPr>
          <w:rFonts w:hint="eastAsia"/>
        </w:rPr>
        <w:t>18.</w:t>
      </w:r>
      <w:r>
        <w:rPr>
          <w:rFonts w:hint="eastAsia"/>
        </w:rPr>
        <w:tab/>
        <w:t>报告指出，对教科书中性别角色的研究发现，“不同专题和不同层次的教科书似乎构成了有关性别角色的陈规定型观念并对这些观念予以支持，而没有平等地反映男女的经验，也没有教授关于人权和男女之间角色分工的现代理念”。请问针对这项评估采取了哪些措施，是否规定了取得预期成果的时限。</w:t>
      </w:r>
    </w:p>
    <w:p w:rsidR="004907BE" w:rsidRDefault="004907BE" w:rsidP="004907BE">
      <w:pPr>
        <w:pStyle w:val="SingleTxt"/>
        <w:rPr>
          <w:rFonts w:hint="eastAsia"/>
        </w:rPr>
      </w:pPr>
      <w:r w:rsidRPr="00C0139A">
        <w:rPr>
          <w:rFonts w:ascii="SimHei" w:eastAsia="SimHei" w:hint="eastAsia"/>
          <w:color w:val="FF0000"/>
        </w:rPr>
        <w:t>就业</w:t>
      </w:r>
    </w:p>
    <w:p w:rsidR="004907BE" w:rsidRDefault="004907BE" w:rsidP="004907BE">
      <w:pPr>
        <w:pStyle w:val="SingleTxt"/>
        <w:rPr>
          <w:rFonts w:hint="eastAsia"/>
        </w:rPr>
      </w:pPr>
      <w:r>
        <w:rPr>
          <w:rFonts w:hint="eastAsia"/>
        </w:rPr>
        <w:t>19.</w:t>
      </w:r>
      <w:r>
        <w:rPr>
          <w:rFonts w:hint="eastAsia"/>
        </w:rPr>
        <w:tab/>
        <w:t>报告显示，爱沙尼亚妇女和男</w:t>
      </w:r>
      <w:r w:rsidR="005D02C7">
        <w:rPr>
          <w:rFonts w:hint="eastAsia"/>
        </w:rPr>
        <w:t>子</w:t>
      </w:r>
      <w:r>
        <w:rPr>
          <w:rFonts w:hint="eastAsia"/>
        </w:rPr>
        <w:t>都认为，男女所谓的工作有明显的区分。报告还显示，自提交上一次报告以来，性别的横向和纵向隔离没有减少。请详细阐述正在采取哪些措施改变这种状况。</w:t>
      </w:r>
    </w:p>
    <w:p w:rsidR="004907BE" w:rsidRDefault="004907BE" w:rsidP="004907BE">
      <w:pPr>
        <w:pStyle w:val="SingleTxt"/>
        <w:rPr>
          <w:rFonts w:hint="eastAsia"/>
        </w:rPr>
      </w:pPr>
      <w:r>
        <w:rPr>
          <w:rFonts w:hint="eastAsia"/>
        </w:rPr>
        <w:t>20.</w:t>
      </w:r>
      <w:r>
        <w:rPr>
          <w:rFonts w:hint="eastAsia"/>
        </w:rPr>
        <w:tab/>
      </w:r>
      <w:r w:rsidR="005D02C7">
        <w:rPr>
          <w:rFonts w:hint="eastAsia"/>
        </w:rPr>
        <w:t>委员会</w:t>
      </w:r>
      <w:r>
        <w:rPr>
          <w:rFonts w:hint="eastAsia"/>
        </w:rPr>
        <w:t>在其2002年结论意见中建议为在公共就业部门女性占主导的部门增加工资，以减少与男性为主的部门的工资差异。</w:t>
      </w:r>
      <w:r w:rsidR="005D02C7">
        <w:rPr>
          <w:rStyle w:val="FootnoteReference"/>
        </w:rPr>
        <w:footnoteReference w:id="6"/>
      </w:r>
      <w:r w:rsidR="005D02C7">
        <w:t xml:space="preserve"> </w:t>
      </w:r>
      <w:r>
        <w:rPr>
          <w:rFonts w:hint="eastAsia"/>
        </w:rPr>
        <w:t>请提供资料，说明目前正在采取哪些措施落实委员会的建议。</w:t>
      </w:r>
    </w:p>
    <w:p w:rsidR="004907BE" w:rsidRDefault="004907BE" w:rsidP="004907BE">
      <w:pPr>
        <w:pStyle w:val="SingleTxt"/>
        <w:rPr>
          <w:rFonts w:hint="eastAsia"/>
        </w:rPr>
      </w:pPr>
      <w:r>
        <w:rPr>
          <w:rFonts w:hint="eastAsia"/>
        </w:rPr>
        <w:t>21.</w:t>
      </w:r>
      <w:r>
        <w:rPr>
          <w:rFonts w:hint="eastAsia"/>
        </w:rPr>
        <w:tab/>
        <w:t>报告提供了爱沙尼亚制定的社会参与行动计划方面的资料，该计划致力于减少贫穷，同时提到采取一些具体措施。针对委员会在2002年结论意见中表达的关切，请提供资料说明是否针对委员会的建议采取了任何其他措施。答复尤其应当讨论某些妇女群体的状况，例如女性户主,家有幼儿的妇女,以及没有合法结婚但却长期同居的那些妇女。</w:t>
      </w:r>
    </w:p>
    <w:p w:rsidR="004907BE" w:rsidRDefault="004907BE" w:rsidP="004907BE">
      <w:pPr>
        <w:pStyle w:val="SingleTxt"/>
        <w:rPr>
          <w:rFonts w:hint="eastAsia"/>
        </w:rPr>
      </w:pPr>
      <w:r w:rsidRPr="00C0139A">
        <w:rPr>
          <w:rFonts w:ascii="SimHei" w:eastAsia="SimHei" w:hint="eastAsia"/>
          <w:color w:val="FF0000"/>
        </w:rPr>
        <w:t>卫生保健</w:t>
      </w:r>
    </w:p>
    <w:p w:rsidR="004907BE" w:rsidRDefault="004907BE" w:rsidP="004907BE">
      <w:pPr>
        <w:pStyle w:val="SingleTxt"/>
        <w:rPr>
          <w:rFonts w:hint="eastAsia"/>
        </w:rPr>
      </w:pPr>
      <w:r>
        <w:rPr>
          <w:rFonts w:hint="eastAsia"/>
        </w:rPr>
        <w:t>22.</w:t>
      </w:r>
      <w:r>
        <w:rPr>
          <w:rFonts w:hint="eastAsia"/>
        </w:rPr>
        <w:tab/>
        <w:t>报告指出，名为“2002-2006年青年生殖健康咨询和预防性传播疾病”的项目成果之一是堕胎减少了25</w:t>
      </w:r>
      <w:r w:rsidR="00C0139A">
        <w:rPr>
          <w:rFonts w:hint="eastAsia"/>
        </w:rPr>
        <w:t>％</w:t>
      </w:r>
      <w:r>
        <w:rPr>
          <w:rFonts w:hint="eastAsia"/>
        </w:rPr>
        <w:t>，15</w:t>
      </w:r>
      <w:r w:rsidR="005D02C7">
        <w:rPr>
          <w:rFonts w:hint="eastAsia"/>
        </w:rPr>
        <w:t>至</w:t>
      </w:r>
      <w:r>
        <w:rPr>
          <w:rFonts w:hint="eastAsia"/>
        </w:rPr>
        <w:t>19岁年龄段初孕和患有性传播疾病的人数减少了10</w:t>
      </w:r>
      <w:r w:rsidR="00C0139A">
        <w:rPr>
          <w:rFonts w:hint="eastAsia"/>
        </w:rPr>
        <w:t>％</w:t>
      </w:r>
      <w:r>
        <w:rPr>
          <w:rFonts w:hint="eastAsia"/>
        </w:rPr>
        <w:t>。请说明在2006年之后这个项目是否还将继续下去。还请提供最新资料，说明15</w:t>
      </w:r>
      <w:r w:rsidR="005D02C7">
        <w:rPr>
          <w:rFonts w:hint="eastAsia"/>
        </w:rPr>
        <w:t>至</w:t>
      </w:r>
      <w:r>
        <w:rPr>
          <w:rFonts w:hint="eastAsia"/>
        </w:rPr>
        <w:t>19岁年龄段的堕胎、早孕和性传播疾病的情况。</w:t>
      </w:r>
    </w:p>
    <w:p w:rsidR="004907BE" w:rsidRDefault="004907BE" w:rsidP="004907BE">
      <w:pPr>
        <w:pStyle w:val="SingleTxt"/>
        <w:rPr>
          <w:rFonts w:hint="eastAsia"/>
        </w:rPr>
      </w:pPr>
      <w:r>
        <w:rPr>
          <w:rFonts w:hint="eastAsia"/>
        </w:rPr>
        <w:t>23.</w:t>
      </w:r>
      <w:r>
        <w:rPr>
          <w:rFonts w:hint="eastAsia"/>
        </w:rPr>
        <w:tab/>
        <w:t>报告指出，爱沙尼亚计划生育联合会和各种非政府组织提倡使用高质量的现代避孕方法，使大多数公众都能用上避孕药具。请提供资料，说明缔约国正在采取哪些措施，确保所有人</w:t>
      </w:r>
      <w:r w:rsidR="005D02C7">
        <w:rPr>
          <w:rFonts w:hint="eastAsia"/>
        </w:rPr>
        <w:t>、</w:t>
      </w:r>
      <w:r>
        <w:rPr>
          <w:rFonts w:hint="eastAsia"/>
        </w:rPr>
        <w:t>包括贫穷妇女都能得到计划生育方面的信息，同时能够得到避孕药品，还请说明未来的趋势。</w:t>
      </w:r>
    </w:p>
    <w:p w:rsidR="004907BE" w:rsidRDefault="004907BE" w:rsidP="004907BE">
      <w:pPr>
        <w:pStyle w:val="SingleTxt"/>
        <w:rPr>
          <w:rFonts w:hint="eastAsia"/>
        </w:rPr>
      </w:pPr>
      <w:r>
        <w:rPr>
          <w:rFonts w:hint="eastAsia"/>
        </w:rPr>
        <w:t>24.</w:t>
      </w:r>
      <w:r>
        <w:rPr>
          <w:rFonts w:hint="eastAsia"/>
        </w:rPr>
        <w:tab/>
        <w:t>报告指出，近年来妇女艾滋病毒呈阳性者的比例有所增加。报告说，预防</w:t>
      </w:r>
      <w:r w:rsidR="005D02C7">
        <w:rPr>
          <w:rFonts w:hint="eastAsia"/>
        </w:rPr>
        <w:t>艾滋病</w:t>
      </w:r>
      <w:r>
        <w:rPr>
          <w:rFonts w:hint="eastAsia"/>
        </w:rPr>
        <w:t>毒/艾滋病的工作是以2002-2006年预防艾滋病毒/艾滋病国家行动计划为依据制定的。请说明是否对这项计划进行了更新，以及如何纳入性别角度，请提供资料说明行动计划对妇女了解艾滋病毒/艾滋病风险及其感染率方面的情况。还请提供资料，说明感染艾滋病毒/艾滋病的妇女及其子女能否得到和负担抗逆转录病毒疗法。</w:t>
      </w:r>
    </w:p>
    <w:p w:rsidR="004907BE" w:rsidRDefault="004907BE" w:rsidP="004907BE">
      <w:pPr>
        <w:pStyle w:val="SingleTxt"/>
        <w:rPr>
          <w:rFonts w:hint="eastAsia"/>
        </w:rPr>
      </w:pPr>
      <w:r>
        <w:rPr>
          <w:rFonts w:hint="eastAsia"/>
        </w:rPr>
        <w:t>25.</w:t>
      </w:r>
      <w:r>
        <w:rPr>
          <w:rFonts w:hint="eastAsia"/>
        </w:rPr>
        <w:tab/>
      </w:r>
      <w:r w:rsidR="005D02C7">
        <w:rPr>
          <w:rFonts w:hint="eastAsia"/>
        </w:rPr>
        <w:t>委员会</w:t>
      </w:r>
      <w:r>
        <w:rPr>
          <w:rFonts w:hint="eastAsia"/>
        </w:rPr>
        <w:t>在其2002年的结论意见中建议设立相关机构，努力解决妇女面临着心理卫生健康问题，以及出现负</w:t>
      </w:r>
      <w:r w:rsidR="005D02C7">
        <w:rPr>
          <w:rFonts w:hint="eastAsia"/>
        </w:rPr>
        <w:t>发</w:t>
      </w:r>
      <w:r>
        <w:rPr>
          <w:rFonts w:hint="eastAsia"/>
        </w:rPr>
        <w:t>展地方的妇女面临的心理健康问题。</w:t>
      </w:r>
      <w:r w:rsidR="005D02C7">
        <w:rPr>
          <w:rStyle w:val="FootnoteReference"/>
        </w:rPr>
        <w:footnoteReference w:id="7"/>
      </w:r>
      <w:r w:rsidR="005D02C7">
        <w:t xml:space="preserve"> </w:t>
      </w:r>
      <w:r>
        <w:rPr>
          <w:rFonts w:hint="eastAsia"/>
        </w:rPr>
        <w:t>请提供资料，说明目前正在采取哪些措施执行委员会的建议以及取得的成果。</w:t>
      </w:r>
    </w:p>
    <w:p w:rsidR="004907BE" w:rsidRPr="00C0139A" w:rsidRDefault="004907BE" w:rsidP="004907BE">
      <w:pPr>
        <w:pStyle w:val="SingleTxt"/>
        <w:rPr>
          <w:rFonts w:ascii="SimHei" w:eastAsia="SimHei" w:hint="eastAsia"/>
          <w:color w:val="FF0000"/>
        </w:rPr>
      </w:pPr>
      <w:r w:rsidRPr="00C0139A">
        <w:rPr>
          <w:rFonts w:ascii="SimHei" w:eastAsia="SimHei" w:hint="eastAsia"/>
          <w:color w:val="FF0000"/>
        </w:rPr>
        <w:t>农村妇女</w:t>
      </w:r>
    </w:p>
    <w:p w:rsidR="004907BE" w:rsidRDefault="004907BE" w:rsidP="004907BE">
      <w:pPr>
        <w:pStyle w:val="SingleTxt"/>
        <w:rPr>
          <w:rFonts w:hint="eastAsia"/>
        </w:rPr>
      </w:pPr>
      <w:r>
        <w:rPr>
          <w:rFonts w:hint="eastAsia"/>
        </w:rPr>
        <w:t>26.</w:t>
      </w:r>
      <w:r>
        <w:rPr>
          <w:rFonts w:hint="eastAsia"/>
        </w:rPr>
        <w:tab/>
      </w:r>
      <w:r w:rsidR="005D02C7">
        <w:rPr>
          <w:rFonts w:hint="eastAsia"/>
        </w:rPr>
        <w:t>委员会</w:t>
      </w:r>
      <w:r>
        <w:rPr>
          <w:rFonts w:hint="eastAsia"/>
        </w:rPr>
        <w:t>在其2002年结论意见中建议缔约国监督现有方案，制定赋予农村妇女经济权力的全面政策和方案。</w:t>
      </w:r>
      <w:r w:rsidR="005D02C7">
        <w:rPr>
          <w:rStyle w:val="FootnoteReference"/>
        </w:rPr>
        <w:footnoteReference w:id="8"/>
      </w:r>
      <w:r w:rsidR="005D02C7">
        <w:t xml:space="preserve"> </w:t>
      </w:r>
      <w:r>
        <w:rPr>
          <w:rFonts w:hint="eastAsia"/>
        </w:rPr>
        <w:t>请进一步阐述为落实这项建议正在采取的措施，包括取得的成就，请提供资料说明爱沙尼亚区域发展战略是否考虑到了性别层面。</w:t>
      </w:r>
    </w:p>
    <w:p w:rsidR="004907BE" w:rsidRDefault="004907BE" w:rsidP="004907BE">
      <w:pPr>
        <w:pStyle w:val="SingleTxt"/>
        <w:rPr>
          <w:rFonts w:hint="eastAsia"/>
        </w:rPr>
      </w:pPr>
      <w:r w:rsidRPr="00C0139A">
        <w:rPr>
          <w:rFonts w:ascii="SimHei" w:eastAsia="SimHei" w:hint="eastAsia"/>
          <w:color w:val="FF0000"/>
        </w:rPr>
        <w:t>婚姻与家庭关系</w:t>
      </w:r>
    </w:p>
    <w:p w:rsidR="004907BE" w:rsidRDefault="004907BE" w:rsidP="004907BE">
      <w:pPr>
        <w:pStyle w:val="SingleTxt"/>
        <w:rPr>
          <w:rFonts w:hint="eastAsia"/>
        </w:rPr>
      </w:pPr>
      <w:r>
        <w:rPr>
          <w:rFonts w:hint="eastAsia"/>
        </w:rPr>
        <w:t>27.</w:t>
      </w:r>
      <w:r>
        <w:rPr>
          <w:rFonts w:hint="eastAsia"/>
        </w:rPr>
        <w:tab/>
        <w:t>报告指出，“15到18岁之间的未成年人可以结婚”。请提供其他资料，说明在什么情况下这种婚姻被认为是“有利于未成年人”。还请提供按性别分列的最新统计数据，说明2002年以来未成年人</w:t>
      </w:r>
      <w:r w:rsidR="005D02C7">
        <w:rPr>
          <w:rFonts w:hint="eastAsia"/>
        </w:rPr>
        <w:t>之间</w:t>
      </w:r>
      <w:r>
        <w:rPr>
          <w:rFonts w:hint="eastAsia"/>
        </w:rPr>
        <w:t>结婚的情况。</w:t>
      </w:r>
    </w:p>
    <w:p w:rsidR="004907BE" w:rsidRDefault="004907BE" w:rsidP="004907BE">
      <w:pPr>
        <w:pStyle w:val="SingleTxt"/>
        <w:rPr>
          <w:rFonts w:hint="eastAsia"/>
        </w:rPr>
      </w:pPr>
      <w:r w:rsidRPr="00C0139A">
        <w:rPr>
          <w:rFonts w:ascii="SimHei" w:eastAsia="SimHei" w:hint="eastAsia"/>
          <w:color w:val="FF0000"/>
        </w:rPr>
        <w:t>《任择议定书》和对第二十条第1款的修正</w:t>
      </w:r>
    </w:p>
    <w:p w:rsidR="004907BE" w:rsidRDefault="004907BE" w:rsidP="004907BE">
      <w:pPr>
        <w:pStyle w:val="SingleTxt"/>
        <w:rPr>
          <w:rFonts w:hint="eastAsia"/>
        </w:rPr>
      </w:pPr>
      <w:r>
        <w:rPr>
          <w:rFonts w:hint="eastAsia"/>
        </w:rPr>
        <w:t>28.</w:t>
      </w:r>
      <w:r>
        <w:rPr>
          <w:rFonts w:hint="eastAsia"/>
        </w:rPr>
        <w:tab/>
        <w:t>请说明在批准/加入《公约任择议定书》方面取得的进展，以及在接受对《公约》第二十条第1款修正</w:t>
      </w:r>
      <w:r w:rsidR="005D02C7">
        <w:rPr>
          <w:rFonts w:hint="eastAsia"/>
        </w:rPr>
        <w:t>案</w:t>
      </w:r>
      <w:r>
        <w:rPr>
          <w:rFonts w:hint="eastAsia"/>
        </w:rPr>
        <w:t>方面取得的进展。</w:t>
      </w:r>
    </w:p>
    <w:p w:rsidR="00EA31C3" w:rsidRPr="004907BE" w:rsidRDefault="004907BE" w:rsidP="004907B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4907BE" w:rsidSect="003F1DB8">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13:44:00Z" w:initials="Start">
    <w:p w:rsidR="00625900" w:rsidRDefault="0062590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NO&gt;&gt;N0724997C&lt;&lt;ODS JOB NO&gt;&gt;</w:t>
      </w:r>
    </w:p>
    <w:p w:rsidR="00625900" w:rsidRDefault="00625900">
      <w:pPr>
        <w:pStyle w:val="CommentText"/>
      </w:pPr>
      <w:r>
        <w:t>&lt;&lt;ODS DOC SYMBOL1&gt;&gt;CEDAW/C/EST/Q/4&lt;&lt;ODS DOC SYMBOL1&gt;&gt;</w:t>
      </w:r>
    </w:p>
    <w:p w:rsidR="00625900" w:rsidRDefault="006259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F1F" w:rsidRDefault="00994F1F">
      <w:r>
        <w:separator/>
      </w:r>
    </w:p>
  </w:endnote>
  <w:endnote w:type="continuationSeparator" w:id="0">
    <w:p w:rsidR="00994F1F" w:rsidRDefault="00994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5900" w:rsidTr="003F1DB8">
      <w:tblPrEx>
        <w:tblCellMar>
          <w:top w:w="0" w:type="dxa"/>
          <w:bottom w:w="0" w:type="dxa"/>
        </w:tblCellMar>
      </w:tblPrEx>
      <w:tc>
        <w:tcPr>
          <w:tcW w:w="5033" w:type="dxa"/>
          <w:shd w:val="clear" w:color="auto" w:fill="auto"/>
          <w:vAlign w:val="bottom"/>
        </w:tcPr>
        <w:p w:rsidR="00625900" w:rsidRPr="003F1DB8" w:rsidRDefault="00625900" w:rsidP="003F1DB8">
          <w:pPr>
            <w:pStyle w:val="Footer"/>
            <w:jc w:val="left"/>
          </w:pPr>
          <w:r>
            <w:fldChar w:fldCharType="begin"/>
          </w:r>
          <w:r>
            <w:instrText xml:space="preserve"> PAGE  \* MERGEFORMAT </w:instrText>
          </w:r>
          <w:r>
            <w:fldChar w:fldCharType="separate"/>
          </w:r>
          <w:r w:rsidR="00491256">
            <w:t>4</w:t>
          </w:r>
          <w:r>
            <w:fldChar w:fldCharType="end"/>
          </w:r>
        </w:p>
      </w:tc>
      <w:tc>
        <w:tcPr>
          <w:tcW w:w="5033" w:type="dxa"/>
          <w:shd w:val="clear" w:color="auto" w:fill="auto"/>
          <w:vAlign w:val="bottom"/>
        </w:tcPr>
        <w:p w:rsidR="00625900" w:rsidRPr="003F1DB8" w:rsidRDefault="00625900" w:rsidP="003F1DB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07-24997</w:t>
          </w:r>
          <w:r>
            <w:rPr>
              <w:b w:val="0"/>
              <w:sz w:val="14"/>
            </w:rPr>
            <w:fldChar w:fldCharType="end"/>
          </w:r>
        </w:p>
      </w:tc>
    </w:tr>
  </w:tbl>
  <w:p w:rsidR="00625900" w:rsidRPr="003F1DB8" w:rsidRDefault="00625900" w:rsidP="003F1D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25900" w:rsidTr="003F1DB8">
      <w:tblPrEx>
        <w:tblCellMar>
          <w:top w:w="0" w:type="dxa"/>
          <w:bottom w:w="0" w:type="dxa"/>
        </w:tblCellMar>
      </w:tblPrEx>
      <w:tc>
        <w:tcPr>
          <w:tcW w:w="5033" w:type="dxa"/>
          <w:shd w:val="clear" w:color="auto" w:fill="auto"/>
          <w:vAlign w:val="bottom"/>
        </w:tcPr>
        <w:p w:rsidR="00625900" w:rsidRPr="003F1DB8" w:rsidRDefault="00625900" w:rsidP="003F1DB8">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07-24997</w:t>
          </w:r>
          <w:r>
            <w:rPr>
              <w:b w:val="0"/>
              <w:sz w:val="14"/>
            </w:rPr>
            <w:fldChar w:fldCharType="end"/>
          </w:r>
        </w:p>
      </w:tc>
      <w:tc>
        <w:tcPr>
          <w:tcW w:w="5033" w:type="dxa"/>
          <w:shd w:val="clear" w:color="auto" w:fill="auto"/>
          <w:vAlign w:val="bottom"/>
        </w:tcPr>
        <w:p w:rsidR="00625900" w:rsidRPr="003F1DB8" w:rsidRDefault="00625900" w:rsidP="003F1DB8">
          <w:pPr>
            <w:pStyle w:val="Footer"/>
            <w:jc w:val="right"/>
          </w:pPr>
          <w:r>
            <w:fldChar w:fldCharType="begin"/>
          </w:r>
          <w:r>
            <w:instrText xml:space="preserve"> PAGE  \* MERGEFORMAT </w:instrText>
          </w:r>
          <w:r>
            <w:fldChar w:fldCharType="separate"/>
          </w:r>
          <w:r w:rsidR="00491256">
            <w:t>5</w:t>
          </w:r>
          <w:r>
            <w:fldChar w:fldCharType="end"/>
          </w:r>
        </w:p>
      </w:tc>
    </w:tr>
  </w:tbl>
  <w:p w:rsidR="00625900" w:rsidRPr="003F1DB8" w:rsidRDefault="00625900" w:rsidP="003F1D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900" w:rsidRDefault="00625900" w:rsidP="003F1DB8">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07-24997 (C)</w:t>
    </w:r>
    <w:r>
      <w:rPr>
        <w:b w:val="0"/>
        <w:sz w:val="21"/>
      </w:rPr>
      <w:fldChar w:fldCharType="end"/>
    </w:r>
    <w:r>
      <w:rPr>
        <w:b w:val="0"/>
        <w:sz w:val="21"/>
      </w:rPr>
      <w:t xml:space="preserve">    160307    160307</w:t>
    </w:r>
  </w:p>
  <w:p w:rsidR="00625900" w:rsidRPr="003F1DB8" w:rsidRDefault="00625900" w:rsidP="003F1DB8">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*0724997*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F1F" w:rsidRPr="005D02C7" w:rsidRDefault="00994F1F" w:rsidP="005D02C7">
      <w:pPr>
        <w:pStyle w:val="Footer"/>
        <w:spacing w:after="80"/>
        <w:ind w:left="792"/>
        <w:rPr>
          <w:sz w:val="16"/>
        </w:rPr>
      </w:pPr>
      <w:r w:rsidRPr="005D02C7">
        <w:rPr>
          <w:sz w:val="16"/>
        </w:rPr>
        <w:t>__________________</w:t>
      </w:r>
    </w:p>
  </w:footnote>
  <w:footnote w:type="continuationSeparator" w:id="0">
    <w:p w:rsidR="00994F1F" w:rsidRPr="005D02C7" w:rsidRDefault="00994F1F" w:rsidP="005D02C7">
      <w:pPr>
        <w:pStyle w:val="Footer"/>
        <w:spacing w:after="80"/>
        <w:ind w:left="792"/>
        <w:rPr>
          <w:sz w:val="16"/>
        </w:rPr>
      </w:pPr>
      <w:r w:rsidRPr="005D02C7">
        <w:rPr>
          <w:sz w:val="16"/>
        </w:rPr>
        <w:t>__________________</w:t>
      </w:r>
    </w:p>
  </w:footnote>
  <w:footnote w:id="1">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《大会正式记录，第五十七届会议，补编第38号》，(A/57/38)，第86段。</w:t>
      </w:r>
    </w:p>
  </w:footnote>
  <w:footnote w:id="2">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同上，第94段。</w:t>
      </w:r>
    </w:p>
  </w:footnote>
  <w:footnote w:id="3">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同上，第98页。</w:t>
      </w:r>
    </w:p>
  </w:footnote>
  <w:footnote w:id="4">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同上，第98和第100段。</w:t>
      </w:r>
    </w:p>
  </w:footnote>
  <w:footnote w:id="5">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同上，第96段。</w:t>
      </w:r>
    </w:p>
  </w:footnote>
  <w:footnote w:id="6">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同上，第108段。</w:t>
      </w:r>
    </w:p>
  </w:footnote>
  <w:footnote w:id="7">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同上，第112段。</w:t>
      </w:r>
    </w:p>
  </w:footnote>
  <w:footnote w:id="8">
    <w:p w:rsidR="00625900" w:rsidRPr="007643CD" w:rsidRDefault="00625900" w:rsidP="005D02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643CD">
        <w:rPr>
          <w:rFonts w:hint="eastAsia"/>
        </w:rPr>
        <w:t>同上，第114段。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25900" w:rsidTr="003F1DB8">
      <w:tblPrEx>
        <w:tblCellMar>
          <w:top w:w="0" w:type="dxa"/>
          <w:bottom w:w="0" w:type="dxa"/>
        </w:tblCellMar>
      </w:tblPrEx>
      <w:trPr>
        <w:trHeight w:hRule="exact" w:val="864"/>
      </w:trPr>
      <w:tc>
        <w:tcPr>
          <w:tcW w:w="4838" w:type="dxa"/>
          <w:shd w:val="clear" w:color="auto" w:fill="auto"/>
          <w:vAlign w:val="bottom"/>
        </w:tcPr>
        <w:p w:rsidR="00625900" w:rsidRPr="003F1DB8" w:rsidRDefault="00625900" w:rsidP="003F1DB8">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CEDAW/C/EST/Q/4</w:t>
          </w:r>
          <w:r>
            <w:rPr>
              <w:b/>
              <w:sz w:val="17"/>
            </w:rPr>
            <w:fldChar w:fldCharType="end"/>
          </w:r>
        </w:p>
      </w:tc>
      <w:tc>
        <w:tcPr>
          <w:tcW w:w="5033" w:type="dxa"/>
          <w:shd w:val="clear" w:color="auto" w:fill="auto"/>
          <w:vAlign w:val="bottom"/>
        </w:tcPr>
        <w:p w:rsidR="00625900" w:rsidRDefault="00625900" w:rsidP="003F1DB8">
          <w:pPr>
            <w:pStyle w:val="Header"/>
          </w:pPr>
        </w:p>
      </w:tc>
    </w:tr>
  </w:tbl>
  <w:p w:rsidR="00625900" w:rsidRPr="003F1DB8" w:rsidRDefault="00625900" w:rsidP="003F1D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25900" w:rsidTr="003F1DB8">
      <w:tblPrEx>
        <w:tblCellMar>
          <w:top w:w="0" w:type="dxa"/>
          <w:bottom w:w="0" w:type="dxa"/>
        </w:tblCellMar>
      </w:tblPrEx>
      <w:trPr>
        <w:trHeight w:hRule="exact" w:val="864"/>
      </w:trPr>
      <w:tc>
        <w:tcPr>
          <w:tcW w:w="4838" w:type="dxa"/>
          <w:shd w:val="clear" w:color="auto" w:fill="auto"/>
          <w:vAlign w:val="bottom"/>
        </w:tcPr>
        <w:p w:rsidR="00625900" w:rsidRDefault="00625900" w:rsidP="003F1DB8">
          <w:pPr>
            <w:pStyle w:val="Header"/>
          </w:pPr>
        </w:p>
      </w:tc>
      <w:tc>
        <w:tcPr>
          <w:tcW w:w="5033" w:type="dxa"/>
          <w:shd w:val="clear" w:color="auto" w:fill="auto"/>
          <w:vAlign w:val="bottom"/>
        </w:tcPr>
        <w:p w:rsidR="00625900" w:rsidRPr="003F1DB8" w:rsidRDefault="00625900" w:rsidP="003F1DB8">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CEDAW/C/EST/Q/4</w:t>
          </w:r>
          <w:r>
            <w:rPr>
              <w:b/>
              <w:sz w:val="17"/>
            </w:rPr>
            <w:fldChar w:fldCharType="end"/>
          </w:r>
        </w:p>
      </w:tc>
    </w:tr>
  </w:tbl>
  <w:p w:rsidR="00625900" w:rsidRPr="003F1DB8" w:rsidRDefault="00625900" w:rsidP="003F1D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25900" w:rsidTr="003F1DB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5900" w:rsidRDefault="00625900" w:rsidP="003F1DB8">
          <w:pPr>
            <w:pStyle w:val="Header"/>
            <w:spacing w:after="120"/>
          </w:pPr>
        </w:p>
      </w:tc>
      <w:tc>
        <w:tcPr>
          <w:tcW w:w="1872" w:type="dxa"/>
          <w:tcBorders>
            <w:bottom w:val="single" w:sz="4" w:space="0" w:color="auto"/>
          </w:tcBorders>
          <w:shd w:val="clear" w:color="auto" w:fill="auto"/>
          <w:vAlign w:val="bottom"/>
        </w:tcPr>
        <w:p w:rsidR="00625900" w:rsidRPr="003F1DB8" w:rsidRDefault="00625900" w:rsidP="003F1DB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25900" w:rsidRDefault="00625900" w:rsidP="003F1DB8">
          <w:pPr>
            <w:pStyle w:val="Header"/>
            <w:spacing w:after="120"/>
          </w:pPr>
        </w:p>
      </w:tc>
      <w:tc>
        <w:tcPr>
          <w:tcW w:w="6523" w:type="dxa"/>
          <w:gridSpan w:val="3"/>
          <w:tcBorders>
            <w:bottom w:val="single" w:sz="4" w:space="0" w:color="auto"/>
          </w:tcBorders>
          <w:shd w:val="clear" w:color="auto" w:fill="auto"/>
          <w:vAlign w:val="bottom"/>
        </w:tcPr>
        <w:p w:rsidR="00625900" w:rsidRPr="003F1DB8" w:rsidRDefault="00625900" w:rsidP="003F1DB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/C/EST/Q/4</w:t>
          </w:r>
        </w:p>
      </w:tc>
    </w:tr>
    <w:tr w:rsidR="00625900" w:rsidRPr="003F1DB8" w:rsidTr="003F1D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5900" w:rsidRDefault="00625900" w:rsidP="003F1DB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25900" w:rsidRPr="003F1DB8" w:rsidRDefault="00625900" w:rsidP="003F1DB8">
          <w:pPr>
            <w:pStyle w:val="Header"/>
            <w:spacing w:before="109"/>
            <w:ind w:left="-72"/>
          </w:pPr>
        </w:p>
      </w:tc>
      <w:tc>
        <w:tcPr>
          <w:tcW w:w="5227" w:type="dxa"/>
          <w:gridSpan w:val="3"/>
          <w:tcBorders>
            <w:top w:val="single" w:sz="4" w:space="0" w:color="auto"/>
            <w:bottom w:val="single" w:sz="12" w:space="0" w:color="auto"/>
          </w:tcBorders>
          <w:shd w:val="clear" w:color="auto" w:fill="auto"/>
        </w:tcPr>
        <w:p w:rsidR="00625900" w:rsidRPr="003F1DB8" w:rsidRDefault="00625900" w:rsidP="003F1DB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25900" w:rsidRPr="003F1DB8" w:rsidRDefault="00625900" w:rsidP="003F1DB8">
          <w:pPr>
            <w:pStyle w:val="Header"/>
            <w:spacing w:before="109"/>
          </w:pPr>
        </w:p>
      </w:tc>
      <w:tc>
        <w:tcPr>
          <w:tcW w:w="3180" w:type="dxa"/>
          <w:gridSpan w:val="2"/>
          <w:tcBorders>
            <w:top w:val="single" w:sz="4" w:space="0" w:color="auto"/>
            <w:bottom w:val="single" w:sz="12" w:space="0" w:color="auto"/>
          </w:tcBorders>
          <w:shd w:val="clear" w:color="auto" w:fill="auto"/>
        </w:tcPr>
        <w:p w:rsidR="00625900" w:rsidRDefault="00625900" w:rsidP="003F1DB8">
          <w:pPr>
            <w:spacing w:before="240" w:line="240" w:lineRule="exact"/>
            <w:rPr>
              <w:rFonts w:ascii="Times New Roman"/>
            </w:rPr>
          </w:pPr>
          <w:r>
            <w:rPr>
              <w:rFonts w:ascii="Times New Roman"/>
            </w:rPr>
            <w:t>Distr.: General</w:t>
          </w:r>
        </w:p>
        <w:p w:rsidR="00625900" w:rsidRDefault="00625900" w:rsidP="003F1DB8">
          <w:pPr>
            <w:spacing w:line="240" w:lineRule="exact"/>
            <w:rPr>
              <w:rFonts w:ascii="Times New Roman"/>
            </w:rPr>
          </w:pPr>
          <w:r>
            <w:rPr>
              <w:rFonts w:ascii="Times New Roman"/>
            </w:rPr>
            <w:t>26 February 2007</w:t>
          </w:r>
        </w:p>
        <w:p w:rsidR="00625900" w:rsidRDefault="00625900" w:rsidP="003F1DB8">
          <w:pPr>
            <w:spacing w:line="240" w:lineRule="exact"/>
            <w:rPr>
              <w:rFonts w:ascii="Times New Roman"/>
            </w:rPr>
          </w:pPr>
          <w:r>
            <w:rPr>
              <w:rFonts w:ascii="Times New Roman"/>
            </w:rPr>
            <w:t>Chinese</w:t>
          </w:r>
        </w:p>
        <w:p w:rsidR="00625900" w:rsidRPr="003F1DB8" w:rsidRDefault="00625900" w:rsidP="003F1DB8">
          <w:pPr>
            <w:spacing w:line="240" w:lineRule="exact"/>
            <w:rPr>
              <w:rFonts w:ascii="Times New Roman"/>
            </w:rPr>
          </w:pPr>
          <w:r>
            <w:rPr>
              <w:rFonts w:ascii="Times New Roman"/>
            </w:rPr>
            <w:t>Original: English</w:t>
          </w:r>
        </w:p>
      </w:tc>
    </w:tr>
  </w:tbl>
  <w:p w:rsidR="00625900" w:rsidRPr="003F1DB8" w:rsidRDefault="00625900" w:rsidP="003F1D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7*"/>
    <w:docVar w:name="CreationDt" w:val="16/03/2007 13:22:56"/>
    <w:docVar w:name="DocCategory" w:val="Doc"/>
    <w:docVar w:name="DocType" w:val="Final"/>
    <w:docVar w:name="FooterJN" w:val="07-24997"/>
    <w:docVar w:name="jobn" w:val="07-24997 (C)"/>
    <w:docVar w:name="jobnDT" w:val="07-24997 (C)   160307"/>
    <w:docVar w:name="jobnDTDT" w:val="07-24997 (C)   160307   160307"/>
    <w:docVar w:name="JobNo" w:val="0724997C"/>
    <w:docVar w:name="OandT" w:val="Wang xq"/>
    <w:docVar w:name="sss1" w:val="CEDAW/C/EST/Q/4"/>
    <w:docVar w:name="sss2" w:val="-"/>
    <w:docVar w:name="Symbol1" w:val="CEDAW/C/EST/Q/4"/>
    <w:docVar w:name="Symbol2" w:val="-"/>
  </w:docVars>
  <w:rsids>
    <w:rsidRoot w:val="005D10A7"/>
    <w:rsid w:val="000125BC"/>
    <w:rsid w:val="00021A2B"/>
    <w:rsid w:val="00037B39"/>
    <w:rsid w:val="00044CA4"/>
    <w:rsid w:val="00045EFE"/>
    <w:rsid w:val="0007337D"/>
    <w:rsid w:val="000758DF"/>
    <w:rsid w:val="00076EB8"/>
    <w:rsid w:val="00095C67"/>
    <w:rsid w:val="000A31F9"/>
    <w:rsid w:val="000C1786"/>
    <w:rsid w:val="000C5AB1"/>
    <w:rsid w:val="000E240F"/>
    <w:rsid w:val="000F1058"/>
    <w:rsid w:val="000F6A5C"/>
    <w:rsid w:val="00106B7E"/>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3D5B"/>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3F1DB8"/>
    <w:rsid w:val="00414423"/>
    <w:rsid w:val="004424EF"/>
    <w:rsid w:val="00453BB0"/>
    <w:rsid w:val="00460162"/>
    <w:rsid w:val="004620A8"/>
    <w:rsid w:val="004907BE"/>
    <w:rsid w:val="00491256"/>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7016E"/>
    <w:rsid w:val="0058302A"/>
    <w:rsid w:val="005B7338"/>
    <w:rsid w:val="005C02AB"/>
    <w:rsid w:val="005D02C7"/>
    <w:rsid w:val="005D0F04"/>
    <w:rsid w:val="005D10A7"/>
    <w:rsid w:val="005F3273"/>
    <w:rsid w:val="005F34A3"/>
    <w:rsid w:val="00610CF2"/>
    <w:rsid w:val="00625900"/>
    <w:rsid w:val="006479F1"/>
    <w:rsid w:val="00650BEE"/>
    <w:rsid w:val="006520FA"/>
    <w:rsid w:val="0065377D"/>
    <w:rsid w:val="0066494F"/>
    <w:rsid w:val="006740A7"/>
    <w:rsid w:val="00691524"/>
    <w:rsid w:val="006A654B"/>
    <w:rsid w:val="006E2924"/>
    <w:rsid w:val="006E7A26"/>
    <w:rsid w:val="006F2B3D"/>
    <w:rsid w:val="007319E0"/>
    <w:rsid w:val="00737B00"/>
    <w:rsid w:val="0075155C"/>
    <w:rsid w:val="00753A05"/>
    <w:rsid w:val="00761190"/>
    <w:rsid w:val="007643CD"/>
    <w:rsid w:val="00776537"/>
    <w:rsid w:val="00783A25"/>
    <w:rsid w:val="007E1B5E"/>
    <w:rsid w:val="007F2278"/>
    <w:rsid w:val="00805783"/>
    <w:rsid w:val="00806F57"/>
    <w:rsid w:val="00806F90"/>
    <w:rsid w:val="00824C19"/>
    <w:rsid w:val="008378D1"/>
    <w:rsid w:val="00846462"/>
    <w:rsid w:val="008610C7"/>
    <w:rsid w:val="0086691F"/>
    <w:rsid w:val="008749A4"/>
    <w:rsid w:val="00884C8F"/>
    <w:rsid w:val="008C3296"/>
    <w:rsid w:val="008F2BB5"/>
    <w:rsid w:val="008F5472"/>
    <w:rsid w:val="008F5D0F"/>
    <w:rsid w:val="009122E0"/>
    <w:rsid w:val="00913351"/>
    <w:rsid w:val="0096193C"/>
    <w:rsid w:val="009769E1"/>
    <w:rsid w:val="00977E0D"/>
    <w:rsid w:val="00986C04"/>
    <w:rsid w:val="00994F1F"/>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139A"/>
    <w:rsid w:val="00C02033"/>
    <w:rsid w:val="00C052A2"/>
    <w:rsid w:val="00C06A4A"/>
    <w:rsid w:val="00C1391A"/>
    <w:rsid w:val="00C14CE6"/>
    <w:rsid w:val="00C2725D"/>
    <w:rsid w:val="00C42033"/>
    <w:rsid w:val="00CB2B1E"/>
    <w:rsid w:val="00CC3E8B"/>
    <w:rsid w:val="00CC4E84"/>
    <w:rsid w:val="00CD5641"/>
    <w:rsid w:val="00CE64AC"/>
    <w:rsid w:val="00CF7718"/>
    <w:rsid w:val="00D177F1"/>
    <w:rsid w:val="00D323B5"/>
    <w:rsid w:val="00D42ACC"/>
    <w:rsid w:val="00D51DC5"/>
    <w:rsid w:val="00D676D7"/>
    <w:rsid w:val="00D874E1"/>
    <w:rsid w:val="00D9586D"/>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485</Words>
  <Characters>2768</Characters>
  <Application>Microsoft Office Word</Application>
  <DocSecurity>4</DocSecurity>
  <Lines>23</Lines>
  <Paragraphs>6</Paragraphs>
  <ScaleCrop>false</ScaleCrop>
  <Company>United Nations</Company>
  <LinksUpToDate>false</LinksUpToDate>
  <CharactersWithSpaces>3247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Xiuqin.Wang</dc:creator>
  <cp:keywords/>
  <dc:description/>
  <cp:lastModifiedBy>Xiuqin.Wang</cp:lastModifiedBy>
  <cp:revision>26</cp:revision>
  <cp:lastPrinted>2007-03-16T12:44:00Z</cp:lastPrinted>
  <dcterms:created xsi:type="dcterms:W3CDTF">2007-03-16T12:22:00Z</dcterms:created>
  <dcterms:modified xsi:type="dcterms:W3CDTF">2007-03-16T12:51:00Z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0724997</vt:lpwstr>
  </property>
  <property fmtid="{D5CDD505-2E9C-101B-9397-08002B2CF9AE}" pid="3" name="Symbol1">
    <vt:lpwstr>CEDAW/C/EST/Q/4</vt:lpwstr>
  </property>
  <property fmtid="{D5CDD505-2E9C-101B-9397-08002B2CF9AE}" pid="4" name="Symbol2">
    <vt:lpwstr/>
  </property>
  <property fmtid="{D5CDD505-2E9C-101B-9397-08002B2CF9AE}" pid="5" name="Translator">
    <vt:lpwstr/>
  </property>
  <property fmtid="{D5CDD505-2E9C-101B-9397-08002B2CF9AE}" pid="6" name="Operator">
    <vt:lpwstr>Wang xq</vt:lpwstr>
  </property>
  <property fmtid="{D5CDD505-2E9C-101B-9397-08002B2CF9AE}" pid="7" name="DraftPages">
    <vt:lpwstr> </vt:lpwstr>
  </property>
  <property fmtid="{D5CDD505-2E9C-101B-9397-08002B2CF9AE}" pid="8" name="Comment">
    <vt:lpwstr/>
  </property>
</Properties>
</file>