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C7" w:rsidRPr="00667352" w:rsidRDefault="003E56C7" w:rsidP="003E56C7">
      <w:pPr>
        <w:spacing w:line="240" w:lineRule="auto"/>
        <w:rPr>
          <w:sz w:val="6"/>
        </w:rPr>
        <w:sectPr w:rsidR="003E56C7" w:rsidRPr="00667352" w:rsidSect="0066735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67352">
        <w:rPr>
          <w:rStyle w:val="CommentReference"/>
          <w:szCs w:val="20"/>
        </w:rPr>
        <w:commentReference w:id="0"/>
      </w:r>
      <w:bookmarkStart w:id="1" w:name="_GoBack"/>
      <w:bookmarkEnd w:id="1"/>
    </w:p>
    <w:p w:rsidR="00667352" w:rsidRPr="00667352" w:rsidRDefault="00667352" w:rsidP="00667352">
      <w:pPr>
        <w:keepNext/>
        <w:keepLines/>
        <w:spacing w:line="270" w:lineRule="exact"/>
        <w:ind w:right="4075"/>
        <w:outlineLvl w:val="0"/>
        <w:rPr>
          <w:rFonts w:eastAsia="Times New Roman"/>
          <w:b/>
          <w:kern w:val="14"/>
          <w:sz w:val="24"/>
        </w:rPr>
      </w:pPr>
      <w:r w:rsidRPr="00667352">
        <w:rPr>
          <w:rFonts w:eastAsia="Times New Roman"/>
          <w:b/>
          <w:kern w:val="14"/>
          <w:sz w:val="24"/>
        </w:rPr>
        <w:lastRenderedPageBreak/>
        <w:t>Comité para la Eliminación de la Discriminación contra la Mujer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framePr w:w="9792" w:h="432" w:hSpace="144" w:wrap="around" w:vAnchor="page" w:hAnchor="page" w:x="1211" w:y="13998"/>
        <w:spacing w:line="240" w:lineRule="auto"/>
        <w:rPr>
          <w:rFonts w:eastAsia="Times New Roman"/>
          <w:sz w:val="10"/>
        </w:rPr>
      </w:pPr>
    </w:p>
    <w:p w:rsidR="00667352" w:rsidRPr="00667352" w:rsidRDefault="00667352" w:rsidP="00667352">
      <w:pPr>
        <w:framePr w:w="9792" w:h="432" w:hSpace="144" w:wrap="around" w:vAnchor="page" w:hAnchor="page" w:x="1211" w:y="13998"/>
        <w:spacing w:line="240" w:lineRule="auto"/>
        <w:rPr>
          <w:rFonts w:eastAsia="Times New Roman"/>
          <w:sz w:val="6"/>
        </w:rPr>
      </w:pPr>
      <w:r>
        <w:rPr>
          <w:rFonts w:eastAsia="Times New Roman"/>
          <w:noProof/>
          <w:w w:val="100"/>
          <w:lang w:val="en-US"/>
        </w:rPr>
        <mc:AlternateContent>
          <mc:Choice Requires="wps">
            <w:drawing>
              <wp:anchor distT="4294967293" distB="4294967293"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926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9iGp3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667352" w:rsidRPr="00667352" w:rsidRDefault="00667352" w:rsidP="00667352">
      <w:pPr>
        <w:framePr w:w="9792" w:h="432" w:hSpace="144" w:wrap="around" w:vAnchor="page" w:hAnchor="page" w:x="1211" w:y="1399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rFonts w:eastAsia="Times New Roman"/>
          <w:sz w:val="17"/>
        </w:rPr>
      </w:pPr>
      <w:r w:rsidRPr="00667352">
        <w:rPr>
          <w:rFonts w:eastAsia="Times New Roman"/>
          <w:sz w:val="17"/>
        </w:rPr>
        <w:tab/>
        <w:t>*</w:t>
      </w:r>
      <w:r w:rsidRPr="00667352">
        <w:rPr>
          <w:rFonts w:eastAsia="Times New Roman"/>
          <w:sz w:val="17"/>
        </w:rPr>
        <w:tab/>
        <w:t>Aprobadas por el Comité en su 67º período de sesiones (3 a 21 de julio de 2017).</w:t>
      </w:r>
    </w:p>
    <w:p w:rsidR="00667352" w:rsidRPr="00667352" w:rsidRDefault="00667352" w:rsidP="00A56AC3">
      <w:pPr>
        <w:pStyle w:val="TitleHCH"/>
      </w:pPr>
      <w:r w:rsidRPr="00667352">
        <w:tab/>
      </w:r>
      <w:r w:rsidRPr="00667352">
        <w:tab/>
        <w:t xml:space="preserve">Observaciones finales sobre el séptimo informe </w:t>
      </w:r>
      <w:r w:rsidRPr="00667352">
        <w:br/>
        <w:t>periódico de Costa Rica</w:t>
      </w:r>
      <w:r w:rsidRPr="00667352">
        <w:rPr>
          <w:szCs w:val="20"/>
        </w:rPr>
        <w:t>*</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examinó el séptimo informe periódico de Costa Rica (</w:t>
      </w:r>
      <w:hyperlink r:id="rId15" w:history="1">
        <w:r w:rsidRPr="00667352">
          <w:rPr>
            <w:rFonts w:eastAsia="Times New Roman"/>
            <w:color w:val="3333FF"/>
            <w:kern w:val="14"/>
          </w:rPr>
          <w:t>CEDAW/C/CRI/7</w:t>
        </w:r>
      </w:hyperlink>
      <w:r w:rsidRPr="00667352">
        <w:rPr>
          <w:rFonts w:eastAsia="Times New Roman"/>
          <w:kern w:val="14"/>
        </w:rPr>
        <w:t xml:space="preserve">) en sus sesiones 1508ª y 1509ª (véanse </w:t>
      </w:r>
      <w:hyperlink r:id="rId16" w:history="1">
        <w:r w:rsidRPr="00667352">
          <w:rPr>
            <w:rFonts w:eastAsia="Times New Roman"/>
            <w:color w:val="3333FF"/>
            <w:kern w:val="14"/>
          </w:rPr>
          <w:t>CEDAW/C/SR.1508</w:t>
        </w:r>
      </w:hyperlink>
      <w:r w:rsidRPr="00667352">
        <w:rPr>
          <w:rFonts w:eastAsia="Times New Roman"/>
          <w:kern w:val="14"/>
        </w:rPr>
        <w:t xml:space="preserve"> y </w:t>
      </w:r>
      <w:hyperlink r:id="rId17" w:history="1">
        <w:r w:rsidRPr="00667352">
          <w:rPr>
            <w:rFonts w:eastAsia="Times New Roman"/>
            <w:color w:val="3333FF"/>
            <w:kern w:val="14"/>
          </w:rPr>
          <w:t>1509</w:t>
        </w:r>
      </w:hyperlink>
      <w:r w:rsidRPr="00667352">
        <w:rPr>
          <w:rFonts w:eastAsia="Times New Roman"/>
          <w:kern w:val="14"/>
        </w:rPr>
        <w:t xml:space="preserve">), celebradas el 7 de julio de 2017. La lista de cuestiones y preguntas del Comité figura en el documento </w:t>
      </w:r>
      <w:hyperlink r:id="rId18" w:history="1">
        <w:r w:rsidRPr="00667352">
          <w:rPr>
            <w:rFonts w:eastAsia="Times New Roman"/>
            <w:color w:val="3333FF"/>
            <w:kern w:val="14"/>
          </w:rPr>
          <w:t>CEDAW/C/CRI/Q/7</w:t>
        </w:r>
      </w:hyperlink>
      <w:r w:rsidRPr="00667352">
        <w:rPr>
          <w:rFonts w:eastAsia="Times New Roman"/>
          <w:kern w:val="14"/>
        </w:rPr>
        <w:t xml:space="preserve"> y las respuestas de Costa Rica figuran en el documento </w:t>
      </w:r>
      <w:hyperlink r:id="rId19" w:history="1">
        <w:r w:rsidRPr="00667352">
          <w:rPr>
            <w:rFonts w:eastAsia="Times New Roman"/>
            <w:color w:val="3333FF"/>
            <w:kern w:val="14"/>
          </w:rPr>
          <w:t>CEDAW/C/CRI/Q/7/Add.1</w:t>
        </w:r>
      </w:hyperlink>
      <w:r w:rsidRPr="00667352">
        <w:rPr>
          <w:rFonts w:eastAsia="Times New Roman"/>
          <w:kern w:val="14"/>
        </w:rPr>
        <w:t>.</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667352">
        <w:rPr>
          <w:rFonts w:eastAsia="Times New Roman"/>
          <w:b/>
          <w:kern w:val="14"/>
          <w:sz w:val="24"/>
          <w:szCs w:val="20"/>
        </w:rPr>
        <w:tab/>
        <w:t>A.</w:t>
      </w:r>
      <w:r w:rsidRPr="00667352">
        <w:rPr>
          <w:rFonts w:eastAsia="Times New Roman"/>
          <w:b/>
          <w:kern w:val="14"/>
          <w:sz w:val="24"/>
          <w:szCs w:val="20"/>
        </w:rPr>
        <w:tab/>
        <w:t>Introducción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expresa su agradecimiento al Estado parte por la presentación de su séptimo informe periódico. Agradece también las respuestas escritas del Estado parte a la lista de cuestiones y preguntas planteadas por el grupo de trabajo anterior al período de sesiones, y acoge con beneplácito la presentación oral realizada por la delegación y sus aclaraciones posteriores en respuesta a las preguntas formuladas oralmente por el Comité durante el diálogo.</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encomia al Estado parte por su delegación de alto nivel, que estuvo encabezada por la Ministra de la Condición de la Mujer y Presidenta Ejecutiva del Instituto Nacional de las Mujeres, Alejandra Mora Mora, y estuvo integrada por representantes del Ministerio de Relaciones Exteriores y Culto, la Comisión de Género, el Plan Sectorial de Género y Juventud Rural del Ministerio de Agricultura y Ganadería, el Instituto Nacional de las Mujeres, y la Misión Permanente de Costa Rica ante la Oficina de las Naciones Unidas y otras organizaciones internacionales en Ginebra.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667352">
        <w:rPr>
          <w:rFonts w:eastAsia="Times New Roman"/>
          <w:b/>
          <w:kern w:val="14"/>
          <w:sz w:val="24"/>
          <w:szCs w:val="20"/>
        </w:rPr>
        <w:tab/>
        <w:t>B.</w:t>
      </w:r>
      <w:r w:rsidRPr="00667352">
        <w:rPr>
          <w:rFonts w:eastAsia="Times New Roman"/>
          <w:b/>
          <w:kern w:val="14"/>
          <w:sz w:val="24"/>
          <w:szCs w:val="20"/>
        </w:rPr>
        <w:tab/>
        <w:t>Aspectos positivos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acoge con beneplácito los avances realizados desde el examen en 2011 de los informes periódicos quinto y sexto combinados del Estado parte (</w:t>
      </w:r>
      <w:hyperlink r:id="rId20" w:history="1">
        <w:r w:rsidRPr="00667352">
          <w:rPr>
            <w:rFonts w:eastAsia="Times New Roman"/>
            <w:color w:val="3333FF"/>
            <w:kern w:val="14"/>
          </w:rPr>
          <w:t>CEDAW/C/CRI/5-6</w:t>
        </w:r>
      </w:hyperlink>
      <w:r w:rsidRPr="00667352">
        <w:rPr>
          <w:rFonts w:eastAsia="Times New Roman"/>
          <w:kern w:val="14"/>
        </w:rPr>
        <w:t>) con respecto a la adopción de reformas legislativas, en particular la aprobación de lo siguiente:</w:t>
      </w:r>
    </w:p>
    <w:p w:rsidR="00667352" w:rsidRDefault="00667352">
      <w:pPr>
        <w:suppressAutoHyphens w:val="0"/>
        <w:spacing w:after="200" w:line="276" w:lineRule="auto"/>
        <w:rPr>
          <w:rFonts w:eastAsia="Times New Roman"/>
          <w:kern w:val="14"/>
        </w:rPr>
      </w:pPr>
      <w:r>
        <w:rPr>
          <w:rFonts w:eastAsia="Times New Roman"/>
          <w:kern w:val="14"/>
        </w:rPr>
        <w:br w:type="page"/>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lastRenderedPageBreak/>
        <w:tab/>
        <w:t>a)</w:t>
      </w:r>
      <w:r w:rsidRPr="00667352">
        <w:rPr>
          <w:rFonts w:eastAsia="Times New Roman"/>
          <w:kern w:val="14"/>
        </w:rPr>
        <w:tab/>
        <w:t>La Ley núm. 9406, de 24 de octubre de 2016, para el Fortalecimiento de la Protección Legal de las Niñas y las Adolescentes Mujeres ante Situaciones de Violencia de Género Asociadas a Relaciones Abusivas, que tipifica como delito las relaciones sexuales con niñas menores de 15 años y prohíbe el matrimonio a una edad inferior a 18 años;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Reforma Procesal Laboral de enero de 2016, que prohíbe la discriminación por motivos de género;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Ley núm. 9095 contra la Trata de Personas y Creación de la Coalición Nacional Contra el Tráfico Ilícito de Migrantes (CONATT), en 2013;</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Las enmiendas a la Ley de Violencia Intrafamiliar (Ley núm. 7586), por las que se define el delito de abuso, así como las enmiendas de la Ley de Penalización de la Violencia contra las Mujeres (Ley núm. 8589), por las que se amplían las órdenes de protección en los casos de abuso sexual y la asistencia y asesoramiento jurídico a las víctimas, en 2011.</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celebra las iniciativas del Estado parte para mejorar su marco institucional y normativo con el fin de acelerar la eliminación de la discriminación contra la mujer y promover la igualdad de género, como la aprobación de lo siguiente: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Política Nacional de Atención y Prevención de la Violencia contra las Mujeres y la Violencia Intrafamiliar, que abarca el período 2017-2032 y aborda diferentes formas de violencia de género contra la mujer, como el acoso en lugares públicos;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Política Nacional contra la Trata de Personas y el plan estratégico de trabajo de la Coalición Nacional contra el Tráfico Ilícito y la Trata de Personas, que abarca el período 2016-2020;</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El tercer plan de acción de la Política Nacional para la Igualdad y Equidad de Género, que abarca el período 2015-2018 y prevé medidas específicas para prevenir el embarazo en la adolescencia e introduce becas para las víctimas de la discriminación basada en el género;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Red Nacional de Apoyo para el Fortalecimiento Social y Económico de las Mujeres que fomenta el emprendimiento de las mujeres, en 2014;</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El Programa Nacional para mujeres que se enfrentan a sanciones penales aprobado mediante Decreto ejecutivo núm. 38139-JP, que prevé la protección de la mujer en el sistema penitenciario;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f)</w:t>
      </w:r>
      <w:r w:rsidRPr="00667352">
        <w:rPr>
          <w:rFonts w:eastAsia="Times New Roman"/>
          <w:kern w:val="14"/>
        </w:rPr>
        <w:tab/>
        <w:t>El Programa de Igualdad y Equidad de Género en el Empleo encaminado a promover la entrada de la mujer en el mercado laboral y el compromiso de las empresas privadas con la igualdad de género, en 2013.</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celebra que, en el período transcurrido desde que se examinó su informe anterior, el Estado parte haya ratificado los siguientes instrumentos internacionales o se haya adherido a ellos: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El Protocolo Facultativo de la Convención sobre los Derechos del Niño relativo a un procedimiento de comunicaciones, en 2014;</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El Protocolo Facultativo del Pacto Internacional de Derechos Económicos, Sociales y Culturales, en 2014;</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Convención Internacional para la Protección de Todas las Personas contra las Desapariciones Forzadas, en 2012;</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El Convenio núm. 189 (2011) sobre el trabajo decente para las trabajadoras y los trabajadores domésticos de la Organización Internacional del Trabajo (OIT), en 2014.</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667352">
        <w:rPr>
          <w:rFonts w:eastAsia="Times New Roman"/>
          <w:b/>
          <w:kern w:val="14"/>
          <w:sz w:val="24"/>
          <w:szCs w:val="20"/>
        </w:rPr>
        <w:tab/>
        <w:t>C.</w:t>
      </w:r>
      <w:r w:rsidRPr="00667352">
        <w:rPr>
          <w:rFonts w:eastAsia="Times New Roman"/>
          <w:b/>
          <w:kern w:val="14"/>
          <w:sz w:val="24"/>
          <w:szCs w:val="20"/>
        </w:rPr>
        <w:tab/>
        <w:t>Asamblea Legislativa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A56AC3">
        <w:rPr>
          <w:rFonts w:eastAsia="Times New Roman"/>
          <w:b/>
          <w:kern w:val="14"/>
        </w:rPr>
        <w:t>El Comité destaca el papel crucial que desempeña el poder legislativo a la hora de garantizar la plena aplicación de la Convención (véase la declaración del Comité sobre su relación con los parlamentarios, aprobada en el 45º período de sesiones, en 2010). Invita a la Asamblea Legislativa a que, de conformidad con su mandato, adopte las medidas necesarias para dar aplicación a las presentes observaciones finales desde el momento actual hasta el próximo período de presentación de informes con arreglo a la Convención</w:t>
      </w:r>
      <w:r w:rsidRPr="00667352">
        <w:rPr>
          <w:rFonts w:eastAsia="Times New Roman"/>
          <w:kern w:val="14"/>
        </w:rPr>
        <w:t>.</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667352">
        <w:rPr>
          <w:rFonts w:eastAsia="Times New Roman"/>
          <w:b/>
          <w:kern w:val="14"/>
          <w:sz w:val="24"/>
          <w:szCs w:val="20"/>
        </w:rPr>
        <w:tab/>
        <w:t>D.</w:t>
      </w:r>
      <w:r w:rsidRPr="00667352">
        <w:rPr>
          <w:rFonts w:eastAsia="Times New Roman"/>
          <w:b/>
          <w:kern w:val="14"/>
          <w:sz w:val="24"/>
          <w:szCs w:val="20"/>
        </w:rPr>
        <w:tab/>
        <w:t>Principales esferas de preocupación y recomendaciones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El acceso a la justicia y a los recursos jurídicos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toma nota de que mecanismos como los recursos de amparo permiten a las mujeres reivindicar la protección de sus derechos y acoge con beneplácito el establecimiento de centros de resolución alterna del conflicto que ofrecen servicios gratuitos. Sin embargo,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Las barreras económicas que impiden el acceso de la mujer a la justicia y la limitada cobertura de los Consultorios Jurídicos y las Defensorías del Colegio de Abogados y Abogadas;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falta de información accesible y el desconocimiento entre las mujeres de sus derechos y los recursos legales para reivindicarlos;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Los estereotipos discriminatorios sobre las mujeres que tratan de obtener justicia y el escaso conocimiento de los derechos de la mujer entre los funcionarios encargados de hacer cumplir la ley, incluida la policía, en todo el Estado parte;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color w:val="FF0000"/>
          <w:kern w:val="14"/>
        </w:rPr>
      </w:pPr>
      <w:r w:rsidRPr="00667352">
        <w:rPr>
          <w:rFonts w:eastAsia="Times New Roman"/>
          <w:kern w:val="14"/>
        </w:rPr>
        <w:tab/>
        <w:t>d)</w:t>
      </w:r>
      <w:r w:rsidRPr="00667352">
        <w:rPr>
          <w:rFonts w:eastAsia="Times New Roman"/>
          <w:kern w:val="14"/>
        </w:rPr>
        <w:tab/>
        <w:t>Las barreras al acceso a la justicia para las mujeres indígenas, afrodescendientes, refugiadas y solicitantes de asilo, así como para las mujeres con discapacidad, y la falta de información sobre los recursos de que disponen para denunciar las formas interrelacionadas de discriminación.</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en consonancia con su recomendación general núm. 33 (2015) sobre el acceso de la mujer a la justicia, recomienda que el Estado parte: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Institucionalice y amplíe un servicio público de asistencia letrada que esté debidamente financiado a fin de garantizar la representación legal de las mujeres que no dispongan de medios suficientes en los procedimientos en materia penal, civil y administrativa relacionados con la violencia de género y la discriminación;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t>Refuerce las actividades de divulgación y de creación de capacidad de las mujeres que lleva a cabo el Centro de Información y Orientación del Instituto Nacional de las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t>Garantice que los jueces, los fiscales y los agentes de policía atienden los casos de violencia de género y discriminación contra la mujer de un modo que tenga en cuenta las cuestiones de género y amplíe la creación de capacidad obligatoria a jueces, fiscales, abogados, funcionarios encargados de hacer cumplir la ley y mediadores sobre los derechos de la mujer, en particular su derecho a acceder a la justicia;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t>Diseñe una estrategia, con indicadores destinados a garantizar el acceso a la justicia de las mujeres indígenas, afrodescendientes, refugiadas y solicitantes de asilo, así como de las mujeres con discapacidad, que aborde las barreras lingüísticas y establezca y difunda información sobre recursos y procedimientos legales eficaces que permitan a las mujeres reclamar sus derechos.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Mecanismo nacional encargado del adelanto de la mujer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acoge con satisfacción que la Presidenta Ejecutiva del Instituto Nacional de las Mujeres haya sido elevada a la categoría de Ministra de la Condición de la Mujer y constata la autonomía presupuestaria del Instituto. También reconoce los progresos realizados por el Estado parte en lo que atañe a su Política Nacional para la Igualdad y Equidad de Género (PIEG). Sin embargo,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El papel limitado de la Red Nacional de Unidades de Igualdad de Género a la hora de aplicar y supervisar las políticas públicas sobre igualdad de género, como la Política Nacional para la Igualdad y Equidad de Género (PIEG);</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falta de una autoridad, mandato y conocimientos especializados claros de las Oficinas Municipales de la Mujer a la hora de abordar adecuadamente los derechos humanos de la mujer a nivel local;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ausencia de un sistema integral para generar datos desglosados sobre la violencia de género contra la mujer y de información sobre la participación de las organizaciones de mujeres, incluidas las mujeres con discapacidad, en los mecanismos nacionales encargados del adelanto de la mujer, especialmente a nivel local;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Los desafíos a los que se enfrentan los mecanismos de coordinación interinstitucional en lo que respecta a la aplicación de la Convención, en especial la Plataforma Interinstitucional para la aplicación de la Convención.</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Fortalezca la capacidad de la Red Nacional de Unidades de Igualdad de Género a fin de coordinar mejor la aplicación y la supervisión de las políticas nacionales en materia de igualdad de género;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Refuerce el mandato, las asignaciones presupuestarias y la capacidad de las Oficinas Municipales de la Mujer para abordar los derechos de la mujer y la igualdad de género a nivel local;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Promueva la colaboración con las organizaciones de mujeres en el mecanismo nacional encargado del adelanto de la mujer;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Intensifique la coordinación entre las instituciones de la Plataforma Interinstitucional y garantice que la Convención se aplique de manera armonizada con las recomendaciones de otros mecanismos de derechos humanos internacionales y regionales.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Medidas especiales de carácter temporal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con preocupación la escasa información relativa al uso de medidas especiales de carácter temporal destinadas a lograr la igualdad sustantiva de las mujeres indígenas, afrodescendientes, migrantes, refugiadas y solicitantes de asilo, las mujeres que ejercen de cabeza de familia y las mujeres con discapacidad que se enfrentan a formas interrelacionadas de discriminación.</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recuerda sus observaciones finales anteriores (</w:t>
      </w:r>
      <w:hyperlink r:id="rId21" w:history="1">
        <w:r w:rsidRPr="00667352">
          <w:rPr>
            <w:rFonts w:eastAsia="Times New Roman"/>
            <w:b/>
            <w:bCs/>
            <w:color w:val="3333FF"/>
            <w:kern w:val="14"/>
          </w:rPr>
          <w:t>CEDAW/C/CRI/CO/5-6</w:t>
        </w:r>
      </w:hyperlink>
      <w:r w:rsidRPr="00667352">
        <w:rPr>
          <w:rFonts w:eastAsia="Times New Roman"/>
          <w:b/>
          <w:bCs/>
          <w:kern w:val="14"/>
        </w:rPr>
        <w:t>, párr. 17) y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Promueva una mejor comprensión de las medidas especiales de carácter temporal para adoptarlas y aplicarlas, de conformidad con el artículo 4 1) de la Convención y la recomendación general núm. 25 (2004) del Comité sobre las medidas especiales de carácter temporal, con el objeto de acelerar el logro de la igualdad sustantiva entre mujeres y hombres en todos los ámbitos abarcados por la Convención en los que las mujeres se encuentren insuficientemente representadas o desfavorecidas, como la vida política y económica, la educación, el empleo, la atención sanitaria y la seguridad social;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Aliente la adopción de medidas especiales de carácter temporal a nivel local para hacer frente a las formas interrelacionadas de discriminación contra las mujeres indígenas, afrodescendientes, migrantes, refugiadas y solicitantes de asilo, las mujeres que ejercen de cabeza de familia y las mujeres con discapacidad.</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Estereotipos y prácticas discriminatorias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reconoce las medidas adoptadas por el Estado parte para eliminar los estereotipos de género que discriminan a las mujeres, como por ejemplo las campañas de concienciación y educación para sensibilizar a los políticos y los medios de comunicación acerca de la igualdad de género, las encomiables actividades de creación de capacidad obligatorias del poder judicial sobre la Convención y el establecimiento del Observatorio de la Imagen de las Mujeres en la Publicidad. El Comité expresa, sin embargo, su preocupación por: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persistencia de estereotipos de género discriminatorios sobre el papel y las responsabilidades del hombre y la mujer en la familia y en la sociedad;</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Las declaraciones políticas y campañas públicas estigmatizadoras y peyorativas dirigidas a las mujeres en la vida política y pública, incluidas las defensoras de los derechos humanos;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persistencia de estereotipos de género discriminatorios y de retratos sexistas de la mujer en los medios de comunicación y en la publicidad;</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influencia y promoción negativas de grupos de derechos de hombres y padres, que socavan el reconocimiento de los derechos humanos de la mujer, en particular la igualdad en la vida familiar.</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Elabore una estrategia integral con parámetros de referencia a mediano y largo plazo, destinada a eliminar los estereotipos de género discriminatorios y a defender la dignidad de la mujer y su contribución en todas las esferas de la vida económica y social, recabando en ese sentido la participación de líderes religiosos y organizaciones de la sociedad civil en un diálogo positivo sobre los derechos de la mujer;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Adopte medidas encaminadas a eliminar los estereotipos discriminatorios y actitudes sexistas entre de las autoridades públicas;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Ofrezca actividades de desarrollo de la capacidad en materia de igualdad de género a medios de comunicación públicos y privados, a periodistas, docentes, políticos y otros forjadores de opinión con el fin de eliminar los estereotipos de género discriminatorios en los medios de comunicación, el sistema educativo y el discurso político;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Adopte una estrategia destinada a crear conciencia sobre los derechos humanos de la mujer que aborde la propaganda y las campañas negativas mediante programas de desarrollo de la capacidad públicos y que asegure la participación activa de las organizaciones de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Violencia de género contra las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toma nota del marco legislativo del Estado parte para la prevención y eliminación de la violencia de género contra las mujeres, así como de las medidas adoptadas para dar albergue a las mujeres víctimas de la violencia de género. Sin embargo,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persistencia de diferentes formas de violencia de género contra las mujeres, en espacios públicos y privados, y los bajos porcentajes de condenas en comparación con el elevado número de denuncias recibidas;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falta de información acerca de medidas para prevenir la violencia de género contra las mujeres a nivel local, sobre todo en las zonas rurales y remotas;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falta de información desglosada por sexo, tipo de violencia y la relación entre el perpetrador y la víctima de la violencia en el Sistema Unificado de Medición Estadística de la Violencia de Género;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El gran número de casos notificados de acoso sexual a mujeres en lugares públicos y en el transporte público;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La falta de información sobre la violencia de género contra las mujeres con discapacidades y los medios de reparación y recursos disponibles para las víctimas;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f)</w:t>
      </w:r>
      <w:r w:rsidRPr="00667352">
        <w:rPr>
          <w:rFonts w:eastAsia="Times New Roman"/>
          <w:kern w:val="14"/>
        </w:rPr>
        <w:tab/>
        <w:t xml:space="preserve">La prevalencia de la violencia de género contra las mujeres lesbianas, bisexuales, </w:t>
      </w:r>
      <w:proofErr w:type="spellStart"/>
      <w:r w:rsidRPr="00667352">
        <w:rPr>
          <w:rFonts w:eastAsia="Times New Roman"/>
          <w:kern w:val="14"/>
        </w:rPr>
        <w:t>transgénero</w:t>
      </w:r>
      <w:proofErr w:type="spellEnd"/>
      <w:r w:rsidRPr="00667352">
        <w:rPr>
          <w:rFonts w:eastAsia="Times New Roman"/>
          <w:kern w:val="14"/>
        </w:rPr>
        <w:t xml:space="preserve"> e intersexuales en el Estado parte.</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Refuerce el Sistema Nacional de Atención y Prevención de la Violencia Intrafamiliar y Violencia Contra las Mujeres y prevenga la violencia de género contra las mujeres a nivel local, incluidas las zonas rurales y fronterizas remotas;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 xml:space="preserve">Asigne recursos humanos, técnicos y financieros suficientes al Sistema Unificado de Medición Estadística de la Violencia de Género y aumente las actividades para reunir datos estadísticos y cualitativos sobre los casos de violencia de género contra las mujeres </w:t>
      </w:r>
      <w:proofErr w:type="gramStart"/>
      <w:r w:rsidRPr="00667352">
        <w:rPr>
          <w:rFonts w:eastAsia="Times New Roman"/>
          <w:b/>
          <w:bCs/>
          <w:kern w:val="14"/>
        </w:rPr>
        <w:t>desglosados</w:t>
      </w:r>
      <w:proofErr w:type="gramEnd"/>
      <w:r w:rsidRPr="00667352">
        <w:rPr>
          <w:rFonts w:eastAsia="Times New Roman"/>
          <w:b/>
          <w:bCs/>
          <w:kern w:val="14"/>
        </w:rPr>
        <w:t xml:space="preserve"> por sexo, edad, origen étnico y zonas rurales y urbanas;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Se ocupe del acoso sexual a las mujeres en el lugar de trabajo y en lugares públicos y en el transporte público adoptando procedimientos que tengan en cuenta la perspectiva de género en la investigación del acoso sexual e imponiendo sanciones apropiadas a los perpetradores;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Dé asistencia oportuna a las mujeres víctimas de la violencia sexual y otras formas de violencia de género, y acceso a un número suficiente de albergues distribuidos geográficamente, así como protección contra el feminicidio;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e)</w:t>
      </w:r>
      <w:r w:rsidRPr="00667352">
        <w:rPr>
          <w:rFonts w:eastAsia="Times New Roman"/>
          <w:b/>
          <w:kern w:val="14"/>
        </w:rPr>
        <w:tab/>
      </w:r>
      <w:r w:rsidRPr="00667352">
        <w:rPr>
          <w:rFonts w:eastAsia="Times New Roman"/>
          <w:b/>
          <w:bCs/>
          <w:kern w:val="14"/>
        </w:rPr>
        <w:t>Diseñe una estrategia encaminada a difundir información en formatos accesibles sobre los recursos disponibles en casos de violencia de género contra las mujeres con discapacidades y garantice el acceso de estas mujeres a albergues;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f)</w:t>
      </w:r>
      <w:r w:rsidRPr="00667352">
        <w:rPr>
          <w:rFonts w:eastAsia="Times New Roman"/>
          <w:b/>
          <w:kern w:val="14"/>
        </w:rPr>
        <w:tab/>
      </w:r>
      <w:r w:rsidRPr="00667352">
        <w:rPr>
          <w:rFonts w:eastAsia="Times New Roman"/>
          <w:b/>
          <w:bCs/>
          <w:kern w:val="14"/>
        </w:rPr>
        <w:t xml:space="preserve">Fomente la conciencia pública, en cooperación con organizaciones de la sociedad civil, en lo que respecta a la violencia contra las mujeres lesbianas, bisexuales, </w:t>
      </w:r>
      <w:proofErr w:type="spellStart"/>
      <w:r w:rsidRPr="00667352">
        <w:rPr>
          <w:rFonts w:eastAsia="Times New Roman"/>
          <w:b/>
          <w:bCs/>
          <w:kern w:val="14"/>
        </w:rPr>
        <w:t>transgénero</w:t>
      </w:r>
      <w:proofErr w:type="spellEnd"/>
      <w:r w:rsidRPr="00667352">
        <w:rPr>
          <w:rFonts w:eastAsia="Times New Roman"/>
          <w:b/>
          <w:bCs/>
          <w:kern w:val="14"/>
        </w:rPr>
        <w:t xml:space="preserve"> e intersexuales y adopte medidas para prevenir, investigar, perseguir y castigar debidamente los delitos de odio contra ellas y ofrecer reparación, incluida compensación, a las víctimas.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Las mujeres, la paz y la seguridad</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que el derecho a la paz está reconocido en la Constitución. Sin embargo, toma nota con preocupación de la falta de una estrategia para abordar en general cuestiones relativas a las mujeres y a la paz y la seguridad, teniendo en cuenta los conflictos y la inseguridad existentes en los países vecinos y la afluencia creciente de mujeres refugiadas y solicitantes de asilo como consecuencia de tales conflictos, entre otras causas.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 xml:space="preserve">En consonancia con su recomendación general núm. 30 (2013) sobre las mujeres en la prevención de conflictos y en situaciones de conflicto y posteriores a conflictos, el Comité recomienda al Estado parte que considere la posibilidad de desarrollar un plan nacional de acción para aplicar en su totalidad el programa del Consejo de Seguridad sobre las mujeres, la paz y la seguridad reflejado en las resoluciones del Consejo </w:t>
      </w:r>
      <w:hyperlink r:id="rId22" w:history="1">
        <w:r w:rsidRPr="00667352">
          <w:rPr>
            <w:rFonts w:eastAsia="Times New Roman"/>
            <w:b/>
            <w:bCs/>
            <w:color w:val="3333FF"/>
            <w:kern w:val="14"/>
          </w:rPr>
          <w:t>1325 (2000)</w:t>
        </w:r>
      </w:hyperlink>
      <w:r w:rsidRPr="00667352">
        <w:rPr>
          <w:rFonts w:eastAsia="Times New Roman"/>
          <w:b/>
          <w:bCs/>
          <w:kern w:val="14"/>
        </w:rPr>
        <w:t xml:space="preserve">, </w:t>
      </w:r>
      <w:hyperlink r:id="rId23" w:history="1">
        <w:r w:rsidRPr="00667352">
          <w:rPr>
            <w:rFonts w:eastAsia="Times New Roman"/>
            <w:b/>
            <w:bCs/>
            <w:color w:val="3333FF"/>
            <w:kern w:val="14"/>
          </w:rPr>
          <w:t>1820 (2008)</w:t>
        </w:r>
      </w:hyperlink>
      <w:r w:rsidRPr="00667352">
        <w:rPr>
          <w:rFonts w:eastAsia="Times New Roman"/>
          <w:b/>
          <w:bCs/>
          <w:kern w:val="14"/>
        </w:rPr>
        <w:t xml:space="preserve">, </w:t>
      </w:r>
      <w:hyperlink r:id="rId24" w:history="1">
        <w:r w:rsidRPr="00667352">
          <w:rPr>
            <w:rFonts w:eastAsia="Times New Roman"/>
            <w:b/>
            <w:bCs/>
            <w:color w:val="3333FF"/>
            <w:kern w:val="14"/>
          </w:rPr>
          <w:t>1888 (2009)</w:t>
        </w:r>
      </w:hyperlink>
      <w:r w:rsidRPr="00667352">
        <w:rPr>
          <w:rFonts w:eastAsia="Times New Roman"/>
          <w:b/>
          <w:bCs/>
          <w:kern w:val="14"/>
        </w:rPr>
        <w:t xml:space="preserve">, </w:t>
      </w:r>
      <w:hyperlink r:id="rId25" w:history="1">
        <w:r w:rsidRPr="00667352">
          <w:rPr>
            <w:rFonts w:eastAsia="Times New Roman"/>
            <w:b/>
            <w:bCs/>
            <w:color w:val="3333FF"/>
            <w:kern w:val="14"/>
          </w:rPr>
          <w:t>1889 (2009)</w:t>
        </w:r>
      </w:hyperlink>
      <w:r w:rsidRPr="00667352">
        <w:rPr>
          <w:rFonts w:eastAsia="Times New Roman"/>
          <w:b/>
          <w:bCs/>
          <w:kern w:val="14"/>
        </w:rPr>
        <w:t xml:space="preserve"> y </w:t>
      </w:r>
      <w:hyperlink r:id="rId26" w:history="1">
        <w:r w:rsidRPr="00667352">
          <w:rPr>
            <w:rFonts w:eastAsia="Times New Roman"/>
            <w:b/>
            <w:bCs/>
            <w:color w:val="3333FF"/>
            <w:kern w:val="14"/>
          </w:rPr>
          <w:t>2122 (2013)</w:t>
        </w:r>
      </w:hyperlink>
      <w:r w:rsidRPr="00667352">
        <w:rPr>
          <w:rFonts w:eastAsia="Times New Roman"/>
          <w:b/>
          <w:bCs/>
          <w:kern w:val="14"/>
        </w:rPr>
        <w:t>, en cooperación con representantes de organizaciones de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Tráfico de seres humanos y explotación de la prostitución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 xml:space="preserve">Que el Estado parte es un país de origen, tránsito y destino para el tráfico de personas con fines de explotación sexual y trabajo forzoso, así como el mayor riesgo de tráfico de mujeres y niños con fines sexuales en las zonas costeras del Pacífico y de personas </w:t>
      </w:r>
      <w:proofErr w:type="spellStart"/>
      <w:r w:rsidRPr="00667352">
        <w:rPr>
          <w:rFonts w:eastAsia="Times New Roman"/>
          <w:kern w:val="14"/>
        </w:rPr>
        <w:t>transgénero</w:t>
      </w:r>
      <w:proofErr w:type="spellEnd"/>
      <w:r w:rsidRPr="00667352">
        <w:rPr>
          <w:rFonts w:eastAsia="Times New Roman"/>
          <w:kern w:val="14"/>
        </w:rPr>
        <w:t xml:space="preserve"> y mujeres y niñas migrantes;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falta de conformidad de la definición de la “trata de personas” en la legislación del Estado parte con el Protocolo para Prevenir, Reprimir y Sancionar la Trata de Personas, Especialmente Mujeres y Niños, que complementa la Convención de las Naciones Unidas contra la Delincuencia Organizada Transnacional, y las normas internacionales de derechos humanos;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El escaso número de enjuiciamientos y condenas de traficantes y las deficiencias en los procedimientos de identificación de las víctimas.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Asigne recursos humanos, técnicos y financieros suficientes para la aplicación del Plan Estratégico de la Coalición Nacional contra el Tráfico Ilícito de Migrantes y la Trata de Personas y refuerce las medidas, en particular a nivel local y en las zonas fronterizas, para identificar y remitir a las mujeres y las niñas víctimas de la trata a los servicios sociales oportunos;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Acelere el proceso de armonización de la definición de la trata de personas en su legislación con el Protocolo contra la Trata de Personas y las normas internacionales pertinentes de derechos humanos, incluida la Convención;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Aumente la capacidad de la judicatura y la policía para investigar con eficacia casos de trata de personas y explotación de la prostitución teniendo en cuenta las cuestiones de género a fin de incrementar el número de enjuiciamientos y condenas de perpetradores.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la falta de medidas para proteger a las mujeres que ejercen la prostitución contra la violencia de género así como para garantizar su acceso a la atención de salud y la protección social. Expresa también su preocupación por la falta de programas de ayuda para las mujeres que deseen abandonar la prostitución.</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 se asegure de que se dispone de programas de atención de salud y protección social para las mujeres que ejercen la prostitución, aumente las oportunidades de generación de ingresos para las mujeres y prevea programas de ayuda para las mujeres que deseen abandonar la prostitución.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Participación en la vida política y pública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acoge favorablemente que la resolución núm. 3603-E8-2016 emitida por el Tribunal Supremo de Elecciones requiere la paridad en las listas de candidatos para cargos elegidos a todos los niveles. Sin embargo, el Comité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disminución de la representación de mujeres en la Asamblea Legislativa del 38,6% en 2010 al 35,1% en junio de 2017;</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disminución de la representación de mujeres en el poder ejecutivo, sobre todo del número de ministras del 45% en 2014 al 40% en 2017, así como la escasa representación de mujeres en puestos decisorios de la judicatura y a nivel municipal, donde hay menos de un 14% de alcaldesas;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infrarrepresentación de mujeres en los consejos de administración de empresas privadas;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falta de progresos en la aplicación de las anteriores observaciones finales del Comité acerca de la inclusión de una paridad de género en los puestos ejecutivos (</w:t>
      </w:r>
      <w:hyperlink r:id="rId27" w:history="1">
        <w:r w:rsidRPr="00667352">
          <w:rPr>
            <w:rFonts w:eastAsia="Times New Roman"/>
            <w:color w:val="3333FF"/>
            <w:kern w:val="14"/>
          </w:rPr>
          <w:t>CEDAW/C/CRI/CO/5-6</w:t>
        </w:r>
      </w:hyperlink>
      <w:r w:rsidRPr="00667352">
        <w:rPr>
          <w:rFonts w:eastAsia="Times New Roman"/>
          <w:kern w:val="14"/>
        </w:rPr>
        <w:t>, párr. 25);</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El retraso en la aprobación del proyecto de ley núm. 18719 contra el acoso y/o violencia política hacia las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f)</w:t>
      </w:r>
      <w:r w:rsidRPr="00667352">
        <w:rPr>
          <w:rFonts w:eastAsia="Times New Roman"/>
          <w:kern w:val="14"/>
        </w:rPr>
        <w:tab/>
        <w:t>La falta de información acerca de la situación de las organizaciones no gubernamentales de mujeres y las defensoras de los derechos humanos en el Estado parte.</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Adopte una estrategia para promover la participación plena, igual, libre y democrática de las mujeres en condiciones de igualdad con los hombres en la vida política y pública y apoye las candidaturas y las campañas políticas de mujeres para las elecciones presidenciales que se celebrarán en 2018, entre otras cosas mediante la concienciación de los dirigentes políticos, el fomento de la capacidad y la financiación de las campañas;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Adopte medidas, en particular otras medidas especiales para garantizar la participación política de mujeres y hombres en condiciones de igualdad en el poder ejecutivo y judicial, y promueva la adopción de tales medidas por parte de las administraciones locales;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Garantice la igualdad entre mujeres y hombres para participar en los consejos de administración de empresas privadas, entre otras cosas mediante medidas legislativas, y promueva su participación impartiéndoles formación sobre capacidad de liderazgo;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Garantice la aplicación de la paridad de género en los puestos ejecutivos;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e)</w:t>
      </w:r>
      <w:r w:rsidRPr="00667352">
        <w:rPr>
          <w:rFonts w:eastAsia="Times New Roman"/>
          <w:b/>
          <w:kern w:val="14"/>
        </w:rPr>
        <w:tab/>
      </w:r>
      <w:r w:rsidRPr="00667352">
        <w:rPr>
          <w:rFonts w:eastAsia="Times New Roman"/>
          <w:b/>
          <w:bCs/>
          <w:kern w:val="14"/>
        </w:rPr>
        <w:t>Agilice la aprobación del proyecto de ley para combatir el acoso político y la violencia política contra las mujeres;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f)</w:t>
      </w:r>
      <w:r w:rsidRPr="00667352">
        <w:rPr>
          <w:rFonts w:eastAsia="Times New Roman"/>
          <w:b/>
          <w:kern w:val="14"/>
        </w:rPr>
        <w:tab/>
      </w:r>
      <w:r w:rsidRPr="00667352">
        <w:rPr>
          <w:rFonts w:eastAsia="Times New Roman"/>
          <w:b/>
          <w:bCs/>
          <w:kern w:val="14"/>
        </w:rPr>
        <w:t>Promueva el reconocimiento social, la inclusión y la protección de las organizaciones no gubernamentales de mujeres y las defensoras de los derechos humanos, vele por su seguridad personal y les dé garantías para la realización de su trabajo.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Educación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elogia los logros del Estado parte en la educación (la tasa de alfabetización entre las mujeres adultas en Costa Rica es del 97,71% y entre las jóvenes del 99,43%). También toma nota del Programa de Educación para la Afectividad y la Sexualidad Integral del Estado parte, que incluye un módulo sobre la salud reproductiva para enseñantes y estudiantes. Sin embargo, observa con preocupación: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falta de información desglosada por edad, origen étnico y condición socioeconómica sobre el acceso de las niñas a la educación, en particular su tasa de matriculación, terminación de estudios y abandono escolar a todos los niveles, y sobre una educación bilingüe y culturalmente apropiada para las mujeres y niñas indígenas;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insuficiencia de medidas para reducir el abandono escolar de las adolescentes embarazadas y garantizar su derecho a reincorporarse a la escuela durante el embarazo y después del parto;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El acoso sexual y otras formas de violencia de género contra las niñas en el sistema educativo;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concentración de mujeres en estudios tradicionalmente dominados por ellas;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La infrarrepresentación de mujeres en puestos decisorios en los consejos directivos de universidades públicas;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f)</w:t>
      </w:r>
      <w:r w:rsidRPr="00667352">
        <w:rPr>
          <w:rFonts w:eastAsia="Times New Roman"/>
          <w:kern w:val="14"/>
        </w:rPr>
        <w:tab/>
        <w:t>La falta de información sobre las tasas de matriculación y el acceso efectivo al sistema educativo ordinario de las mujeres y niñas con discapacidades.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Establezca una estrategia e indicadores y plazos cuantificables para la evaluación de los progresos realizados en lo que respecta a la matriculación de las niñas y se asegure de que las mujeres indígenas tengan acceso a una educación bilingüe y culturalmente apropiada;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Elimine la estigmatización de las adolescentes embarazadas y adopte normas y prevea becas para garantizar la reincorporación a la escuela de las jóvenes madres tanto en el sector educativo público como en el privado;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Supervise los resultados del Programa Escuelas para el Cambio con el fin de prevenir el acoso y otras formas de violencia de género contra las niñas en el sistema educativo y garantice la disponibilidad de procedimientos de denuncia para las víctimas, así como acceso a reparación y compensación;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Promueva la elección por parte de mujeres y niñas de estudios y carreras no tradicionales, como matemáticas, ingeniería y nuevas tecnologías de la información, por ejemplo facilitándoles asesoramiento y orientación profesional y adoptando medidas incentivadoras;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e)</w:t>
      </w:r>
      <w:r w:rsidRPr="00667352">
        <w:rPr>
          <w:rFonts w:eastAsia="Times New Roman"/>
          <w:b/>
          <w:kern w:val="14"/>
        </w:rPr>
        <w:tab/>
      </w:r>
      <w:r w:rsidRPr="00667352">
        <w:rPr>
          <w:rFonts w:eastAsia="Times New Roman"/>
          <w:b/>
          <w:bCs/>
          <w:kern w:val="14"/>
        </w:rPr>
        <w:t>Supervise la composición de las juntas de directores y adopte medidas para garantizar la paridad de género en la composición de los órganos rectores en los consejos de dirección de las universidades públicas;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f)</w:t>
      </w:r>
      <w:r w:rsidRPr="00667352">
        <w:rPr>
          <w:rFonts w:eastAsia="Times New Roman"/>
          <w:b/>
          <w:kern w:val="14"/>
        </w:rPr>
        <w:tab/>
      </w:r>
      <w:r w:rsidRPr="00667352">
        <w:rPr>
          <w:rFonts w:eastAsia="Times New Roman"/>
          <w:b/>
          <w:bCs/>
          <w:kern w:val="14"/>
        </w:rPr>
        <w:t>Reúna información sobre el acceso a todos los niveles del sistema educativo ordinario de las mujeres y niñas con discapacidades y adopte un protocolo para que las instituciones educativas les den una acogida razonable.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Empleo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toma nota de la información facilitada por el Estado parte sobre la integración de una perspectiva de género en los programas “Busca empleo” y “Trabajo decente” de la Dirección Nacional de Inspección del Ministerio de Trabajo y Seguridad Social. Con todo, sigue estando preocupado por: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persistencia de la segregación profesional y la concentración de mujeres en empleos poco remunerados, como señaló el Comité en sus anteriores observaciones finales (</w:t>
      </w:r>
      <w:hyperlink r:id="rId28" w:history="1">
        <w:r w:rsidRPr="00667352">
          <w:rPr>
            <w:rFonts w:eastAsia="Times New Roman"/>
            <w:color w:val="3333FF"/>
            <w:kern w:val="14"/>
          </w:rPr>
          <w:t>CEDAW/C/CRI/CO/5-6</w:t>
        </w:r>
      </w:hyperlink>
      <w:r w:rsidRPr="00667352">
        <w:rPr>
          <w:rFonts w:eastAsia="Times New Roman"/>
          <w:kern w:val="14"/>
        </w:rPr>
        <w:t>, párr. 28) y la considerable diferencia salarial entre los géneros;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Las elevadas tasas de desempleo y empleo por cuenta propia entre las mujeres, la excesiva representación de las mujeres en el sector informal de la economía y los limitados planes de protección social para las mujeres que trabajan en él;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infrarrepresentación de mujeres en puestos decisorios de las asociaciones cooperativas;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concesión discrecional de la licencia de paternidad por los empleadores, a falta de una legislación que prevea el derecho a dicha licencia;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La falta de información sobre las inspecciones en los lugares de trabajo en hogares privados para supervisar las condiciones de trabajo de las empleadas domésticas, incluidas las migrantes.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Asegure la aplicación del principio de igual remuneración por trabajo de igual valor y refuerce las estrategias para prevenir la segregación profesional y reducir la diferencia salarial entre los géneros;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Establezca medidas encaminadas a facilitar el acceso de las mujeres al empleo formal teniendo en cuenta la orientación dada en la Recomendación núm. 204 (2015) de la OIT sobre la transición de la economía informal a la economía formal y la meta 8.5 de los Objetivos de Desarrollo Sostenible sobre el logro de un empleo pleno y productivo y un trabajo decente para todas las mujeres y los hombres;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Supervise la composición de los consejos de administración de las asociaciones cooperativas y modifique la legislación para exigir la paridad de género en esa composición;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Apruebe legislación para introducir el derecho legal al permiso de paternidad remunerado y promueva la distribución equitativa de las responsabilidades parentales entre mujeres y hombres;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e)</w:t>
      </w:r>
      <w:r w:rsidRPr="00667352">
        <w:rPr>
          <w:rFonts w:eastAsia="Times New Roman"/>
          <w:b/>
          <w:kern w:val="14"/>
        </w:rPr>
        <w:tab/>
      </w:r>
      <w:r w:rsidRPr="00667352">
        <w:rPr>
          <w:rFonts w:eastAsia="Times New Roman"/>
          <w:b/>
          <w:bCs/>
          <w:kern w:val="14"/>
        </w:rPr>
        <w:t>Desarrolle un plan para aplicar el Convenio núm. 189 (2011) de la OIT sobre el trabajo decente para las trabajadoras y los trabajadores domésticos, garantice que las trabajadoras domésticas, incluidas las migrantes, tengan acceso a recursos efectivos para presentar denuncias por explotación y abusos de sus empleadores, y refuerce el mandato de la Dirección Nacional de Inspección del Trabajo para que supervise las condiciones laborales de las trabajadoras domésticas cuando existan motivos razonables para creer que se vulneran sus derechos en hogares privados.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Salud</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toma nota con preocupación de: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 penalización del aborto en casos de violación, incesto o malformaciones graves del feto, y la falta de accesibilidad a una atención de alta calidad posterior al aborto;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 demora en la aprobación de directrices técnicas sobre el aborto terapéutico, que da lugar a abortos en condiciones de riesgo;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Los obstáculos que impiden a las mujeres y las adolescentes acceder a métodos anticonceptivos modernos, incluidos los anticonceptivos de emergencia, en particular en las zonas rurales y remotas;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Las denuncias de actos de violencia obstétrica cometidos en el contexto de la prestación de servicios de atención al parto, en particular la practicada contra mujeres indígenas a las que se obliga a seguir protocolos incompatibles con sus tradiciones culturales;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e)</w:t>
      </w:r>
      <w:r w:rsidRPr="00667352">
        <w:rPr>
          <w:rFonts w:eastAsia="Times New Roman"/>
          <w:kern w:val="14"/>
        </w:rPr>
        <w:tab/>
        <w:t xml:space="preserve">La falta de acceso de las mujeres a la fecundación </w:t>
      </w:r>
      <w:r w:rsidRPr="00667352">
        <w:rPr>
          <w:rFonts w:eastAsia="Times New Roman"/>
          <w:i/>
          <w:iCs/>
          <w:kern w:val="14"/>
        </w:rPr>
        <w:t>in vitro</w:t>
      </w:r>
      <w:r w:rsidRPr="00667352">
        <w:rPr>
          <w:rFonts w:eastAsia="Times New Roman"/>
          <w:kern w:val="14"/>
        </w:rPr>
        <w:t xml:space="preserve"> en el sistema de salud pública debido a la demora en la aplicación de la legislación que autoriza esta técnica.</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Modifique el Código Penal para legalizar el aborto en los casos de violación, incesto o malformación grave del feto y despenalice el aborto en el resto de los casos, y proporcione a las mujeres servicios de atención de alta calidad posterior al aborto;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Acelere la aprobación de directrices técnicas sobre el aborto terapéutico y ponga en marcha campañas de concienciación para evitar la estigmatización de las mujeres que solicitan un aborto;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Ponga en marcha campañas de concienciación sobre los métodos anticonceptivos modernos y vele por que las mujeres y las adolescentes tengan acceso a métodos anticonceptivos seguros y asequibles, en particular en las zonas rurales y remotas;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Adopte medidas jurídicas y normativas para proteger a las mujeres embarazadas durante el parto, sancione la violencia obstétrica, refuerce los programas de fomento de la capacidad destinados al personal médico, y vele por la supervisión periódica del trato dispensado a los pacientes en hospitales y centros de atención de la salud, en consonancia con las recomendaciones formuladas por la Defensoría de los Habitantes;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e)</w:t>
      </w:r>
      <w:r w:rsidRPr="00667352">
        <w:rPr>
          <w:rFonts w:eastAsia="Times New Roman"/>
          <w:b/>
          <w:kern w:val="14"/>
        </w:rPr>
        <w:tab/>
      </w:r>
      <w:r w:rsidRPr="00667352">
        <w:rPr>
          <w:rFonts w:eastAsia="Times New Roman"/>
          <w:b/>
          <w:bCs/>
          <w:kern w:val="14"/>
        </w:rPr>
        <w:t>Agilice la aplicación en el sistema de salud pública de las disposiciones del Decreto núm. 39210-MP-S, de 10 de septiembre de 2015, por el que se autoriza la técnica de la fecundación</w:t>
      </w:r>
      <w:r w:rsidRPr="00667352">
        <w:rPr>
          <w:rFonts w:eastAsia="Times New Roman"/>
          <w:b/>
          <w:bCs/>
          <w:i/>
          <w:iCs/>
          <w:kern w:val="14"/>
        </w:rPr>
        <w:t xml:space="preserve"> in vitro</w:t>
      </w:r>
      <w:r w:rsidRPr="00667352">
        <w:rPr>
          <w:rFonts w:eastAsia="Times New Roman"/>
          <w:b/>
          <w:bCs/>
          <w:kern w:val="14"/>
        </w:rPr>
        <w:t>.</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 xml:space="preserve">Prestaciones económicas y sociales y empoderamiento económico </w:t>
      </w:r>
      <w:r w:rsidRPr="00667352">
        <w:rPr>
          <w:rFonts w:eastAsia="Times New Roman"/>
          <w:b/>
          <w:kern w:val="14"/>
          <w:szCs w:val="20"/>
        </w:rPr>
        <w:br/>
        <w:t>de la mujer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toma nota de las medidas adoptadas por el Estado parte para promover la iniciativa empresarial de la mujer y la concesión de préstamos y otras formas de crédito financiero a las mujeres. No obstante, observa con preocupación que no se ha indicado si se consultó a las organizaciones de mujeres en los procesos de elaboración y aplicación de estrategias nacionales para el logro de los Objetivos de Desarrollo Sostenible. También preocupa al Comité el limitado alcance de los programas sociales, incluidos los planes de protección social, dirigidos a las mujeres que viven en la pobreza, las mujeres migrantes y refugiadas, las mujeres indígenas y afrodescendientes y las mujeres con discapacidad.</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Procure que se consulte regularmente a las organizaciones de mujeres en los procesos de elaboración y aplicación de las estrategias nacionales para el logro de los Objetivos de Desarrollo Sostenible;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Incremente la asignación de recursos destinada a aumentar el acceso de las mujeres a los microcréditos, préstamos y otras formas de crédito financiero a fin de promover su iniciativa empresarial y empoderarlas económicamente, centrando la atención en las mujeres indígenas, afrodescendientes, migrantes y refugiadas, así como en las mujeres con discapacidad, y ofrezca a las mujeres oportunidades de fomento de la capacidad para mejorar sus competencias de gestión.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Mujeres de las zonas rurales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acoge con satisfacción las medidas adoptadas por el Estado parte para promover la participación de las mujeres de las zonas rurales en los consejos y comités directivos de desarrollo rural, así como el Plan Sectorial de Desarrollo Agropecuario y Rural que abarca el período 2015-2018. No obstante, le preocupan: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Las barreras que impiden el acceso de las mujeres de las zonas rurales a la propiedad de la tierra y sus correspondientes títulos;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El grado insuficiente en que las mujeres de las zonas rurales se benefician de los proyectos de desarrollo rural llevados a cabo a nivel territorial por los consejos de desarrollo rural;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 xml:space="preserve">La limitada repercusión de las medidas adoptadas para eliminar los estereotipos de género discriminatorios que refuerzan los roles de amas de casa y cuidadoras </w:t>
      </w:r>
      <w:proofErr w:type="gramStart"/>
      <w:r w:rsidRPr="00667352">
        <w:rPr>
          <w:rFonts w:eastAsia="Times New Roman"/>
          <w:kern w:val="14"/>
        </w:rPr>
        <w:t>asignados</w:t>
      </w:r>
      <w:proofErr w:type="gramEnd"/>
      <w:r w:rsidRPr="00667352">
        <w:rPr>
          <w:rFonts w:eastAsia="Times New Roman"/>
          <w:kern w:val="14"/>
        </w:rPr>
        <w:t xml:space="preserve"> a las mujeres de las zonas rurales;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Las deficiencias en el acceso de las mujeres de las zonas rurales a las tecnologías y a los equipos agrícolas que ahorran trabajo humano.</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De conformidad con su recomendación general núm. 34 (2016), relativa a los derechos de las mujeres rurales, 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Elabore una estrategia para garantizar el acceso de las mujeres rurales a la propiedad de la tierra y sus correspondientes títulos y mejore su seguridad de la tenencia de la tierra;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Aumente el grado en que las mujeres rurales se benefician efectivamente de los proyectos de desarrollo rural y siga reforzando la participación de las mujeres en las instancias decisorias que determinan la gobernanza territorial, en particular los comités directivos de los Consejos Territoriales de Desarrollo Rural;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Refuerce las medidas de lucha contra los roles de género estereotipados y las desigualdades en el hogar que afectan a las mujeres rurales, y amplíe el programa “Mujeres del campo: tierra, derechos y expresión” y las actividades de fomento de la capacidad en materia de derechos humanos destinadas a las mujeres rurales;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Facilite un acceso efectivo de las mujeres rurales a tecnologías agrícolas adecuadas, a las tecnologías de la información y las comunicaciones y a las redes móviles.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Mujeres indígenas y afrodescendientes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con preocupación que no se respeta el principio del consentimiento libre, previo e informado ni se consulta a las mujeres indígenas y afrodescendientes en el contexto de los proyectos de desarrollo que afectan a sus derechos colectivos a la propiedad de la tierra. Considera preocupantes asimismo las consecuencias de los desalojos forzosos de las mujeres indígenas y afrodescendientes de las tierras tradicionalmente ocupadas o utilizadas por ellas y las expropiaciones de esas tierras por agentes privados no estatales.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Adopte medidas firmes contra la expropiación de las tierras tradicionalmente ocupadas o utilizadas por las mujeres indígenas y afrodescendientes y contra los desalojos forzosos de esas mujeres, refuerce las garantías jurídicas y procesales destinadas a protegerlas y vele por la participación significativa de esas mujeres en los procesos de adopción de decisiones en relación con el uso de las tierras indígenas tradicionales;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Establezca y utilice mecanismos eficaces de consulta para obtener el consentimiento libre, previo e informado de las mujeres indígenas y asegurar la distribución de los beneficios en el contexto de los proyectos de desarrollo y de otros usos de sus tierras y recursos naturales, y evalúe y atenúe las consecuencias que entrañan para los derechos de las mujeres indígenas y afrodescendientes la creación de zonas protegidas y la aprobación de políticas públicas ambientales.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Mujeres migrantes, refugiadas y solicitantes de asilo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observa que las mujeres y los hombres solicitantes de asilo tienen derecho a trabajar en el Estado parte una vez que han sido reconocidos como solicitantes. Sin embargo, considera preocupantes: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Las formas interrelacionadas de discriminación que sufren las mujeres migrantes, en particular las que se encuentran en situación irregular;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Las largas demoras en los procedimientos de determinación de la condición de refugiado, así como las elevadas tasas y las barreras administrativas a que deben hacer frente las mujeres y niñas refugiadas y solicitantes de asilo para obtener documentos de identidad sin los que no pueden acceder a la atención de la salud, la vivienda, la educación y la protección social;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El limitado acceso a los servicios de salud de que disponen las mujeres solicitantes de asilo que no contribuyen a la Caja Costarricense de Seguro Social;</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 xml:space="preserve">La inadecuación de las condiciones de los centros de detención de migrantes para albergar a mujeres </w:t>
      </w:r>
      <w:proofErr w:type="spellStart"/>
      <w:r w:rsidRPr="00667352">
        <w:rPr>
          <w:rFonts w:eastAsia="Times New Roman"/>
          <w:kern w:val="14"/>
        </w:rPr>
        <w:t>transgénero</w:t>
      </w:r>
      <w:proofErr w:type="spellEnd"/>
      <w:r w:rsidRPr="00667352">
        <w:rPr>
          <w:rFonts w:eastAsia="Times New Roman"/>
          <w:kern w:val="14"/>
        </w:rPr>
        <w:t xml:space="preserve"> durante el procedimiento de determinación de la condición de refugiado.</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Evalúe los problemas a que se enfrentan las mujeres migrantes, incluidas las que se encuentran en situación irregular, en cada fase del proceso de migración, y elimine la discriminación de que son objeto, atendiendo a la recomendación general núm. 26 (2008) del Comité, relativa a las trabajadoras migratorias;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Refuerce las medidas destinadas a reducir las demoras en los procedimientos de determinación de la condición de refugiado y en las decisiones sobre las apelaciones, en particular aumentando los recursos humanos, técnicos y financieros de la Unidad de Refugiados, la Comisión de Visas Restringidas y Refugio y el Tribunal Administrativo Migratorio;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Reduzca las tasas de solicitud y elimine las barreras administrativas a que deben hacer frente las mujeres y niñas refugiadas y solicitantes de asilo para obtener documentos de identidad, a fin de garantizar su acceso efectivo al empleo, la atención de la salud, la vivienda y la educación;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 xml:space="preserve">Adopte directrices para velar adecuadamente por la protección de las mujeres </w:t>
      </w:r>
      <w:proofErr w:type="spellStart"/>
      <w:r w:rsidRPr="00667352">
        <w:rPr>
          <w:rFonts w:eastAsia="Times New Roman"/>
          <w:b/>
          <w:bCs/>
          <w:kern w:val="14"/>
        </w:rPr>
        <w:t>transgénero</w:t>
      </w:r>
      <w:proofErr w:type="spellEnd"/>
      <w:r w:rsidRPr="00667352">
        <w:rPr>
          <w:rFonts w:eastAsia="Times New Roman"/>
          <w:b/>
          <w:bCs/>
          <w:kern w:val="14"/>
        </w:rPr>
        <w:t xml:space="preserve"> a lo largo de todo el procedimiento de determinación de la condición de refugiado.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Formas interrelacionadas de discriminación y recopilación de datos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 xml:space="preserve">El Comité expresa su preocupación por la insuficiencia de legislación y políticas públicas para hacer frente a las formas múltiples de discriminación que padecen las mujeres indígenas, afrodescendientes, migrantes, solicitantes y refugiadas, las mujeres con discapacidad, las mujeres de edad y las mujeres lesbianas, bisexuales, </w:t>
      </w:r>
      <w:proofErr w:type="spellStart"/>
      <w:r w:rsidRPr="00667352">
        <w:rPr>
          <w:rFonts w:eastAsia="Times New Roman"/>
          <w:kern w:val="14"/>
        </w:rPr>
        <w:t>transgénero</w:t>
      </w:r>
      <w:proofErr w:type="spellEnd"/>
      <w:r w:rsidRPr="00667352">
        <w:rPr>
          <w:rFonts w:eastAsia="Times New Roman"/>
          <w:kern w:val="14"/>
        </w:rPr>
        <w:t xml:space="preserve"> e intersexuales, y la escasa información desglosada sobre ellas.</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 adopte medidas legislativas y de otra índole, en particular medidas especiales de carácter temporal, encaminadas a proteger a las mujeres de los grupos antes mencionados frente a las formas interrelacionadas de discriminación y que reúna datos estadísticos desglosados por sexo y edad, para todos los grupos mencionados en todos los ámbitos de la Convención, en las esferas pública y privada.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Matrimonio y relaciones familiares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kern w:val="14"/>
        </w:rPr>
      </w:pPr>
      <w:r w:rsidRPr="00667352">
        <w:rPr>
          <w:rFonts w:eastAsia="Times New Roman"/>
          <w:kern w:val="14"/>
        </w:rPr>
        <w:t>El Comité expresa su preocupación por:</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a)</w:t>
      </w:r>
      <w:r w:rsidRPr="00667352">
        <w:rPr>
          <w:rFonts w:eastAsia="Times New Roman"/>
          <w:kern w:val="14"/>
        </w:rPr>
        <w:tab/>
        <w:t>El hecho de que los mecanismos legislativos existentes no tienen debidamente en cuenta la violencia de género en la esfera doméstica al determinar la custodia de los hijos;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b)</w:t>
      </w:r>
      <w:r w:rsidRPr="00667352">
        <w:rPr>
          <w:rFonts w:eastAsia="Times New Roman"/>
          <w:kern w:val="14"/>
        </w:rPr>
        <w:tab/>
        <w:t>El efecto negativo de los grupos defensores de los derechos de padres y del discurso público sobre el denominado “síndrome de distanciamiento entre padre e hijos”;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c)</w:t>
      </w:r>
      <w:r w:rsidRPr="00667352">
        <w:rPr>
          <w:rFonts w:eastAsia="Times New Roman"/>
          <w:kern w:val="14"/>
        </w:rPr>
        <w:tab/>
        <w:t>La falta de mecanismos jurídicos que prevean el reconocimiento de activos intangibles, como las prestaciones relacionadas con el trabajo, a efectos de la distribución de bienes en caso de divorcio, y la asistencia jurídica insuficiente ofrecida a las mujeres en los procesos de divorcio, que impiden a las mujeres ejercer sus derechos a la propiedad tras la disolución del matrimonio;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kern w:val="14"/>
        </w:rPr>
        <w:tab/>
        <w:t>d)</w:t>
      </w:r>
      <w:r w:rsidRPr="00667352">
        <w:rPr>
          <w:rFonts w:eastAsia="Times New Roman"/>
          <w:kern w:val="14"/>
        </w:rPr>
        <w:tab/>
        <w:t>La protección insuficiente de las mujeres en las uniones de hecho, en particular en los casos de separación.</w:t>
      </w: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recomienda al Estado parte que: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a)</w:t>
      </w:r>
      <w:r w:rsidRPr="00667352">
        <w:rPr>
          <w:rFonts w:eastAsia="Times New Roman"/>
          <w:b/>
          <w:kern w:val="14"/>
        </w:rPr>
        <w:tab/>
      </w:r>
      <w:r w:rsidRPr="00667352">
        <w:rPr>
          <w:rFonts w:eastAsia="Times New Roman"/>
          <w:b/>
          <w:bCs/>
          <w:kern w:val="14"/>
        </w:rPr>
        <w:t>Aborde de manera apropiada la consideración de las necesidades específicas de las mujeres y los niños a la hora de determinar la custodia de los hijos en los casos de violencia de género en el ámbito doméstico;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b)</w:t>
      </w:r>
      <w:r w:rsidRPr="00667352">
        <w:rPr>
          <w:rFonts w:eastAsia="Times New Roman"/>
          <w:b/>
          <w:kern w:val="14"/>
        </w:rPr>
        <w:tab/>
      </w:r>
      <w:r w:rsidRPr="00667352">
        <w:rPr>
          <w:rFonts w:eastAsia="Times New Roman"/>
          <w:b/>
          <w:bCs/>
          <w:kern w:val="14"/>
        </w:rPr>
        <w:t>Adopte todas las medidas necesarias para desalentar el uso del “síndrome de distanciamiento entre padre e hijos” por parte de los expertos y los tribunales en los casos de custodia;</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rPr>
      </w:pPr>
      <w:r w:rsidRPr="00667352">
        <w:rPr>
          <w:rFonts w:eastAsia="Times New Roman"/>
          <w:b/>
          <w:kern w:val="14"/>
        </w:rPr>
        <w:tab/>
        <w:t>c)</w:t>
      </w:r>
      <w:r w:rsidRPr="00667352">
        <w:rPr>
          <w:rFonts w:eastAsia="Times New Roman"/>
          <w:b/>
          <w:kern w:val="14"/>
        </w:rPr>
        <w:tab/>
      </w:r>
      <w:r w:rsidRPr="00667352">
        <w:rPr>
          <w:rFonts w:eastAsia="Times New Roman"/>
          <w:b/>
          <w:bCs/>
          <w:kern w:val="14"/>
        </w:rPr>
        <w:t>Adopte directrices sobre el reconocimiento del trabajo doméstico no remunerado a efectos del reparto de los bienes matrimoniales conjuntos, así como sobre la indemnización de los cónyuges económicamente desfavorecidos para su utilización en procedimientos de divorcio, en consonancia con la recomendación general núm. 29 (2013) del Comité relativa a las consecuencias económicas del matrimonio, las relaciones familiares y su disolución;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667352">
        <w:rPr>
          <w:rFonts w:eastAsia="Times New Roman"/>
          <w:b/>
          <w:kern w:val="14"/>
        </w:rPr>
        <w:tab/>
        <w:t>d)</w:t>
      </w:r>
      <w:r w:rsidRPr="00667352">
        <w:rPr>
          <w:rFonts w:eastAsia="Times New Roman"/>
          <w:b/>
          <w:kern w:val="14"/>
        </w:rPr>
        <w:tab/>
      </w:r>
      <w:r w:rsidRPr="00667352">
        <w:rPr>
          <w:rFonts w:eastAsia="Times New Roman"/>
          <w:b/>
          <w:bCs/>
          <w:kern w:val="14"/>
        </w:rPr>
        <w:t>Adopte todas las medidas necesarias, incluso de carácter legislativo, a fin de velar por que las mujeres gocen de una protección jurídica adecuada durante las uniones de hecho y tras su disolución.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Declaración y Plataforma de Acción de Beijing</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insta al Estado parte a que haga uso de la Declaración y Plataforma de Acción de Beijing en sus iniciativas encaminadas a poner en práctica las disposiciones de la Convención.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Agenda 2030 para el Desarrollo Sostenible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pide que se haga efectiva la igualdad de género sustantiva, de conformidad con las disposiciones de la Convención, en todo el proceso de aplicación de la Agenda 2030 para el Desarrollo Sostenible.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Difusión</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el Parlamento y el poder judicial, a fin de posibilitar su pleno cumplimiento.</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Ratificación de otros tratados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señala que la adhesión del Estado parte a los nueve principales instrumentos internacionales de derechos humanos</w:t>
      </w:r>
      <w:r w:rsidRPr="00667352">
        <w:rPr>
          <w:rFonts w:eastAsia="Times New Roman"/>
          <w:b/>
          <w:bCs/>
          <w:spacing w:val="5"/>
          <w:kern w:val="14"/>
          <w:vertAlign w:val="superscript"/>
        </w:rPr>
        <w:footnoteReference w:id="1"/>
      </w:r>
      <w:r w:rsidRPr="00667352">
        <w:rPr>
          <w:rFonts w:eastAsia="Times New Roman"/>
          <w:b/>
          <w:bCs/>
          <w:kern w:val="14"/>
        </w:rPr>
        <w:t xml:space="preserve"> potenciaría el disfrute por la mujer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Seguimiento de las observaciones finales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pide al Estado parte que, en el plazo de dos años, proporcione información por escrito sobre las medidas adoptadas para aplicar las recomendaciones que figuran en los párrafos 29 d) y e) y 31 b) y d) anteriores.</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Default="00667352">
      <w:pPr>
        <w:suppressAutoHyphens w:val="0"/>
        <w:spacing w:after="200" w:line="276" w:lineRule="auto"/>
        <w:rPr>
          <w:rFonts w:eastAsia="Times New Roman"/>
          <w:b/>
          <w:kern w:val="14"/>
          <w:szCs w:val="20"/>
        </w:rPr>
      </w:pPr>
      <w:r>
        <w:rPr>
          <w:rFonts w:eastAsia="Times New Roman"/>
          <w:b/>
          <w:kern w:val="14"/>
          <w:szCs w:val="20"/>
        </w:rPr>
        <w:br w:type="page"/>
      </w:r>
    </w:p>
    <w:p w:rsidR="00667352" w:rsidRPr="00667352" w:rsidRDefault="00667352" w:rsidP="00667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kern w:val="14"/>
          <w:szCs w:val="20"/>
        </w:rPr>
      </w:pPr>
      <w:r w:rsidRPr="00667352">
        <w:rPr>
          <w:rFonts w:eastAsia="Times New Roman"/>
          <w:b/>
          <w:kern w:val="14"/>
          <w:szCs w:val="20"/>
        </w:rPr>
        <w:tab/>
      </w:r>
      <w:r w:rsidRPr="00667352">
        <w:rPr>
          <w:rFonts w:eastAsia="Times New Roman"/>
          <w:b/>
          <w:kern w:val="14"/>
          <w:szCs w:val="20"/>
        </w:rPr>
        <w:tab/>
        <w:t>Preparación del próximo informe</w:t>
      </w:r>
    </w:p>
    <w:p w:rsidR="00667352" w:rsidRPr="00667352" w:rsidRDefault="00667352" w:rsidP="006673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667352" w:rsidRPr="00667352" w:rsidRDefault="00667352" w:rsidP="00667352">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4" w:lineRule="exact"/>
        <w:ind w:left="1267" w:right="1267" w:firstLine="0"/>
        <w:jc w:val="both"/>
        <w:rPr>
          <w:rFonts w:eastAsia="Times New Roman"/>
          <w:b/>
          <w:bCs/>
          <w:kern w:val="14"/>
        </w:rPr>
      </w:pPr>
      <w:r w:rsidRPr="00667352">
        <w:rPr>
          <w:rFonts w:eastAsia="Times New Roman"/>
          <w:b/>
          <w:bCs/>
          <w:kern w:val="14"/>
        </w:rPr>
        <w:t>El Comité invita al Estado parte a que presente su octavo informe periódico en julio de 2021. El informe deberá presentarse a tiempo y, en caso de demora, abarcar todo el período hasta el momento de su presentación.</w:t>
      </w:r>
    </w:p>
    <w:p w:rsidR="00667352" w:rsidRPr="00667352" w:rsidRDefault="00667352" w:rsidP="00667352">
      <w:pPr>
        <w:pStyle w:val="SingleTxt"/>
        <w:numPr>
          <w:ilvl w:val="0"/>
          <w:numId w:val="38"/>
        </w:numPr>
        <w:tabs>
          <w:tab w:val="clear" w:pos="475"/>
          <w:tab w:val="right" w:pos="1022"/>
        </w:tabs>
        <w:ind w:left="1267" w:right="1260"/>
      </w:pPr>
      <w:r w:rsidRPr="00667352">
        <w:rPr>
          <w:rFonts w:eastAsia="Times New Roman"/>
          <w:b/>
          <w:bCs/>
          <w:kern w:val="0"/>
        </w:rPr>
        <w:t xml:space="preserve">El Comité invita al Estado </w:t>
      </w:r>
      <w:bookmarkStart w:id="2" w:name="TmpSave"/>
      <w:bookmarkEnd w:id="2"/>
      <w:r w:rsidRPr="00667352">
        <w:rPr>
          <w:rFonts w:eastAsia="Times New Roman"/>
          <w:b/>
          <w:bCs/>
          <w:kern w:val="0"/>
        </w:rPr>
        <w:t xml:space="preserve">parte a aplicar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9" w:history="1">
        <w:r w:rsidRPr="00667352">
          <w:rPr>
            <w:rFonts w:eastAsia="Times New Roman"/>
            <w:b/>
            <w:bCs/>
            <w:color w:val="3333FF"/>
            <w:kern w:val="0"/>
          </w:rPr>
          <w:t>HRI/GEN/2/Rev.6</w:t>
        </w:r>
      </w:hyperlink>
      <w:r w:rsidRPr="00667352">
        <w:rPr>
          <w:rFonts w:eastAsia="Times New Roman"/>
          <w:b/>
          <w:bCs/>
          <w:kern w:val="0"/>
        </w:rPr>
        <w:t>, cap. I).</w:t>
      </w:r>
    </w:p>
    <w:p w:rsidR="00667352" w:rsidRPr="00667352" w:rsidRDefault="00667352" w:rsidP="00667352">
      <w:pPr>
        <w:pStyle w:val="SingleTxt"/>
        <w:tabs>
          <w:tab w:val="right" w:pos="1022"/>
        </w:tabs>
        <w:ind w:right="1260"/>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67352" w:rsidRPr="00667352" w:rsidSect="0066735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2:01:00Z" w:initials="Start">
    <w:p w:rsidR="003E56C7" w:rsidRPr="00667352" w:rsidRDefault="003E56C7">
      <w:pPr>
        <w:pStyle w:val="CommentText"/>
        <w:rPr>
          <w:lang w:val="en-US"/>
        </w:rPr>
      </w:pPr>
      <w:r>
        <w:fldChar w:fldCharType="begin"/>
      </w:r>
      <w:r w:rsidRPr="00667352">
        <w:rPr>
          <w:rStyle w:val="CommentReference"/>
          <w:lang w:val="en-US"/>
        </w:rPr>
        <w:instrText xml:space="preserve"> </w:instrText>
      </w:r>
      <w:r w:rsidRPr="00667352">
        <w:rPr>
          <w:lang w:val="en-US"/>
        </w:rPr>
        <w:instrText>PAGE \# "'Page: '#'</w:instrText>
      </w:r>
      <w:r w:rsidRPr="00667352">
        <w:rPr>
          <w:lang w:val="en-US"/>
        </w:rPr>
        <w:br/>
        <w:instrText>'"</w:instrText>
      </w:r>
      <w:r w:rsidRPr="00667352">
        <w:rPr>
          <w:rStyle w:val="CommentReference"/>
          <w:lang w:val="en-US"/>
        </w:rPr>
        <w:instrText xml:space="preserve"> </w:instrText>
      </w:r>
      <w:r>
        <w:fldChar w:fldCharType="end"/>
      </w:r>
      <w:r>
        <w:rPr>
          <w:rStyle w:val="CommentReference"/>
        </w:rPr>
        <w:annotationRef/>
      </w:r>
      <w:r w:rsidRPr="00667352">
        <w:rPr>
          <w:lang w:val="en-US"/>
        </w:rPr>
        <w:t>&lt;&lt;ODS JOB NO&gt;&gt;N1722740S&lt;&lt;ODS JOB NO&gt;&gt;</w:t>
      </w:r>
    </w:p>
    <w:p w:rsidR="003E56C7" w:rsidRPr="00667352" w:rsidRDefault="003E56C7">
      <w:pPr>
        <w:pStyle w:val="CommentText"/>
        <w:rPr>
          <w:lang w:val="en-US"/>
        </w:rPr>
      </w:pPr>
      <w:r w:rsidRPr="00667352">
        <w:rPr>
          <w:lang w:val="en-US"/>
        </w:rPr>
        <w:t>&lt;&lt;ODS DOC SYMBOL1&gt;&gt;CEDAW/C/CRI/CO/7&lt;&lt;ODS DOC SYMBOL1&gt;&gt;</w:t>
      </w:r>
    </w:p>
    <w:p w:rsidR="003E56C7" w:rsidRPr="00A56AC3" w:rsidRDefault="003E56C7">
      <w:pPr>
        <w:pStyle w:val="CommentText"/>
        <w:rPr>
          <w:lang w:val="en-US"/>
        </w:rPr>
      </w:pPr>
      <w:r w:rsidRPr="00A56A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6B9" w:rsidRDefault="001F26B9" w:rsidP="00556720">
      <w:r>
        <w:separator/>
      </w:r>
    </w:p>
  </w:endnote>
  <w:endnote w:type="continuationSeparator" w:id="0">
    <w:p w:rsidR="001F26B9" w:rsidRDefault="001F26B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E56C7" w:rsidTr="003E56C7">
      <w:tc>
        <w:tcPr>
          <w:tcW w:w="5028" w:type="dxa"/>
          <w:shd w:val="clear" w:color="auto" w:fill="auto"/>
        </w:tcPr>
        <w:p w:rsidR="003E56C7" w:rsidRPr="003E56C7" w:rsidRDefault="003E56C7" w:rsidP="003E56C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17-11285</w:t>
          </w:r>
          <w:r>
            <w:rPr>
              <w:b w:val="0"/>
              <w:color w:val="000000"/>
              <w:w w:val="103"/>
              <w:sz w:val="14"/>
            </w:rPr>
            <w:fldChar w:fldCharType="end"/>
          </w:r>
        </w:p>
      </w:tc>
      <w:tc>
        <w:tcPr>
          <w:tcW w:w="5028" w:type="dxa"/>
          <w:shd w:val="clear" w:color="auto" w:fill="auto"/>
        </w:tcPr>
        <w:p w:rsidR="003E56C7" w:rsidRPr="003E56C7" w:rsidRDefault="003E56C7" w:rsidP="003E56C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0706">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0706">
            <w:rPr>
              <w:color w:val="000000"/>
              <w:w w:val="103"/>
            </w:rPr>
            <w:t>16</w:t>
          </w:r>
          <w:r>
            <w:rPr>
              <w:color w:val="000000"/>
              <w:w w:val="103"/>
            </w:rPr>
            <w:fldChar w:fldCharType="end"/>
          </w:r>
        </w:p>
      </w:tc>
    </w:tr>
  </w:tbl>
  <w:p w:rsidR="003E56C7" w:rsidRPr="003E56C7" w:rsidRDefault="003E56C7" w:rsidP="003E56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E56C7" w:rsidTr="003E56C7">
      <w:tc>
        <w:tcPr>
          <w:tcW w:w="5028" w:type="dxa"/>
          <w:shd w:val="clear" w:color="auto" w:fill="auto"/>
        </w:tcPr>
        <w:p w:rsidR="003E56C7" w:rsidRPr="003E56C7" w:rsidRDefault="003E56C7" w:rsidP="003E56C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0706">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0706">
            <w:rPr>
              <w:color w:val="000000"/>
              <w:w w:val="103"/>
            </w:rPr>
            <w:t>16</w:t>
          </w:r>
          <w:r>
            <w:rPr>
              <w:color w:val="000000"/>
              <w:w w:val="103"/>
            </w:rPr>
            <w:fldChar w:fldCharType="end"/>
          </w:r>
        </w:p>
      </w:tc>
      <w:tc>
        <w:tcPr>
          <w:tcW w:w="5028" w:type="dxa"/>
          <w:shd w:val="clear" w:color="auto" w:fill="auto"/>
        </w:tcPr>
        <w:p w:rsidR="003E56C7" w:rsidRPr="003E56C7" w:rsidRDefault="003E56C7" w:rsidP="003E56C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17-11285</w:t>
          </w:r>
          <w:r>
            <w:rPr>
              <w:b w:val="0"/>
              <w:color w:val="000000"/>
              <w:w w:val="103"/>
              <w:sz w:val="14"/>
            </w:rPr>
            <w:fldChar w:fldCharType="end"/>
          </w:r>
        </w:p>
      </w:tc>
    </w:tr>
  </w:tbl>
  <w:p w:rsidR="003E56C7" w:rsidRPr="003E56C7" w:rsidRDefault="003E56C7" w:rsidP="003E56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C7" w:rsidRPr="003E56C7" w:rsidRDefault="003E56C7" w:rsidP="003E56C7">
    <w:pPr>
      <w:pStyle w:val="Footer"/>
      <w:spacing w:line="120" w:lineRule="exact"/>
      <w:rPr>
        <w:b w:val="0"/>
        <w:sz w:val="10"/>
      </w:rPr>
    </w:pPr>
    <w:r>
      <w:rPr>
        <w:b w:val="0"/>
        <w:sz w:val="10"/>
      </w:rPr>
      <w:drawing>
        <wp:anchor distT="0" distB="0" distL="114300" distR="114300" simplePos="0" relativeHeight="251658240" behindDoc="0" locked="0" layoutInCell="1" allowOverlap="1" wp14:anchorId="7AD0DB1B" wp14:editId="3972A1E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RI/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3E56C7" w:rsidTr="003E56C7">
      <w:tc>
        <w:tcPr>
          <w:tcW w:w="3830" w:type="dxa"/>
        </w:tcPr>
        <w:p w:rsidR="003E56C7" w:rsidRDefault="003E56C7" w:rsidP="003E56C7">
          <w:pPr>
            <w:pStyle w:val="ReleaseDate"/>
          </w:pPr>
          <w:r>
            <w:t>17-11285</w:t>
          </w:r>
          <w:r w:rsidR="00667352">
            <w:t>X</w:t>
          </w:r>
          <w:r>
            <w:t xml:space="preserve"> (S)    </w:t>
          </w:r>
        </w:p>
        <w:p w:rsidR="003E56C7" w:rsidRPr="003E56C7" w:rsidRDefault="003E56C7" w:rsidP="003E56C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*1711285*</w:t>
          </w:r>
        </w:p>
      </w:tc>
      <w:tc>
        <w:tcPr>
          <w:tcW w:w="5028" w:type="dxa"/>
        </w:tcPr>
        <w:p w:rsidR="003E56C7" w:rsidRDefault="003E56C7" w:rsidP="003E56C7">
          <w:pPr>
            <w:pStyle w:val="Footer"/>
            <w:jc w:val="right"/>
            <w:rPr>
              <w:b w:val="0"/>
              <w:sz w:val="20"/>
            </w:rPr>
          </w:pPr>
          <w:r>
            <w:rPr>
              <w:b w:val="0"/>
              <w:sz w:val="20"/>
            </w:rPr>
            <w:drawing>
              <wp:inline distT="0" distB="0" distL="0" distR="0" wp14:anchorId="7DBA07EF" wp14:editId="64CF670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E56C7" w:rsidRPr="003E56C7" w:rsidRDefault="003E56C7" w:rsidP="003E56C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6B9" w:rsidRPr="00667352" w:rsidRDefault="00667352" w:rsidP="00667352">
      <w:pPr>
        <w:pStyle w:val="Footer"/>
        <w:spacing w:after="80"/>
        <w:ind w:left="792"/>
        <w:rPr>
          <w:sz w:val="16"/>
        </w:rPr>
      </w:pPr>
      <w:r w:rsidRPr="00667352">
        <w:rPr>
          <w:sz w:val="16"/>
        </w:rPr>
        <w:t>__________________</w:t>
      </w:r>
    </w:p>
  </w:footnote>
  <w:footnote w:type="continuationSeparator" w:id="0">
    <w:p w:rsidR="001F26B9" w:rsidRPr="00667352" w:rsidRDefault="00667352" w:rsidP="00667352">
      <w:pPr>
        <w:pStyle w:val="Footer"/>
        <w:spacing w:after="80"/>
        <w:ind w:left="792"/>
        <w:rPr>
          <w:sz w:val="16"/>
        </w:rPr>
      </w:pPr>
      <w:r w:rsidRPr="00667352">
        <w:rPr>
          <w:sz w:val="16"/>
        </w:rPr>
        <w:t>__________________</w:t>
      </w:r>
    </w:p>
  </w:footnote>
  <w:footnote w:id="1">
    <w:p w:rsidR="00667352" w:rsidRDefault="00667352" w:rsidP="0066735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w:t>
      </w:r>
      <w:r w:rsidRPr="005C3462">
        <w:t xml:space="preserve"> Pacto Internacional de Derechos Económicos, Sociales y Culturales; </w:t>
      </w:r>
      <w:r>
        <w:t xml:space="preserve">el </w:t>
      </w:r>
      <w:r w:rsidRPr="005C3462">
        <w:t xml:space="preserve">Pacto Internacional de Derechos Civiles y Políticos; </w:t>
      </w:r>
      <w:r>
        <w:t>la</w:t>
      </w:r>
      <w:r w:rsidRPr="005C3462">
        <w:t xml:space="preserve"> Convención Internacional sobre la Eliminación de Todas las Formas de Discriminación Racial; </w:t>
      </w:r>
      <w:r>
        <w:t>la</w:t>
      </w:r>
      <w:r w:rsidRPr="005C3462">
        <w:t xml:space="preserve"> Convención sobre la Eliminación de Todas las Formas de Discriminación contra la Mujer; </w:t>
      </w:r>
      <w:r>
        <w:t>la</w:t>
      </w:r>
      <w:r w:rsidRPr="005C3462">
        <w:t xml:space="preserve"> Convención contra la Tortura y Otros Tratos o Penas Crueles, Inhumanos o Degradantes; </w:t>
      </w:r>
      <w:r>
        <w:t xml:space="preserve">la </w:t>
      </w:r>
      <w:r w:rsidRPr="005C3462">
        <w:t xml:space="preserve">Convención sobre los Derechos del Niño; </w:t>
      </w:r>
      <w:r>
        <w:t xml:space="preserve">la </w:t>
      </w:r>
      <w:r w:rsidRPr="005C3462">
        <w:t xml:space="preserve">Convención Internacional sobre la Protección de los Derechos de Todos los Trabajadores Migratorios y de sus Familiares; </w:t>
      </w:r>
      <w:r>
        <w:t>la</w:t>
      </w:r>
      <w:r w:rsidRPr="005C3462">
        <w:t xml:space="preserve"> Convención Internacional para la Protección de Todas las Personas contra las Desapariciones Forzadas; </w:t>
      </w:r>
      <w:r>
        <w:t xml:space="preserve">y la </w:t>
      </w:r>
      <w:r w:rsidRPr="005C3462">
        <w:t>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E56C7" w:rsidTr="003E56C7">
      <w:trPr>
        <w:trHeight w:hRule="exact" w:val="864"/>
      </w:trPr>
      <w:tc>
        <w:tcPr>
          <w:tcW w:w="4838" w:type="dxa"/>
          <w:shd w:val="clear" w:color="auto" w:fill="auto"/>
          <w:vAlign w:val="bottom"/>
        </w:tcPr>
        <w:p w:rsidR="003E56C7" w:rsidRPr="003E56C7" w:rsidRDefault="003E56C7" w:rsidP="003E56C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CEDAW/C/CRI/CO/7</w:t>
          </w:r>
          <w:r>
            <w:rPr>
              <w:b/>
              <w:color w:val="000000"/>
            </w:rPr>
            <w:fldChar w:fldCharType="end"/>
          </w:r>
        </w:p>
      </w:tc>
      <w:tc>
        <w:tcPr>
          <w:tcW w:w="5028" w:type="dxa"/>
          <w:shd w:val="clear" w:color="auto" w:fill="auto"/>
          <w:vAlign w:val="bottom"/>
        </w:tcPr>
        <w:p w:rsidR="003E56C7" w:rsidRDefault="003E56C7" w:rsidP="003E56C7">
          <w:pPr>
            <w:pStyle w:val="Header"/>
          </w:pPr>
        </w:p>
      </w:tc>
    </w:tr>
  </w:tbl>
  <w:p w:rsidR="003E56C7" w:rsidRPr="003E56C7" w:rsidRDefault="003E56C7" w:rsidP="003E56C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E56C7" w:rsidTr="003E56C7">
      <w:trPr>
        <w:trHeight w:hRule="exact" w:val="864"/>
      </w:trPr>
      <w:tc>
        <w:tcPr>
          <w:tcW w:w="4838" w:type="dxa"/>
          <w:shd w:val="clear" w:color="auto" w:fill="auto"/>
          <w:vAlign w:val="bottom"/>
        </w:tcPr>
        <w:p w:rsidR="003E56C7" w:rsidRDefault="003E56C7" w:rsidP="003E56C7">
          <w:pPr>
            <w:pStyle w:val="Header"/>
          </w:pPr>
        </w:p>
      </w:tc>
      <w:tc>
        <w:tcPr>
          <w:tcW w:w="5028" w:type="dxa"/>
          <w:shd w:val="clear" w:color="auto" w:fill="auto"/>
          <w:vAlign w:val="bottom"/>
        </w:tcPr>
        <w:p w:rsidR="003E56C7" w:rsidRPr="003E56C7" w:rsidRDefault="003E56C7" w:rsidP="003E56C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CEDAW/C/CRI/CO/7</w:t>
          </w:r>
          <w:r>
            <w:rPr>
              <w:b/>
              <w:color w:val="000000"/>
            </w:rPr>
            <w:fldChar w:fldCharType="end"/>
          </w:r>
        </w:p>
      </w:tc>
    </w:tr>
  </w:tbl>
  <w:p w:rsidR="003E56C7" w:rsidRPr="003E56C7" w:rsidRDefault="003E56C7" w:rsidP="003E56C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E56C7" w:rsidTr="003E56C7">
      <w:trPr>
        <w:gridAfter w:val="1"/>
        <w:wAfter w:w="15" w:type="dxa"/>
        <w:trHeight w:hRule="exact" w:val="864"/>
      </w:trPr>
      <w:tc>
        <w:tcPr>
          <w:tcW w:w="1267" w:type="dxa"/>
          <w:tcBorders>
            <w:bottom w:val="single" w:sz="4" w:space="0" w:color="auto"/>
          </w:tcBorders>
          <w:shd w:val="clear" w:color="auto" w:fill="auto"/>
          <w:vAlign w:val="bottom"/>
        </w:tcPr>
        <w:p w:rsidR="003E56C7" w:rsidRDefault="003E56C7" w:rsidP="003E56C7">
          <w:pPr>
            <w:pStyle w:val="Header"/>
            <w:spacing w:after="120"/>
          </w:pPr>
        </w:p>
      </w:tc>
      <w:tc>
        <w:tcPr>
          <w:tcW w:w="2059" w:type="dxa"/>
          <w:tcBorders>
            <w:bottom w:val="single" w:sz="4" w:space="0" w:color="auto"/>
          </w:tcBorders>
          <w:shd w:val="clear" w:color="auto" w:fill="auto"/>
          <w:vAlign w:val="bottom"/>
        </w:tcPr>
        <w:p w:rsidR="003E56C7" w:rsidRPr="003E56C7" w:rsidRDefault="003E56C7" w:rsidP="003E56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E56C7" w:rsidRDefault="003E56C7" w:rsidP="003E56C7">
          <w:pPr>
            <w:pStyle w:val="Header"/>
            <w:spacing w:after="120"/>
          </w:pPr>
        </w:p>
      </w:tc>
      <w:tc>
        <w:tcPr>
          <w:tcW w:w="6480" w:type="dxa"/>
          <w:gridSpan w:val="3"/>
          <w:tcBorders>
            <w:bottom w:val="single" w:sz="4" w:space="0" w:color="auto"/>
          </w:tcBorders>
          <w:shd w:val="clear" w:color="auto" w:fill="auto"/>
          <w:vAlign w:val="bottom"/>
        </w:tcPr>
        <w:p w:rsidR="003E56C7" w:rsidRPr="003E56C7" w:rsidRDefault="003E56C7" w:rsidP="003E56C7">
          <w:pPr>
            <w:spacing w:after="80" w:line="240" w:lineRule="auto"/>
            <w:jc w:val="right"/>
            <w:rPr>
              <w:position w:val="-4"/>
            </w:rPr>
          </w:pPr>
          <w:r>
            <w:rPr>
              <w:position w:val="-4"/>
              <w:sz w:val="40"/>
            </w:rPr>
            <w:t>CEDAW</w:t>
          </w:r>
          <w:r>
            <w:rPr>
              <w:position w:val="-4"/>
            </w:rPr>
            <w:t>/C/CRI/CO/7</w:t>
          </w:r>
        </w:p>
      </w:tc>
    </w:tr>
    <w:tr w:rsidR="003E56C7" w:rsidRPr="003E56C7" w:rsidTr="003E56C7">
      <w:trPr>
        <w:trHeight w:hRule="exact" w:val="2880"/>
      </w:trPr>
      <w:tc>
        <w:tcPr>
          <w:tcW w:w="1267" w:type="dxa"/>
          <w:tcBorders>
            <w:top w:val="single" w:sz="4" w:space="0" w:color="auto"/>
            <w:bottom w:val="single" w:sz="12" w:space="0" w:color="auto"/>
          </w:tcBorders>
          <w:shd w:val="clear" w:color="auto" w:fill="auto"/>
        </w:tcPr>
        <w:p w:rsidR="003E56C7" w:rsidRPr="003E56C7" w:rsidRDefault="003E56C7" w:rsidP="003E56C7">
          <w:pPr>
            <w:pStyle w:val="Header"/>
            <w:spacing w:before="120"/>
            <w:jc w:val="center"/>
          </w:pPr>
          <w:r>
            <w:t xml:space="preserve"> </w:t>
          </w:r>
          <w:r>
            <w:drawing>
              <wp:inline distT="0" distB="0" distL="0" distR="0" wp14:anchorId="3185C770" wp14:editId="7440F3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E56C7" w:rsidRPr="003E56C7" w:rsidRDefault="003E56C7" w:rsidP="003E56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E56C7" w:rsidRPr="00667352" w:rsidRDefault="003E56C7" w:rsidP="003E56C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3E56C7" w:rsidRDefault="003E56C7" w:rsidP="003E56C7">
          <w:pPr>
            <w:pStyle w:val="Distribution"/>
            <w:spacing w:before="240"/>
          </w:pPr>
          <w:proofErr w:type="spellStart"/>
          <w:r>
            <w:t>Distr</w:t>
          </w:r>
          <w:proofErr w:type="spellEnd"/>
          <w:r>
            <w:t>. general</w:t>
          </w:r>
        </w:p>
        <w:p w:rsidR="003E56C7" w:rsidRDefault="00A56AC3" w:rsidP="003E56C7">
          <w:pPr>
            <w:pStyle w:val="Publication"/>
          </w:pPr>
          <w:r>
            <w:t>24</w:t>
          </w:r>
          <w:r w:rsidR="003E56C7">
            <w:t xml:space="preserve"> de julio de 2017</w:t>
          </w:r>
        </w:p>
        <w:p w:rsidR="003E56C7" w:rsidRDefault="003E56C7" w:rsidP="003E56C7">
          <w:r>
            <w:t>Español</w:t>
          </w:r>
        </w:p>
        <w:p w:rsidR="003E56C7" w:rsidRDefault="003E56C7" w:rsidP="003E56C7">
          <w:pPr>
            <w:pStyle w:val="Original"/>
          </w:pPr>
          <w:r>
            <w:t>Original: inglés</w:t>
          </w:r>
        </w:p>
        <w:p w:rsidR="003E56C7" w:rsidRPr="003E56C7" w:rsidRDefault="003E56C7" w:rsidP="003E56C7"/>
      </w:tc>
    </w:tr>
  </w:tbl>
  <w:p w:rsidR="003E56C7" w:rsidRPr="003E56C7" w:rsidRDefault="003E56C7" w:rsidP="003E56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118FE"/>
    <w:multiLevelType w:val="singleLevel"/>
    <w:tmpl w:val="E8CECAD6"/>
    <w:lvl w:ilvl="0">
      <w:start w:val="50"/>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8430CB6"/>
    <w:multiLevelType w:val="hybridMultilevel"/>
    <w:tmpl w:val="D00E3A9E"/>
    <w:lvl w:ilvl="0" w:tplc="3FD8BA18">
      <w:start w:val="1"/>
      <w:numFmt w:val="decimal"/>
      <w:lvlText w:val="%1."/>
      <w:lvlJc w:val="left"/>
      <w:pPr>
        <w:ind w:left="720" w:hanging="360"/>
      </w:pPr>
      <w:rPr>
        <w:rFonts w:cs="Times New Roman"/>
        <w:b w:val="0"/>
        <w:bCs/>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4"/>
  </w:num>
  <w:num w:numId="26">
    <w:abstractNumId w:val="1"/>
  </w:num>
  <w:num w:numId="27">
    <w:abstractNumId w:val="3"/>
  </w:num>
  <w:num w:numId="28">
    <w:abstractNumId w:val="2"/>
  </w:num>
  <w:num w:numId="29">
    <w:abstractNumId w:val="4"/>
  </w:num>
  <w:num w:numId="30">
    <w:abstractNumId w:val="1"/>
  </w:num>
  <w:num w:numId="31">
    <w:abstractNumId w:val="3"/>
  </w:num>
  <w:num w:numId="32">
    <w:abstractNumId w:val="2"/>
  </w:num>
  <w:num w:numId="33">
    <w:abstractNumId w:val="4"/>
  </w:num>
  <w:num w:numId="34">
    <w:abstractNumId w:val="1"/>
  </w:num>
  <w:num w:numId="35">
    <w:abstractNumId w:val="3"/>
  </w:num>
  <w:num w:numId="36">
    <w:abstractNumId w:val="2"/>
  </w:num>
  <w:num w:numId="37">
    <w:abstractNumId w:val="5"/>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5*"/>
    <w:docVar w:name="CreationDt" w:val="22/09/2017 12:01 PM"/>
    <w:docVar w:name="DocCategory" w:val="Doc"/>
    <w:docVar w:name="DocType" w:val="Final"/>
    <w:docVar w:name="DutyStation" w:val="New York"/>
    <w:docVar w:name="FooterJN" w:val="17-11285"/>
    <w:docVar w:name="jobn" w:val="17-11285 (S)"/>
    <w:docVar w:name="jobnDT" w:val="17-11285 (S)   220917"/>
    <w:docVar w:name="jobnDTDT" w:val="17-11285 (S)   220917   220917"/>
    <w:docVar w:name="JobNo" w:val="1711285S"/>
    <w:docVar w:name="JobNo2" w:val="172274012:01 PM"/>
    <w:docVar w:name="LocalDrive" w:val="0"/>
    <w:docVar w:name="OandT" w:val="pl"/>
    <w:docVar w:name="sss1" w:val="CEDAW/C/CRI/CO/7"/>
    <w:docVar w:name="sss2" w:val="-"/>
    <w:docVar w:name="Symbol1" w:val="CEDAW/C/CRI/CO/7"/>
    <w:docVar w:name="Symbol2" w:val="-"/>
  </w:docVars>
  <w:rsids>
    <w:rsidRoot w:val="001F26B9"/>
    <w:rsid w:val="00017FCF"/>
    <w:rsid w:val="0002422C"/>
    <w:rsid w:val="00024D1E"/>
    <w:rsid w:val="000C4C9C"/>
    <w:rsid w:val="000E147C"/>
    <w:rsid w:val="001359BC"/>
    <w:rsid w:val="001B3E58"/>
    <w:rsid w:val="001F26B9"/>
    <w:rsid w:val="00206A8A"/>
    <w:rsid w:val="00214645"/>
    <w:rsid w:val="00217DB2"/>
    <w:rsid w:val="002706A2"/>
    <w:rsid w:val="00350DB9"/>
    <w:rsid w:val="003E3B08"/>
    <w:rsid w:val="003E56C7"/>
    <w:rsid w:val="003E723B"/>
    <w:rsid w:val="0041290F"/>
    <w:rsid w:val="00430706"/>
    <w:rsid w:val="0044179B"/>
    <w:rsid w:val="004856CD"/>
    <w:rsid w:val="004B4C46"/>
    <w:rsid w:val="004D17DB"/>
    <w:rsid w:val="00556720"/>
    <w:rsid w:val="005C2961"/>
    <w:rsid w:val="005C49C8"/>
    <w:rsid w:val="005D58FE"/>
    <w:rsid w:val="00667352"/>
    <w:rsid w:val="00674235"/>
    <w:rsid w:val="00725F61"/>
    <w:rsid w:val="00846D29"/>
    <w:rsid w:val="00855FFA"/>
    <w:rsid w:val="008723C3"/>
    <w:rsid w:val="009E1969"/>
    <w:rsid w:val="00A20AC0"/>
    <w:rsid w:val="00A56AC3"/>
    <w:rsid w:val="00BC6BE7"/>
    <w:rsid w:val="00BF5B27"/>
    <w:rsid w:val="00BF6BE0"/>
    <w:rsid w:val="00C168BF"/>
    <w:rsid w:val="00C779E4"/>
    <w:rsid w:val="00CF1528"/>
    <w:rsid w:val="00D526E8"/>
    <w:rsid w:val="00D70BFD"/>
    <w:rsid w:val="00DC7B16"/>
    <w:rsid w:val="00EC3FA0"/>
    <w:rsid w:val="00EE09D1"/>
    <w:rsid w:val="00F27BF6"/>
    <w:rsid w:val="00F30184"/>
    <w:rsid w:val="00F5361F"/>
    <w:rsid w:val="00F5593E"/>
    <w:rsid w:val="00F87686"/>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8F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58F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58F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58F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58F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58F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58F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58F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58F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58F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58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D58FE"/>
    <w:pPr>
      <w:keepNext/>
      <w:keepLines/>
      <w:spacing w:line="270" w:lineRule="exact"/>
      <w:outlineLvl w:val="0"/>
    </w:pPr>
    <w:rPr>
      <w:b/>
      <w:kern w:val="14"/>
      <w:sz w:val="24"/>
    </w:rPr>
  </w:style>
  <w:style w:type="paragraph" w:customStyle="1" w:styleId="HCh">
    <w:name w:val="_ H _Ch"/>
    <w:basedOn w:val="H1"/>
    <w:next w:val="Normal"/>
    <w:qFormat/>
    <w:rsid w:val="005D58FE"/>
    <w:pPr>
      <w:spacing w:line="300" w:lineRule="exact"/>
    </w:pPr>
    <w:rPr>
      <w:spacing w:val="-2"/>
      <w:sz w:val="28"/>
    </w:rPr>
  </w:style>
  <w:style w:type="paragraph" w:customStyle="1" w:styleId="HM">
    <w:name w:val="_ H __M"/>
    <w:basedOn w:val="HCh"/>
    <w:next w:val="Normal"/>
    <w:qFormat/>
    <w:rsid w:val="005D58FE"/>
    <w:pPr>
      <w:spacing w:line="360" w:lineRule="exact"/>
    </w:pPr>
    <w:rPr>
      <w:spacing w:val="-3"/>
      <w:w w:val="99"/>
      <w:sz w:val="34"/>
    </w:rPr>
  </w:style>
  <w:style w:type="paragraph" w:customStyle="1" w:styleId="H23">
    <w:name w:val="_ H_2/3"/>
    <w:basedOn w:val="H1"/>
    <w:next w:val="Normal"/>
    <w:qFormat/>
    <w:rsid w:val="005D58FE"/>
    <w:pPr>
      <w:spacing w:line="240" w:lineRule="exact"/>
      <w:outlineLvl w:val="1"/>
    </w:pPr>
    <w:rPr>
      <w:spacing w:val="2"/>
      <w:sz w:val="20"/>
    </w:rPr>
  </w:style>
  <w:style w:type="paragraph" w:customStyle="1" w:styleId="H4">
    <w:name w:val="_ H_4"/>
    <w:basedOn w:val="Normal"/>
    <w:next w:val="Normal"/>
    <w:qFormat/>
    <w:rsid w:val="005D58FE"/>
    <w:pPr>
      <w:keepNext/>
      <w:keepLines/>
      <w:tabs>
        <w:tab w:val="right" w:pos="360"/>
      </w:tabs>
      <w:outlineLvl w:val="3"/>
    </w:pPr>
    <w:rPr>
      <w:i/>
      <w:spacing w:val="3"/>
      <w:kern w:val="14"/>
    </w:rPr>
  </w:style>
  <w:style w:type="paragraph" w:customStyle="1" w:styleId="H56">
    <w:name w:val="_ H_5/6"/>
    <w:basedOn w:val="Normal"/>
    <w:next w:val="Normal"/>
    <w:qFormat/>
    <w:rsid w:val="005D58FE"/>
    <w:pPr>
      <w:keepNext/>
      <w:keepLines/>
      <w:tabs>
        <w:tab w:val="right" w:pos="360"/>
      </w:tabs>
      <w:outlineLvl w:val="4"/>
    </w:pPr>
    <w:rPr>
      <w:kern w:val="14"/>
    </w:rPr>
  </w:style>
  <w:style w:type="paragraph" w:customStyle="1" w:styleId="DualTxt">
    <w:name w:val="__Dual Txt"/>
    <w:basedOn w:val="Normal"/>
    <w:qFormat/>
    <w:rsid w:val="005D58F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58F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58FE"/>
    <w:pPr>
      <w:spacing w:line="540" w:lineRule="exact"/>
    </w:pPr>
    <w:rPr>
      <w:spacing w:val="-8"/>
      <w:w w:val="96"/>
      <w:sz w:val="57"/>
    </w:rPr>
  </w:style>
  <w:style w:type="paragraph" w:customStyle="1" w:styleId="SS">
    <w:name w:val="__S_S"/>
    <w:basedOn w:val="HCh"/>
    <w:next w:val="Normal"/>
    <w:qFormat/>
    <w:rsid w:val="005D58FE"/>
    <w:pPr>
      <w:ind w:left="1267" w:right="1267"/>
    </w:pPr>
  </w:style>
  <w:style w:type="paragraph" w:customStyle="1" w:styleId="SingleTxt">
    <w:name w:val="__Single Txt"/>
    <w:basedOn w:val="Normal"/>
    <w:qFormat/>
    <w:rsid w:val="005D58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58F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58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58F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58FE"/>
    <w:rPr>
      <w:rFonts w:ascii="Tahoma" w:hAnsi="Tahoma" w:cs="Tahoma"/>
      <w:sz w:val="16"/>
      <w:szCs w:val="16"/>
    </w:rPr>
  </w:style>
  <w:style w:type="character" w:customStyle="1" w:styleId="BalloonTextChar">
    <w:name w:val="Balloon Text Char"/>
    <w:basedOn w:val="DefaultParagraphFont"/>
    <w:link w:val="BalloonText"/>
    <w:semiHidden/>
    <w:rsid w:val="005D58FE"/>
    <w:rPr>
      <w:rFonts w:ascii="Tahoma" w:hAnsi="Tahoma" w:cs="Tahoma"/>
      <w:spacing w:val="4"/>
      <w:w w:val="103"/>
      <w:sz w:val="16"/>
      <w:szCs w:val="16"/>
      <w:lang w:val="es-ES" w:eastAsia="en-US"/>
    </w:rPr>
  </w:style>
  <w:style w:type="paragraph" w:customStyle="1" w:styleId="Bullet1">
    <w:name w:val="Bullet 1"/>
    <w:basedOn w:val="Normal"/>
    <w:qFormat/>
    <w:rsid w:val="005D58FE"/>
    <w:pPr>
      <w:numPr>
        <w:numId w:val="33"/>
      </w:numPr>
      <w:spacing w:after="120"/>
      <w:ind w:right="1264"/>
      <w:jc w:val="both"/>
    </w:pPr>
  </w:style>
  <w:style w:type="paragraph" w:customStyle="1" w:styleId="Bullet2">
    <w:name w:val="Bullet 2"/>
    <w:basedOn w:val="Normal"/>
    <w:qFormat/>
    <w:rsid w:val="005D58FE"/>
    <w:pPr>
      <w:numPr>
        <w:numId w:val="34"/>
      </w:numPr>
      <w:spacing w:after="120"/>
      <w:ind w:right="1264"/>
      <w:jc w:val="both"/>
    </w:pPr>
  </w:style>
  <w:style w:type="paragraph" w:customStyle="1" w:styleId="Bullet3">
    <w:name w:val="Bullet 3"/>
    <w:basedOn w:val="SingleTxt"/>
    <w:qFormat/>
    <w:rsid w:val="005D58F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58FE"/>
    <w:pPr>
      <w:spacing w:line="240" w:lineRule="auto"/>
    </w:pPr>
    <w:rPr>
      <w:b/>
      <w:bCs/>
      <w:color w:val="4F81BD"/>
      <w:sz w:val="18"/>
      <w:szCs w:val="18"/>
    </w:rPr>
  </w:style>
  <w:style w:type="character" w:styleId="CommentReference">
    <w:name w:val="annotation reference"/>
    <w:semiHidden/>
    <w:rsid w:val="005D58FE"/>
    <w:rPr>
      <w:sz w:val="6"/>
    </w:rPr>
  </w:style>
  <w:style w:type="paragraph" w:customStyle="1" w:styleId="Distribution">
    <w:name w:val="Distribu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58F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58F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D58FE"/>
    <w:pPr>
      <w:spacing w:after="80"/>
    </w:pPr>
  </w:style>
  <w:style w:type="character" w:customStyle="1" w:styleId="EndnoteTextChar">
    <w:name w:val="Endnote Text Char"/>
    <w:basedOn w:val="DefaultParagraphFont"/>
    <w:link w:val="EndnoteText"/>
    <w:semiHidden/>
    <w:rsid w:val="005D58FE"/>
    <w:rPr>
      <w:rFonts w:ascii="Times New Roman" w:hAnsi="Times New Roman" w:cs="Times New Roman"/>
      <w:spacing w:val="5"/>
      <w:w w:val="104"/>
      <w:sz w:val="17"/>
      <w:lang w:val="es-ES" w:eastAsia="en-US"/>
    </w:rPr>
  </w:style>
  <w:style w:type="paragraph" w:styleId="Footer">
    <w:name w:val="footer"/>
    <w:link w:val="FooterChar"/>
    <w:qFormat/>
    <w:rsid w:val="005D58F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58FE"/>
    <w:rPr>
      <w:rFonts w:ascii="Times New Roman" w:hAnsi="Times New Roman" w:cs="Times New Roman"/>
      <w:b/>
      <w:noProof/>
      <w:sz w:val="17"/>
      <w:lang w:val="en-US" w:eastAsia="en-US"/>
    </w:rPr>
  </w:style>
  <w:style w:type="character" w:styleId="FootnoteReference">
    <w:name w:val="foot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58F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58F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58FE"/>
    <w:pPr>
      <w:spacing w:before="240"/>
    </w:pPr>
    <w:rPr>
      <w:b/>
      <w:spacing w:val="-2"/>
      <w:w w:val="100"/>
    </w:rPr>
  </w:style>
  <w:style w:type="paragraph" w:customStyle="1" w:styleId="HdChapterBdLg">
    <w:name w:val="Hd Chapter Bd Lg"/>
    <w:basedOn w:val="HdChapterBD"/>
    <w:next w:val="Normal"/>
    <w:qFormat/>
    <w:rsid w:val="005D58FE"/>
    <w:rPr>
      <w:spacing w:val="-3"/>
      <w:w w:val="99"/>
      <w:kern w:val="14"/>
      <w:sz w:val="34"/>
      <w:szCs w:val="34"/>
    </w:rPr>
  </w:style>
  <w:style w:type="paragraph" w:styleId="Header">
    <w:name w:val="header"/>
    <w:link w:val="HeaderChar"/>
    <w:qFormat/>
    <w:rsid w:val="005D58F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D58FE"/>
    <w:rPr>
      <w:rFonts w:ascii="Times New Roman" w:hAnsi="Times New Roman" w:cs="Times New Roman"/>
      <w:noProof/>
      <w:sz w:val="17"/>
      <w:lang w:val="en-US" w:eastAsia="en-US"/>
    </w:rPr>
  </w:style>
  <w:style w:type="character" w:customStyle="1" w:styleId="Heading1Char">
    <w:name w:val="Heading 1 Char"/>
    <w:link w:val="Heading1"/>
    <w:uiPriority w:val="9"/>
    <w:rsid w:val="005D58F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58F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58F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58F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58F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58F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58F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58F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58F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58FE"/>
    <w:pPr>
      <w:keepNext/>
      <w:spacing w:before="190" w:line="270" w:lineRule="exact"/>
    </w:pPr>
    <w:rPr>
      <w:b/>
      <w:kern w:val="14"/>
      <w:sz w:val="24"/>
    </w:rPr>
  </w:style>
  <w:style w:type="paragraph" w:customStyle="1" w:styleId="JournalHeading2">
    <w:name w:val="Journal_Heading2"/>
    <w:basedOn w:val="Normal"/>
    <w:next w:val="Normal"/>
    <w:qFormat/>
    <w:rsid w:val="005D58FE"/>
    <w:pPr>
      <w:keepNext/>
      <w:keepLines/>
      <w:spacing w:before="240"/>
      <w:outlineLvl w:val="1"/>
    </w:pPr>
    <w:rPr>
      <w:b/>
      <w:spacing w:val="2"/>
      <w:kern w:val="14"/>
    </w:rPr>
  </w:style>
  <w:style w:type="paragraph" w:customStyle="1" w:styleId="JournalHeading4">
    <w:name w:val="Journal_Heading4"/>
    <w:basedOn w:val="Normal"/>
    <w:next w:val="Normal"/>
    <w:qFormat/>
    <w:rsid w:val="005D58FE"/>
    <w:pPr>
      <w:keepNext/>
      <w:keepLines/>
      <w:spacing w:before="240"/>
      <w:outlineLvl w:val="3"/>
    </w:pPr>
    <w:rPr>
      <w:i/>
      <w:kern w:val="14"/>
    </w:rPr>
  </w:style>
  <w:style w:type="character" w:styleId="LineNumber">
    <w:name w:val="line number"/>
    <w:qFormat/>
    <w:rsid w:val="005D58FE"/>
    <w:rPr>
      <w:sz w:val="14"/>
    </w:rPr>
  </w:style>
  <w:style w:type="paragraph" w:styleId="NoSpacing">
    <w:name w:val="No Spacing"/>
    <w:basedOn w:val="Normal"/>
    <w:uiPriority w:val="1"/>
    <w:rsid w:val="005D58FE"/>
    <w:pPr>
      <w:spacing w:line="240" w:lineRule="auto"/>
    </w:pPr>
  </w:style>
  <w:style w:type="paragraph" w:customStyle="1" w:styleId="NormalBullet">
    <w:name w:val="Normal Bullet"/>
    <w:basedOn w:val="Normal"/>
    <w:next w:val="Normal"/>
    <w:qFormat/>
    <w:rsid w:val="005D58FE"/>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5D58FE"/>
    <w:pPr>
      <w:tabs>
        <w:tab w:val="left" w:leader="dot" w:pos="2218"/>
        <w:tab w:val="left" w:pos="2707"/>
        <w:tab w:val="right" w:leader="dot" w:pos="9835"/>
      </w:tabs>
    </w:pPr>
    <w:rPr>
      <w:kern w:val="14"/>
    </w:rPr>
  </w:style>
  <w:style w:type="paragraph" w:customStyle="1" w:styleId="Original">
    <w:name w:val="Original"/>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D58FE"/>
    <w:pPr>
      <w:tabs>
        <w:tab w:val="right" w:pos="9965"/>
      </w:tabs>
      <w:spacing w:line="210" w:lineRule="exact"/>
    </w:pPr>
    <w:rPr>
      <w:spacing w:val="5"/>
      <w:w w:val="104"/>
      <w:kern w:val="14"/>
      <w:sz w:val="17"/>
    </w:rPr>
  </w:style>
  <w:style w:type="paragraph" w:customStyle="1" w:styleId="SmallX">
    <w:name w:val="SmallX"/>
    <w:basedOn w:val="Small"/>
    <w:next w:val="Normal"/>
    <w:qFormat/>
    <w:rsid w:val="005D58FE"/>
    <w:pPr>
      <w:spacing w:line="180" w:lineRule="exact"/>
      <w:jc w:val="right"/>
    </w:pPr>
    <w:rPr>
      <w:spacing w:val="6"/>
      <w:w w:val="106"/>
      <w:sz w:val="14"/>
    </w:rPr>
  </w:style>
  <w:style w:type="paragraph" w:customStyle="1" w:styleId="TitleHCH">
    <w:name w:val="Title_H_CH"/>
    <w:basedOn w:val="HCh"/>
    <w:next w:val="SingleTxt"/>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58FE"/>
    <w:pPr>
      <w:outlineLvl w:val="9"/>
    </w:pPr>
    <w:rPr>
      <w:rFonts w:eastAsiaTheme="majorEastAsia" w:cstheme="majorBidi"/>
      <w:lang w:bidi="en-US"/>
    </w:rPr>
  </w:style>
  <w:style w:type="paragraph" w:customStyle="1" w:styleId="XLarge">
    <w:name w:val="XLarge"/>
    <w:basedOn w:val="HM"/>
    <w:qFormat/>
    <w:rsid w:val="005D58FE"/>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3E56C7"/>
    <w:pPr>
      <w:spacing w:line="240" w:lineRule="auto"/>
    </w:pPr>
    <w:rPr>
      <w:szCs w:val="20"/>
    </w:rPr>
  </w:style>
  <w:style w:type="character" w:customStyle="1" w:styleId="CommentTextChar">
    <w:name w:val="Comment Text Char"/>
    <w:basedOn w:val="DefaultParagraphFont"/>
    <w:link w:val="CommentText"/>
    <w:uiPriority w:val="99"/>
    <w:semiHidden/>
    <w:rsid w:val="003E56C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E56C7"/>
    <w:rPr>
      <w:b/>
      <w:bCs/>
    </w:rPr>
  </w:style>
  <w:style w:type="character" w:customStyle="1" w:styleId="CommentSubjectChar">
    <w:name w:val="Comment Subject Char"/>
    <w:basedOn w:val="CommentTextChar"/>
    <w:link w:val="CommentSubject"/>
    <w:uiPriority w:val="99"/>
    <w:semiHidden/>
    <w:rsid w:val="003E56C7"/>
    <w:rPr>
      <w:rFonts w:ascii="Times New Roman" w:hAnsi="Times New Roman" w:cs="Times New Roman"/>
      <w:b/>
      <w:bCs/>
      <w:spacing w:val="4"/>
      <w:w w:val="103"/>
      <w:sz w:val="20"/>
      <w:szCs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8F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58F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58F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58F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58F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58F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58F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58F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58F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58F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58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D58FE"/>
    <w:pPr>
      <w:keepNext/>
      <w:keepLines/>
      <w:spacing w:line="270" w:lineRule="exact"/>
      <w:outlineLvl w:val="0"/>
    </w:pPr>
    <w:rPr>
      <w:b/>
      <w:kern w:val="14"/>
      <w:sz w:val="24"/>
    </w:rPr>
  </w:style>
  <w:style w:type="paragraph" w:customStyle="1" w:styleId="HCh">
    <w:name w:val="_ H _Ch"/>
    <w:basedOn w:val="H1"/>
    <w:next w:val="Normal"/>
    <w:qFormat/>
    <w:rsid w:val="005D58FE"/>
    <w:pPr>
      <w:spacing w:line="300" w:lineRule="exact"/>
    </w:pPr>
    <w:rPr>
      <w:spacing w:val="-2"/>
      <w:sz w:val="28"/>
    </w:rPr>
  </w:style>
  <w:style w:type="paragraph" w:customStyle="1" w:styleId="HM">
    <w:name w:val="_ H __M"/>
    <w:basedOn w:val="HCh"/>
    <w:next w:val="Normal"/>
    <w:qFormat/>
    <w:rsid w:val="005D58FE"/>
    <w:pPr>
      <w:spacing w:line="360" w:lineRule="exact"/>
    </w:pPr>
    <w:rPr>
      <w:spacing w:val="-3"/>
      <w:w w:val="99"/>
      <w:sz w:val="34"/>
    </w:rPr>
  </w:style>
  <w:style w:type="paragraph" w:customStyle="1" w:styleId="H23">
    <w:name w:val="_ H_2/3"/>
    <w:basedOn w:val="H1"/>
    <w:next w:val="Normal"/>
    <w:qFormat/>
    <w:rsid w:val="005D58FE"/>
    <w:pPr>
      <w:spacing w:line="240" w:lineRule="exact"/>
      <w:outlineLvl w:val="1"/>
    </w:pPr>
    <w:rPr>
      <w:spacing w:val="2"/>
      <w:sz w:val="20"/>
    </w:rPr>
  </w:style>
  <w:style w:type="paragraph" w:customStyle="1" w:styleId="H4">
    <w:name w:val="_ H_4"/>
    <w:basedOn w:val="Normal"/>
    <w:next w:val="Normal"/>
    <w:qFormat/>
    <w:rsid w:val="005D58FE"/>
    <w:pPr>
      <w:keepNext/>
      <w:keepLines/>
      <w:tabs>
        <w:tab w:val="right" w:pos="360"/>
      </w:tabs>
      <w:outlineLvl w:val="3"/>
    </w:pPr>
    <w:rPr>
      <w:i/>
      <w:spacing w:val="3"/>
      <w:kern w:val="14"/>
    </w:rPr>
  </w:style>
  <w:style w:type="paragraph" w:customStyle="1" w:styleId="H56">
    <w:name w:val="_ H_5/6"/>
    <w:basedOn w:val="Normal"/>
    <w:next w:val="Normal"/>
    <w:qFormat/>
    <w:rsid w:val="005D58FE"/>
    <w:pPr>
      <w:keepNext/>
      <w:keepLines/>
      <w:tabs>
        <w:tab w:val="right" w:pos="360"/>
      </w:tabs>
      <w:outlineLvl w:val="4"/>
    </w:pPr>
    <w:rPr>
      <w:kern w:val="14"/>
    </w:rPr>
  </w:style>
  <w:style w:type="paragraph" w:customStyle="1" w:styleId="DualTxt">
    <w:name w:val="__Dual Txt"/>
    <w:basedOn w:val="Normal"/>
    <w:qFormat/>
    <w:rsid w:val="005D58F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58F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58FE"/>
    <w:pPr>
      <w:spacing w:line="540" w:lineRule="exact"/>
    </w:pPr>
    <w:rPr>
      <w:spacing w:val="-8"/>
      <w:w w:val="96"/>
      <w:sz w:val="57"/>
    </w:rPr>
  </w:style>
  <w:style w:type="paragraph" w:customStyle="1" w:styleId="SS">
    <w:name w:val="__S_S"/>
    <w:basedOn w:val="HCh"/>
    <w:next w:val="Normal"/>
    <w:qFormat/>
    <w:rsid w:val="005D58FE"/>
    <w:pPr>
      <w:ind w:left="1267" w:right="1267"/>
    </w:pPr>
  </w:style>
  <w:style w:type="paragraph" w:customStyle="1" w:styleId="SingleTxt">
    <w:name w:val="__Single Txt"/>
    <w:basedOn w:val="Normal"/>
    <w:qFormat/>
    <w:rsid w:val="005D58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58F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58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58F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58FE"/>
    <w:rPr>
      <w:rFonts w:ascii="Tahoma" w:hAnsi="Tahoma" w:cs="Tahoma"/>
      <w:sz w:val="16"/>
      <w:szCs w:val="16"/>
    </w:rPr>
  </w:style>
  <w:style w:type="character" w:customStyle="1" w:styleId="BalloonTextChar">
    <w:name w:val="Balloon Text Char"/>
    <w:basedOn w:val="DefaultParagraphFont"/>
    <w:link w:val="BalloonText"/>
    <w:semiHidden/>
    <w:rsid w:val="005D58FE"/>
    <w:rPr>
      <w:rFonts w:ascii="Tahoma" w:hAnsi="Tahoma" w:cs="Tahoma"/>
      <w:spacing w:val="4"/>
      <w:w w:val="103"/>
      <w:sz w:val="16"/>
      <w:szCs w:val="16"/>
      <w:lang w:val="es-ES" w:eastAsia="en-US"/>
    </w:rPr>
  </w:style>
  <w:style w:type="paragraph" w:customStyle="1" w:styleId="Bullet1">
    <w:name w:val="Bullet 1"/>
    <w:basedOn w:val="Normal"/>
    <w:qFormat/>
    <w:rsid w:val="005D58FE"/>
    <w:pPr>
      <w:numPr>
        <w:numId w:val="33"/>
      </w:numPr>
      <w:spacing w:after="120"/>
      <w:ind w:right="1264"/>
      <w:jc w:val="both"/>
    </w:pPr>
  </w:style>
  <w:style w:type="paragraph" w:customStyle="1" w:styleId="Bullet2">
    <w:name w:val="Bullet 2"/>
    <w:basedOn w:val="Normal"/>
    <w:qFormat/>
    <w:rsid w:val="005D58FE"/>
    <w:pPr>
      <w:numPr>
        <w:numId w:val="34"/>
      </w:numPr>
      <w:spacing w:after="120"/>
      <w:ind w:right="1264"/>
      <w:jc w:val="both"/>
    </w:pPr>
  </w:style>
  <w:style w:type="paragraph" w:customStyle="1" w:styleId="Bullet3">
    <w:name w:val="Bullet 3"/>
    <w:basedOn w:val="SingleTxt"/>
    <w:qFormat/>
    <w:rsid w:val="005D58F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58FE"/>
    <w:pPr>
      <w:spacing w:line="240" w:lineRule="auto"/>
    </w:pPr>
    <w:rPr>
      <w:b/>
      <w:bCs/>
      <w:color w:val="4F81BD"/>
      <w:sz w:val="18"/>
      <w:szCs w:val="18"/>
    </w:rPr>
  </w:style>
  <w:style w:type="character" w:styleId="CommentReference">
    <w:name w:val="annotation reference"/>
    <w:semiHidden/>
    <w:rsid w:val="005D58FE"/>
    <w:rPr>
      <w:sz w:val="6"/>
    </w:rPr>
  </w:style>
  <w:style w:type="paragraph" w:customStyle="1" w:styleId="Distribution">
    <w:name w:val="Distribu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58F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58F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D58FE"/>
    <w:pPr>
      <w:spacing w:after="80"/>
    </w:pPr>
  </w:style>
  <w:style w:type="character" w:customStyle="1" w:styleId="EndnoteTextChar">
    <w:name w:val="Endnote Text Char"/>
    <w:basedOn w:val="DefaultParagraphFont"/>
    <w:link w:val="EndnoteText"/>
    <w:semiHidden/>
    <w:rsid w:val="005D58FE"/>
    <w:rPr>
      <w:rFonts w:ascii="Times New Roman" w:hAnsi="Times New Roman" w:cs="Times New Roman"/>
      <w:spacing w:val="5"/>
      <w:w w:val="104"/>
      <w:sz w:val="17"/>
      <w:lang w:val="es-ES" w:eastAsia="en-US"/>
    </w:rPr>
  </w:style>
  <w:style w:type="paragraph" w:styleId="Footer">
    <w:name w:val="footer"/>
    <w:link w:val="FooterChar"/>
    <w:qFormat/>
    <w:rsid w:val="005D58F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58FE"/>
    <w:rPr>
      <w:rFonts w:ascii="Times New Roman" w:hAnsi="Times New Roman" w:cs="Times New Roman"/>
      <w:b/>
      <w:noProof/>
      <w:sz w:val="17"/>
      <w:lang w:val="en-US" w:eastAsia="en-US"/>
    </w:rPr>
  </w:style>
  <w:style w:type="character" w:styleId="FootnoteReference">
    <w:name w:val="foot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58F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58F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58FE"/>
    <w:pPr>
      <w:spacing w:before="240"/>
    </w:pPr>
    <w:rPr>
      <w:b/>
      <w:spacing w:val="-2"/>
      <w:w w:val="100"/>
    </w:rPr>
  </w:style>
  <w:style w:type="paragraph" w:customStyle="1" w:styleId="HdChapterBdLg">
    <w:name w:val="Hd Chapter Bd Lg"/>
    <w:basedOn w:val="HdChapterBD"/>
    <w:next w:val="Normal"/>
    <w:qFormat/>
    <w:rsid w:val="005D58FE"/>
    <w:rPr>
      <w:spacing w:val="-3"/>
      <w:w w:val="99"/>
      <w:kern w:val="14"/>
      <w:sz w:val="34"/>
      <w:szCs w:val="34"/>
    </w:rPr>
  </w:style>
  <w:style w:type="paragraph" w:styleId="Header">
    <w:name w:val="header"/>
    <w:link w:val="HeaderChar"/>
    <w:qFormat/>
    <w:rsid w:val="005D58F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D58FE"/>
    <w:rPr>
      <w:rFonts w:ascii="Times New Roman" w:hAnsi="Times New Roman" w:cs="Times New Roman"/>
      <w:noProof/>
      <w:sz w:val="17"/>
      <w:lang w:val="en-US" w:eastAsia="en-US"/>
    </w:rPr>
  </w:style>
  <w:style w:type="character" w:customStyle="1" w:styleId="Heading1Char">
    <w:name w:val="Heading 1 Char"/>
    <w:link w:val="Heading1"/>
    <w:uiPriority w:val="9"/>
    <w:rsid w:val="005D58F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58F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58F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58F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58F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58F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58F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58F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58F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58FE"/>
    <w:pPr>
      <w:keepNext/>
      <w:spacing w:before="190" w:line="270" w:lineRule="exact"/>
    </w:pPr>
    <w:rPr>
      <w:b/>
      <w:kern w:val="14"/>
      <w:sz w:val="24"/>
    </w:rPr>
  </w:style>
  <w:style w:type="paragraph" w:customStyle="1" w:styleId="JournalHeading2">
    <w:name w:val="Journal_Heading2"/>
    <w:basedOn w:val="Normal"/>
    <w:next w:val="Normal"/>
    <w:qFormat/>
    <w:rsid w:val="005D58FE"/>
    <w:pPr>
      <w:keepNext/>
      <w:keepLines/>
      <w:spacing w:before="240"/>
      <w:outlineLvl w:val="1"/>
    </w:pPr>
    <w:rPr>
      <w:b/>
      <w:spacing w:val="2"/>
      <w:kern w:val="14"/>
    </w:rPr>
  </w:style>
  <w:style w:type="paragraph" w:customStyle="1" w:styleId="JournalHeading4">
    <w:name w:val="Journal_Heading4"/>
    <w:basedOn w:val="Normal"/>
    <w:next w:val="Normal"/>
    <w:qFormat/>
    <w:rsid w:val="005D58FE"/>
    <w:pPr>
      <w:keepNext/>
      <w:keepLines/>
      <w:spacing w:before="240"/>
      <w:outlineLvl w:val="3"/>
    </w:pPr>
    <w:rPr>
      <w:i/>
      <w:kern w:val="14"/>
    </w:rPr>
  </w:style>
  <w:style w:type="character" w:styleId="LineNumber">
    <w:name w:val="line number"/>
    <w:qFormat/>
    <w:rsid w:val="005D58FE"/>
    <w:rPr>
      <w:sz w:val="14"/>
    </w:rPr>
  </w:style>
  <w:style w:type="paragraph" w:styleId="NoSpacing">
    <w:name w:val="No Spacing"/>
    <w:basedOn w:val="Normal"/>
    <w:uiPriority w:val="1"/>
    <w:rsid w:val="005D58FE"/>
    <w:pPr>
      <w:spacing w:line="240" w:lineRule="auto"/>
    </w:pPr>
  </w:style>
  <w:style w:type="paragraph" w:customStyle="1" w:styleId="NormalBullet">
    <w:name w:val="Normal Bullet"/>
    <w:basedOn w:val="Normal"/>
    <w:next w:val="Normal"/>
    <w:qFormat/>
    <w:rsid w:val="005D58FE"/>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5D58FE"/>
    <w:pPr>
      <w:tabs>
        <w:tab w:val="left" w:leader="dot" w:pos="2218"/>
        <w:tab w:val="left" w:pos="2707"/>
        <w:tab w:val="right" w:leader="dot" w:pos="9835"/>
      </w:tabs>
    </w:pPr>
    <w:rPr>
      <w:kern w:val="14"/>
    </w:rPr>
  </w:style>
  <w:style w:type="paragraph" w:customStyle="1" w:styleId="Original">
    <w:name w:val="Original"/>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D58FE"/>
    <w:pPr>
      <w:tabs>
        <w:tab w:val="right" w:pos="9965"/>
      </w:tabs>
      <w:spacing w:line="210" w:lineRule="exact"/>
    </w:pPr>
    <w:rPr>
      <w:spacing w:val="5"/>
      <w:w w:val="104"/>
      <w:kern w:val="14"/>
      <w:sz w:val="17"/>
    </w:rPr>
  </w:style>
  <w:style w:type="paragraph" w:customStyle="1" w:styleId="SmallX">
    <w:name w:val="SmallX"/>
    <w:basedOn w:val="Small"/>
    <w:next w:val="Normal"/>
    <w:qFormat/>
    <w:rsid w:val="005D58FE"/>
    <w:pPr>
      <w:spacing w:line="180" w:lineRule="exact"/>
      <w:jc w:val="right"/>
    </w:pPr>
    <w:rPr>
      <w:spacing w:val="6"/>
      <w:w w:val="106"/>
      <w:sz w:val="14"/>
    </w:rPr>
  </w:style>
  <w:style w:type="paragraph" w:customStyle="1" w:styleId="TitleHCH">
    <w:name w:val="Title_H_CH"/>
    <w:basedOn w:val="HCh"/>
    <w:next w:val="SingleTxt"/>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58FE"/>
    <w:pPr>
      <w:outlineLvl w:val="9"/>
    </w:pPr>
    <w:rPr>
      <w:rFonts w:eastAsiaTheme="majorEastAsia" w:cstheme="majorBidi"/>
      <w:lang w:bidi="en-US"/>
    </w:rPr>
  </w:style>
  <w:style w:type="paragraph" w:customStyle="1" w:styleId="XLarge">
    <w:name w:val="XLarge"/>
    <w:basedOn w:val="HM"/>
    <w:qFormat/>
    <w:rsid w:val="005D58FE"/>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3E56C7"/>
    <w:pPr>
      <w:spacing w:line="240" w:lineRule="auto"/>
    </w:pPr>
    <w:rPr>
      <w:szCs w:val="20"/>
    </w:rPr>
  </w:style>
  <w:style w:type="character" w:customStyle="1" w:styleId="CommentTextChar">
    <w:name w:val="Comment Text Char"/>
    <w:basedOn w:val="DefaultParagraphFont"/>
    <w:link w:val="CommentText"/>
    <w:uiPriority w:val="99"/>
    <w:semiHidden/>
    <w:rsid w:val="003E56C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E56C7"/>
    <w:rPr>
      <w:b/>
      <w:bCs/>
    </w:rPr>
  </w:style>
  <w:style w:type="character" w:customStyle="1" w:styleId="CommentSubjectChar">
    <w:name w:val="Comment Subject Char"/>
    <w:basedOn w:val="CommentTextChar"/>
    <w:link w:val="CommentSubject"/>
    <w:uiPriority w:val="99"/>
    <w:semiHidden/>
    <w:rsid w:val="003E56C7"/>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CRI/Q/7" TargetMode="External"/><Relationship Id="rId26" Type="http://schemas.openxmlformats.org/officeDocument/2006/relationships/hyperlink" Target="https://undocs.org/es/S/RES/2122(2013)" TargetMode="External"/><Relationship Id="rId3" Type="http://schemas.microsoft.com/office/2007/relationships/stylesWithEffects" Target="stylesWithEffects.xml"/><Relationship Id="rId21" Type="http://schemas.openxmlformats.org/officeDocument/2006/relationships/hyperlink" Target="https://undocs.org/es/CEDAW/C/CRI/CO/5-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09" TargetMode="External"/><Relationship Id="rId25" Type="http://schemas.openxmlformats.org/officeDocument/2006/relationships/hyperlink" Target="https://undocs.org/es/S/RES/1889(2009)" TargetMode="External"/><Relationship Id="rId2" Type="http://schemas.openxmlformats.org/officeDocument/2006/relationships/styles" Target="styles.xml"/><Relationship Id="rId16" Type="http://schemas.openxmlformats.org/officeDocument/2006/relationships/hyperlink" Target="https://undocs.org/CEDAW/C/SR.1508" TargetMode="External"/><Relationship Id="rId20" Type="http://schemas.openxmlformats.org/officeDocument/2006/relationships/hyperlink" Target="https://undocs.org/es/CEDAW/C/CRI/5-6" TargetMode="External"/><Relationship Id="rId29" Type="http://schemas.openxmlformats.org/officeDocument/2006/relationships/hyperlink" Target="https://undocs.org/es/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S/RES/1888(2009)" TargetMode="External"/><Relationship Id="rId5" Type="http://schemas.openxmlformats.org/officeDocument/2006/relationships/webSettings" Target="webSettings.xml"/><Relationship Id="rId15" Type="http://schemas.openxmlformats.org/officeDocument/2006/relationships/hyperlink" Target="https://undocs.org/es/CEDAW/C/CRI/7" TargetMode="External"/><Relationship Id="rId23" Type="http://schemas.openxmlformats.org/officeDocument/2006/relationships/hyperlink" Target="https://undocs.org/es/S/RES/1820(2008)" TargetMode="External"/><Relationship Id="rId28" Type="http://schemas.openxmlformats.org/officeDocument/2006/relationships/hyperlink" Target="https://undocs.org/es/CEDAW/C/CRI/CO/5-6" TargetMode="External"/><Relationship Id="rId10" Type="http://schemas.openxmlformats.org/officeDocument/2006/relationships/footer" Target="footer1.xml"/><Relationship Id="rId19" Type="http://schemas.openxmlformats.org/officeDocument/2006/relationships/hyperlink" Target="https://undocs.org/es/CEDAW/C/CRI/Q/7/Add.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S/RES/1325(2000)" TargetMode="External"/><Relationship Id="rId27" Type="http://schemas.openxmlformats.org/officeDocument/2006/relationships/hyperlink" Target="https://undocs.org/es/CEDAW/C/CRI/CO/5-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6785</Words>
  <Characters>38680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VR</cp:lastModifiedBy>
  <cp:revision>4</cp:revision>
  <dcterms:created xsi:type="dcterms:W3CDTF">2017-09-22T16:05:00Z</dcterms:created>
  <dcterms:modified xsi:type="dcterms:W3CDTF">2017-09-22T19:23:00Z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1711285</vt:lpwstr>
  </property>
  <property fmtid="{D5CDD505-2E9C-101B-9397-08002B2CF9AE}" pid="3" name="ODSRefJobNo">
    <vt:lpwstr>1722740</vt:lpwstr>
  </property>
  <property fmtid="{D5CDD505-2E9C-101B-9397-08002B2CF9AE}" pid="4" name="Symbol1">
    <vt:lpwstr>CEDAW/C/CRI/CO/7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21 de julio de 2017</vt:lpwstr>
  </property>
  <property fmtid="{D5CDD505-2E9C-101B-9397-08002B2CF9AE}" pid="10" name="Original">
    <vt:lpwstr>inglés</vt:lpwstr>
  </property>
  <property fmtid="{D5CDD505-2E9C-101B-9397-08002B2CF9AE}" pid="11" name="Comment">
    <vt:lpwstr/>
  </property>
  <property fmtid="{D5CDD505-2E9C-101B-9397-08002B2CF9AE}" pid="12" name="DraftPages">
    <vt:lpwstr> </vt:lpwstr>
  </property>
  <property fmtid="{D5CDD505-2E9C-101B-9397-08002B2CF9AE}" pid="13" name="Operator">
    <vt:lpwstr>pl</vt:lpwstr>
  </property>
  <property fmtid="{D5CDD505-2E9C-101B-9397-08002B2CF9AE}" pid="14" name="Translator">
    <vt:lpwstr/>
  </property>
</Properties>
</file>