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4738BA6E" w14:textId="77777777" w:rsidTr="003C5869">
        <w:trPr>
          <w:trHeight w:hRule="exact" w:val="851"/>
        </w:trPr>
        <w:tc>
          <w:tcPr>
            <w:tcW w:w="1276" w:type="dxa"/>
            <w:tcBorders>
              <w:bottom w:val="single" w:sz="4" w:space="0" w:color="auto"/>
            </w:tcBorders>
          </w:tcPr>
          <w:p w14:paraId="373C87DF" w14:textId="77777777" w:rsidR="00B338A5" w:rsidRPr="00DB58B5" w:rsidRDefault="00B338A5" w:rsidP="000E6DDE"/>
        </w:tc>
        <w:tc>
          <w:tcPr>
            <w:tcW w:w="2268" w:type="dxa"/>
            <w:tcBorders>
              <w:bottom w:val="single" w:sz="4" w:space="0" w:color="auto"/>
            </w:tcBorders>
            <w:vAlign w:val="bottom"/>
          </w:tcPr>
          <w:p w14:paraId="2835363A"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C6E1C19" w14:textId="15DF6B58" w:rsidR="00B338A5" w:rsidRPr="00DB58B5" w:rsidRDefault="000E6DDE" w:rsidP="000E6DDE">
            <w:pPr>
              <w:jc w:val="right"/>
            </w:pPr>
            <w:r w:rsidRPr="000E6DDE">
              <w:rPr>
                <w:sz w:val="40"/>
              </w:rPr>
              <w:t>CRPD</w:t>
            </w:r>
            <w:r>
              <w:t>/C/24/2</w:t>
            </w:r>
          </w:p>
        </w:tc>
      </w:tr>
      <w:tr w:rsidR="00B338A5" w:rsidRPr="00DB58B5" w14:paraId="30723FB6" w14:textId="77777777" w:rsidTr="003C5869">
        <w:trPr>
          <w:trHeight w:hRule="exact" w:val="2835"/>
        </w:trPr>
        <w:tc>
          <w:tcPr>
            <w:tcW w:w="1276" w:type="dxa"/>
            <w:tcBorders>
              <w:top w:val="single" w:sz="4" w:space="0" w:color="auto"/>
              <w:bottom w:val="single" w:sz="12" w:space="0" w:color="auto"/>
            </w:tcBorders>
          </w:tcPr>
          <w:p w14:paraId="6654F583" w14:textId="77777777" w:rsidR="00B338A5" w:rsidRPr="00DB58B5" w:rsidRDefault="00B338A5" w:rsidP="003C5869">
            <w:pPr>
              <w:spacing w:before="120"/>
              <w:jc w:val="center"/>
            </w:pPr>
            <w:r>
              <w:rPr>
                <w:noProof/>
                <w:lang w:eastAsia="fr-CH"/>
              </w:rPr>
              <w:drawing>
                <wp:inline distT="0" distB="0" distL="0" distR="0" wp14:anchorId="6BCA9787" wp14:editId="5624112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45B7D7A"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5CC9ACEA" w14:textId="77777777" w:rsidR="00B338A5" w:rsidRDefault="000E6DDE" w:rsidP="003C5869">
            <w:pPr>
              <w:spacing w:before="240"/>
            </w:pPr>
            <w:r>
              <w:t>Distr. générale</w:t>
            </w:r>
          </w:p>
          <w:p w14:paraId="1A27B572" w14:textId="611BEC71" w:rsidR="000E6DDE" w:rsidRDefault="000E6DDE" w:rsidP="000E6DDE">
            <w:pPr>
              <w:spacing w:line="240" w:lineRule="exact"/>
            </w:pPr>
            <w:r>
              <w:t>30 avril 2021</w:t>
            </w:r>
          </w:p>
          <w:p w14:paraId="2AB307C9" w14:textId="77777777" w:rsidR="000E6DDE" w:rsidRDefault="000E6DDE" w:rsidP="000E6DDE">
            <w:pPr>
              <w:spacing w:line="240" w:lineRule="exact"/>
            </w:pPr>
            <w:r>
              <w:t>Français</w:t>
            </w:r>
          </w:p>
          <w:p w14:paraId="24E997D3" w14:textId="523D6076" w:rsidR="000E6DDE" w:rsidRPr="00DB58B5" w:rsidRDefault="000E6DDE" w:rsidP="000E6DDE">
            <w:pPr>
              <w:spacing w:line="240" w:lineRule="exact"/>
            </w:pPr>
            <w:r>
              <w:t>Original : anglais</w:t>
            </w:r>
          </w:p>
        </w:tc>
      </w:tr>
    </w:tbl>
    <w:p w14:paraId="2A02FC97" w14:textId="77777777" w:rsidR="00275896" w:rsidRDefault="00275896" w:rsidP="00275896">
      <w:pPr>
        <w:spacing w:before="120"/>
        <w:rPr>
          <w:b/>
          <w:sz w:val="24"/>
          <w:szCs w:val="24"/>
        </w:rPr>
      </w:pPr>
      <w:r w:rsidRPr="004407B7">
        <w:rPr>
          <w:b/>
          <w:sz w:val="24"/>
          <w:szCs w:val="24"/>
        </w:rPr>
        <w:t>Comité des droits des personnes handicapées</w:t>
      </w:r>
    </w:p>
    <w:p w14:paraId="716BBC04" w14:textId="535DD102" w:rsidR="000E6DDE" w:rsidRPr="0015673A" w:rsidRDefault="000E6DDE" w:rsidP="000E6DDE">
      <w:pPr>
        <w:pStyle w:val="HChG"/>
        <w:rPr>
          <w:lang w:val="fr-FR"/>
        </w:rPr>
      </w:pPr>
      <w:r w:rsidRPr="0015673A">
        <w:rPr>
          <w:lang w:val="fr-FR"/>
        </w:rPr>
        <w:tab/>
      </w:r>
      <w:r>
        <w:rPr>
          <w:lang w:val="fr-FR"/>
        </w:rPr>
        <w:tab/>
      </w:r>
      <w:r>
        <w:rPr>
          <w:lang w:val="fr-FR"/>
        </w:rPr>
        <w:tab/>
      </w:r>
      <w:r w:rsidRPr="0015673A">
        <w:rPr>
          <w:lang w:val="fr-FR"/>
        </w:rPr>
        <w:t>Rapport du Comité des droits des personnes handicapées sur</w:t>
      </w:r>
      <w:r>
        <w:rPr>
          <w:lang w:val="fr-FR"/>
        </w:rPr>
        <w:t> </w:t>
      </w:r>
      <w:r w:rsidRPr="0015673A">
        <w:rPr>
          <w:lang w:val="fr-FR"/>
        </w:rPr>
        <w:t>sa vingt-quatrième session (8</w:t>
      </w:r>
      <w:r>
        <w:rPr>
          <w:lang w:val="fr-FR"/>
        </w:rPr>
        <w:t> </w:t>
      </w:r>
      <w:r w:rsidRPr="0015673A">
        <w:rPr>
          <w:lang w:val="fr-FR"/>
        </w:rPr>
        <w:t>mars-1</w:t>
      </w:r>
      <w:r w:rsidRPr="0015673A">
        <w:rPr>
          <w:vertAlign w:val="superscript"/>
          <w:lang w:val="fr-FR"/>
        </w:rPr>
        <w:t>er</w:t>
      </w:r>
      <w:r>
        <w:rPr>
          <w:lang w:val="fr-FR"/>
        </w:rPr>
        <w:t> </w:t>
      </w:r>
      <w:r w:rsidRPr="0015673A">
        <w:rPr>
          <w:lang w:val="fr-FR"/>
        </w:rPr>
        <w:t>avril 2021)</w:t>
      </w:r>
    </w:p>
    <w:p w14:paraId="4D18E97A" w14:textId="60266D94" w:rsidR="000E6DDE" w:rsidRPr="0015673A" w:rsidRDefault="000E6DDE" w:rsidP="000E6DDE">
      <w:pPr>
        <w:pStyle w:val="HChG"/>
        <w:rPr>
          <w:lang w:val="fr-FR"/>
        </w:rPr>
      </w:pPr>
      <w:r>
        <w:rPr>
          <w:lang w:val="fr-FR"/>
        </w:rPr>
        <w:tab/>
      </w:r>
      <w:r w:rsidRPr="0015673A">
        <w:rPr>
          <w:lang w:val="fr-FR"/>
        </w:rPr>
        <w:t>I.</w:t>
      </w:r>
      <w:r w:rsidRPr="0015673A">
        <w:rPr>
          <w:lang w:val="fr-FR"/>
        </w:rPr>
        <w:tab/>
        <w:t>États parties à la Convention et au Protocole facultatif s</w:t>
      </w:r>
      <w:r>
        <w:rPr>
          <w:lang w:val="fr-FR"/>
        </w:rPr>
        <w:t>’</w:t>
      </w:r>
      <w:r w:rsidRPr="0015673A">
        <w:rPr>
          <w:lang w:val="fr-FR"/>
        </w:rPr>
        <w:t>y</w:t>
      </w:r>
      <w:r>
        <w:rPr>
          <w:lang w:val="fr-FR"/>
        </w:rPr>
        <w:t> </w:t>
      </w:r>
      <w:r w:rsidRPr="0015673A">
        <w:rPr>
          <w:lang w:val="fr-FR"/>
        </w:rPr>
        <w:t>rapportant</w:t>
      </w:r>
    </w:p>
    <w:p w14:paraId="4FC1C942" w14:textId="3D2952BC" w:rsidR="000E6DDE" w:rsidRPr="0015673A" w:rsidRDefault="000E6DDE" w:rsidP="000E6DDE">
      <w:pPr>
        <w:pStyle w:val="SingleTxtG"/>
        <w:rPr>
          <w:lang w:val="fr-FR"/>
        </w:rPr>
      </w:pPr>
      <w:r w:rsidRPr="0015673A">
        <w:rPr>
          <w:lang w:val="fr-FR"/>
        </w:rPr>
        <w:t>1.</w:t>
      </w:r>
      <w:r w:rsidRPr="0015673A">
        <w:rPr>
          <w:lang w:val="fr-FR"/>
        </w:rPr>
        <w:tab/>
        <w:t>Au 1</w:t>
      </w:r>
      <w:r w:rsidRPr="0015673A">
        <w:rPr>
          <w:vertAlign w:val="superscript"/>
          <w:lang w:val="fr-FR"/>
        </w:rPr>
        <w:t>er</w:t>
      </w:r>
      <w:r>
        <w:rPr>
          <w:lang w:val="fr-FR"/>
        </w:rPr>
        <w:t> </w:t>
      </w:r>
      <w:r w:rsidRPr="0015673A">
        <w:rPr>
          <w:lang w:val="fr-FR"/>
        </w:rPr>
        <w:t>avril 2021, date de clôture de la vingt-quatrième session du Comité des droits des personnes handicapées, le nombre des États parties à la Convention relative aux droits des personnes handicapées était de 182 et celui des États parties au Protocole facultatif s</w:t>
      </w:r>
      <w:r>
        <w:rPr>
          <w:lang w:val="fr-FR"/>
        </w:rPr>
        <w:t>’</w:t>
      </w:r>
      <w:r w:rsidRPr="0015673A">
        <w:rPr>
          <w:lang w:val="fr-FR"/>
        </w:rPr>
        <w:t>y</w:t>
      </w:r>
      <w:r>
        <w:rPr>
          <w:lang w:val="fr-FR"/>
        </w:rPr>
        <w:t> </w:t>
      </w:r>
      <w:r w:rsidRPr="0015673A">
        <w:rPr>
          <w:lang w:val="fr-FR"/>
        </w:rPr>
        <w:t>rapportant de 97. La liste des États parties à chacun de ces deux instruments figure sur le site Web du Bureau des affaires juridiques du Secrétariat.</w:t>
      </w:r>
    </w:p>
    <w:p w14:paraId="5852BDF2" w14:textId="7557BB9A" w:rsidR="000E6DDE" w:rsidRPr="0015673A" w:rsidRDefault="000E6DDE" w:rsidP="000E6DDE">
      <w:pPr>
        <w:pStyle w:val="HChG"/>
        <w:rPr>
          <w:lang w:val="fr-FR"/>
        </w:rPr>
      </w:pPr>
      <w:r>
        <w:rPr>
          <w:lang w:val="fr-FR"/>
        </w:rPr>
        <w:tab/>
      </w:r>
      <w:r w:rsidRPr="0015673A">
        <w:rPr>
          <w:lang w:val="fr-FR"/>
        </w:rPr>
        <w:t>II.</w:t>
      </w:r>
      <w:r w:rsidRPr="0015673A">
        <w:rPr>
          <w:lang w:val="fr-FR"/>
        </w:rPr>
        <w:tab/>
        <w:t>Ouverture de la vingt-quatrième session du Comité</w:t>
      </w:r>
    </w:p>
    <w:p w14:paraId="794DC600" w14:textId="6833D5D9" w:rsidR="000E6DDE" w:rsidRPr="0015673A" w:rsidRDefault="000E6DDE" w:rsidP="000E6DDE">
      <w:pPr>
        <w:pStyle w:val="SingleTxtG"/>
        <w:rPr>
          <w:lang w:val="fr-FR"/>
        </w:rPr>
      </w:pPr>
      <w:r w:rsidRPr="0015673A">
        <w:rPr>
          <w:lang w:val="fr-FR"/>
        </w:rPr>
        <w:t>2.</w:t>
      </w:r>
      <w:r w:rsidRPr="0015673A">
        <w:rPr>
          <w:lang w:val="fr-FR"/>
        </w:rPr>
        <w:tab/>
        <w:t>La vingt-quatrième session a été ouverte en séance publique par le Chef du Service des traités relatifs aux droits de l</w:t>
      </w:r>
      <w:r>
        <w:rPr>
          <w:lang w:val="fr-FR"/>
        </w:rPr>
        <w:t>’</w:t>
      </w:r>
      <w:r w:rsidRPr="0015673A">
        <w:rPr>
          <w:lang w:val="fr-FR"/>
        </w:rPr>
        <w:t>homme (Division des mécanismes relevant du Conseil des droits de l</w:t>
      </w:r>
      <w:r>
        <w:rPr>
          <w:lang w:val="fr-FR"/>
        </w:rPr>
        <w:t>’</w:t>
      </w:r>
      <w:r w:rsidRPr="0015673A">
        <w:rPr>
          <w:lang w:val="fr-FR"/>
        </w:rPr>
        <w:t>homme et des instruments relatifs aux droits de l</w:t>
      </w:r>
      <w:r>
        <w:rPr>
          <w:lang w:val="fr-FR"/>
        </w:rPr>
        <w:t>’</w:t>
      </w:r>
      <w:r w:rsidRPr="0015673A">
        <w:rPr>
          <w:lang w:val="fr-FR"/>
        </w:rPr>
        <w:t>homme) du Haut-Commissariat des Nations</w:t>
      </w:r>
      <w:r>
        <w:rPr>
          <w:lang w:val="fr-FR"/>
        </w:rPr>
        <w:t> </w:t>
      </w:r>
      <w:r w:rsidRPr="0015673A">
        <w:rPr>
          <w:lang w:val="fr-FR"/>
        </w:rPr>
        <w:t>Unies aux droits de l</w:t>
      </w:r>
      <w:r>
        <w:rPr>
          <w:lang w:val="fr-FR"/>
        </w:rPr>
        <w:t>’</w:t>
      </w:r>
      <w:r w:rsidRPr="0015673A">
        <w:rPr>
          <w:lang w:val="fr-FR"/>
        </w:rPr>
        <w:t>homme (HCDH), qui a souhaité la bienvenue aux participants. L</w:t>
      </w:r>
      <w:r>
        <w:rPr>
          <w:lang w:val="fr-FR"/>
        </w:rPr>
        <w:t>e texte de l’</w:t>
      </w:r>
      <w:r w:rsidRPr="0015673A">
        <w:rPr>
          <w:lang w:val="fr-FR"/>
        </w:rPr>
        <w:t xml:space="preserve">allocution </w:t>
      </w:r>
      <w:r>
        <w:rPr>
          <w:lang w:val="fr-FR"/>
        </w:rPr>
        <w:t>de bienvenue</w:t>
      </w:r>
      <w:r w:rsidRPr="0015673A">
        <w:rPr>
          <w:lang w:val="fr-FR"/>
        </w:rPr>
        <w:t xml:space="preserve"> est disponible sur le site Web du Comité. La Présidente a fait un rapport oral sur les activités intersessions, dont le texte peut également être consulté sur le site Web du Comité.</w:t>
      </w:r>
    </w:p>
    <w:p w14:paraId="37B1ED14" w14:textId="77777777" w:rsidR="000E6DDE" w:rsidRPr="0015673A" w:rsidRDefault="000E6DDE" w:rsidP="000E6DDE">
      <w:pPr>
        <w:pStyle w:val="SingleTxtG"/>
        <w:rPr>
          <w:lang w:val="fr-FR"/>
        </w:rPr>
      </w:pPr>
      <w:r w:rsidRPr="0015673A">
        <w:rPr>
          <w:lang w:val="fr-FR"/>
        </w:rPr>
        <w:t>3.</w:t>
      </w:r>
      <w:r w:rsidRPr="0015673A">
        <w:rPr>
          <w:lang w:val="fr-FR"/>
        </w:rPr>
        <w:tab/>
        <w:t>Le Comité a examiné puis adopté l</w:t>
      </w:r>
      <w:r>
        <w:rPr>
          <w:lang w:val="fr-FR"/>
        </w:rPr>
        <w:t>’</w:t>
      </w:r>
      <w:r w:rsidRPr="0015673A">
        <w:rPr>
          <w:lang w:val="fr-FR"/>
        </w:rPr>
        <w:t>ordre du jour et le programme de travail provisoires de la vingt-quatrième session</w:t>
      </w:r>
      <w:r w:rsidRPr="004051B5">
        <w:rPr>
          <w:rStyle w:val="Appelnotedebasdep"/>
        </w:rPr>
        <w:footnoteReference w:id="2"/>
      </w:r>
      <w:r w:rsidRPr="0015673A">
        <w:rPr>
          <w:lang w:val="fr-FR"/>
        </w:rPr>
        <w:t>.</w:t>
      </w:r>
    </w:p>
    <w:p w14:paraId="3FE0F481" w14:textId="279FC465" w:rsidR="000E6DDE" w:rsidRPr="0015673A" w:rsidRDefault="000E6DDE" w:rsidP="000E6DDE">
      <w:pPr>
        <w:pStyle w:val="HChG"/>
        <w:rPr>
          <w:lang w:val="fr-FR"/>
        </w:rPr>
      </w:pPr>
      <w:r>
        <w:rPr>
          <w:lang w:val="fr-FR"/>
        </w:rPr>
        <w:tab/>
      </w:r>
      <w:r w:rsidRPr="0015673A">
        <w:rPr>
          <w:lang w:val="fr-FR"/>
        </w:rPr>
        <w:t>III.</w:t>
      </w:r>
      <w:r w:rsidRPr="0015673A">
        <w:rPr>
          <w:lang w:val="fr-FR"/>
        </w:rPr>
        <w:tab/>
        <w:t>Composition du Comité</w:t>
      </w:r>
    </w:p>
    <w:p w14:paraId="3410C358" w14:textId="30BBFEAA" w:rsidR="000E6DDE" w:rsidRPr="0015673A" w:rsidRDefault="000E6DDE" w:rsidP="000E6DDE">
      <w:pPr>
        <w:pStyle w:val="SingleTxtG"/>
        <w:rPr>
          <w:lang w:val="fr-FR"/>
        </w:rPr>
      </w:pPr>
      <w:r w:rsidRPr="0015673A">
        <w:rPr>
          <w:lang w:val="fr-FR"/>
        </w:rPr>
        <w:t>4.</w:t>
      </w:r>
      <w:r w:rsidRPr="0015673A">
        <w:rPr>
          <w:lang w:val="fr-FR"/>
        </w:rPr>
        <w:tab/>
        <w:t>À la séance d</w:t>
      </w:r>
      <w:r>
        <w:rPr>
          <w:lang w:val="fr-FR"/>
        </w:rPr>
        <w:t>’</w:t>
      </w:r>
      <w:r w:rsidRPr="0015673A">
        <w:rPr>
          <w:lang w:val="fr-FR"/>
        </w:rPr>
        <w:t>ouverture de la vingt-quatrième session, le 8</w:t>
      </w:r>
      <w:r>
        <w:rPr>
          <w:lang w:val="fr-FR"/>
        </w:rPr>
        <w:t> </w:t>
      </w:r>
      <w:r w:rsidRPr="0015673A">
        <w:rPr>
          <w:lang w:val="fr-FR"/>
        </w:rPr>
        <w:t>mars 2021, les membres du Comité nouvellement élus, dont le nom suit, ont prononcé une déclaration solennelle conformément à l</w:t>
      </w:r>
      <w:r>
        <w:rPr>
          <w:lang w:val="fr-FR"/>
        </w:rPr>
        <w:t>’</w:t>
      </w:r>
      <w:r w:rsidRPr="0015673A">
        <w:rPr>
          <w:lang w:val="fr-FR"/>
        </w:rPr>
        <w:t>article</w:t>
      </w:r>
      <w:r w:rsidR="00D102ED">
        <w:rPr>
          <w:lang w:val="fr-FR"/>
        </w:rPr>
        <w:t> </w:t>
      </w:r>
      <w:r w:rsidRPr="0015673A">
        <w:rPr>
          <w:lang w:val="fr-FR"/>
        </w:rPr>
        <w:t>14 du Règlement intérieur du Comité</w:t>
      </w:r>
      <w:r>
        <w:rPr>
          <w:lang w:val="fr-FR"/>
        </w:rPr>
        <w:t> </w:t>
      </w:r>
      <w:r w:rsidRPr="0015673A">
        <w:rPr>
          <w:lang w:val="fr-FR"/>
        </w:rPr>
        <w:t>: Rosa Idalia Aldana Salguero, Soumia Amrani, Gerel Dondovdorj, Vivian Fernández de Torrijos, Odelia Fitoussi, Floyd</w:t>
      </w:r>
      <w:r>
        <w:rPr>
          <w:lang w:val="fr-FR"/>
        </w:rPr>
        <w:t> </w:t>
      </w:r>
      <w:r w:rsidRPr="0015673A">
        <w:rPr>
          <w:lang w:val="fr-FR"/>
        </w:rPr>
        <w:t>Morris et Saowalak Thongkuay.</w:t>
      </w:r>
    </w:p>
    <w:p w14:paraId="65A18C07" w14:textId="40EF4E33" w:rsidR="00EB5942" w:rsidRDefault="000E6DDE" w:rsidP="000E6DDE">
      <w:pPr>
        <w:pStyle w:val="SingleTxtG"/>
        <w:rPr>
          <w:lang w:val="fr-FR"/>
        </w:rPr>
      </w:pPr>
      <w:r w:rsidRPr="0015673A">
        <w:rPr>
          <w:lang w:val="fr-FR"/>
        </w:rPr>
        <w:t>5.</w:t>
      </w:r>
      <w:r w:rsidRPr="0015673A">
        <w:rPr>
          <w:lang w:val="fr-FR"/>
        </w:rPr>
        <w:tab/>
        <w:t>La liste des membres du Comité au 1</w:t>
      </w:r>
      <w:r w:rsidRPr="0015673A">
        <w:rPr>
          <w:vertAlign w:val="superscript"/>
          <w:lang w:val="fr-FR"/>
        </w:rPr>
        <w:t>er</w:t>
      </w:r>
      <w:r>
        <w:rPr>
          <w:lang w:val="fr-FR"/>
        </w:rPr>
        <w:t> </w:t>
      </w:r>
      <w:r w:rsidRPr="0015673A">
        <w:rPr>
          <w:lang w:val="fr-FR"/>
        </w:rPr>
        <w:t>avril 2021, avec mention de la durée de leur mandat, figure sur le site Web du Comité.</w:t>
      </w:r>
    </w:p>
    <w:p w14:paraId="0C10C680" w14:textId="346DE02E" w:rsidR="000E6DDE" w:rsidRPr="0015673A" w:rsidRDefault="000E6DDE" w:rsidP="000E6DDE">
      <w:pPr>
        <w:pStyle w:val="HChG"/>
        <w:rPr>
          <w:lang w:val="fr-FR"/>
        </w:rPr>
      </w:pPr>
      <w:r>
        <w:rPr>
          <w:lang w:val="fr-FR"/>
        </w:rPr>
        <w:lastRenderedPageBreak/>
        <w:tab/>
      </w:r>
      <w:r w:rsidRPr="0015673A">
        <w:rPr>
          <w:lang w:val="fr-FR"/>
        </w:rPr>
        <w:t>IV.</w:t>
      </w:r>
      <w:r w:rsidRPr="0015673A">
        <w:rPr>
          <w:lang w:val="fr-FR"/>
        </w:rPr>
        <w:tab/>
        <w:t>Élection du Bureau</w:t>
      </w:r>
    </w:p>
    <w:p w14:paraId="7A9BCD20" w14:textId="340A47BA" w:rsidR="000E6DDE" w:rsidRPr="0015673A" w:rsidRDefault="000E6DDE" w:rsidP="000E6DDE">
      <w:pPr>
        <w:pStyle w:val="SingleTxtG"/>
        <w:rPr>
          <w:lang w:val="fr-FR"/>
        </w:rPr>
      </w:pPr>
      <w:r w:rsidRPr="0015673A">
        <w:rPr>
          <w:lang w:val="fr-FR"/>
        </w:rPr>
        <w:t>6.</w:t>
      </w:r>
      <w:r w:rsidRPr="0015673A">
        <w:rPr>
          <w:lang w:val="fr-FR"/>
        </w:rPr>
        <w:tab/>
        <w:t>L</w:t>
      </w:r>
      <w:r>
        <w:rPr>
          <w:lang w:val="fr-FR"/>
        </w:rPr>
        <w:t>’</w:t>
      </w:r>
      <w:r w:rsidRPr="0015673A">
        <w:rPr>
          <w:lang w:val="fr-FR"/>
        </w:rPr>
        <w:t>élection du Bureau a été conduite par le Chef de la Section des catégories cibles du</w:t>
      </w:r>
      <w:r>
        <w:rPr>
          <w:lang w:val="fr-FR"/>
        </w:rPr>
        <w:t> </w:t>
      </w:r>
      <w:r w:rsidRPr="0015673A">
        <w:rPr>
          <w:lang w:val="fr-FR"/>
        </w:rPr>
        <w:t>HCDH. Les membres ci-après ont été élus pour un mandat de deux ans, conformément aux articles</w:t>
      </w:r>
      <w:r>
        <w:rPr>
          <w:lang w:val="fr-FR"/>
        </w:rPr>
        <w:t> </w:t>
      </w:r>
      <w:r w:rsidRPr="0015673A">
        <w:rPr>
          <w:lang w:val="fr-FR"/>
        </w:rPr>
        <w:t>15, 16 et 17 du Règlement intérieur du Comité</w:t>
      </w:r>
      <w:r w:rsidR="00D102ED">
        <w:rPr>
          <w:lang w:val="fr-FR"/>
        </w:rPr>
        <w:t> </w:t>
      </w:r>
      <w:r w:rsidRPr="0015673A">
        <w:rPr>
          <w:lang w:val="fr-FR"/>
        </w:rPr>
        <w:t>:</w:t>
      </w:r>
    </w:p>
    <w:p w14:paraId="46194068" w14:textId="1C360204" w:rsidR="000E6DDE" w:rsidRPr="0015673A" w:rsidRDefault="000E6DDE" w:rsidP="000E6DDE">
      <w:pPr>
        <w:pStyle w:val="SingleTxtG"/>
        <w:tabs>
          <w:tab w:val="clear" w:pos="2268"/>
          <w:tab w:val="clear" w:pos="2835"/>
          <w:tab w:val="left" w:pos="3402"/>
        </w:tabs>
        <w:kinsoku/>
        <w:overflowPunct/>
        <w:autoSpaceDE/>
        <w:autoSpaceDN/>
        <w:adjustRightInd/>
        <w:snapToGrid/>
        <w:ind w:left="1701"/>
        <w:rPr>
          <w:lang w:val="fr-FR"/>
        </w:rPr>
      </w:pPr>
      <w:r w:rsidRPr="0015673A">
        <w:rPr>
          <w:i/>
          <w:iCs/>
          <w:lang w:val="fr-FR"/>
        </w:rPr>
        <w:t>Présidence</w:t>
      </w:r>
      <w:r>
        <w:rPr>
          <w:lang w:val="fr-FR"/>
        </w:rPr>
        <w:t> </w:t>
      </w:r>
      <w:r w:rsidRPr="000E6DDE">
        <w:rPr>
          <w:lang w:val="fr-FR"/>
        </w:rPr>
        <w:t>:</w:t>
      </w:r>
      <w:r w:rsidRPr="0015673A">
        <w:rPr>
          <w:lang w:val="fr-FR"/>
        </w:rPr>
        <w:tab/>
      </w:r>
      <w:r w:rsidRPr="0015673A">
        <w:rPr>
          <w:lang w:val="fr-FR"/>
        </w:rPr>
        <w:tab/>
      </w:r>
      <w:r w:rsidRPr="000E6DDE">
        <w:rPr>
          <w:rFonts w:eastAsia="SimSun"/>
          <w:lang w:val="en-GB" w:eastAsia="zh-CN"/>
        </w:rPr>
        <w:t>Rosemary</w:t>
      </w:r>
      <w:r w:rsidRPr="0015673A">
        <w:rPr>
          <w:lang w:val="fr-FR"/>
        </w:rPr>
        <w:t xml:space="preserve"> Kayess</w:t>
      </w:r>
    </w:p>
    <w:p w14:paraId="51C8B251" w14:textId="1140D9D0" w:rsidR="000E6DDE" w:rsidRPr="000E6DDE" w:rsidRDefault="000E6DDE" w:rsidP="000E6DDE">
      <w:pPr>
        <w:pStyle w:val="SingleTxtG"/>
        <w:spacing w:after="0"/>
        <w:ind w:left="1701"/>
        <w:rPr>
          <w:lang w:val="es-ES"/>
        </w:rPr>
      </w:pPr>
      <w:r w:rsidRPr="000E6DDE">
        <w:rPr>
          <w:i/>
          <w:iCs/>
          <w:lang w:val="es-ES"/>
        </w:rPr>
        <w:t>Vice-Présidence</w:t>
      </w:r>
      <w:r w:rsidRPr="000E6DDE">
        <w:rPr>
          <w:i/>
          <w:iCs/>
          <w:lang w:val="es-ES"/>
        </w:rPr>
        <w:t> </w:t>
      </w:r>
      <w:r w:rsidRPr="000E6DDE">
        <w:rPr>
          <w:lang w:val="es-ES"/>
        </w:rPr>
        <w:t>:</w:t>
      </w:r>
      <w:r w:rsidRPr="000E6DDE">
        <w:rPr>
          <w:lang w:val="es-ES"/>
        </w:rPr>
        <w:tab/>
        <w:t>Amalia Eva Gamio Ríos</w:t>
      </w:r>
    </w:p>
    <w:p w14:paraId="1B6DB3C8" w14:textId="3465A23D" w:rsidR="000E6DDE" w:rsidRPr="0015673A" w:rsidRDefault="000E6DDE" w:rsidP="000E6DDE">
      <w:pPr>
        <w:pStyle w:val="SingleTxtG"/>
        <w:spacing w:after="0"/>
        <w:ind w:left="3402"/>
        <w:rPr>
          <w:lang w:val="fr-FR"/>
        </w:rPr>
      </w:pPr>
      <w:r w:rsidRPr="0015673A">
        <w:rPr>
          <w:lang w:val="fr-FR"/>
        </w:rPr>
        <w:t>Kim Mi Yeon</w:t>
      </w:r>
    </w:p>
    <w:p w14:paraId="5A96B7C7" w14:textId="3F4413C2" w:rsidR="000E6DDE" w:rsidRPr="0015673A" w:rsidRDefault="000E6DDE" w:rsidP="000E6DDE">
      <w:pPr>
        <w:pStyle w:val="SingleTxtG"/>
        <w:ind w:left="3402"/>
        <w:rPr>
          <w:lang w:val="fr-FR"/>
        </w:rPr>
      </w:pPr>
      <w:r w:rsidRPr="0015673A">
        <w:rPr>
          <w:lang w:val="fr-FR"/>
        </w:rPr>
        <w:t>Jonas Ruskus</w:t>
      </w:r>
    </w:p>
    <w:p w14:paraId="63152901" w14:textId="31AB5DF0" w:rsidR="000E6DDE" w:rsidRPr="0015673A" w:rsidRDefault="000E6DDE" w:rsidP="000E6DDE">
      <w:pPr>
        <w:pStyle w:val="SingleTxtG"/>
        <w:ind w:left="1701"/>
        <w:rPr>
          <w:lang w:val="fr-FR"/>
        </w:rPr>
      </w:pPr>
      <w:r w:rsidRPr="0015673A">
        <w:rPr>
          <w:i/>
          <w:iCs/>
          <w:lang w:val="fr-FR"/>
        </w:rPr>
        <w:t>Rapporteuse</w:t>
      </w:r>
      <w:r>
        <w:rPr>
          <w:i/>
          <w:iCs/>
          <w:lang w:val="fr-FR"/>
        </w:rPr>
        <w:t> </w:t>
      </w:r>
      <w:r w:rsidRPr="000E6DDE">
        <w:rPr>
          <w:lang w:val="fr-FR"/>
        </w:rPr>
        <w:t>:</w:t>
      </w:r>
      <w:r w:rsidRPr="0015673A">
        <w:rPr>
          <w:lang w:val="fr-FR"/>
        </w:rPr>
        <w:tab/>
      </w:r>
      <w:r w:rsidRPr="0015673A">
        <w:rPr>
          <w:lang w:val="fr-FR"/>
        </w:rPr>
        <w:tab/>
      </w:r>
      <w:r>
        <w:rPr>
          <w:lang w:val="fr-FR"/>
        </w:rPr>
        <w:tab/>
      </w:r>
      <w:r w:rsidRPr="0015673A">
        <w:rPr>
          <w:lang w:val="fr-FR"/>
        </w:rPr>
        <w:t>Odelia Fitoussi</w:t>
      </w:r>
    </w:p>
    <w:p w14:paraId="3DD2F1CA" w14:textId="3234E012" w:rsidR="000E6DDE" w:rsidRPr="0015673A" w:rsidRDefault="000E6DDE" w:rsidP="000E6DDE">
      <w:pPr>
        <w:pStyle w:val="HChG"/>
        <w:rPr>
          <w:lang w:val="fr-FR"/>
        </w:rPr>
      </w:pPr>
      <w:r>
        <w:rPr>
          <w:lang w:val="fr-FR"/>
        </w:rPr>
        <w:tab/>
      </w:r>
      <w:r w:rsidRPr="0015673A">
        <w:rPr>
          <w:lang w:val="fr-FR"/>
        </w:rPr>
        <w:t>V.</w:t>
      </w:r>
      <w:r w:rsidRPr="0015673A">
        <w:rPr>
          <w:lang w:val="fr-FR"/>
        </w:rPr>
        <w:tab/>
        <w:t>Méthodes de travail</w:t>
      </w:r>
    </w:p>
    <w:p w14:paraId="6092B7D6" w14:textId="0218734A" w:rsidR="000E6DDE" w:rsidRPr="0015673A" w:rsidRDefault="000E6DDE" w:rsidP="000E6DDE">
      <w:pPr>
        <w:pStyle w:val="SingleTxtG"/>
        <w:rPr>
          <w:lang w:val="fr-FR"/>
        </w:rPr>
      </w:pPr>
      <w:r w:rsidRPr="0015673A">
        <w:rPr>
          <w:lang w:val="fr-FR"/>
        </w:rPr>
        <w:t>7.</w:t>
      </w:r>
      <w:r w:rsidRPr="0015673A">
        <w:rPr>
          <w:lang w:val="fr-FR"/>
        </w:rPr>
        <w:tab/>
        <w:t>Le Comité a débattu de diverses questions ayant trait à ses méthodes de travail et a adopté les décisions qui figurent à l</w:t>
      </w:r>
      <w:r>
        <w:rPr>
          <w:lang w:val="fr-FR"/>
        </w:rPr>
        <w:t>’</w:t>
      </w:r>
      <w:r w:rsidRPr="0015673A">
        <w:rPr>
          <w:lang w:val="fr-FR"/>
        </w:rPr>
        <w:t>annexe</w:t>
      </w:r>
      <w:r>
        <w:rPr>
          <w:lang w:val="fr-FR"/>
        </w:rPr>
        <w:t> </w:t>
      </w:r>
      <w:r w:rsidRPr="0015673A">
        <w:rPr>
          <w:lang w:val="fr-FR"/>
        </w:rPr>
        <w:t>I du présent rapport.</w:t>
      </w:r>
    </w:p>
    <w:p w14:paraId="77A36455" w14:textId="283194E4" w:rsidR="000E6DDE" w:rsidRPr="0015673A" w:rsidRDefault="000E6DDE" w:rsidP="000E6DDE">
      <w:pPr>
        <w:pStyle w:val="HChG"/>
        <w:rPr>
          <w:lang w:val="fr-FR"/>
        </w:rPr>
      </w:pPr>
      <w:r>
        <w:rPr>
          <w:lang w:val="fr-FR"/>
        </w:rPr>
        <w:tab/>
      </w:r>
      <w:r w:rsidRPr="0015673A">
        <w:rPr>
          <w:lang w:val="fr-FR"/>
        </w:rPr>
        <w:t>VI.</w:t>
      </w:r>
      <w:r w:rsidRPr="0015673A">
        <w:rPr>
          <w:lang w:val="fr-FR"/>
        </w:rPr>
        <w:tab/>
        <w:t>Activités se rapportant aux observations générales</w:t>
      </w:r>
    </w:p>
    <w:p w14:paraId="524CF7AE" w14:textId="7C2FECEF" w:rsidR="000E6DDE" w:rsidRPr="0015673A" w:rsidRDefault="000E6DDE" w:rsidP="000E6DDE">
      <w:pPr>
        <w:pStyle w:val="SingleTxtG"/>
        <w:rPr>
          <w:lang w:val="fr-FR"/>
        </w:rPr>
      </w:pPr>
      <w:r w:rsidRPr="0015673A">
        <w:rPr>
          <w:lang w:val="fr-FR"/>
        </w:rPr>
        <w:t>8.</w:t>
      </w:r>
      <w:r w:rsidRPr="0015673A">
        <w:rPr>
          <w:lang w:val="fr-FR"/>
        </w:rPr>
        <w:tab/>
        <w:t>Le Comité a poursuivi ses travaux d</w:t>
      </w:r>
      <w:r>
        <w:rPr>
          <w:lang w:val="fr-FR"/>
        </w:rPr>
        <w:t>’</w:t>
      </w:r>
      <w:r w:rsidRPr="0015673A">
        <w:rPr>
          <w:lang w:val="fr-FR"/>
        </w:rPr>
        <w:t>élaboration d</w:t>
      </w:r>
      <w:r>
        <w:rPr>
          <w:lang w:val="fr-FR"/>
        </w:rPr>
        <w:t>’</w:t>
      </w:r>
      <w:r w:rsidRPr="0015673A">
        <w:rPr>
          <w:lang w:val="fr-FR"/>
        </w:rPr>
        <w:t>une observation générale relative à l</w:t>
      </w:r>
      <w:r>
        <w:rPr>
          <w:lang w:val="fr-FR"/>
        </w:rPr>
        <w:t>’</w:t>
      </w:r>
      <w:r w:rsidRPr="0015673A">
        <w:rPr>
          <w:lang w:val="fr-FR"/>
        </w:rPr>
        <w:t>article</w:t>
      </w:r>
      <w:r>
        <w:rPr>
          <w:lang w:val="fr-FR"/>
        </w:rPr>
        <w:t> </w:t>
      </w:r>
      <w:r w:rsidRPr="0015673A">
        <w:rPr>
          <w:lang w:val="fr-FR"/>
        </w:rPr>
        <w:t>27 de la Convention, sur le droit au travail et à l</w:t>
      </w:r>
      <w:r>
        <w:rPr>
          <w:lang w:val="fr-FR"/>
        </w:rPr>
        <w:t>’</w:t>
      </w:r>
      <w:r w:rsidRPr="0015673A">
        <w:rPr>
          <w:lang w:val="fr-FR"/>
        </w:rPr>
        <w:t>emploi, et a tenu deux réunions de discussion générale sur ce sujet.</w:t>
      </w:r>
    </w:p>
    <w:p w14:paraId="6DC6B024" w14:textId="7C3A6BBC" w:rsidR="000E6DDE" w:rsidRPr="0015673A" w:rsidRDefault="000E6DDE" w:rsidP="000E6DDE">
      <w:pPr>
        <w:pStyle w:val="HChG"/>
        <w:rPr>
          <w:lang w:val="fr-FR"/>
        </w:rPr>
      </w:pPr>
      <w:r>
        <w:rPr>
          <w:lang w:val="fr-FR"/>
        </w:rPr>
        <w:tab/>
      </w:r>
      <w:r w:rsidRPr="0015673A">
        <w:rPr>
          <w:lang w:val="fr-FR"/>
        </w:rPr>
        <w:t>VII.</w:t>
      </w:r>
      <w:r w:rsidRPr="0015673A">
        <w:rPr>
          <w:lang w:val="fr-FR"/>
        </w:rPr>
        <w:tab/>
        <w:t>Activités se rapportant au Protocole facultatif</w:t>
      </w:r>
    </w:p>
    <w:p w14:paraId="7A603E6D" w14:textId="55A18E39" w:rsidR="000E6DDE" w:rsidRPr="0015673A" w:rsidRDefault="000E6DDE" w:rsidP="000E6DDE">
      <w:pPr>
        <w:pStyle w:val="SingleTxtG"/>
        <w:rPr>
          <w:lang w:val="fr-FR"/>
        </w:rPr>
      </w:pPr>
      <w:r w:rsidRPr="0015673A">
        <w:rPr>
          <w:lang w:val="fr-FR"/>
        </w:rPr>
        <w:t>9.</w:t>
      </w:r>
      <w:r w:rsidRPr="0015673A">
        <w:rPr>
          <w:lang w:val="fr-FR"/>
        </w:rPr>
        <w:tab/>
        <w:t>Le Comité a examiné trois communications. Il en a déclaré deux irrecevables, et a constaté des violations de la Convention dans la troisième. Les constatations et décisions adoptées au sujet des communications seront publiées sur le site Web du Comité.</w:t>
      </w:r>
    </w:p>
    <w:p w14:paraId="5947C46C" w14:textId="1FA7672F" w:rsidR="000E6DDE" w:rsidRPr="0015673A" w:rsidRDefault="000E6DDE" w:rsidP="000E6DDE">
      <w:pPr>
        <w:pStyle w:val="HChG"/>
        <w:rPr>
          <w:lang w:val="fr-FR"/>
        </w:rPr>
      </w:pPr>
      <w:r>
        <w:rPr>
          <w:lang w:val="fr-FR"/>
        </w:rPr>
        <w:tab/>
      </w:r>
      <w:r w:rsidRPr="0015673A">
        <w:rPr>
          <w:lang w:val="fr-FR"/>
        </w:rPr>
        <w:t>VIII.</w:t>
      </w:r>
      <w:r w:rsidRPr="0015673A">
        <w:rPr>
          <w:lang w:val="fr-FR"/>
        </w:rPr>
        <w:tab/>
      </w:r>
      <w:r w:rsidRPr="0015673A">
        <w:rPr>
          <w:bCs/>
          <w:lang w:val="fr-FR"/>
        </w:rPr>
        <w:t>Autres décisions</w:t>
      </w:r>
    </w:p>
    <w:p w14:paraId="31474192" w14:textId="631C1B35" w:rsidR="000E6DDE" w:rsidRPr="0015673A" w:rsidRDefault="000E6DDE" w:rsidP="000E6DDE">
      <w:pPr>
        <w:pStyle w:val="SingleTxtG"/>
        <w:rPr>
          <w:lang w:val="fr-FR"/>
        </w:rPr>
      </w:pPr>
      <w:r w:rsidRPr="0015673A">
        <w:rPr>
          <w:lang w:val="fr-FR"/>
        </w:rPr>
        <w:t>10.</w:t>
      </w:r>
      <w:r w:rsidRPr="0015673A">
        <w:rPr>
          <w:lang w:val="fr-FR"/>
        </w:rPr>
        <w:tab/>
        <w:t>Le Comité a adopté le présent rapport sur sa vingt-quatrième session.</w:t>
      </w:r>
    </w:p>
    <w:p w14:paraId="15AB4BD1" w14:textId="77777777" w:rsidR="000E6DDE" w:rsidRPr="0015673A" w:rsidRDefault="000E6DDE" w:rsidP="000E6DDE">
      <w:pPr>
        <w:pStyle w:val="SingleTxtG"/>
        <w:rPr>
          <w:lang w:val="fr-FR"/>
        </w:rPr>
      </w:pPr>
      <w:r w:rsidRPr="0015673A">
        <w:rPr>
          <w:lang w:val="fr-FR"/>
        </w:rPr>
        <w:t>11.</w:t>
      </w:r>
      <w:r w:rsidRPr="0015673A">
        <w:rPr>
          <w:lang w:val="fr-FR"/>
        </w:rPr>
        <w:tab/>
        <w:t>La liste complète des décisions adoptées par le Comité figure à l</w:t>
      </w:r>
      <w:r>
        <w:rPr>
          <w:lang w:val="fr-FR"/>
        </w:rPr>
        <w:t>’</w:t>
      </w:r>
      <w:r w:rsidRPr="0015673A">
        <w:rPr>
          <w:lang w:val="fr-FR"/>
        </w:rPr>
        <w:t>annexe du présent rapport.</w:t>
      </w:r>
    </w:p>
    <w:p w14:paraId="6788593B" w14:textId="742E4858" w:rsidR="000E6DDE" w:rsidRPr="0015673A" w:rsidRDefault="000E6DDE" w:rsidP="000E6DDE">
      <w:pPr>
        <w:pStyle w:val="HChG"/>
        <w:rPr>
          <w:lang w:val="fr-FR"/>
        </w:rPr>
      </w:pPr>
      <w:r>
        <w:rPr>
          <w:lang w:val="fr-FR"/>
        </w:rPr>
        <w:tab/>
      </w:r>
      <w:r w:rsidRPr="0015673A">
        <w:rPr>
          <w:lang w:val="fr-FR"/>
        </w:rPr>
        <w:t>IX.</w:t>
      </w:r>
      <w:r w:rsidRPr="0015673A">
        <w:rPr>
          <w:lang w:val="fr-FR"/>
        </w:rPr>
        <w:tab/>
      </w:r>
      <w:r w:rsidRPr="0015673A">
        <w:rPr>
          <w:bCs/>
          <w:lang w:val="fr-FR"/>
        </w:rPr>
        <w:t>Prochaines sessions</w:t>
      </w:r>
    </w:p>
    <w:p w14:paraId="74D41122" w14:textId="469CFB46" w:rsidR="000E6DDE" w:rsidRPr="0015673A" w:rsidRDefault="000E6DDE" w:rsidP="000E6DDE">
      <w:pPr>
        <w:pStyle w:val="SingleTxtG"/>
        <w:rPr>
          <w:lang w:val="fr-FR"/>
        </w:rPr>
      </w:pPr>
      <w:r w:rsidRPr="0015673A">
        <w:rPr>
          <w:lang w:val="fr-FR"/>
        </w:rPr>
        <w:t>12.</w:t>
      </w:r>
      <w:r w:rsidRPr="0015673A">
        <w:rPr>
          <w:lang w:val="fr-FR"/>
        </w:rPr>
        <w:tab/>
        <w:t>Il est prévu, à titre provisoire, que le Comité tienne sa vingt-cinquième session à</w:t>
      </w:r>
      <w:r>
        <w:rPr>
          <w:lang w:val="fr-FR"/>
        </w:rPr>
        <w:t> </w:t>
      </w:r>
      <w:r w:rsidRPr="0015673A">
        <w:rPr>
          <w:lang w:val="fr-FR"/>
        </w:rPr>
        <w:t>Genève, du 16 août au 10</w:t>
      </w:r>
      <w:r>
        <w:rPr>
          <w:lang w:val="fr-FR"/>
        </w:rPr>
        <w:t> </w:t>
      </w:r>
      <w:r w:rsidRPr="0015673A">
        <w:rPr>
          <w:lang w:val="fr-FR"/>
        </w:rPr>
        <w:t>septembre 2021, avant la quinzième réunion du groupe de travail de présession (13-16</w:t>
      </w:r>
      <w:r>
        <w:rPr>
          <w:lang w:val="fr-FR"/>
        </w:rPr>
        <w:t> </w:t>
      </w:r>
      <w:r w:rsidRPr="0015673A">
        <w:rPr>
          <w:lang w:val="fr-FR"/>
        </w:rPr>
        <w:t>septembre 2021). Dans le contexte de la pandémie de maladie à coronavirus (COVID-19), le HCDH appréciera à la mi-juin 2021 si des sessions en présentiel des organes conventionnels peuvent avoir lieu. Dans le cas où une session en présentiel ne serait pas envisageable, la Présidente du Comité déciderait de la marche à suivre avec l</w:t>
      </w:r>
      <w:r>
        <w:rPr>
          <w:lang w:val="fr-FR"/>
        </w:rPr>
        <w:t>’</w:t>
      </w:r>
      <w:r w:rsidRPr="0015673A">
        <w:rPr>
          <w:lang w:val="fr-FR"/>
        </w:rPr>
        <w:t>aide de la secrétaire.</w:t>
      </w:r>
    </w:p>
    <w:p w14:paraId="06A24A5A" w14:textId="2E9A42BE" w:rsidR="000E6DDE" w:rsidRPr="0015673A" w:rsidRDefault="000E6DDE" w:rsidP="000E6DDE">
      <w:pPr>
        <w:pStyle w:val="HChG"/>
        <w:rPr>
          <w:lang w:val="fr-FR"/>
        </w:rPr>
      </w:pPr>
      <w:r>
        <w:rPr>
          <w:lang w:val="fr-FR"/>
        </w:rPr>
        <w:tab/>
      </w:r>
      <w:r w:rsidRPr="0015673A">
        <w:rPr>
          <w:lang w:val="fr-FR"/>
        </w:rPr>
        <w:t>X.</w:t>
      </w:r>
      <w:r w:rsidRPr="0015673A">
        <w:rPr>
          <w:lang w:val="fr-FR"/>
        </w:rPr>
        <w:tab/>
      </w:r>
      <w:r w:rsidRPr="0015673A">
        <w:rPr>
          <w:bCs/>
          <w:lang w:val="fr-FR"/>
        </w:rPr>
        <w:t>Accessibilité des séances du Comité</w:t>
      </w:r>
    </w:p>
    <w:p w14:paraId="1B0B220F" w14:textId="06144AD8" w:rsidR="000E6DDE" w:rsidRPr="0015673A" w:rsidRDefault="000E6DDE" w:rsidP="000E6DDE">
      <w:pPr>
        <w:pStyle w:val="SingleTxtG"/>
        <w:rPr>
          <w:lang w:val="fr-FR"/>
        </w:rPr>
      </w:pPr>
      <w:r w:rsidRPr="0015673A">
        <w:rPr>
          <w:lang w:val="fr-FR"/>
        </w:rPr>
        <w:t>13.</w:t>
      </w:r>
      <w:r w:rsidRPr="0015673A">
        <w:rPr>
          <w:lang w:val="fr-FR"/>
        </w:rPr>
        <w:tab/>
        <w:t>La vingt-quatrième session du Comité s</w:t>
      </w:r>
      <w:r>
        <w:rPr>
          <w:lang w:val="fr-FR"/>
        </w:rPr>
        <w:t>’</w:t>
      </w:r>
      <w:r w:rsidRPr="0015673A">
        <w:rPr>
          <w:lang w:val="fr-FR"/>
        </w:rPr>
        <w:t xml:space="preserve">est tenue </w:t>
      </w:r>
      <w:r>
        <w:rPr>
          <w:lang w:val="fr-FR"/>
        </w:rPr>
        <w:t>en ligne</w:t>
      </w:r>
      <w:r w:rsidRPr="0015673A">
        <w:rPr>
          <w:lang w:val="fr-FR"/>
        </w:rPr>
        <w:t>. Les membres et les participants ont utilisé une plateforme en ligne sur laquelle étaient fournis des services d</w:t>
      </w:r>
      <w:r>
        <w:rPr>
          <w:lang w:val="fr-FR"/>
        </w:rPr>
        <w:t>’</w:t>
      </w:r>
      <w:r w:rsidRPr="0015673A">
        <w:rPr>
          <w:lang w:val="fr-FR"/>
        </w:rPr>
        <w:t>interprétation simultanée dans les trois langues de travail du Comité, ainsi que des services d</w:t>
      </w:r>
      <w:r>
        <w:rPr>
          <w:lang w:val="fr-FR"/>
        </w:rPr>
        <w:t>’</w:t>
      </w:r>
      <w:r w:rsidRPr="0015673A">
        <w:rPr>
          <w:lang w:val="fr-FR"/>
        </w:rPr>
        <w:t xml:space="preserve">interprétation en signes internationaux et de sous-titrage à distance en anglais. Les séances publiques ont été diffusées sur le Web. Bien que la plateforme en ligne ait été plus accessible aux personnes handicapées que celle utilisée à la session précédente, notamment pour les </w:t>
      </w:r>
      <w:r w:rsidRPr="0015673A">
        <w:rPr>
          <w:lang w:val="fr-FR"/>
        </w:rPr>
        <w:lastRenderedPageBreak/>
        <w:t>personnes ayant un handicap visuel, certains membres ont encore dû compter sur le soutien d</w:t>
      </w:r>
      <w:r>
        <w:rPr>
          <w:lang w:val="fr-FR"/>
        </w:rPr>
        <w:t>’</w:t>
      </w:r>
      <w:r w:rsidRPr="0015673A">
        <w:rPr>
          <w:lang w:val="fr-FR"/>
        </w:rPr>
        <w:t>assistants personnels pour participer aux réunions dans des conditions d</w:t>
      </w:r>
      <w:r>
        <w:rPr>
          <w:lang w:val="fr-FR"/>
        </w:rPr>
        <w:t>’</w:t>
      </w:r>
      <w:r w:rsidRPr="0015673A">
        <w:rPr>
          <w:lang w:val="fr-FR"/>
        </w:rPr>
        <w:t>égalité avec les autres. Seuls quelques assistants personnels de membres handicapés ont pu prétendre à une compensation pour leur travail en vertu des règles de l</w:t>
      </w:r>
      <w:r>
        <w:rPr>
          <w:lang w:val="fr-FR"/>
        </w:rPr>
        <w:t>’</w:t>
      </w:r>
      <w:r w:rsidRPr="0015673A">
        <w:rPr>
          <w:lang w:val="fr-FR"/>
        </w:rPr>
        <w:t>Organisation des Nations</w:t>
      </w:r>
      <w:r>
        <w:rPr>
          <w:lang w:val="fr-FR"/>
        </w:rPr>
        <w:t> </w:t>
      </w:r>
      <w:r w:rsidRPr="0015673A">
        <w:rPr>
          <w:lang w:val="fr-FR"/>
        </w:rPr>
        <w:t xml:space="preserve">Unies relatives aux voyages. Le HCDH </w:t>
      </w:r>
      <w:r>
        <w:rPr>
          <w:lang w:val="fr-FR"/>
        </w:rPr>
        <w:t xml:space="preserve">a indiqué qu’il </w:t>
      </w:r>
      <w:r w:rsidRPr="0015673A">
        <w:rPr>
          <w:lang w:val="fr-FR"/>
        </w:rPr>
        <w:t>faisait des efforts supplémentaires pour fournir des aménagements raisonnables aux membres qui en auraient besoin pour les futures sessions en ligne. Aucun document n</w:t>
      </w:r>
      <w:r>
        <w:rPr>
          <w:lang w:val="fr-FR"/>
        </w:rPr>
        <w:t>’</w:t>
      </w:r>
      <w:r w:rsidRPr="0015673A">
        <w:rPr>
          <w:lang w:val="fr-FR"/>
        </w:rPr>
        <w:t>était disponible en langue simplifiée, en langage facile à lire et à comprendre ou en braille pendant la session.</w:t>
      </w:r>
    </w:p>
    <w:p w14:paraId="1526583E" w14:textId="5387F7FD" w:rsidR="000E6DDE" w:rsidRPr="0015673A" w:rsidRDefault="000E6DDE" w:rsidP="000E6DDE">
      <w:pPr>
        <w:pStyle w:val="HChG"/>
        <w:rPr>
          <w:lang w:val="fr-FR"/>
        </w:rPr>
      </w:pPr>
      <w:r>
        <w:rPr>
          <w:lang w:val="fr-FR"/>
        </w:rPr>
        <w:tab/>
      </w:r>
      <w:r w:rsidRPr="0015673A">
        <w:rPr>
          <w:lang w:val="fr-FR"/>
        </w:rPr>
        <w:t>XI.</w:t>
      </w:r>
      <w:r w:rsidRPr="0015673A">
        <w:rPr>
          <w:lang w:val="fr-FR"/>
        </w:rPr>
        <w:tab/>
        <w:t>Coopération avec les organes compétents</w:t>
      </w:r>
    </w:p>
    <w:p w14:paraId="7B13FE3D" w14:textId="68BE2EC5" w:rsidR="000E6DDE" w:rsidRPr="0015673A" w:rsidRDefault="000E6DDE" w:rsidP="000E6DDE">
      <w:pPr>
        <w:pStyle w:val="H1G"/>
        <w:rPr>
          <w:lang w:val="fr-FR"/>
        </w:rPr>
      </w:pPr>
      <w:r>
        <w:rPr>
          <w:lang w:val="fr-FR"/>
        </w:rPr>
        <w:tab/>
      </w:r>
      <w:r w:rsidRPr="0015673A">
        <w:rPr>
          <w:lang w:val="fr-FR"/>
        </w:rPr>
        <w:t>A.</w:t>
      </w:r>
      <w:r w:rsidRPr="0015673A">
        <w:rPr>
          <w:lang w:val="fr-FR"/>
        </w:rPr>
        <w:tab/>
        <w:t>Coopération avec les organes de l</w:t>
      </w:r>
      <w:r>
        <w:rPr>
          <w:lang w:val="fr-FR"/>
        </w:rPr>
        <w:t>’</w:t>
      </w:r>
      <w:r w:rsidRPr="0015673A">
        <w:rPr>
          <w:lang w:val="fr-FR"/>
        </w:rPr>
        <w:t>ONU et les institutions spécialisées des Nations</w:t>
      </w:r>
      <w:r>
        <w:rPr>
          <w:lang w:val="fr-FR"/>
        </w:rPr>
        <w:t> </w:t>
      </w:r>
      <w:r w:rsidRPr="0015673A">
        <w:rPr>
          <w:lang w:val="fr-FR"/>
        </w:rPr>
        <w:t>Unies</w:t>
      </w:r>
    </w:p>
    <w:p w14:paraId="490D6172" w14:textId="1862E532" w:rsidR="000E6DDE" w:rsidRPr="0015673A" w:rsidRDefault="000E6DDE" w:rsidP="000E6DDE">
      <w:pPr>
        <w:pStyle w:val="SingleTxtG"/>
        <w:rPr>
          <w:lang w:val="fr-FR"/>
        </w:rPr>
      </w:pPr>
      <w:r w:rsidRPr="0015673A">
        <w:rPr>
          <w:lang w:val="fr-FR"/>
        </w:rPr>
        <w:t>14.</w:t>
      </w:r>
      <w:r w:rsidRPr="0015673A">
        <w:rPr>
          <w:lang w:val="fr-FR"/>
        </w:rPr>
        <w:tab/>
        <w:t>À la séance d</w:t>
      </w:r>
      <w:r>
        <w:rPr>
          <w:lang w:val="fr-FR"/>
        </w:rPr>
        <w:t>’</w:t>
      </w:r>
      <w:r w:rsidRPr="0015673A">
        <w:rPr>
          <w:lang w:val="fr-FR"/>
        </w:rPr>
        <w:t>ouverture de la session, les représentants des organismes, départements et programmes des Nations</w:t>
      </w:r>
      <w:r>
        <w:rPr>
          <w:lang w:val="fr-FR"/>
        </w:rPr>
        <w:t> </w:t>
      </w:r>
      <w:r w:rsidRPr="0015673A">
        <w:rPr>
          <w:lang w:val="fr-FR"/>
        </w:rPr>
        <w:t>Unies dont la liste suit ont prononcé des allocutions</w:t>
      </w:r>
      <w:r>
        <w:rPr>
          <w:lang w:val="fr-FR"/>
        </w:rPr>
        <w:t> </w:t>
      </w:r>
      <w:r w:rsidRPr="0015673A">
        <w:rPr>
          <w:lang w:val="fr-FR"/>
        </w:rPr>
        <w:t>: Haut</w:t>
      </w:r>
      <w:r>
        <w:rPr>
          <w:lang w:val="fr-FR"/>
        </w:rPr>
        <w:noBreakHyphen/>
      </w:r>
      <w:r w:rsidRPr="0015673A">
        <w:rPr>
          <w:lang w:val="fr-FR"/>
        </w:rPr>
        <w:t>Commissariat des Nations</w:t>
      </w:r>
      <w:r>
        <w:rPr>
          <w:lang w:val="fr-FR"/>
        </w:rPr>
        <w:t> </w:t>
      </w:r>
      <w:r w:rsidRPr="0015673A">
        <w:rPr>
          <w:lang w:val="fr-FR"/>
        </w:rPr>
        <w:t>Unies pour les réfugiés, Commission économique et sociale pour l</w:t>
      </w:r>
      <w:r>
        <w:rPr>
          <w:lang w:val="fr-FR"/>
        </w:rPr>
        <w:t>’</w:t>
      </w:r>
      <w:r w:rsidRPr="0015673A">
        <w:rPr>
          <w:lang w:val="fr-FR"/>
        </w:rPr>
        <w:t>Asie et le Pacifique, Organisation mondiale de la propriété intellectuelle, Entité des Nations</w:t>
      </w:r>
      <w:r>
        <w:rPr>
          <w:lang w:val="fr-FR"/>
        </w:rPr>
        <w:t> </w:t>
      </w:r>
      <w:r w:rsidRPr="0015673A">
        <w:rPr>
          <w:lang w:val="fr-FR"/>
        </w:rPr>
        <w:t>Unies pour l</w:t>
      </w:r>
      <w:r>
        <w:rPr>
          <w:lang w:val="fr-FR"/>
        </w:rPr>
        <w:t>’</w:t>
      </w:r>
      <w:r w:rsidRPr="0015673A">
        <w:rPr>
          <w:lang w:val="fr-FR"/>
        </w:rPr>
        <w:t>égalité des sexes et l</w:t>
      </w:r>
      <w:r>
        <w:rPr>
          <w:lang w:val="fr-FR"/>
        </w:rPr>
        <w:t>’</w:t>
      </w:r>
      <w:r w:rsidRPr="0015673A">
        <w:rPr>
          <w:lang w:val="fr-FR"/>
        </w:rPr>
        <w:t>autonomisation des femmes (ONU-Femmes), Fonds des Nations</w:t>
      </w:r>
      <w:r>
        <w:rPr>
          <w:lang w:val="fr-FR"/>
        </w:rPr>
        <w:t> </w:t>
      </w:r>
      <w:r w:rsidRPr="0015673A">
        <w:rPr>
          <w:lang w:val="fr-FR"/>
        </w:rPr>
        <w:t>Unies pour l</w:t>
      </w:r>
      <w:r>
        <w:rPr>
          <w:lang w:val="fr-FR"/>
        </w:rPr>
        <w:t>’</w:t>
      </w:r>
      <w:r w:rsidRPr="0015673A">
        <w:rPr>
          <w:lang w:val="fr-FR"/>
        </w:rPr>
        <w:t>enfance, Bureau de l</w:t>
      </w:r>
      <w:r>
        <w:rPr>
          <w:lang w:val="fr-FR"/>
        </w:rPr>
        <w:t>’</w:t>
      </w:r>
      <w:r w:rsidRPr="0015673A">
        <w:rPr>
          <w:lang w:val="fr-FR"/>
        </w:rPr>
        <w:t>Envoyé du Secrétaire général pour la jeunesse, Comité sur l</w:t>
      </w:r>
      <w:r>
        <w:rPr>
          <w:lang w:val="fr-FR"/>
        </w:rPr>
        <w:t>’</w:t>
      </w:r>
      <w:r w:rsidRPr="0015673A">
        <w:rPr>
          <w:lang w:val="fr-FR"/>
        </w:rPr>
        <w:t>assistance aux victimes établi dans le cadre de la Convention sur l</w:t>
      </w:r>
      <w:r>
        <w:rPr>
          <w:lang w:val="fr-FR"/>
        </w:rPr>
        <w:t>’</w:t>
      </w:r>
      <w:r w:rsidRPr="0015673A">
        <w:rPr>
          <w:lang w:val="fr-FR"/>
        </w:rPr>
        <w:t>interdiction de l</w:t>
      </w:r>
      <w:r>
        <w:rPr>
          <w:lang w:val="fr-FR"/>
        </w:rPr>
        <w:t>’</w:t>
      </w:r>
      <w:r w:rsidRPr="0015673A">
        <w:rPr>
          <w:lang w:val="fr-FR"/>
        </w:rPr>
        <w:t>emploi, du stockage, de la production et du transfert des mines antipersonnel et sur leur destruction, et équipes du HCDH chargées des droits de l</w:t>
      </w:r>
      <w:r>
        <w:rPr>
          <w:lang w:val="fr-FR"/>
        </w:rPr>
        <w:t>’</w:t>
      </w:r>
      <w:r w:rsidRPr="0015673A">
        <w:rPr>
          <w:lang w:val="fr-FR"/>
        </w:rPr>
        <w:t>homme et du handicap ainsi que du programme de renforcement des capacités des organes conventionnels. L</w:t>
      </w:r>
      <w:r>
        <w:rPr>
          <w:lang w:val="fr-FR"/>
        </w:rPr>
        <w:t>’</w:t>
      </w:r>
      <w:r w:rsidRPr="0015673A">
        <w:rPr>
          <w:lang w:val="fr-FR"/>
        </w:rPr>
        <w:t>Envoyé</w:t>
      </w:r>
      <w:r>
        <w:rPr>
          <w:lang w:val="fr-FR"/>
        </w:rPr>
        <w:t>e</w:t>
      </w:r>
      <w:r w:rsidRPr="0015673A">
        <w:rPr>
          <w:lang w:val="fr-FR"/>
        </w:rPr>
        <w:t xml:space="preserve"> spécial</w:t>
      </w:r>
      <w:r>
        <w:rPr>
          <w:lang w:val="fr-FR"/>
        </w:rPr>
        <w:t>e</w:t>
      </w:r>
      <w:r w:rsidRPr="0015673A">
        <w:rPr>
          <w:lang w:val="fr-FR"/>
        </w:rPr>
        <w:t xml:space="preserve"> du Secrétaire général pour les personnes handicapées et l</w:t>
      </w:r>
      <w:r>
        <w:rPr>
          <w:lang w:val="fr-FR"/>
        </w:rPr>
        <w:t>’</w:t>
      </w:r>
      <w:r w:rsidRPr="0015673A">
        <w:rPr>
          <w:lang w:val="fr-FR"/>
        </w:rPr>
        <w:t>accessibilité et l</w:t>
      </w:r>
      <w:r>
        <w:rPr>
          <w:lang w:val="fr-FR"/>
        </w:rPr>
        <w:t>a</w:t>
      </w:r>
      <w:r w:rsidRPr="0015673A">
        <w:rPr>
          <w:lang w:val="fr-FR"/>
        </w:rPr>
        <w:t xml:space="preserve"> Rapporteu</w:t>
      </w:r>
      <w:r>
        <w:rPr>
          <w:lang w:val="fr-FR"/>
        </w:rPr>
        <w:t>se</w:t>
      </w:r>
      <w:r w:rsidRPr="0015673A">
        <w:rPr>
          <w:lang w:val="fr-FR"/>
        </w:rPr>
        <w:t xml:space="preserve"> spécial</w:t>
      </w:r>
      <w:r>
        <w:rPr>
          <w:lang w:val="fr-FR"/>
        </w:rPr>
        <w:t>e</w:t>
      </w:r>
      <w:r w:rsidRPr="0015673A">
        <w:rPr>
          <w:lang w:val="fr-FR"/>
        </w:rPr>
        <w:t xml:space="preserve"> sur la traite des êtres humains, en particulier les femmes et les enfants, ont également pris la parole devant le Comité.</w:t>
      </w:r>
      <w:bookmarkStart w:id="0" w:name="_Hlk70603994"/>
      <w:bookmarkEnd w:id="0"/>
    </w:p>
    <w:p w14:paraId="730629AA" w14:textId="4E795BAA" w:rsidR="000E6DDE" w:rsidRDefault="000E6DDE" w:rsidP="000E6DDE">
      <w:pPr>
        <w:pStyle w:val="SingleTxtG"/>
        <w:rPr>
          <w:lang w:val="fr-FR"/>
        </w:rPr>
      </w:pPr>
      <w:r w:rsidRPr="0015673A">
        <w:rPr>
          <w:lang w:val="fr-FR"/>
        </w:rPr>
        <w:t>15.</w:t>
      </w:r>
      <w:r w:rsidRPr="0015673A">
        <w:rPr>
          <w:lang w:val="fr-FR"/>
        </w:rPr>
        <w:tab/>
        <w:t>Le Bureau du Comité a rencontré le Rapporteur spécial sur les droits des personnes handicapées afin de s</w:t>
      </w:r>
      <w:r>
        <w:rPr>
          <w:lang w:val="fr-FR"/>
        </w:rPr>
        <w:t>’</w:t>
      </w:r>
      <w:r w:rsidRPr="0015673A">
        <w:rPr>
          <w:lang w:val="fr-FR"/>
        </w:rPr>
        <w:t>entretenir avec lui de questions relatives à la coordination des activités relevant des mandats respectifs du Rapporteur et du Comité. Le Bureau a également tenu des réunions bilatérales avec l</w:t>
      </w:r>
      <w:r>
        <w:rPr>
          <w:lang w:val="fr-FR"/>
        </w:rPr>
        <w:t>a</w:t>
      </w:r>
      <w:r w:rsidRPr="0015673A">
        <w:rPr>
          <w:lang w:val="fr-FR"/>
        </w:rPr>
        <w:t xml:space="preserve"> Rapporteu</w:t>
      </w:r>
      <w:r>
        <w:rPr>
          <w:lang w:val="fr-FR"/>
        </w:rPr>
        <w:t>se</w:t>
      </w:r>
      <w:r w:rsidRPr="0015673A">
        <w:rPr>
          <w:lang w:val="fr-FR"/>
        </w:rPr>
        <w:t xml:space="preserve"> spécial</w:t>
      </w:r>
      <w:r>
        <w:rPr>
          <w:lang w:val="fr-FR"/>
        </w:rPr>
        <w:t>e</w:t>
      </w:r>
      <w:r w:rsidRPr="0015673A">
        <w:rPr>
          <w:lang w:val="fr-FR"/>
        </w:rPr>
        <w:t xml:space="preserve"> sur la traite des êtres humains, en particulier les femmes et les enfants, le Comité sur l</w:t>
      </w:r>
      <w:r>
        <w:rPr>
          <w:lang w:val="fr-FR"/>
        </w:rPr>
        <w:t>’</w:t>
      </w:r>
      <w:r w:rsidRPr="0015673A">
        <w:rPr>
          <w:lang w:val="fr-FR"/>
        </w:rPr>
        <w:t>assistance aux victimes et l</w:t>
      </w:r>
      <w:r>
        <w:rPr>
          <w:lang w:val="fr-FR"/>
        </w:rPr>
        <w:t>’</w:t>
      </w:r>
      <w:r w:rsidRPr="0015673A">
        <w:rPr>
          <w:lang w:val="fr-FR"/>
        </w:rPr>
        <w:t>équipe du HCDH chargée des droits de l</w:t>
      </w:r>
      <w:r>
        <w:rPr>
          <w:lang w:val="fr-FR"/>
        </w:rPr>
        <w:t>’</w:t>
      </w:r>
      <w:r w:rsidRPr="0015673A">
        <w:rPr>
          <w:lang w:val="fr-FR"/>
        </w:rPr>
        <w:t>homme et du handicap.</w:t>
      </w:r>
      <w:bookmarkStart w:id="1" w:name="_Hlk70604212"/>
      <w:bookmarkEnd w:id="1"/>
    </w:p>
    <w:p w14:paraId="028B7FE9" w14:textId="3395E920" w:rsidR="000E6DDE" w:rsidRPr="0015673A" w:rsidRDefault="000E6DDE" w:rsidP="000E6DDE">
      <w:pPr>
        <w:pStyle w:val="SingleTxtG"/>
        <w:rPr>
          <w:lang w:val="fr-FR"/>
        </w:rPr>
      </w:pPr>
      <w:r w:rsidRPr="0015673A">
        <w:rPr>
          <w:lang w:val="fr-FR"/>
        </w:rPr>
        <w:t>16.</w:t>
      </w:r>
      <w:r w:rsidRPr="0015673A">
        <w:rPr>
          <w:lang w:val="fr-FR"/>
        </w:rPr>
        <w:tab/>
        <w:t>Le Comité a établi et présenté une contribution écrite concernant le Programme de développement durable à l</w:t>
      </w:r>
      <w:r>
        <w:rPr>
          <w:lang w:val="fr-FR"/>
        </w:rPr>
        <w:t>’</w:t>
      </w:r>
      <w:r w:rsidRPr="0015673A">
        <w:rPr>
          <w:lang w:val="fr-FR"/>
        </w:rPr>
        <w:t>horizon</w:t>
      </w:r>
      <w:r>
        <w:rPr>
          <w:lang w:val="fr-FR"/>
        </w:rPr>
        <w:t> </w:t>
      </w:r>
      <w:r w:rsidRPr="0015673A">
        <w:rPr>
          <w:lang w:val="fr-FR"/>
        </w:rPr>
        <w:t xml:space="preserve">2030 en réponse à un appel à contributions émis par le forum politique de haut niveau pour le développement durable. </w:t>
      </w:r>
      <w:r>
        <w:rPr>
          <w:lang w:val="fr-FR"/>
        </w:rPr>
        <w:t>Il y</w:t>
      </w:r>
      <w:r w:rsidRPr="0015673A">
        <w:rPr>
          <w:lang w:val="fr-FR"/>
        </w:rPr>
        <w:t xml:space="preserve"> soulignait l</w:t>
      </w:r>
      <w:r>
        <w:rPr>
          <w:lang w:val="fr-FR"/>
        </w:rPr>
        <w:t>’</w:t>
      </w:r>
      <w:r w:rsidRPr="0015673A">
        <w:rPr>
          <w:lang w:val="fr-FR"/>
        </w:rPr>
        <w:t>importance des principes et des normes des droits de l</w:t>
      </w:r>
      <w:r>
        <w:rPr>
          <w:lang w:val="fr-FR"/>
        </w:rPr>
        <w:t>’</w:t>
      </w:r>
      <w:r w:rsidRPr="0015673A">
        <w:rPr>
          <w:lang w:val="fr-FR"/>
        </w:rPr>
        <w:t xml:space="preserve">homme, </w:t>
      </w:r>
      <w:r>
        <w:rPr>
          <w:lang w:val="fr-FR"/>
        </w:rPr>
        <w:t>qui, dans le contexte de la pandémie de</w:t>
      </w:r>
      <w:r>
        <w:rPr>
          <w:lang w:val="fr-FR"/>
        </w:rPr>
        <w:t> </w:t>
      </w:r>
      <w:r>
        <w:rPr>
          <w:lang w:val="fr-FR"/>
        </w:rPr>
        <w:t xml:space="preserve">COVID-19, devaient servir de fondement à </w:t>
      </w:r>
      <w:r w:rsidRPr="0015673A">
        <w:rPr>
          <w:lang w:val="fr-FR"/>
        </w:rPr>
        <w:t xml:space="preserve">une réponse et </w:t>
      </w:r>
      <w:r>
        <w:rPr>
          <w:lang w:val="fr-FR"/>
        </w:rPr>
        <w:t xml:space="preserve">à </w:t>
      </w:r>
      <w:r w:rsidRPr="0015673A">
        <w:rPr>
          <w:lang w:val="fr-FR"/>
        </w:rPr>
        <w:t xml:space="preserve">un </w:t>
      </w:r>
      <w:r>
        <w:rPr>
          <w:lang w:val="fr-FR"/>
        </w:rPr>
        <w:t>relèvement</w:t>
      </w:r>
      <w:r w:rsidRPr="0015673A">
        <w:rPr>
          <w:lang w:val="fr-FR"/>
        </w:rPr>
        <w:t xml:space="preserve"> durables et résilients, pour tous. Il </w:t>
      </w:r>
      <w:r>
        <w:rPr>
          <w:lang w:val="fr-FR"/>
        </w:rPr>
        <w:t xml:space="preserve">y </w:t>
      </w:r>
      <w:r w:rsidRPr="0015673A">
        <w:rPr>
          <w:lang w:val="fr-FR"/>
        </w:rPr>
        <w:t>formulait aussi à l</w:t>
      </w:r>
      <w:r>
        <w:rPr>
          <w:lang w:val="fr-FR"/>
        </w:rPr>
        <w:t>’</w:t>
      </w:r>
      <w:r w:rsidRPr="0015673A">
        <w:rPr>
          <w:lang w:val="fr-FR"/>
        </w:rPr>
        <w:t>intention des États une série de recommandations fondées sur une approche du handicap axée sur les droits de l</w:t>
      </w:r>
      <w:r>
        <w:rPr>
          <w:lang w:val="fr-FR"/>
        </w:rPr>
        <w:t>’</w:t>
      </w:r>
      <w:r w:rsidRPr="0015673A">
        <w:rPr>
          <w:lang w:val="fr-FR"/>
        </w:rPr>
        <w:t>homme, comme le prévoit la</w:t>
      </w:r>
      <w:r>
        <w:rPr>
          <w:lang w:val="fr-FR"/>
        </w:rPr>
        <w:t> </w:t>
      </w:r>
      <w:r w:rsidRPr="0015673A">
        <w:rPr>
          <w:lang w:val="fr-FR"/>
        </w:rPr>
        <w:t>Convention.</w:t>
      </w:r>
    </w:p>
    <w:p w14:paraId="3CB6AF4A" w14:textId="605A1358" w:rsidR="000E6DDE" w:rsidRPr="0015673A" w:rsidRDefault="000E6DDE" w:rsidP="000E6DDE">
      <w:pPr>
        <w:pStyle w:val="H1G"/>
        <w:rPr>
          <w:lang w:val="fr-FR"/>
        </w:rPr>
      </w:pPr>
      <w:r>
        <w:rPr>
          <w:lang w:val="fr-FR"/>
        </w:rPr>
        <w:tab/>
      </w:r>
      <w:r w:rsidRPr="0015673A">
        <w:rPr>
          <w:lang w:val="fr-FR"/>
        </w:rPr>
        <w:t>B.</w:t>
      </w:r>
      <w:r w:rsidRPr="0015673A">
        <w:rPr>
          <w:lang w:val="fr-FR"/>
        </w:rPr>
        <w:tab/>
      </w:r>
      <w:r w:rsidRPr="000E6DDE">
        <w:rPr>
          <w:lang w:val="fr-FR"/>
        </w:rPr>
        <w:t>Coopération avec des organisations non gouvernementales et d’autres organismes</w:t>
      </w:r>
    </w:p>
    <w:p w14:paraId="476F72B7" w14:textId="1932EFEB" w:rsidR="000E6DDE" w:rsidRPr="0015673A" w:rsidRDefault="000E6DDE" w:rsidP="000E6DDE">
      <w:pPr>
        <w:pStyle w:val="SingleTxtG"/>
        <w:rPr>
          <w:lang w:val="fr-FR"/>
        </w:rPr>
      </w:pPr>
      <w:r w:rsidRPr="00A14A96">
        <w:rPr>
          <w:lang w:val="fr-FR"/>
        </w:rPr>
        <w:t>17.</w:t>
      </w:r>
      <w:r w:rsidRPr="00A14A96">
        <w:rPr>
          <w:lang w:val="fr-FR"/>
        </w:rPr>
        <w:tab/>
        <w:t>À la séance d’ouverture de la session, des allocutions ont été prononcées par des représentants</w:t>
      </w:r>
      <w:r w:rsidRPr="0015673A">
        <w:rPr>
          <w:lang w:val="fr-FR"/>
        </w:rPr>
        <w:t xml:space="preserve"> de </w:t>
      </w:r>
      <w:r w:rsidRPr="007044FA">
        <w:rPr>
          <w:lang w:val="fr-FR"/>
        </w:rPr>
        <w:t xml:space="preserve">l’International Disability Alliance, du Forum européen des personnes handicapées, de la Fédération internationale des associations contre la lèpre, </w:t>
      </w:r>
      <w:r w:rsidR="00A14A96">
        <w:rPr>
          <w:lang w:val="fr-FR"/>
        </w:rPr>
        <w:t xml:space="preserve">de Mental Health Europe, </w:t>
      </w:r>
      <w:r w:rsidRPr="007044FA">
        <w:rPr>
          <w:lang w:val="fr-FR"/>
        </w:rPr>
        <w:t>de l’Observatorio del Tratado de Marrakech en América Latina et du Centre for the Human Rights of Users and Survivors of Psychiatry.</w:t>
      </w:r>
    </w:p>
    <w:p w14:paraId="1990B63E" w14:textId="72F99393" w:rsidR="000E6DDE" w:rsidRPr="00F62D06" w:rsidRDefault="000E6DDE" w:rsidP="000E6DDE">
      <w:pPr>
        <w:pStyle w:val="SingleTxtG"/>
        <w:rPr>
          <w:spacing w:val="-3"/>
          <w:lang w:val="fr-FR"/>
        </w:rPr>
      </w:pPr>
      <w:r w:rsidRPr="00F62D06">
        <w:rPr>
          <w:spacing w:val="-3"/>
          <w:lang w:val="fr-FR"/>
        </w:rPr>
        <w:t>18.</w:t>
      </w:r>
      <w:r w:rsidRPr="00F62D06">
        <w:rPr>
          <w:spacing w:val="-3"/>
          <w:lang w:val="fr-FR"/>
        </w:rPr>
        <w:tab/>
        <w:t xml:space="preserve">À la séance de clôture de la session, des allocutions ont été prononcées par des représentants des entités suivantes : Human Rights Watch, Bureau des droits de l’homme et de la justice du pouvoir judiciaire de la province de Córdoba en Argentine, World Network of Users and Survivors of Psychiatry, European Network of (Ex-)Users and Survivors of Psychiatry, </w:t>
      </w:r>
      <w:r w:rsidRPr="00F62D06">
        <w:rPr>
          <w:spacing w:val="-3"/>
          <w:lang w:val="fr-FR"/>
        </w:rPr>
        <w:lastRenderedPageBreak/>
        <w:t>Confederación Mexicana de Organizaciones en Favor de la Persona con Discapacidad Intelectual, et Fédération mondiale des sourds (au nom d’International Disability Alliance).</w:t>
      </w:r>
    </w:p>
    <w:p w14:paraId="5FAC213E" w14:textId="56C81138" w:rsidR="000E6DDE" w:rsidRPr="0015673A" w:rsidRDefault="000E6DDE" w:rsidP="000E6DDE">
      <w:pPr>
        <w:pStyle w:val="HChG"/>
        <w:rPr>
          <w:lang w:val="fr-FR"/>
        </w:rPr>
      </w:pPr>
      <w:r>
        <w:rPr>
          <w:lang w:val="fr-FR"/>
        </w:rPr>
        <w:tab/>
      </w:r>
      <w:r w:rsidRPr="0015673A">
        <w:rPr>
          <w:lang w:val="fr-FR"/>
        </w:rPr>
        <w:t>XII.</w:t>
      </w:r>
      <w:r w:rsidRPr="0015673A">
        <w:rPr>
          <w:lang w:val="fr-FR"/>
        </w:rPr>
        <w:tab/>
        <w:t>Examen des rapports soumis en application de l</w:t>
      </w:r>
      <w:r>
        <w:rPr>
          <w:lang w:val="fr-FR"/>
        </w:rPr>
        <w:t>’</w:t>
      </w:r>
      <w:r w:rsidRPr="0015673A">
        <w:rPr>
          <w:lang w:val="fr-FR"/>
        </w:rPr>
        <w:t>article</w:t>
      </w:r>
      <w:r>
        <w:rPr>
          <w:lang w:val="fr-FR"/>
        </w:rPr>
        <w:t> </w:t>
      </w:r>
      <w:r w:rsidRPr="0015673A">
        <w:rPr>
          <w:lang w:val="fr-FR"/>
        </w:rPr>
        <w:t>35 de</w:t>
      </w:r>
      <w:r>
        <w:rPr>
          <w:lang w:val="fr-FR"/>
        </w:rPr>
        <w:t> </w:t>
      </w:r>
      <w:r w:rsidRPr="0015673A">
        <w:rPr>
          <w:lang w:val="fr-FR"/>
        </w:rPr>
        <w:t>la Convention</w:t>
      </w:r>
    </w:p>
    <w:p w14:paraId="6984349E" w14:textId="56FA01DC" w:rsidR="000E6DDE" w:rsidRPr="0015673A" w:rsidRDefault="000E6DDE" w:rsidP="000E6DDE">
      <w:pPr>
        <w:pStyle w:val="SingleTxtG"/>
        <w:rPr>
          <w:lang w:val="fr-FR"/>
        </w:rPr>
      </w:pPr>
      <w:r w:rsidRPr="0015673A">
        <w:rPr>
          <w:lang w:val="fr-FR"/>
        </w:rPr>
        <w:t>19.</w:t>
      </w:r>
      <w:r w:rsidRPr="0015673A">
        <w:rPr>
          <w:lang w:val="fr-FR"/>
        </w:rPr>
        <w:tab/>
        <w:t>En raison de la pandémie de COVID-19, le Comité a eu un dialogue constructif en ligne, à titre exceptionnel et expérimental. Il a examiné le rapport initial de l</w:t>
      </w:r>
      <w:r>
        <w:rPr>
          <w:lang w:val="fr-FR"/>
        </w:rPr>
        <w:t>’</w:t>
      </w:r>
      <w:r w:rsidRPr="0015673A">
        <w:rPr>
          <w:lang w:val="fr-FR"/>
        </w:rPr>
        <w:t>Estonie</w:t>
      </w:r>
      <w:r w:rsidRPr="000E6DDE">
        <w:rPr>
          <w:rStyle w:val="Appelnotedebasdep"/>
          <w:lang w:val="fr-FR"/>
        </w:rPr>
        <w:footnoteReference w:id="3"/>
      </w:r>
      <w:r w:rsidRPr="0015673A">
        <w:rPr>
          <w:lang w:val="fr-FR"/>
        </w:rPr>
        <w:t xml:space="preserve"> et a adopté des observations finales sur ce rapport, qui peuvent être consultées sur son site Web.</w:t>
      </w:r>
    </w:p>
    <w:p w14:paraId="0FE37D39" w14:textId="54497F43" w:rsidR="000E6DDE" w:rsidRPr="0015673A" w:rsidRDefault="000E6DDE" w:rsidP="000E6DDE">
      <w:pPr>
        <w:pStyle w:val="HChG"/>
        <w:rPr>
          <w:lang w:val="fr-FR"/>
        </w:rPr>
      </w:pPr>
      <w:r>
        <w:rPr>
          <w:lang w:val="fr-FR"/>
        </w:rPr>
        <w:tab/>
      </w:r>
      <w:r w:rsidRPr="0015673A">
        <w:rPr>
          <w:lang w:val="fr-FR"/>
        </w:rPr>
        <w:t>XIII.</w:t>
      </w:r>
      <w:r w:rsidRPr="0015673A">
        <w:rPr>
          <w:lang w:val="fr-FR"/>
        </w:rPr>
        <w:tab/>
      </w:r>
      <w:r w:rsidRPr="000E6DDE">
        <w:rPr>
          <w:lang w:val="fr-FR"/>
        </w:rPr>
        <w:t>Conférence des États parties à la Convention</w:t>
      </w:r>
    </w:p>
    <w:p w14:paraId="47BD6B44" w14:textId="49644484" w:rsidR="000E6DDE" w:rsidRDefault="000E6DDE" w:rsidP="000E6DDE">
      <w:pPr>
        <w:pStyle w:val="SingleTxtG"/>
        <w:rPr>
          <w:lang w:val="fr-FR"/>
        </w:rPr>
      </w:pPr>
      <w:r w:rsidRPr="0015673A">
        <w:rPr>
          <w:lang w:val="fr-FR"/>
        </w:rPr>
        <w:t>20.</w:t>
      </w:r>
      <w:r w:rsidRPr="0015673A">
        <w:rPr>
          <w:lang w:val="fr-FR"/>
        </w:rPr>
        <w:tab/>
        <w:t>Le Comité a confirmé qu</w:t>
      </w:r>
      <w:r>
        <w:rPr>
          <w:lang w:val="fr-FR"/>
        </w:rPr>
        <w:t>’</w:t>
      </w:r>
      <w:r w:rsidRPr="0015673A">
        <w:rPr>
          <w:lang w:val="fr-FR"/>
        </w:rPr>
        <w:t>il serait représenté par sa Présidente à la quatorzième session de la Conférence des États parties à la Convention.</w:t>
      </w:r>
    </w:p>
    <w:p w14:paraId="26A56A19" w14:textId="0CA91594" w:rsidR="000E6DDE" w:rsidRDefault="000E6DDE" w:rsidP="000E6DDE">
      <w:pPr>
        <w:rPr>
          <w:lang w:val="fr-FR"/>
        </w:rPr>
      </w:pPr>
    </w:p>
    <w:p w14:paraId="4EB7CFC4" w14:textId="77777777" w:rsidR="000E6DDE" w:rsidRDefault="000E6DDE" w:rsidP="000E6DDE">
      <w:pPr>
        <w:rPr>
          <w:lang w:val="fr-FR"/>
        </w:rPr>
        <w:sectPr w:rsidR="000E6DDE" w:rsidSect="000E6DD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p w14:paraId="57650CB0" w14:textId="77777777" w:rsidR="000E6DDE" w:rsidRPr="0015673A" w:rsidRDefault="000E6DDE" w:rsidP="000E6DDE">
      <w:pPr>
        <w:pStyle w:val="HChG"/>
        <w:rPr>
          <w:lang w:val="fr-FR"/>
        </w:rPr>
      </w:pPr>
      <w:r w:rsidRPr="0015673A">
        <w:rPr>
          <w:lang w:val="fr-FR"/>
        </w:rPr>
        <w:lastRenderedPageBreak/>
        <w:tab/>
        <w:t>Annexe</w:t>
      </w:r>
    </w:p>
    <w:p w14:paraId="5AA4A450" w14:textId="77777777" w:rsidR="000E6DDE" w:rsidRPr="0015673A" w:rsidRDefault="000E6DDE" w:rsidP="000E6DDE">
      <w:pPr>
        <w:pStyle w:val="HChG"/>
        <w:rPr>
          <w:lang w:val="fr-FR"/>
        </w:rPr>
      </w:pPr>
      <w:r w:rsidRPr="0015673A">
        <w:rPr>
          <w:lang w:val="fr-FR"/>
        </w:rPr>
        <w:tab/>
      </w:r>
      <w:r w:rsidRPr="0015673A">
        <w:rPr>
          <w:lang w:val="fr-FR"/>
        </w:rPr>
        <w:tab/>
        <w:t>Décisions adoptées par le Comité à sa vingt-quatrième session</w:t>
      </w:r>
    </w:p>
    <w:p w14:paraId="79406BDF" w14:textId="77777777" w:rsidR="000E6DDE" w:rsidRPr="0015673A" w:rsidRDefault="000E6DDE" w:rsidP="000E6DDE">
      <w:pPr>
        <w:pStyle w:val="SingleTxtG"/>
        <w:rPr>
          <w:lang w:val="fr-FR"/>
        </w:rPr>
      </w:pPr>
      <w:r w:rsidRPr="0015673A">
        <w:rPr>
          <w:lang w:val="fr-FR"/>
        </w:rPr>
        <w:t>1.</w:t>
      </w:r>
      <w:r w:rsidRPr="0015673A">
        <w:rPr>
          <w:lang w:val="fr-FR"/>
        </w:rPr>
        <w:tab/>
        <w:t xml:space="preserve">Le Comité a adopté des observations finales concernant </w:t>
      </w:r>
      <w:r>
        <w:rPr>
          <w:lang w:val="fr-FR"/>
        </w:rPr>
        <w:t>le</w:t>
      </w:r>
      <w:r w:rsidRPr="0015673A">
        <w:rPr>
          <w:lang w:val="fr-FR"/>
        </w:rPr>
        <w:t xml:space="preserve"> rapport initial de l</w:t>
      </w:r>
      <w:r>
        <w:rPr>
          <w:lang w:val="fr-FR"/>
        </w:rPr>
        <w:t>’</w:t>
      </w:r>
      <w:r w:rsidRPr="0015673A">
        <w:rPr>
          <w:lang w:val="fr-FR"/>
        </w:rPr>
        <w:t>Estonie</w:t>
      </w:r>
      <w:r w:rsidRPr="004051B5">
        <w:rPr>
          <w:rStyle w:val="Appelnotedebasdep"/>
        </w:rPr>
        <w:footnoteReference w:id="4"/>
      </w:r>
      <w:r w:rsidRPr="0015673A">
        <w:rPr>
          <w:lang w:val="fr-FR"/>
        </w:rPr>
        <w:t>.</w:t>
      </w:r>
    </w:p>
    <w:p w14:paraId="37774FE9" w14:textId="77777777" w:rsidR="000E6DDE" w:rsidRPr="0015673A" w:rsidRDefault="000E6DDE" w:rsidP="000E6DDE">
      <w:pPr>
        <w:pStyle w:val="SingleTxtG"/>
        <w:rPr>
          <w:lang w:val="fr-FR"/>
        </w:rPr>
      </w:pPr>
      <w:r w:rsidRPr="0015673A">
        <w:rPr>
          <w:lang w:val="fr-FR"/>
        </w:rPr>
        <w:t>2.</w:t>
      </w:r>
      <w:r w:rsidRPr="0015673A">
        <w:rPr>
          <w:lang w:val="fr-FR"/>
        </w:rPr>
        <w:tab/>
        <w:t>Le Comité a examiné trois communications émanant de particuliers qui lui avaient été soumises en vertu du Protocole facultatif à la Convention. Ses constatations et décisions seront communiquées aux parties dès que possible, avant d</w:t>
      </w:r>
      <w:r>
        <w:rPr>
          <w:lang w:val="fr-FR"/>
        </w:rPr>
        <w:t>’</w:t>
      </w:r>
      <w:r w:rsidRPr="0015673A">
        <w:rPr>
          <w:lang w:val="fr-FR"/>
        </w:rPr>
        <w:t>être publiées.</w:t>
      </w:r>
    </w:p>
    <w:p w14:paraId="774167E5" w14:textId="6B9F51E8" w:rsidR="000E6DDE" w:rsidRPr="0015673A" w:rsidRDefault="000E6DDE" w:rsidP="000E6DDE">
      <w:pPr>
        <w:pStyle w:val="SingleTxtG"/>
        <w:rPr>
          <w:lang w:val="fr-FR"/>
        </w:rPr>
      </w:pPr>
      <w:r w:rsidRPr="0015673A">
        <w:rPr>
          <w:lang w:val="fr-FR"/>
        </w:rPr>
        <w:t>3.</w:t>
      </w:r>
      <w:r w:rsidRPr="0015673A">
        <w:rPr>
          <w:lang w:val="fr-FR"/>
        </w:rPr>
        <w:tab/>
        <w:t>Le Comité a examiné des questions relatives à la procédure de présentation de communications et à la procédure d</w:t>
      </w:r>
      <w:r>
        <w:rPr>
          <w:lang w:val="fr-FR"/>
        </w:rPr>
        <w:t>’</w:t>
      </w:r>
      <w:r w:rsidRPr="0015673A">
        <w:rPr>
          <w:lang w:val="fr-FR"/>
        </w:rPr>
        <w:t>enquête prévues par le Protocole facultatif.</w:t>
      </w:r>
      <w:bookmarkStart w:id="2" w:name="_Hlk70604741"/>
      <w:bookmarkEnd w:id="2"/>
    </w:p>
    <w:p w14:paraId="233BBC9F" w14:textId="3126979A" w:rsidR="000E6DDE" w:rsidRPr="0015673A" w:rsidRDefault="000E6DDE" w:rsidP="000E6DDE">
      <w:pPr>
        <w:pStyle w:val="SingleTxtG"/>
        <w:rPr>
          <w:lang w:val="fr-FR"/>
        </w:rPr>
      </w:pPr>
      <w:r w:rsidRPr="0015673A">
        <w:rPr>
          <w:lang w:val="fr-FR"/>
        </w:rPr>
        <w:t>4.</w:t>
      </w:r>
      <w:r w:rsidRPr="0015673A">
        <w:rPr>
          <w:lang w:val="fr-FR"/>
        </w:rPr>
        <w:tab/>
        <w:t>Le Comité a décidé que, pour l</w:t>
      </w:r>
      <w:r>
        <w:rPr>
          <w:lang w:val="fr-FR"/>
        </w:rPr>
        <w:t>’</w:t>
      </w:r>
      <w:r w:rsidRPr="0015673A">
        <w:rPr>
          <w:lang w:val="fr-FR"/>
        </w:rPr>
        <w:t>exercice biennal 2021-2022, ses langues de travail seraient l</w:t>
      </w:r>
      <w:r>
        <w:rPr>
          <w:lang w:val="fr-FR"/>
        </w:rPr>
        <w:t>’</w:t>
      </w:r>
      <w:r w:rsidRPr="0015673A">
        <w:rPr>
          <w:lang w:val="fr-FR"/>
        </w:rPr>
        <w:t>anglais, l</w:t>
      </w:r>
      <w:r>
        <w:rPr>
          <w:lang w:val="fr-FR"/>
        </w:rPr>
        <w:t>’</w:t>
      </w:r>
      <w:r w:rsidRPr="0015673A">
        <w:rPr>
          <w:lang w:val="fr-FR"/>
        </w:rPr>
        <w:t>espagnol</w:t>
      </w:r>
      <w:r>
        <w:rPr>
          <w:lang w:val="fr-FR"/>
        </w:rPr>
        <w:t xml:space="preserve"> et le français</w:t>
      </w:r>
      <w:r w:rsidRPr="0015673A">
        <w:rPr>
          <w:lang w:val="fr-FR"/>
        </w:rPr>
        <w:t>.</w:t>
      </w:r>
    </w:p>
    <w:p w14:paraId="45BFE020" w14:textId="39B31A7C" w:rsidR="000E6DDE" w:rsidRPr="0015673A" w:rsidRDefault="000E6DDE" w:rsidP="000E6DDE">
      <w:pPr>
        <w:pStyle w:val="SingleTxtG"/>
        <w:rPr>
          <w:lang w:val="fr-FR"/>
        </w:rPr>
      </w:pPr>
      <w:r w:rsidRPr="0015673A">
        <w:rPr>
          <w:lang w:val="fr-FR"/>
        </w:rPr>
        <w:t>5.</w:t>
      </w:r>
      <w:r w:rsidRPr="0015673A">
        <w:rPr>
          <w:lang w:val="fr-FR"/>
        </w:rPr>
        <w:tab/>
        <w:t>Le Comité a décidé de poursuivre ses travaux d</w:t>
      </w:r>
      <w:r>
        <w:rPr>
          <w:lang w:val="fr-FR"/>
        </w:rPr>
        <w:t>’</w:t>
      </w:r>
      <w:r w:rsidRPr="0015673A">
        <w:rPr>
          <w:lang w:val="fr-FR"/>
        </w:rPr>
        <w:t>élaboration d</w:t>
      </w:r>
      <w:r>
        <w:rPr>
          <w:lang w:val="fr-FR"/>
        </w:rPr>
        <w:t>’</w:t>
      </w:r>
      <w:r w:rsidRPr="0015673A">
        <w:rPr>
          <w:lang w:val="fr-FR"/>
        </w:rPr>
        <w:t>une observation générale relative à l</w:t>
      </w:r>
      <w:r>
        <w:rPr>
          <w:lang w:val="fr-FR"/>
        </w:rPr>
        <w:t>’</w:t>
      </w:r>
      <w:r w:rsidRPr="0015673A">
        <w:rPr>
          <w:lang w:val="fr-FR"/>
        </w:rPr>
        <w:t>article</w:t>
      </w:r>
      <w:r>
        <w:rPr>
          <w:lang w:val="fr-FR"/>
        </w:rPr>
        <w:t> </w:t>
      </w:r>
      <w:r w:rsidRPr="0015673A">
        <w:rPr>
          <w:lang w:val="fr-FR"/>
        </w:rPr>
        <w:t>27 de la Convention, sur les droits des personnes handicapées au travail et à l</w:t>
      </w:r>
      <w:r>
        <w:rPr>
          <w:lang w:val="fr-FR"/>
        </w:rPr>
        <w:t>’</w:t>
      </w:r>
      <w:r w:rsidRPr="0015673A">
        <w:rPr>
          <w:lang w:val="fr-FR"/>
        </w:rPr>
        <w:t>emploi</w:t>
      </w:r>
      <w:r w:rsidR="009E7354">
        <w:rPr>
          <w:lang w:val="fr-FR"/>
        </w:rPr>
        <w:t> </w:t>
      </w:r>
      <w:r w:rsidRPr="0015673A">
        <w:rPr>
          <w:lang w:val="fr-FR"/>
        </w:rPr>
        <w:t>; il a organisé deux réunions de discussion générale sur le sujet avec les parties intéressées.</w:t>
      </w:r>
    </w:p>
    <w:p w14:paraId="6D060696" w14:textId="77777777" w:rsidR="000E6DDE" w:rsidRPr="0015673A" w:rsidRDefault="000E6DDE" w:rsidP="000E6DDE">
      <w:pPr>
        <w:pStyle w:val="SingleTxtG"/>
        <w:rPr>
          <w:lang w:val="fr-FR"/>
        </w:rPr>
      </w:pPr>
      <w:r w:rsidRPr="0015673A">
        <w:rPr>
          <w:lang w:val="fr-FR"/>
        </w:rPr>
        <w:t>6.</w:t>
      </w:r>
      <w:r w:rsidRPr="0015673A">
        <w:rPr>
          <w:lang w:val="fr-FR"/>
        </w:rPr>
        <w:tab/>
        <w:t>Le Comité a décidé de collaborer avec le Rapporteur spécial sur les droits des personnes handicapées et l</w:t>
      </w:r>
      <w:r>
        <w:rPr>
          <w:lang w:val="fr-FR"/>
        </w:rPr>
        <w:t>’</w:t>
      </w:r>
      <w:r w:rsidRPr="0015673A">
        <w:rPr>
          <w:lang w:val="fr-FR"/>
        </w:rPr>
        <w:t>Envoyé</w:t>
      </w:r>
      <w:r>
        <w:rPr>
          <w:lang w:val="fr-FR"/>
        </w:rPr>
        <w:t>e</w:t>
      </w:r>
      <w:r w:rsidRPr="0015673A">
        <w:rPr>
          <w:lang w:val="fr-FR"/>
        </w:rPr>
        <w:t xml:space="preserve"> spécial</w:t>
      </w:r>
      <w:r>
        <w:rPr>
          <w:lang w:val="fr-FR"/>
        </w:rPr>
        <w:t>e</w:t>
      </w:r>
      <w:r w:rsidRPr="0015673A">
        <w:rPr>
          <w:lang w:val="fr-FR"/>
        </w:rPr>
        <w:t xml:space="preserve"> du Secrétaire général pour les questions de handicap et d</w:t>
      </w:r>
      <w:r>
        <w:rPr>
          <w:lang w:val="fr-FR"/>
        </w:rPr>
        <w:t>’</w:t>
      </w:r>
      <w:r w:rsidRPr="0015673A">
        <w:rPr>
          <w:lang w:val="fr-FR"/>
        </w:rPr>
        <w:t xml:space="preserve">accessibilité au sujet de </w:t>
      </w:r>
      <w:r>
        <w:rPr>
          <w:lang w:val="fr-FR"/>
        </w:rPr>
        <w:t>l’</w:t>
      </w:r>
      <w:r w:rsidRPr="0015673A">
        <w:rPr>
          <w:lang w:val="fr-FR"/>
        </w:rPr>
        <w:t>incompatibilité avec la Convention du projet de protocole additionnel à la Convention pour la protection des droits de l</w:t>
      </w:r>
      <w:r>
        <w:rPr>
          <w:lang w:val="fr-FR"/>
        </w:rPr>
        <w:t>’</w:t>
      </w:r>
      <w:r w:rsidRPr="0015673A">
        <w:rPr>
          <w:lang w:val="fr-FR"/>
        </w:rPr>
        <w:t>homme et de la dignité de l</w:t>
      </w:r>
      <w:r>
        <w:rPr>
          <w:lang w:val="fr-FR"/>
        </w:rPr>
        <w:t>’</w:t>
      </w:r>
      <w:r w:rsidRPr="0015673A">
        <w:rPr>
          <w:lang w:val="fr-FR"/>
        </w:rPr>
        <w:t>être humain à l</w:t>
      </w:r>
      <w:r>
        <w:rPr>
          <w:lang w:val="fr-FR"/>
        </w:rPr>
        <w:t>’</w:t>
      </w:r>
      <w:r w:rsidRPr="0015673A">
        <w:rPr>
          <w:lang w:val="fr-FR"/>
        </w:rPr>
        <w:t>égard des applications de la biologie et de la médecine (Conseil de l</w:t>
      </w:r>
      <w:r>
        <w:rPr>
          <w:lang w:val="fr-FR"/>
        </w:rPr>
        <w:t>’</w:t>
      </w:r>
      <w:r w:rsidRPr="0015673A">
        <w:rPr>
          <w:lang w:val="fr-FR"/>
        </w:rPr>
        <w:t>Europe).</w:t>
      </w:r>
    </w:p>
    <w:p w14:paraId="1B3795F7" w14:textId="1184ED47" w:rsidR="000E6DDE" w:rsidRPr="0015673A" w:rsidRDefault="000E6DDE" w:rsidP="000E6DDE">
      <w:pPr>
        <w:pStyle w:val="SingleTxtG"/>
        <w:rPr>
          <w:lang w:val="fr-FR"/>
        </w:rPr>
      </w:pPr>
      <w:r w:rsidRPr="0015673A">
        <w:rPr>
          <w:lang w:val="fr-FR"/>
        </w:rPr>
        <w:t>7.</w:t>
      </w:r>
      <w:r w:rsidRPr="0015673A">
        <w:rPr>
          <w:lang w:val="fr-FR"/>
        </w:rPr>
        <w:tab/>
        <w:t>Le Comité a décidé de continuer à coopérer avec des entités, organismes</w:t>
      </w:r>
      <w:r>
        <w:rPr>
          <w:lang w:val="fr-FR"/>
        </w:rPr>
        <w:t xml:space="preserve"> et </w:t>
      </w:r>
      <w:r w:rsidRPr="0015673A">
        <w:rPr>
          <w:lang w:val="fr-FR"/>
        </w:rPr>
        <w:t>programmes</w:t>
      </w:r>
      <w:r>
        <w:rPr>
          <w:lang w:val="fr-FR"/>
        </w:rPr>
        <w:t xml:space="preserve"> des Nations</w:t>
      </w:r>
      <w:r>
        <w:rPr>
          <w:lang w:val="fr-FR"/>
        </w:rPr>
        <w:t> </w:t>
      </w:r>
      <w:r>
        <w:rPr>
          <w:lang w:val="fr-FR"/>
        </w:rPr>
        <w:t xml:space="preserve">Unies ainsi qu’avec des </w:t>
      </w:r>
      <w:r w:rsidRPr="0015673A">
        <w:rPr>
          <w:lang w:val="fr-FR"/>
        </w:rPr>
        <w:t xml:space="preserve">départements et services </w:t>
      </w:r>
      <w:r>
        <w:rPr>
          <w:lang w:val="fr-FR"/>
        </w:rPr>
        <w:t>de l’ONU</w:t>
      </w:r>
      <w:r w:rsidRPr="0015673A">
        <w:rPr>
          <w:lang w:val="fr-FR"/>
        </w:rPr>
        <w:t xml:space="preserve"> à la mise en œuvre de la Stratégie des Nations</w:t>
      </w:r>
      <w:r>
        <w:rPr>
          <w:lang w:val="fr-FR"/>
        </w:rPr>
        <w:t> </w:t>
      </w:r>
      <w:r w:rsidRPr="0015673A">
        <w:rPr>
          <w:lang w:val="fr-FR"/>
        </w:rPr>
        <w:t>Unies pour l</w:t>
      </w:r>
      <w:r>
        <w:rPr>
          <w:lang w:val="fr-FR"/>
        </w:rPr>
        <w:t>’</w:t>
      </w:r>
      <w:r w:rsidRPr="0015673A">
        <w:rPr>
          <w:lang w:val="fr-FR"/>
        </w:rPr>
        <w:t>inclusion du handicap.</w:t>
      </w:r>
    </w:p>
    <w:p w14:paraId="3E80E6BE" w14:textId="5A161383" w:rsidR="000E6DDE" w:rsidRPr="0015673A" w:rsidRDefault="000E6DDE" w:rsidP="000E6DDE">
      <w:pPr>
        <w:pStyle w:val="SingleTxtG"/>
        <w:rPr>
          <w:lang w:val="fr-FR"/>
        </w:rPr>
      </w:pPr>
      <w:r w:rsidRPr="0015673A">
        <w:rPr>
          <w:lang w:val="fr-FR"/>
        </w:rPr>
        <w:t>8.</w:t>
      </w:r>
      <w:r w:rsidRPr="0015673A">
        <w:rPr>
          <w:lang w:val="fr-FR"/>
        </w:rPr>
        <w:tab/>
        <w:t>Le Comité a décidé que sa vingt-cinquième session se tiendrait à Genève du 16</w:t>
      </w:r>
      <w:r>
        <w:rPr>
          <w:lang w:val="fr-FR"/>
        </w:rPr>
        <w:t> </w:t>
      </w:r>
      <w:r w:rsidRPr="0015673A">
        <w:rPr>
          <w:lang w:val="fr-FR"/>
        </w:rPr>
        <w:t>août au 10</w:t>
      </w:r>
      <w:r>
        <w:rPr>
          <w:lang w:val="fr-FR"/>
        </w:rPr>
        <w:t> </w:t>
      </w:r>
      <w:r w:rsidRPr="0015673A">
        <w:rPr>
          <w:lang w:val="fr-FR"/>
        </w:rPr>
        <w:t xml:space="preserve">septembre 2021, sous réserve que le secrétariat confirme que la session pourrait se tenir en présentiel. Au cours de cette session, </w:t>
      </w:r>
      <w:r>
        <w:rPr>
          <w:lang w:val="fr-FR"/>
        </w:rPr>
        <w:t>il</w:t>
      </w:r>
      <w:r w:rsidRPr="0015673A">
        <w:rPr>
          <w:lang w:val="fr-FR"/>
        </w:rPr>
        <w:t xml:space="preserve"> examinerait les rapports initiaux des pays suivants</w:t>
      </w:r>
      <w:r w:rsidR="007044FA">
        <w:rPr>
          <w:lang w:val="fr-FR"/>
        </w:rPr>
        <w:t> </w:t>
      </w:r>
      <w:r w:rsidRPr="0015673A">
        <w:rPr>
          <w:lang w:val="fr-FR"/>
        </w:rPr>
        <w:t>: Bangladesh, Djibouti, France, Jamaïque, Japon, République bolivarienne du Venezuela et République démocratique populaire lao. Dans le cas où une session en présentiel ne serait pas envisageable, la Présidente du Comité déciderait de la marche à suivre avec l</w:t>
      </w:r>
      <w:r>
        <w:rPr>
          <w:lang w:val="fr-FR"/>
        </w:rPr>
        <w:t>’</w:t>
      </w:r>
      <w:r w:rsidRPr="0015673A">
        <w:rPr>
          <w:lang w:val="fr-FR"/>
        </w:rPr>
        <w:t>aide de la</w:t>
      </w:r>
      <w:r>
        <w:rPr>
          <w:lang w:val="fr-FR"/>
        </w:rPr>
        <w:t> </w:t>
      </w:r>
      <w:r w:rsidRPr="0015673A">
        <w:rPr>
          <w:lang w:val="fr-FR"/>
        </w:rPr>
        <w:t>secrétaire.</w:t>
      </w:r>
    </w:p>
    <w:p w14:paraId="7220E1D5" w14:textId="6E8B66AE" w:rsidR="000E6DDE" w:rsidRPr="0015673A" w:rsidRDefault="000E6DDE" w:rsidP="000E6DDE">
      <w:pPr>
        <w:pStyle w:val="SingleTxtG"/>
        <w:rPr>
          <w:lang w:val="fr-FR"/>
        </w:rPr>
      </w:pPr>
      <w:r w:rsidRPr="0015673A">
        <w:rPr>
          <w:lang w:val="fr-FR"/>
        </w:rPr>
        <w:t>9.</w:t>
      </w:r>
      <w:r w:rsidRPr="0015673A">
        <w:rPr>
          <w:lang w:val="fr-FR"/>
        </w:rPr>
        <w:tab/>
        <w:t>Le Comité a décidé que la quinzième session du groupe de travail de présession se tiendrait du 13 au 16</w:t>
      </w:r>
      <w:r>
        <w:rPr>
          <w:lang w:val="fr-FR"/>
        </w:rPr>
        <w:t> </w:t>
      </w:r>
      <w:r w:rsidRPr="0015673A">
        <w:rPr>
          <w:lang w:val="fr-FR"/>
        </w:rPr>
        <w:t>septembre 2021. La Présidente du Comité, avec l</w:t>
      </w:r>
      <w:r>
        <w:rPr>
          <w:lang w:val="fr-FR"/>
        </w:rPr>
        <w:t>’</w:t>
      </w:r>
      <w:r w:rsidRPr="0015673A">
        <w:rPr>
          <w:lang w:val="fr-FR"/>
        </w:rPr>
        <w:t>aide de la secrétaire, établirait les listes de points et les listes préalables de points à traiter que le groupe de travail devrait adopter au cours de cette session.</w:t>
      </w:r>
    </w:p>
    <w:p w14:paraId="7284AE46" w14:textId="77777777" w:rsidR="000E6DDE" w:rsidRPr="0015673A" w:rsidRDefault="000E6DDE" w:rsidP="000E6DDE">
      <w:pPr>
        <w:pStyle w:val="SingleTxtG"/>
        <w:rPr>
          <w:lang w:val="fr-FR"/>
        </w:rPr>
      </w:pPr>
      <w:r w:rsidRPr="0015673A">
        <w:rPr>
          <w:lang w:val="fr-FR"/>
        </w:rPr>
        <w:t>10.</w:t>
      </w:r>
      <w:r w:rsidRPr="0015673A">
        <w:rPr>
          <w:lang w:val="fr-FR"/>
        </w:rPr>
        <w:tab/>
        <w:t>Le Comité a adopté son rapport biennal (pour l</w:t>
      </w:r>
      <w:r>
        <w:rPr>
          <w:lang w:val="fr-FR"/>
        </w:rPr>
        <w:t>’</w:t>
      </w:r>
      <w:r w:rsidRPr="0015673A">
        <w:rPr>
          <w:lang w:val="fr-FR"/>
        </w:rPr>
        <w:t>exercice 2019-2020) à l</w:t>
      </w:r>
      <w:r>
        <w:rPr>
          <w:lang w:val="fr-FR"/>
        </w:rPr>
        <w:t>’</w:t>
      </w:r>
      <w:r w:rsidRPr="0015673A">
        <w:rPr>
          <w:lang w:val="fr-FR"/>
        </w:rPr>
        <w:t>Assemblée générale et au Conseil économique et social</w:t>
      </w:r>
      <w:r w:rsidRPr="004051B5">
        <w:rPr>
          <w:rStyle w:val="Appelnotedebasdep"/>
        </w:rPr>
        <w:footnoteReference w:id="5"/>
      </w:r>
      <w:r w:rsidRPr="0015673A">
        <w:rPr>
          <w:lang w:val="fr-FR"/>
        </w:rPr>
        <w:t>.</w:t>
      </w:r>
    </w:p>
    <w:p w14:paraId="0EAB2988" w14:textId="74EF16EC" w:rsidR="000E6DDE" w:rsidRDefault="000E6DDE" w:rsidP="000E6DDE">
      <w:pPr>
        <w:pStyle w:val="SingleTxtG"/>
        <w:rPr>
          <w:lang w:val="fr-FR"/>
        </w:rPr>
      </w:pPr>
      <w:r w:rsidRPr="0015673A">
        <w:rPr>
          <w:lang w:val="fr-FR"/>
        </w:rPr>
        <w:t>11.</w:t>
      </w:r>
      <w:r w:rsidRPr="0015673A">
        <w:rPr>
          <w:lang w:val="fr-FR"/>
        </w:rPr>
        <w:tab/>
        <w:t>Le Comité a adopté le rapport sur sa vingt-quatrième session.</w:t>
      </w:r>
    </w:p>
    <w:p w14:paraId="134F435D" w14:textId="62D8025A" w:rsidR="000E6DDE" w:rsidRPr="000E6DDE" w:rsidRDefault="000E6DDE" w:rsidP="000E6DDE">
      <w:pPr>
        <w:pStyle w:val="SingleTxtG"/>
        <w:spacing w:before="240" w:after="0"/>
        <w:jc w:val="center"/>
        <w:rPr>
          <w:u w:val="single"/>
        </w:rPr>
      </w:pPr>
      <w:r>
        <w:rPr>
          <w:u w:val="single"/>
        </w:rPr>
        <w:tab/>
      </w:r>
      <w:r>
        <w:rPr>
          <w:u w:val="single"/>
        </w:rPr>
        <w:tab/>
      </w:r>
      <w:r>
        <w:rPr>
          <w:u w:val="single"/>
        </w:rPr>
        <w:tab/>
      </w:r>
    </w:p>
    <w:sectPr w:rsidR="000E6DDE" w:rsidRPr="000E6DDE" w:rsidSect="007044FA">
      <w:footerReference w:type="default" r:id="rId13"/>
      <w:headerReference w:type="first" r:id="rId14"/>
      <w:footnotePr>
        <w:numRestart w:val="eachSect"/>
      </w:footnotePr>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2E42F5" w14:textId="77777777" w:rsidR="00B52EB9" w:rsidRDefault="00B52EB9" w:rsidP="00F95C08">
      <w:pPr>
        <w:spacing w:line="240" w:lineRule="auto"/>
      </w:pPr>
    </w:p>
  </w:endnote>
  <w:endnote w:type="continuationSeparator" w:id="0">
    <w:p w14:paraId="67E22EE8" w14:textId="77777777" w:rsidR="00B52EB9" w:rsidRPr="00AC3823" w:rsidRDefault="00B52EB9" w:rsidP="00AC3823">
      <w:pPr>
        <w:pStyle w:val="Pieddepage"/>
      </w:pPr>
    </w:p>
  </w:endnote>
  <w:endnote w:type="continuationNotice" w:id="1">
    <w:p w14:paraId="6D1B86E3" w14:textId="77777777" w:rsidR="00B52EB9" w:rsidRDefault="00B52EB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ABDF21" w14:textId="391EEB19" w:rsidR="000E6DDE" w:rsidRPr="000E6DDE" w:rsidRDefault="000E6DDE" w:rsidP="000E6DDE">
    <w:pPr>
      <w:pStyle w:val="Pieddepage"/>
      <w:tabs>
        <w:tab w:val="right" w:pos="9638"/>
      </w:tabs>
    </w:pPr>
    <w:r w:rsidRPr="000E6DDE">
      <w:rPr>
        <w:b/>
        <w:sz w:val="18"/>
      </w:rPr>
      <w:fldChar w:fldCharType="begin"/>
    </w:r>
    <w:r w:rsidRPr="000E6DDE">
      <w:rPr>
        <w:b/>
        <w:sz w:val="18"/>
      </w:rPr>
      <w:instrText xml:space="preserve"> PAGE  \* MERGEFORMAT </w:instrText>
    </w:r>
    <w:r w:rsidRPr="000E6DDE">
      <w:rPr>
        <w:b/>
        <w:sz w:val="18"/>
      </w:rPr>
      <w:fldChar w:fldCharType="separate"/>
    </w:r>
    <w:r w:rsidRPr="000E6DDE">
      <w:rPr>
        <w:b/>
        <w:noProof/>
        <w:sz w:val="18"/>
      </w:rPr>
      <w:t>2</w:t>
    </w:r>
    <w:r w:rsidRPr="000E6DDE">
      <w:rPr>
        <w:b/>
        <w:sz w:val="18"/>
      </w:rPr>
      <w:fldChar w:fldCharType="end"/>
    </w:r>
    <w:r>
      <w:rPr>
        <w:b/>
        <w:sz w:val="18"/>
      </w:rPr>
      <w:tab/>
    </w:r>
    <w:r>
      <w:t>GE.21-05770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716182" w14:textId="210F0365" w:rsidR="000E6DDE" w:rsidRPr="000E6DDE" w:rsidRDefault="000E6DDE" w:rsidP="000E6DDE">
    <w:pPr>
      <w:pStyle w:val="Pieddepage"/>
      <w:tabs>
        <w:tab w:val="right" w:pos="9638"/>
      </w:tabs>
      <w:rPr>
        <w:b/>
        <w:sz w:val="18"/>
      </w:rPr>
    </w:pPr>
    <w:r>
      <w:t>GE.21-05770</w:t>
    </w:r>
    <w:r>
      <w:tab/>
    </w:r>
    <w:r w:rsidRPr="000E6DDE">
      <w:rPr>
        <w:b/>
        <w:sz w:val="18"/>
      </w:rPr>
      <w:fldChar w:fldCharType="begin"/>
    </w:r>
    <w:r w:rsidRPr="000E6DDE">
      <w:rPr>
        <w:b/>
        <w:sz w:val="18"/>
      </w:rPr>
      <w:instrText xml:space="preserve"> PAGE  \* MERGEFORMAT </w:instrText>
    </w:r>
    <w:r w:rsidRPr="000E6DDE">
      <w:rPr>
        <w:b/>
        <w:sz w:val="18"/>
      </w:rPr>
      <w:fldChar w:fldCharType="separate"/>
    </w:r>
    <w:r w:rsidRPr="000E6DDE">
      <w:rPr>
        <w:b/>
        <w:noProof/>
        <w:sz w:val="18"/>
      </w:rPr>
      <w:t>3</w:t>
    </w:r>
    <w:r w:rsidRPr="000E6DD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918794" w14:textId="1406A2B5" w:rsidR="001273BC" w:rsidRPr="000E6DDE" w:rsidRDefault="000E6DDE" w:rsidP="000E6DDE">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3F4AEEC9" wp14:editId="664C9F6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21-05770  (F)</w:t>
    </w:r>
    <w:r>
      <w:rPr>
        <w:noProof/>
        <w:sz w:val="20"/>
      </w:rPr>
      <w:drawing>
        <wp:anchor distT="0" distB="0" distL="114300" distR="114300" simplePos="0" relativeHeight="251660288" behindDoc="0" locked="0" layoutInCell="1" allowOverlap="1" wp14:anchorId="576D46E1" wp14:editId="2A81EFDB">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140921    140921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9898A7" w14:textId="77777777" w:rsidR="007044FA" w:rsidRPr="000E6DDE" w:rsidRDefault="007044FA" w:rsidP="000E6DDE">
    <w:pPr>
      <w:pStyle w:val="Pieddepage"/>
      <w:tabs>
        <w:tab w:val="right" w:pos="9638"/>
      </w:tabs>
      <w:rPr>
        <w:b/>
        <w:sz w:val="18"/>
      </w:rPr>
    </w:pPr>
    <w:r>
      <w:t>GE.21-05770</w:t>
    </w:r>
    <w:r>
      <w:tab/>
    </w:r>
    <w:r w:rsidRPr="000E6DDE">
      <w:rPr>
        <w:b/>
        <w:sz w:val="18"/>
      </w:rPr>
      <w:fldChar w:fldCharType="begin"/>
    </w:r>
    <w:r w:rsidRPr="000E6DDE">
      <w:rPr>
        <w:b/>
        <w:sz w:val="18"/>
      </w:rPr>
      <w:instrText xml:space="preserve"> PAGE  \* MERGEFORMAT </w:instrText>
    </w:r>
    <w:r w:rsidRPr="000E6DDE">
      <w:rPr>
        <w:b/>
        <w:sz w:val="18"/>
      </w:rPr>
      <w:fldChar w:fldCharType="separate"/>
    </w:r>
    <w:r w:rsidRPr="000E6DDE">
      <w:rPr>
        <w:b/>
        <w:noProof/>
        <w:sz w:val="18"/>
      </w:rPr>
      <w:t>3</w:t>
    </w:r>
    <w:r w:rsidRPr="000E6DDE">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B2C96E" w14:textId="77777777" w:rsidR="00B52EB9" w:rsidRPr="00AC3823" w:rsidRDefault="00B52EB9" w:rsidP="00AC3823">
      <w:pPr>
        <w:pStyle w:val="Pieddepage"/>
        <w:tabs>
          <w:tab w:val="right" w:pos="2155"/>
        </w:tabs>
        <w:spacing w:after="80" w:line="240" w:lineRule="atLeast"/>
        <w:ind w:left="680"/>
        <w:rPr>
          <w:u w:val="single"/>
        </w:rPr>
      </w:pPr>
      <w:r>
        <w:rPr>
          <w:u w:val="single"/>
        </w:rPr>
        <w:tab/>
      </w:r>
    </w:p>
  </w:footnote>
  <w:footnote w:type="continuationSeparator" w:id="0">
    <w:p w14:paraId="0E30FEF0" w14:textId="77777777" w:rsidR="00B52EB9" w:rsidRPr="00AC3823" w:rsidRDefault="00B52EB9" w:rsidP="00AC3823">
      <w:pPr>
        <w:pStyle w:val="Pieddepage"/>
        <w:tabs>
          <w:tab w:val="right" w:pos="2155"/>
        </w:tabs>
        <w:spacing w:after="80" w:line="240" w:lineRule="atLeast"/>
        <w:ind w:left="680"/>
        <w:rPr>
          <w:u w:val="single"/>
        </w:rPr>
      </w:pPr>
      <w:r>
        <w:rPr>
          <w:u w:val="single"/>
        </w:rPr>
        <w:tab/>
      </w:r>
    </w:p>
  </w:footnote>
  <w:footnote w:type="continuationNotice" w:id="1">
    <w:p w14:paraId="0663E310" w14:textId="77777777" w:rsidR="00B52EB9" w:rsidRPr="00AC3823" w:rsidRDefault="00B52EB9">
      <w:pPr>
        <w:spacing w:line="240" w:lineRule="auto"/>
        <w:rPr>
          <w:sz w:val="2"/>
          <w:szCs w:val="2"/>
        </w:rPr>
      </w:pPr>
    </w:p>
  </w:footnote>
  <w:footnote w:id="2">
    <w:p w14:paraId="0C82149F" w14:textId="77777777" w:rsidR="000E6DDE" w:rsidRPr="0018106A" w:rsidRDefault="000E6DDE" w:rsidP="000E6DDE">
      <w:pPr>
        <w:pStyle w:val="Notedebasdepage"/>
        <w:rPr>
          <w:lang w:val="fr-FR"/>
        </w:rPr>
      </w:pPr>
      <w:r>
        <w:rPr>
          <w:lang w:val="fr-FR"/>
        </w:rPr>
        <w:tab/>
      </w:r>
      <w:r w:rsidRPr="004051B5">
        <w:rPr>
          <w:rStyle w:val="Appelnotedebasdep"/>
        </w:rPr>
        <w:footnoteRef/>
      </w:r>
      <w:r>
        <w:rPr>
          <w:lang w:val="fr-FR"/>
        </w:rPr>
        <w:tab/>
        <w:t>CRPD/C/24/1.</w:t>
      </w:r>
    </w:p>
  </w:footnote>
  <w:footnote w:id="3">
    <w:p w14:paraId="4B160E87" w14:textId="77777777" w:rsidR="000E6DDE" w:rsidRPr="008A0A85" w:rsidRDefault="000E6DDE" w:rsidP="000E6DDE">
      <w:pPr>
        <w:pStyle w:val="Notedebasdepage"/>
        <w:rPr>
          <w:lang w:val="fr-FR"/>
        </w:rPr>
      </w:pPr>
      <w:r w:rsidRPr="00A9740C">
        <w:rPr>
          <w:lang w:val="fr-FR"/>
        </w:rPr>
        <w:tab/>
      </w:r>
      <w:r w:rsidRPr="004051B5">
        <w:rPr>
          <w:rStyle w:val="Appelnotedebasdep"/>
        </w:rPr>
        <w:footnoteRef/>
      </w:r>
      <w:r>
        <w:rPr>
          <w:lang w:val="fr-FR"/>
        </w:rPr>
        <w:tab/>
        <w:t>CRPD/C/EST/1.</w:t>
      </w:r>
    </w:p>
  </w:footnote>
  <w:footnote w:id="4">
    <w:p w14:paraId="1D883A80" w14:textId="77777777" w:rsidR="000E6DDE" w:rsidRPr="008A0A85" w:rsidRDefault="000E6DDE" w:rsidP="000E6DDE">
      <w:pPr>
        <w:pStyle w:val="Notedebasdepage"/>
        <w:rPr>
          <w:lang w:val="fr-FR"/>
        </w:rPr>
      </w:pPr>
      <w:r w:rsidRPr="00A9740C">
        <w:rPr>
          <w:lang w:val="fr-FR"/>
        </w:rPr>
        <w:tab/>
      </w:r>
      <w:r w:rsidRPr="004051B5">
        <w:rPr>
          <w:rStyle w:val="Appelnotedebasdep"/>
        </w:rPr>
        <w:footnoteRef/>
      </w:r>
      <w:r>
        <w:rPr>
          <w:lang w:val="fr-FR"/>
        </w:rPr>
        <w:tab/>
        <w:t>Ibid.</w:t>
      </w:r>
    </w:p>
  </w:footnote>
  <w:footnote w:id="5">
    <w:p w14:paraId="0E3907AF" w14:textId="77777777" w:rsidR="000E6DDE" w:rsidRPr="008A0A85" w:rsidRDefault="000E6DDE" w:rsidP="000E6DDE">
      <w:pPr>
        <w:pStyle w:val="Notedebasdepage"/>
        <w:rPr>
          <w:lang w:val="fr-FR"/>
        </w:rPr>
      </w:pPr>
      <w:r>
        <w:rPr>
          <w:lang w:val="fr-FR"/>
        </w:rPr>
        <w:tab/>
      </w:r>
      <w:r w:rsidRPr="004051B5">
        <w:rPr>
          <w:rStyle w:val="Appelnotedebasdep"/>
        </w:rPr>
        <w:footnoteRef/>
      </w:r>
      <w:r>
        <w:rPr>
          <w:lang w:val="fr-FR"/>
        </w:rPr>
        <w:tab/>
        <w:t>A/76/55.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C6EEE0" w14:textId="2B818517" w:rsidR="000E6DDE" w:rsidRPr="000E6DDE" w:rsidRDefault="000E6DDE">
    <w:pPr>
      <w:pStyle w:val="En-tte"/>
    </w:pPr>
    <w:fldSimple w:instr=" TITLE  \* MERGEFORMAT ">
      <w:r>
        <w:t>CRPD/C/24/2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CBBE3C" w14:textId="21269CE2" w:rsidR="000E6DDE" w:rsidRPr="000E6DDE" w:rsidRDefault="000E6DDE" w:rsidP="000E6DDE">
    <w:pPr>
      <w:pStyle w:val="En-tte"/>
      <w:jc w:val="right"/>
    </w:pPr>
    <w:fldSimple w:instr=" TITLE  \* MERGEFORMAT ">
      <w:r>
        <w:t>CRPD/C/24/2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EA5FB1" w14:textId="77777777" w:rsidR="007044FA" w:rsidRDefault="007044FA">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EB9"/>
    <w:rsid w:val="00017F94"/>
    <w:rsid w:val="00023842"/>
    <w:rsid w:val="000334F9"/>
    <w:rsid w:val="0007796D"/>
    <w:rsid w:val="000B7790"/>
    <w:rsid w:val="000E6DDE"/>
    <w:rsid w:val="00111F2F"/>
    <w:rsid w:val="001273BC"/>
    <w:rsid w:val="0014365E"/>
    <w:rsid w:val="00176178"/>
    <w:rsid w:val="001F525A"/>
    <w:rsid w:val="00223272"/>
    <w:rsid w:val="0024779E"/>
    <w:rsid w:val="00275896"/>
    <w:rsid w:val="00336EDE"/>
    <w:rsid w:val="003C5225"/>
    <w:rsid w:val="003C5869"/>
    <w:rsid w:val="00446FE5"/>
    <w:rsid w:val="00452396"/>
    <w:rsid w:val="005505B7"/>
    <w:rsid w:val="00573BE5"/>
    <w:rsid w:val="00586ED3"/>
    <w:rsid w:val="00596AA9"/>
    <w:rsid w:val="005B5A45"/>
    <w:rsid w:val="0068463E"/>
    <w:rsid w:val="007044FA"/>
    <w:rsid w:val="0071601D"/>
    <w:rsid w:val="007A62E6"/>
    <w:rsid w:val="0080684C"/>
    <w:rsid w:val="00871C75"/>
    <w:rsid w:val="008776DC"/>
    <w:rsid w:val="009705C8"/>
    <w:rsid w:val="009E7354"/>
    <w:rsid w:val="00A14A96"/>
    <w:rsid w:val="00A30353"/>
    <w:rsid w:val="00A974B5"/>
    <w:rsid w:val="00AC3823"/>
    <w:rsid w:val="00AE323C"/>
    <w:rsid w:val="00AE4C46"/>
    <w:rsid w:val="00AF02B5"/>
    <w:rsid w:val="00B00181"/>
    <w:rsid w:val="00B338A5"/>
    <w:rsid w:val="00B52EB9"/>
    <w:rsid w:val="00B765F7"/>
    <w:rsid w:val="00BA0CA9"/>
    <w:rsid w:val="00C02897"/>
    <w:rsid w:val="00D102ED"/>
    <w:rsid w:val="00D3439C"/>
    <w:rsid w:val="00D80432"/>
    <w:rsid w:val="00DB1831"/>
    <w:rsid w:val="00DD3BFD"/>
    <w:rsid w:val="00DF6678"/>
    <w:rsid w:val="00EB5942"/>
    <w:rsid w:val="00F62D06"/>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A0ADE5B"/>
  <w15:docId w15:val="{9C67D94D-30B1-4057-AB13-B3122F504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5</Pages>
  <Words>1913</Words>
  <Characters>10162</Characters>
  <Application>Microsoft Office Word</Application>
  <DocSecurity>0</DocSecurity>
  <Lines>178</Lines>
  <Paragraphs>73</Paragraphs>
  <ScaleCrop>false</ScaleCrop>
  <HeadingPairs>
    <vt:vector size="2" baseType="variant">
      <vt:variant>
        <vt:lpstr>Titre</vt:lpstr>
      </vt:variant>
      <vt:variant>
        <vt:i4>1</vt:i4>
      </vt:variant>
    </vt:vector>
  </HeadingPairs>
  <TitlesOfParts>
    <vt:vector size="1" baseType="lpstr">
      <vt:lpstr>CRPD/C/24/2</vt:lpstr>
    </vt:vector>
  </TitlesOfParts>
  <Company>DCM</Company>
  <LinksUpToDate>false</LinksUpToDate>
  <CharactersWithSpaces>12002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CRPD/C/24/2</dc:title>
  <dc:subject/>
  <dc:creator>Marie DESCHAMPS</dc:creator>
  <cp:keywords/>
  <cp:lastModifiedBy>Marie DESCHAMPS</cp:lastModifiedBy>
  <cp:revision>2</cp:revision>
  <cp:lastPrinted>2014-05-14T10:59:00Z</cp:lastPrinted>
  <dcterms:created xsi:type="dcterms:W3CDTF">2021-09-14T10:04:00Z</dcterms:created>
  <dcterms:modified xsi:type="dcterms:W3CDTF">2021-09-14T10:04:00Z</dcterms:modified>
</cp:coreProperties>
</file>