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117FDECC" w14:textId="77777777" w:rsidTr="005B51C4">
        <w:trPr>
          <w:trHeight w:hRule="exact" w:val="851"/>
        </w:trPr>
        <w:tc>
          <w:tcPr>
            <w:tcW w:w="1274" w:type="dxa"/>
            <w:tcBorders>
              <w:bottom w:val="single" w:sz="4" w:space="0" w:color="auto"/>
            </w:tcBorders>
            <w:shd w:val="clear" w:color="auto" w:fill="auto"/>
          </w:tcPr>
          <w:p w14:paraId="7AC5562B" w14:textId="77777777" w:rsidR="006B3E27" w:rsidRPr="005B51C4" w:rsidRDefault="006B3E27" w:rsidP="005B51C4">
            <w:pPr>
              <w:jc w:val="center"/>
              <w:rPr>
                <w:sz w:val="56"/>
                <w:szCs w:val="56"/>
                <w:rtl/>
                <w:lang w:val="fr-CH"/>
              </w:rPr>
            </w:pPr>
          </w:p>
        </w:tc>
        <w:tc>
          <w:tcPr>
            <w:tcW w:w="4537" w:type="dxa"/>
            <w:tcBorders>
              <w:bottom w:val="single" w:sz="4" w:space="0" w:color="auto"/>
            </w:tcBorders>
            <w:shd w:val="clear" w:color="auto" w:fill="auto"/>
            <w:vAlign w:val="bottom"/>
          </w:tcPr>
          <w:p w14:paraId="7F87A089"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11269DC9" w14:textId="77777777" w:rsidR="006B3E27" w:rsidRPr="005B51C4" w:rsidRDefault="00CB5C2C" w:rsidP="00693978">
            <w:pPr>
              <w:bidi w:val="0"/>
              <w:spacing w:after="20"/>
              <w:jc w:val="left"/>
              <w:rPr>
                <w:szCs w:val="20"/>
              </w:rPr>
            </w:pPr>
            <w:r w:rsidRPr="00CB5C2C">
              <w:rPr>
                <w:sz w:val="40"/>
                <w:szCs w:val="20"/>
              </w:rPr>
              <w:t>CCPR</w:t>
            </w:r>
            <w:r>
              <w:rPr>
                <w:szCs w:val="20"/>
              </w:rPr>
              <w:t>/C/</w:t>
            </w:r>
            <w:r w:rsidRPr="000D6E6C">
              <w:rPr>
                <w:szCs w:val="20"/>
              </w:rPr>
              <w:t>129</w:t>
            </w:r>
            <w:r>
              <w:rPr>
                <w:szCs w:val="20"/>
              </w:rPr>
              <w:t>/</w:t>
            </w:r>
            <w:r w:rsidRPr="000D6E6C">
              <w:rPr>
                <w:szCs w:val="20"/>
              </w:rPr>
              <w:t>2</w:t>
            </w:r>
            <w:r>
              <w:rPr>
                <w:szCs w:val="20"/>
              </w:rPr>
              <w:t>/Add.</w:t>
            </w:r>
            <w:r w:rsidRPr="000D6E6C">
              <w:rPr>
                <w:szCs w:val="20"/>
              </w:rPr>
              <w:t>3</w:t>
            </w:r>
          </w:p>
        </w:tc>
      </w:tr>
      <w:tr w:rsidR="006B3E27" w:rsidRPr="00ED7442" w14:paraId="41FBEFCF" w14:textId="77777777" w:rsidTr="005B51C4">
        <w:trPr>
          <w:trHeight w:hRule="exact" w:val="2835"/>
        </w:trPr>
        <w:tc>
          <w:tcPr>
            <w:tcW w:w="1274" w:type="dxa"/>
            <w:tcBorders>
              <w:top w:val="single" w:sz="4" w:space="0" w:color="auto"/>
              <w:bottom w:val="single" w:sz="12" w:space="0" w:color="auto"/>
            </w:tcBorders>
            <w:shd w:val="clear" w:color="auto" w:fill="auto"/>
          </w:tcPr>
          <w:p w14:paraId="7192E31E" w14:textId="1792EFA0" w:rsidR="006B3E27" w:rsidRPr="005B51C4" w:rsidRDefault="00ED00A3" w:rsidP="005B51C4">
            <w:pPr>
              <w:jc w:val="center"/>
              <w:rPr>
                <w:sz w:val="56"/>
                <w:szCs w:val="56"/>
                <w:rtl/>
              </w:rPr>
            </w:pPr>
            <w:r>
              <w:rPr>
                <w:noProof/>
                <w:sz w:val="56"/>
                <w:szCs w:val="56"/>
              </w:rPr>
              <w:drawing>
                <wp:inline distT="0" distB="0" distL="0" distR="0" wp14:anchorId="1D70CEC3" wp14:editId="2917F807">
                  <wp:extent cx="628015" cy="61404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1404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B1FD9C8"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FF28613" w14:textId="77777777" w:rsidR="006B3E27" w:rsidRDefault="00693978" w:rsidP="00693978">
            <w:pPr>
              <w:bidi w:val="0"/>
              <w:spacing w:before="240"/>
              <w:jc w:val="left"/>
              <w:rPr>
                <w:szCs w:val="20"/>
              </w:rPr>
            </w:pPr>
            <w:r>
              <w:rPr>
                <w:szCs w:val="20"/>
              </w:rPr>
              <w:t>Distr.: General</w:t>
            </w:r>
          </w:p>
          <w:p w14:paraId="160E7E7E" w14:textId="77777777" w:rsidR="00693978" w:rsidRDefault="00693978" w:rsidP="00693978">
            <w:pPr>
              <w:bidi w:val="0"/>
              <w:jc w:val="left"/>
              <w:rPr>
                <w:szCs w:val="20"/>
              </w:rPr>
            </w:pPr>
            <w:r w:rsidRPr="000D6E6C">
              <w:rPr>
                <w:szCs w:val="20"/>
              </w:rPr>
              <w:t>8</w:t>
            </w:r>
            <w:r>
              <w:rPr>
                <w:szCs w:val="20"/>
              </w:rPr>
              <w:t xml:space="preserve"> September </w:t>
            </w:r>
            <w:r w:rsidRPr="000D6E6C">
              <w:rPr>
                <w:szCs w:val="20"/>
              </w:rPr>
              <w:t>2020</w:t>
            </w:r>
          </w:p>
          <w:p w14:paraId="4517575A" w14:textId="77777777" w:rsidR="00693978" w:rsidRDefault="00693978" w:rsidP="00693978">
            <w:pPr>
              <w:bidi w:val="0"/>
              <w:jc w:val="left"/>
              <w:rPr>
                <w:szCs w:val="20"/>
              </w:rPr>
            </w:pPr>
            <w:r>
              <w:rPr>
                <w:szCs w:val="20"/>
              </w:rPr>
              <w:t>Arabic</w:t>
            </w:r>
          </w:p>
          <w:p w14:paraId="2B7EFEA6" w14:textId="77777777" w:rsidR="00693978" w:rsidRPr="005B51C4" w:rsidRDefault="00693978" w:rsidP="00693978">
            <w:pPr>
              <w:bidi w:val="0"/>
              <w:jc w:val="left"/>
              <w:rPr>
                <w:szCs w:val="20"/>
              </w:rPr>
            </w:pPr>
            <w:r>
              <w:rPr>
                <w:szCs w:val="20"/>
              </w:rPr>
              <w:t>Original: English</w:t>
            </w:r>
          </w:p>
        </w:tc>
      </w:tr>
    </w:tbl>
    <w:p w14:paraId="104563B8" w14:textId="77777777" w:rsidR="00822B7F" w:rsidRPr="00822B7F" w:rsidRDefault="00822B7F" w:rsidP="00822B7F">
      <w:pPr>
        <w:spacing w:before="120" w:line="360" w:lineRule="exact"/>
        <w:rPr>
          <w:rFonts w:eastAsia="SimSun"/>
          <w:b/>
          <w:bCs/>
          <w:sz w:val="36"/>
          <w:szCs w:val="36"/>
          <w:lang w:val="ar-SA" w:eastAsia="zh-TW" w:bidi="en-GB"/>
        </w:rPr>
      </w:pPr>
      <w:r w:rsidRPr="00822B7F">
        <w:rPr>
          <w:b/>
          <w:bCs/>
          <w:sz w:val="36"/>
          <w:szCs w:val="36"/>
          <w:rtl/>
        </w:rPr>
        <w:t>اللجنة المعنية بحقوق الإنسان</w:t>
      </w:r>
    </w:p>
    <w:p w14:paraId="510F3D18" w14:textId="45932456" w:rsidR="00822B7F" w:rsidRPr="004026FB" w:rsidRDefault="00822B7F" w:rsidP="004E2282">
      <w:pPr>
        <w:pStyle w:val="HChGA"/>
        <w:rPr>
          <w:szCs w:val="20"/>
          <w:lang w:val="ar-SA" w:eastAsia="zh-TW" w:bidi="en-GB"/>
        </w:rPr>
      </w:pPr>
      <w:r>
        <w:rPr>
          <w:rtl/>
        </w:rPr>
        <w:tab/>
      </w:r>
      <w:r>
        <w:rPr>
          <w:rtl/>
        </w:rPr>
        <w:tab/>
        <w:t>تقرير متابعة الملاحظات الختامية للجنة المعني</w:t>
      </w:r>
      <w:bookmarkStart w:id="0" w:name="_GoBack"/>
      <w:bookmarkEnd w:id="0"/>
      <w:r>
        <w:rPr>
          <w:rtl/>
        </w:rPr>
        <w:t>ة بحقوق الإنسان</w:t>
      </w:r>
      <w:r w:rsidR="00242268" w:rsidRPr="00242268">
        <w:rPr>
          <w:rStyle w:val="FootnoteReference"/>
          <w:b/>
          <w:bCs w:val="0"/>
          <w:sz w:val="20"/>
          <w:vertAlign w:val="baseline"/>
          <w:rtl/>
        </w:rPr>
        <w:footnoteReference w:customMarkFollows="1" w:id="1"/>
        <w:t>*</w:t>
      </w:r>
      <w:bookmarkStart w:id="1" w:name="_Toc506807534"/>
      <w:bookmarkEnd w:id="1"/>
    </w:p>
    <w:p w14:paraId="50A7A4D9" w14:textId="77777777" w:rsidR="00822B7F" w:rsidRPr="004026FB" w:rsidRDefault="00822B7F" w:rsidP="004E2282">
      <w:pPr>
        <w:pStyle w:val="H23GA"/>
        <w:rPr>
          <w:szCs w:val="20"/>
          <w:lang w:val="ar-SA" w:eastAsia="zh-TW" w:bidi="en-GB"/>
        </w:rPr>
      </w:pPr>
      <w:r>
        <w:rPr>
          <w:rtl/>
        </w:rPr>
        <w:tab/>
      </w:r>
      <w:r>
        <w:rPr>
          <w:rtl/>
        </w:rPr>
        <w:tab/>
        <w:t>إضافة</w:t>
      </w:r>
    </w:p>
    <w:p w14:paraId="4A6BFE96" w14:textId="77777777" w:rsidR="00822B7F" w:rsidRPr="004E2282" w:rsidRDefault="00822B7F" w:rsidP="00320BB7">
      <w:pPr>
        <w:pStyle w:val="HChGA"/>
        <w:spacing w:after="480"/>
        <w:ind w:left="1253" w:right="1253" w:hanging="1253"/>
        <w:rPr>
          <w:spacing w:val="-4"/>
          <w:szCs w:val="20"/>
          <w:lang w:val="ar-SA" w:eastAsia="zh-TW" w:bidi="en-GB"/>
        </w:rPr>
      </w:pPr>
      <w:r>
        <w:rPr>
          <w:rtl/>
        </w:rPr>
        <w:tab/>
      </w:r>
      <w:r>
        <w:rPr>
          <w:rtl/>
        </w:rPr>
        <w:tab/>
      </w:r>
      <w:r w:rsidRPr="004E2282">
        <w:rPr>
          <w:spacing w:val="-4"/>
          <w:rtl/>
        </w:rPr>
        <w:t>تقييم المعلومات المتعلقة بمتابعة الملاحظات الختامية بشأن البوسنة والهرسك</w:t>
      </w:r>
    </w:p>
    <w:tbl>
      <w:tblPr>
        <w:bidiVisual/>
        <w:tblW w:w="6920" w:type="dxa"/>
        <w:tblInd w:w="1810" w:type="dxa"/>
        <w:tblLayout w:type="fixed"/>
        <w:tblCellMar>
          <w:left w:w="0" w:type="dxa"/>
          <w:right w:w="0" w:type="dxa"/>
        </w:tblCellMar>
        <w:tblLook w:val="00A0" w:firstRow="1" w:lastRow="0" w:firstColumn="1" w:lastColumn="0" w:noHBand="0" w:noVBand="0"/>
      </w:tblPr>
      <w:tblGrid>
        <w:gridCol w:w="2952"/>
        <w:gridCol w:w="3968"/>
      </w:tblGrid>
      <w:tr w:rsidR="00822B7F" w:rsidRPr="004026FB" w14:paraId="40092933" w14:textId="77777777" w:rsidTr="00320BB7">
        <w:trPr>
          <w:tblHeader/>
        </w:trPr>
        <w:tc>
          <w:tcPr>
            <w:tcW w:w="2952" w:type="dxa"/>
            <w:shd w:val="clear" w:color="auto" w:fill="auto"/>
            <w:vAlign w:val="bottom"/>
          </w:tcPr>
          <w:p w14:paraId="2C128D98" w14:textId="77777777" w:rsidR="00822B7F" w:rsidRPr="004E2282" w:rsidRDefault="00822B7F" w:rsidP="00320BB7">
            <w:pPr>
              <w:spacing w:after="120" w:line="360" w:lineRule="exact"/>
              <w:ind w:left="144" w:right="288"/>
              <w:jc w:val="left"/>
              <w:textDirection w:val="tbRlV"/>
              <w:rPr>
                <w:rFonts w:eastAsia="SimSun"/>
                <w:i/>
                <w:iCs/>
                <w:szCs w:val="20"/>
                <w:lang w:val="ar-SA" w:eastAsia="zh-TW" w:bidi="en-GB"/>
              </w:rPr>
            </w:pPr>
            <w:r w:rsidRPr="004E2282">
              <w:rPr>
                <w:i/>
                <w:iCs/>
                <w:rtl/>
              </w:rPr>
              <w:t xml:space="preserve">الملاحظات الختامية (الدورة </w:t>
            </w:r>
            <w:r w:rsidRPr="000D6E6C">
              <w:rPr>
                <w:rFonts w:ascii="Traditional Arabic"/>
                <w:i/>
                <w:iCs/>
                <w:szCs w:val="20"/>
                <w:rtl/>
              </w:rPr>
              <w:t>119</w:t>
            </w:r>
            <w:r w:rsidRPr="004E2282">
              <w:rPr>
                <w:rFonts w:ascii="Traditional Arabic"/>
                <w:i/>
                <w:iCs/>
                <w:szCs w:val="20"/>
                <w:rtl/>
              </w:rPr>
              <w:t>)</w:t>
            </w:r>
            <w:r w:rsidRPr="004E2282">
              <w:rPr>
                <w:rFonts w:ascii="Traditional Arabic"/>
                <w:i/>
                <w:iCs/>
                <w:szCs w:val="20"/>
              </w:rPr>
              <w:t>:</w:t>
            </w:r>
          </w:p>
        </w:tc>
        <w:tc>
          <w:tcPr>
            <w:tcW w:w="3968" w:type="dxa"/>
            <w:shd w:val="clear" w:color="auto" w:fill="auto"/>
          </w:tcPr>
          <w:p w14:paraId="5ECED689" w14:textId="77777777" w:rsidR="00822B7F" w:rsidRPr="00822B7F" w:rsidRDefault="00822B7F" w:rsidP="00320BB7">
            <w:pPr>
              <w:spacing w:after="120" w:line="360" w:lineRule="exact"/>
              <w:textDirection w:val="tbRlV"/>
              <w:rPr>
                <w:rFonts w:eastAsia="SimSun"/>
                <w:szCs w:val="20"/>
                <w:lang w:val="ar-SA" w:eastAsia="zh-TW" w:bidi="en-GB"/>
              </w:rPr>
            </w:pPr>
            <w:r>
              <w:rPr>
                <w:rFonts w:cs="Times New Roman"/>
                <w:szCs w:val="20"/>
              </w:rPr>
              <w:t>CCPR/C/BIH/CO/</w:t>
            </w:r>
            <w:r w:rsidRPr="000D6E6C">
              <w:rPr>
                <w:rFonts w:cs="Times New Roman"/>
                <w:szCs w:val="20"/>
              </w:rPr>
              <w:t>3</w:t>
            </w:r>
            <w:r>
              <w:rPr>
                <w:rtl/>
              </w:rPr>
              <w:t xml:space="preserve">، </w:t>
            </w:r>
            <w:r w:rsidRPr="000D6E6C">
              <w:rPr>
                <w:rFonts w:ascii="Traditional Arabic"/>
                <w:szCs w:val="20"/>
                <w:rtl/>
              </w:rPr>
              <w:t>23</w:t>
            </w:r>
            <w:r>
              <w:rPr>
                <w:rtl/>
              </w:rPr>
              <w:t xml:space="preserve"> آذار/مارس </w:t>
            </w:r>
            <w:r w:rsidRPr="000D6E6C">
              <w:rPr>
                <w:rFonts w:ascii="Traditional Arabic"/>
                <w:szCs w:val="20"/>
                <w:rtl/>
              </w:rPr>
              <w:t>2017</w:t>
            </w:r>
            <w:r>
              <w:rPr>
                <w:rtl/>
              </w:rPr>
              <w:t xml:space="preserve"> </w:t>
            </w:r>
          </w:p>
        </w:tc>
      </w:tr>
      <w:tr w:rsidR="00822B7F" w:rsidRPr="004026FB" w14:paraId="3AC8D39A" w14:textId="77777777" w:rsidTr="00320BB7">
        <w:tc>
          <w:tcPr>
            <w:tcW w:w="2952" w:type="dxa"/>
            <w:shd w:val="clear" w:color="auto" w:fill="auto"/>
          </w:tcPr>
          <w:p w14:paraId="3A7E64CA" w14:textId="77777777" w:rsidR="00822B7F" w:rsidRPr="004E2282" w:rsidRDefault="00822B7F" w:rsidP="00320BB7">
            <w:pPr>
              <w:spacing w:after="120" w:line="360" w:lineRule="exact"/>
              <w:ind w:left="144" w:right="288"/>
              <w:jc w:val="left"/>
              <w:textDirection w:val="tbRlV"/>
              <w:rPr>
                <w:rFonts w:eastAsia="SimSun"/>
                <w:i/>
                <w:iCs/>
                <w:szCs w:val="20"/>
                <w:lang w:val="ar-SA" w:eastAsia="zh-TW" w:bidi="en-GB"/>
              </w:rPr>
            </w:pPr>
            <w:r w:rsidRPr="004E2282">
              <w:rPr>
                <w:i/>
                <w:iCs/>
                <w:rtl/>
              </w:rPr>
              <w:t>الفقرات المشمولة بالمتابعة:</w:t>
            </w:r>
          </w:p>
        </w:tc>
        <w:tc>
          <w:tcPr>
            <w:tcW w:w="3968" w:type="dxa"/>
            <w:shd w:val="clear" w:color="auto" w:fill="auto"/>
          </w:tcPr>
          <w:p w14:paraId="1DED7C5E" w14:textId="77777777" w:rsidR="00822B7F" w:rsidRPr="00822B7F" w:rsidRDefault="00822B7F" w:rsidP="00320BB7">
            <w:pPr>
              <w:spacing w:after="120" w:line="360" w:lineRule="exact"/>
              <w:textDirection w:val="tbRlV"/>
              <w:rPr>
                <w:rFonts w:eastAsia="SimSun"/>
                <w:szCs w:val="20"/>
                <w:lang w:val="ar-SA" w:eastAsia="zh-TW" w:bidi="en-GB"/>
              </w:rPr>
            </w:pPr>
            <w:r w:rsidRPr="000D6E6C">
              <w:rPr>
                <w:rFonts w:ascii="Traditional Arabic"/>
                <w:szCs w:val="20"/>
                <w:rtl/>
              </w:rPr>
              <w:t>14</w:t>
            </w:r>
            <w:r>
              <w:rPr>
                <w:rtl/>
              </w:rPr>
              <w:t xml:space="preserve"> و</w:t>
            </w:r>
            <w:r w:rsidRPr="000D6E6C">
              <w:rPr>
                <w:rFonts w:ascii="Traditional Arabic"/>
                <w:szCs w:val="20"/>
                <w:rtl/>
              </w:rPr>
              <w:t>20</w:t>
            </w:r>
            <w:r>
              <w:rPr>
                <w:rtl/>
              </w:rPr>
              <w:t xml:space="preserve"> و</w:t>
            </w:r>
            <w:r w:rsidRPr="000D6E6C">
              <w:rPr>
                <w:rFonts w:ascii="Traditional Arabic"/>
                <w:szCs w:val="20"/>
                <w:rtl/>
              </w:rPr>
              <w:t>36</w:t>
            </w:r>
          </w:p>
        </w:tc>
      </w:tr>
      <w:tr w:rsidR="00822B7F" w:rsidRPr="004026FB" w14:paraId="1CD1F241" w14:textId="77777777" w:rsidTr="00320BB7">
        <w:tc>
          <w:tcPr>
            <w:tcW w:w="2952" w:type="dxa"/>
            <w:shd w:val="clear" w:color="auto" w:fill="auto"/>
          </w:tcPr>
          <w:p w14:paraId="456A904A" w14:textId="77777777" w:rsidR="00822B7F" w:rsidRPr="004E2282" w:rsidRDefault="00822B7F" w:rsidP="00320BB7">
            <w:pPr>
              <w:spacing w:after="120" w:line="360" w:lineRule="exact"/>
              <w:ind w:left="144" w:right="288"/>
              <w:jc w:val="left"/>
              <w:textDirection w:val="tbRlV"/>
              <w:rPr>
                <w:rFonts w:eastAsia="SimSun"/>
                <w:i/>
                <w:iCs/>
                <w:szCs w:val="20"/>
                <w:lang w:val="ar-SA" w:eastAsia="zh-TW" w:bidi="en-GB"/>
              </w:rPr>
            </w:pPr>
            <w:r w:rsidRPr="004E2282">
              <w:rPr>
                <w:i/>
                <w:iCs/>
                <w:rtl/>
              </w:rPr>
              <w:t>الرد الوارد في إطار المتابعة:</w:t>
            </w:r>
          </w:p>
        </w:tc>
        <w:tc>
          <w:tcPr>
            <w:tcW w:w="3968" w:type="dxa"/>
            <w:shd w:val="clear" w:color="auto" w:fill="auto"/>
          </w:tcPr>
          <w:p w14:paraId="242E3C74" w14:textId="77777777" w:rsidR="00822B7F" w:rsidRPr="00822B7F" w:rsidRDefault="00822B7F" w:rsidP="00320BB7">
            <w:pPr>
              <w:spacing w:after="120" w:line="360" w:lineRule="exact"/>
              <w:textDirection w:val="tbRlV"/>
              <w:rPr>
                <w:rFonts w:eastAsia="SimSun"/>
                <w:szCs w:val="20"/>
                <w:lang w:val="ar-SA" w:eastAsia="zh-TW" w:bidi="en-GB"/>
              </w:rPr>
            </w:pPr>
            <w:r>
              <w:rPr>
                <w:rFonts w:cs="Times New Roman"/>
                <w:szCs w:val="20"/>
              </w:rPr>
              <w:t>CCPR/C/BIH/CO/</w:t>
            </w:r>
            <w:r w:rsidRPr="000D6E6C">
              <w:rPr>
                <w:rFonts w:cs="Times New Roman"/>
                <w:szCs w:val="20"/>
              </w:rPr>
              <w:t>3</w:t>
            </w:r>
            <w:r>
              <w:rPr>
                <w:rFonts w:cs="Times New Roman"/>
                <w:szCs w:val="20"/>
              </w:rPr>
              <w:t>/Add.</w:t>
            </w:r>
            <w:r w:rsidRPr="000D6E6C">
              <w:rPr>
                <w:rFonts w:cs="Times New Roman"/>
                <w:szCs w:val="20"/>
              </w:rPr>
              <w:t>1</w:t>
            </w:r>
            <w:r>
              <w:rPr>
                <w:rtl/>
              </w:rPr>
              <w:t xml:space="preserve">، </w:t>
            </w:r>
            <w:r w:rsidRPr="000D6E6C">
              <w:rPr>
                <w:rFonts w:ascii="Traditional Arabic"/>
                <w:szCs w:val="20"/>
                <w:rtl/>
              </w:rPr>
              <w:t>5</w:t>
            </w:r>
            <w:r>
              <w:rPr>
                <w:rtl/>
              </w:rPr>
              <w:t xml:space="preserve"> تموز/يوليه </w:t>
            </w:r>
            <w:r w:rsidRPr="000D6E6C">
              <w:rPr>
                <w:rFonts w:ascii="Traditional Arabic"/>
                <w:szCs w:val="20"/>
                <w:rtl/>
              </w:rPr>
              <w:t>2018</w:t>
            </w:r>
          </w:p>
        </w:tc>
      </w:tr>
      <w:tr w:rsidR="00822B7F" w:rsidRPr="004026FB" w14:paraId="17F1A0B4" w14:textId="77777777" w:rsidTr="00320BB7">
        <w:trPr>
          <w:trHeight w:val="551"/>
        </w:trPr>
        <w:tc>
          <w:tcPr>
            <w:tcW w:w="2952" w:type="dxa"/>
            <w:shd w:val="clear" w:color="auto" w:fill="auto"/>
          </w:tcPr>
          <w:p w14:paraId="3D475F5C" w14:textId="77777777" w:rsidR="00822B7F" w:rsidRPr="004E2282" w:rsidRDefault="00822B7F" w:rsidP="00320BB7">
            <w:pPr>
              <w:spacing w:after="120" w:line="360" w:lineRule="exact"/>
              <w:ind w:left="144" w:right="288"/>
              <w:jc w:val="left"/>
              <w:textDirection w:val="tbRlV"/>
              <w:rPr>
                <w:rFonts w:eastAsia="SimSun"/>
                <w:i/>
                <w:iCs/>
                <w:szCs w:val="20"/>
                <w:lang w:val="ar-SA" w:eastAsia="zh-TW" w:bidi="en-GB"/>
              </w:rPr>
            </w:pPr>
            <w:r w:rsidRPr="004E2282">
              <w:rPr>
                <w:i/>
                <w:iCs/>
                <w:rtl/>
              </w:rPr>
              <w:t>تقييم اللجنة:</w:t>
            </w:r>
          </w:p>
        </w:tc>
        <w:tc>
          <w:tcPr>
            <w:tcW w:w="3968" w:type="dxa"/>
            <w:shd w:val="clear" w:color="auto" w:fill="auto"/>
          </w:tcPr>
          <w:p w14:paraId="76222BA7" w14:textId="77777777" w:rsidR="00822B7F" w:rsidRPr="00822B7F" w:rsidDel="00613845" w:rsidRDefault="00822B7F" w:rsidP="00320BB7">
            <w:pPr>
              <w:spacing w:after="120" w:line="360" w:lineRule="exact"/>
              <w:textDirection w:val="tbRlV"/>
              <w:rPr>
                <w:rFonts w:eastAsia="SimSun"/>
                <w:szCs w:val="20"/>
                <w:lang w:val="ar-SA" w:eastAsia="zh-TW" w:bidi="en-GB"/>
              </w:rPr>
            </w:pPr>
            <w:r>
              <w:rPr>
                <w:rtl/>
              </w:rPr>
              <w:t xml:space="preserve">يلزم تقديم معلومات إضافية عن الفقرات </w:t>
            </w:r>
            <w:r w:rsidRPr="000D6E6C">
              <w:rPr>
                <w:rFonts w:ascii="Traditional Arabic"/>
                <w:szCs w:val="20"/>
                <w:rtl/>
              </w:rPr>
              <w:t>14</w:t>
            </w:r>
            <w:r w:rsidRPr="004E2282">
              <w:rPr>
                <w:rFonts w:ascii="Traditional Arabic"/>
                <w:b/>
                <w:bCs/>
                <w:szCs w:val="20"/>
                <w:rtl/>
              </w:rPr>
              <w:t>[</w:t>
            </w:r>
            <w:r w:rsidRPr="004E2282">
              <w:rPr>
                <w:b/>
                <w:bCs/>
                <w:rtl/>
              </w:rPr>
              <w:t>جيم</w:t>
            </w:r>
            <w:r w:rsidRPr="004E2282">
              <w:rPr>
                <w:rFonts w:ascii="Traditional Arabic"/>
                <w:b/>
                <w:bCs/>
                <w:szCs w:val="20"/>
                <w:rtl/>
              </w:rPr>
              <w:t>]</w:t>
            </w:r>
            <w:r>
              <w:rPr>
                <w:rtl/>
              </w:rPr>
              <w:t xml:space="preserve"> و</w:t>
            </w:r>
            <w:r w:rsidRPr="000D6E6C">
              <w:rPr>
                <w:rFonts w:ascii="Traditional Arabic"/>
                <w:szCs w:val="20"/>
                <w:rtl/>
              </w:rPr>
              <w:t>20</w:t>
            </w:r>
            <w:r w:rsidRPr="004E2282">
              <w:rPr>
                <w:rFonts w:ascii="Traditional Arabic"/>
                <w:b/>
                <w:bCs/>
                <w:szCs w:val="20"/>
                <w:rtl/>
              </w:rPr>
              <w:t>[</w:t>
            </w:r>
            <w:r w:rsidRPr="004E2282">
              <w:rPr>
                <w:b/>
                <w:bCs/>
                <w:rtl/>
              </w:rPr>
              <w:t>جيم</w:t>
            </w:r>
            <w:r w:rsidRPr="004E2282">
              <w:rPr>
                <w:rFonts w:ascii="Traditional Arabic"/>
                <w:b/>
                <w:bCs/>
                <w:szCs w:val="20"/>
                <w:rtl/>
              </w:rPr>
              <w:t>]</w:t>
            </w:r>
            <w:r>
              <w:rPr>
                <w:rtl/>
              </w:rPr>
              <w:t xml:space="preserve"> و</w:t>
            </w:r>
            <w:r w:rsidRPr="000D6E6C">
              <w:rPr>
                <w:rFonts w:ascii="Traditional Arabic"/>
                <w:szCs w:val="20"/>
                <w:rtl/>
              </w:rPr>
              <w:t>36</w:t>
            </w:r>
            <w:r w:rsidRPr="004E2282">
              <w:rPr>
                <w:rFonts w:ascii="Traditional Arabic"/>
                <w:b/>
                <w:bCs/>
                <w:szCs w:val="20"/>
                <w:rtl/>
              </w:rPr>
              <w:t>[</w:t>
            </w:r>
            <w:r w:rsidRPr="004E2282">
              <w:rPr>
                <w:b/>
                <w:bCs/>
                <w:rtl/>
              </w:rPr>
              <w:t>جيم</w:t>
            </w:r>
            <w:r w:rsidRPr="004E2282">
              <w:rPr>
                <w:rFonts w:ascii="Traditional Arabic"/>
                <w:b/>
                <w:bCs/>
                <w:szCs w:val="20"/>
                <w:rtl/>
              </w:rPr>
              <w:t>]</w:t>
            </w:r>
          </w:p>
        </w:tc>
      </w:tr>
      <w:tr w:rsidR="00822B7F" w:rsidRPr="004026FB" w14:paraId="3B43E6BF" w14:textId="77777777" w:rsidTr="00320BB7">
        <w:tc>
          <w:tcPr>
            <w:tcW w:w="2952" w:type="dxa"/>
            <w:shd w:val="clear" w:color="auto" w:fill="auto"/>
          </w:tcPr>
          <w:p w14:paraId="2BAED6C2" w14:textId="77777777" w:rsidR="00822B7F" w:rsidRPr="004E2282" w:rsidRDefault="00822B7F" w:rsidP="00320BB7">
            <w:pPr>
              <w:spacing w:after="120" w:line="360" w:lineRule="exact"/>
              <w:ind w:left="144" w:right="288"/>
              <w:jc w:val="left"/>
              <w:textDirection w:val="tbRlV"/>
              <w:rPr>
                <w:rFonts w:eastAsia="SimSun"/>
                <w:i/>
                <w:iCs/>
                <w:szCs w:val="20"/>
                <w:lang w:val="ar-SA" w:eastAsia="zh-TW" w:bidi="en-GB"/>
              </w:rPr>
            </w:pPr>
            <w:r w:rsidRPr="004E2282">
              <w:rPr>
                <w:i/>
                <w:iCs/>
                <w:rtl/>
              </w:rPr>
              <w:t>المعلومات الواردة من المنظمات غير الحكومية:</w:t>
            </w:r>
          </w:p>
        </w:tc>
        <w:tc>
          <w:tcPr>
            <w:tcW w:w="3968" w:type="dxa"/>
            <w:shd w:val="clear" w:color="auto" w:fill="auto"/>
          </w:tcPr>
          <w:p w14:paraId="6D71A13F" w14:textId="1F5D1AFC" w:rsidR="00822B7F" w:rsidRPr="00822B7F" w:rsidRDefault="00822B7F" w:rsidP="00320BB7">
            <w:pPr>
              <w:spacing w:after="120" w:line="360" w:lineRule="exact"/>
              <w:textDirection w:val="tbRlV"/>
              <w:rPr>
                <w:rFonts w:eastAsia="SimSun"/>
                <w:szCs w:val="20"/>
                <w:lang w:val="ar-SA" w:eastAsia="zh-TW" w:bidi="en-GB"/>
              </w:rPr>
            </w:pPr>
            <w:r>
              <w:rPr>
                <w:rtl/>
              </w:rPr>
              <w:t>الرابطة السويسرية لمكافحة الإفلات من العقاب</w:t>
            </w:r>
            <w:r w:rsidR="00242268">
              <w:rPr>
                <w:vertAlign w:val="superscript"/>
                <w:rtl/>
              </w:rPr>
              <w:t>(</w:t>
            </w:r>
            <w:r w:rsidR="00242268" w:rsidRPr="000D6E6C">
              <w:rPr>
                <w:rStyle w:val="FootnoteReference"/>
                <w:rFonts w:cs="Times New Roman"/>
                <w:b w:val="0"/>
                <w:position w:val="4"/>
                <w:sz w:val="20"/>
              </w:rPr>
              <w:footnoteReference w:id="2"/>
            </w:r>
            <w:r w:rsidR="00242268">
              <w:rPr>
                <w:vertAlign w:val="superscript"/>
                <w:rtl/>
              </w:rPr>
              <w:t>)</w:t>
            </w:r>
            <w:r>
              <w:rPr>
                <w:rtl/>
              </w:rPr>
              <w:t>؛ والرابطة السويسرية لمكافحة الإفلات من العقاب وكلية الحقوق بجامعة ييل</w:t>
            </w:r>
            <w:r w:rsidR="00242268">
              <w:rPr>
                <w:vertAlign w:val="superscript"/>
                <w:rtl/>
              </w:rPr>
              <w:t>(</w:t>
            </w:r>
            <w:r w:rsidR="00242268" w:rsidRPr="000D6E6C">
              <w:rPr>
                <w:rStyle w:val="FootnoteReference"/>
                <w:rFonts w:cs="Times New Roman"/>
                <w:b w:val="0"/>
                <w:position w:val="4"/>
                <w:sz w:val="20"/>
              </w:rPr>
              <w:footnoteReference w:id="3"/>
            </w:r>
            <w:r w:rsidR="00242268">
              <w:rPr>
                <w:vertAlign w:val="superscript"/>
                <w:rtl/>
              </w:rPr>
              <w:t>)</w:t>
            </w:r>
            <w:r>
              <w:rPr>
                <w:rtl/>
              </w:rPr>
              <w:t>.</w:t>
            </w:r>
          </w:p>
        </w:tc>
      </w:tr>
    </w:tbl>
    <w:p w14:paraId="36F806C7" w14:textId="0E529F3B" w:rsidR="00822B7F" w:rsidRPr="004026FB" w:rsidRDefault="00822B7F" w:rsidP="00242268">
      <w:pPr>
        <w:pStyle w:val="H23GA"/>
        <w:rPr>
          <w:szCs w:val="20"/>
          <w:lang w:val="ar-SA" w:eastAsia="zh-TW" w:bidi="en-GB"/>
        </w:rPr>
      </w:pPr>
      <w:r>
        <w:rPr>
          <w:rtl/>
        </w:rPr>
        <w:lastRenderedPageBreak/>
        <w:tab/>
      </w:r>
      <w:r>
        <w:rPr>
          <w:rtl/>
        </w:rPr>
        <w:tab/>
        <w:t>الفقرة</w:t>
      </w:r>
      <w:r w:rsidR="00242268">
        <w:rPr>
          <w:rFonts w:hint="cs"/>
          <w:rtl/>
        </w:rPr>
        <w:t xml:space="preserve"> </w:t>
      </w:r>
      <w:r w:rsidR="00242268" w:rsidRPr="000D6E6C">
        <w:rPr>
          <w:rFonts w:hint="cs"/>
          <w:szCs w:val="20"/>
          <w:rtl/>
        </w:rPr>
        <w:t>14</w:t>
      </w:r>
      <w:r w:rsidR="00242268">
        <w:rPr>
          <w:rFonts w:hint="cs"/>
          <w:rtl/>
        </w:rPr>
        <w:t xml:space="preserve">: </w:t>
      </w:r>
      <w:r>
        <w:rPr>
          <w:rtl/>
        </w:rPr>
        <w:t>المحاكمة على الجرائم ضد الإنسانية وغيرها من الجرائم الدولية وحماية الضحايا</w:t>
      </w:r>
      <w:r w:rsidR="00320BB7">
        <w:rPr>
          <w:rFonts w:hint="cs"/>
          <w:rtl/>
        </w:rPr>
        <w:t> </w:t>
      </w:r>
      <w:r>
        <w:rPr>
          <w:rtl/>
        </w:rPr>
        <w:t>والشهود</w:t>
      </w:r>
    </w:p>
    <w:p w14:paraId="6428CE84" w14:textId="77777777" w:rsidR="00822B7F" w:rsidRPr="004026FB" w:rsidRDefault="00822B7F" w:rsidP="00822B7F">
      <w:pPr>
        <w:pStyle w:val="SingleTxtGA"/>
        <w:rPr>
          <w:b/>
          <w:bCs/>
          <w:szCs w:val="20"/>
          <w:lang w:val="ar-SA" w:eastAsia="zh-TW" w:bidi="en-GB"/>
        </w:rPr>
      </w:pPr>
      <w:r>
        <w:rPr>
          <w:bCs/>
          <w:rtl/>
        </w:rPr>
        <w:tab/>
      </w:r>
      <w:r>
        <w:rPr>
          <w:b/>
          <w:bCs/>
          <w:rtl/>
        </w:rPr>
        <w:t>ينبغي للدولة الطرف أن تعجل بملاحقة مرتكبي الجرائم ضد الإنسانية وغيرها من الجرائم الدولية، وأن تواصل تقديم الدعم الكافي، بما في ذلك الدعم النفسي، وتوفير الحماية لضحايا تلك الجرائم والشهود عليها، ولا سيما تلك المتعلقة بالعنف الجنسي.</w:t>
      </w:r>
      <w:r>
        <w:rPr>
          <w:bCs/>
          <w:rtl/>
        </w:rPr>
        <w:t xml:space="preserve"> </w:t>
      </w:r>
      <w:r>
        <w:rPr>
          <w:b/>
          <w:bCs/>
          <w:rtl/>
        </w:rPr>
        <w:t>وينبغي للدولة الطرف أيضاً أن تجعل نظام المساعدة القانونية المجانية نافذاً تماماً في جميع أنحاء إقليمها وأن يتاح لجميع المواطنين الضعفاء، بمن فيهم ضحايا العنف الجنسي في زمن الحرب، وأن توفر برنامجاً فعالاً لحماية الضحايا والشهود.</w:t>
      </w:r>
    </w:p>
    <w:p w14:paraId="0C879013" w14:textId="333B2870" w:rsidR="00822B7F" w:rsidRPr="004026FB" w:rsidRDefault="00242268" w:rsidP="00242268">
      <w:pPr>
        <w:pStyle w:val="H23GA"/>
        <w:rPr>
          <w:szCs w:val="20"/>
          <w:lang w:val="ar-SA" w:eastAsia="zh-TW" w:bidi="en-GB"/>
        </w:rPr>
      </w:pPr>
      <w:r>
        <w:rPr>
          <w:rtl/>
        </w:rPr>
        <w:tab/>
      </w:r>
      <w:r>
        <w:rPr>
          <w:rtl/>
        </w:rPr>
        <w:tab/>
      </w:r>
      <w:r w:rsidR="00822B7F">
        <w:rPr>
          <w:rtl/>
        </w:rPr>
        <w:t>ملخص ردّ الدولة الطرف</w:t>
      </w:r>
    </w:p>
    <w:p w14:paraId="1B5A9225" w14:textId="3B743398" w:rsidR="00242268" w:rsidRPr="00242268" w:rsidRDefault="00242268" w:rsidP="00242268">
      <w:pPr>
        <w:pStyle w:val="SingleTxtGA"/>
        <w:rPr>
          <w:rtl/>
          <w:lang w:val="ar-SA" w:eastAsia="zh-TW"/>
        </w:rPr>
      </w:pPr>
      <w:r w:rsidRPr="00242268">
        <w:rPr>
          <w:rtl/>
          <w:lang w:val="ar-SA" w:eastAsia="zh-TW"/>
        </w:rPr>
        <w:tab/>
        <w:t xml:space="preserve">قُدم اقتراح بشأن استراتيجية وطنية منقحة لمحاكمة مرتكبي جرائم الحرب إلى مجلس وزراء البوسنة والهرسك في </w:t>
      </w:r>
      <w:r w:rsidRPr="000D6E6C">
        <w:rPr>
          <w:szCs w:val="20"/>
          <w:rtl/>
          <w:lang w:val="ar-SA" w:eastAsia="zh-TW"/>
        </w:rPr>
        <w:t>16</w:t>
      </w:r>
      <w:r w:rsidRPr="00242268">
        <w:rPr>
          <w:rtl/>
          <w:lang w:val="ar-SA" w:eastAsia="zh-TW"/>
        </w:rPr>
        <w:t xml:space="preserve"> أيار/مايو </w:t>
      </w:r>
      <w:r w:rsidRPr="000D6E6C">
        <w:rPr>
          <w:szCs w:val="20"/>
          <w:rtl/>
          <w:lang w:val="ar-SA" w:eastAsia="zh-TW"/>
        </w:rPr>
        <w:t>2018</w:t>
      </w:r>
      <w:r w:rsidRPr="00242268">
        <w:rPr>
          <w:rtl/>
          <w:lang w:val="ar-SA" w:eastAsia="zh-TW"/>
        </w:rPr>
        <w:t xml:space="preserve"> للنظر فيه واعتماده. وفي </w:t>
      </w:r>
      <w:r w:rsidRPr="000D6E6C">
        <w:rPr>
          <w:szCs w:val="20"/>
          <w:rtl/>
          <w:lang w:val="ar-SA" w:eastAsia="zh-TW"/>
        </w:rPr>
        <w:t>12</w:t>
      </w:r>
      <w:r w:rsidRPr="00242268">
        <w:rPr>
          <w:rtl/>
          <w:lang w:val="ar-SA" w:eastAsia="zh-TW"/>
        </w:rPr>
        <w:t xml:space="preserve"> نيسان/أبريل </w:t>
      </w:r>
      <w:r w:rsidRPr="000D6E6C">
        <w:rPr>
          <w:szCs w:val="20"/>
          <w:rtl/>
          <w:lang w:val="ar-SA" w:eastAsia="zh-TW"/>
        </w:rPr>
        <w:t>2017</w:t>
      </w:r>
      <w:r w:rsidRPr="00242268">
        <w:rPr>
          <w:rtl/>
          <w:lang w:val="ar-SA" w:eastAsia="zh-TW"/>
        </w:rPr>
        <w:t>، أنشأ مجلس الوزراء فريقاً عاملاً لصياغة تعديلات على الاستراتيجية. وقد نشأت الحاجة إلى إدخال تعديلات لكون الأهداف التي حددتها الاستراتيجية لم تتحقق في المواعيد النهائية وبالنظر إلى عدد قضايا جرائم الحرب التي لم يبت فيها مكتب المدعي العام. ومن المتوخى أن تنص التعديلات على آليات مناسبة لتحسين إجراءات المقاضاة في قضايا جرائم الحرب في المحاكم ومكاتب المدعي العام. وتتضمن التعديلات معايير منقحة لضمان نقل عدد كبير من القضايا الأقل تعقيدا</w:t>
      </w:r>
      <w:r w:rsidR="000D6E6C">
        <w:rPr>
          <w:rFonts w:hint="cs"/>
          <w:rtl/>
          <w:lang w:val="ar-SA" w:eastAsia="zh-TW"/>
        </w:rPr>
        <w:t>ً</w:t>
      </w:r>
      <w:r w:rsidRPr="00242268">
        <w:rPr>
          <w:rtl/>
          <w:lang w:val="ar-SA" w:eastAsia="zh-TW"/>
        </w:rPr>
        <w:t xml:space="preserve"> من القضاء على الصعيد الوطني إلى الهيئات القضائية للكيانين ومقاطعة برتشكو.</w:t>
      </w:r>
    </w:p>
    <w:p w14:paraId="7CA55A99" w14:textId="77777777" w:rsidR="00242268" w:rsidRPr="000D6E6C" w:rsidRDefault="00242268" w:rsidP="00242268">
      <w:pPr>
        <w:pStyle w:val="SingleTxtGA"/>
        <w:rPr>
          <w:rtl/>
          <w:lang w:val="ar-SA" w:eastAsia="zh-TW"/>
        </w:rPr>
      </w:pPr>
      <w:r w:rsidRPr="000D6E6C">
        <w:rPr>
          <w:rtl/>
          <w:lang w:val="ar-SA" w:eastAsia="zh-TW"/>
        </w:rPr>
        <w:tab/>
        <w:t>وتقر التعديلات أيضا بالحاجة إلى تحليل الأحكام القانونية ذات الصلة، بهدف إنشاء آلية</w:t>
      </w:r>
      <w:r w:rsidRPr="000D6E6C">
        <w:rPr>
          <w:spacing w:val="-2"/>
          <w:rtl/>
          <w:lang w:val="ar-SA" w:eastAsia="zh-TW"/>
        </w:rPr>
        <w:t xml:space="preserve"> موحدة لحماية الشهود ودعمهم أثناء المحاكمات وبعد الإدلاء بشهاداتهم. وإضافة إلى إدارة دعم الشهود التابعة لمحكمة البوسنة والهرسك، أنشأت أغلبية محاكم الكانتونات والمقاطعات في البوسنة والهرسك، </w:t>
      </w:r>
      <w:r w:rsidRPr="000D6E6C">
        <w:rPr>
          <w:rtl/>
          <w:lang w:val="ar-SA" w:eastAsia="zh-TW"/>
        </w:rPr>
        <w:t xml:space="preserve">وكذلك المحكمة الأساسية لمقاطعة برتشكو، إدارات ووظفت أخصائيين نفسيين أو مساعدين لدعم الشهود. </w:t>
      </w:r>
    </w:p>
    <w:p w14:paraId="6E919285" w14:textId="39E5EC64" w:rsidR="00242268" w:rsidRPr="00242268" w:rsidRDefault="00242268" w:rsidP="00242268">
      <w:pPr>
        <w:pStyle w:val="SingleTxtGA"/>
        <w:rPr>
          <w:rtl/>
          <w:lang w:val="ar-SA" w:eastAsia="zh-TW"/>
        </w:rPr>
      </w:pPr>
      <w:r w:rsidRPr="00242268">
        <w:rPr>
          <w:rtl/>
          <w:lang w:val="ar-SA" w:eastAsia="zh-TW"/>
        </w:rPr>
        <w:tab/>
        <w:t xml:space="preserve">وسُنت قوانين تنص على الحق في المساعدة القانونية في مقاطعة برتشكو وجمهورية صربسكا وثمانية كانتونات تابعة لاتحاد البوسنة والهرسك. وصدر على الصعيد الوطني قانون بشأن تقديم المساعدة القانونية (الجريدة الرسمية للبوسنة والهرسك رقم </w:t>
      </w:r>
      <w:r w:rsidRPr="000D6E6C">
        <w:rPr>
          <w:szCs w:val="20"/>
          <w:rtl/>
          <w:lang w:val="ar-SA" w:eastAsia="zh-TW"/>
        </w:rPr>
        <w:t>83</w:t>
      </w:r>
      <w:r w:rsidR="000D6E6C" w:rsidRPr="00242268">
        <w:rPr>
          <w:rtl/>
          <w:lang w:val="ar-SA" w:eastAsia="zh-TW"/>
        </w:rPr>
        <w:t>/</w:t>
      </w:r>
      <w:r w:rsidR="000D6E6C" w:rsidRPr="000D6E6C">
        <w:rPr>
          <w:szCs w:val="20"/>
          <w:rtl/>
          <w:lang w:val="ar-SA" w:eastAsia="zh-TW"/>
        </w:rPr>
        <w:t>16</w:t>
      </w:r>
      <w:r w:rsidRPr="00242268">
        <w:rPr>
          <w:rtl/>
          <w:lang w:val="ar-SA" w:eastAsia="zh-TW"/>
        </w:rPr>
        <w:t xml:space="preserve">). </w:t>
      </w:r>
    </w:p>
    <w:p w14:paraId="26905BFC" w14:textId="5BB9AFB1" w:rsidR="00822B7F" w:rsidRPr="004026FB" w:rsidRDefault="00242268" w:rsidP="00242268">
      <w:pPr>
        <w:pStyle w:val="SingleTxtGA"/>
        <w:rPr>
          <w:lang w:val="ar-SA" w:eastAsia="zh-TW" w:bidi="en-GB"/>
        </w:rPr>
      </w:pPr>
      <w:r w:rsidRPr="00242268">
        <w:rPr>
          <w:rtl/>
          <w:lang w:val="ar-SA" w:eastAsia="zh-TW"/>
        </w:rPr>
        <w:tab/>
        <w:t>والمعهد المعني بالمفقودين على اتصال يومي بأفراد أسر المفقودين. ويقدم موظفو المكاتب الإقليمية والميدانية للمعهد كل المساعدة التي يحتاج إليها أفراد الأسرة الذين يتعاونون معهم يوميا</w:t>
      </w:r>
      <w:r w:rsidR="000D6E6C">
        <w:rPr>
          <w:rFonts w:hint="cs"/>
          <w:rtl/>
          <w:lang w:val="ar-SA" w:eastAsia="zh-TW"/>
        </w:rPr>
        <w:t>ً</w:t>
      </w:r>
      <w:r w:rsidRPr="00242268">
        <w:rPr>
          <w:rtl/>
          <w:lang w:val="ar-SA" w:eastAsia="zh-TW"/>
        </w:rPr>
        <w:t xml:space="preserve"> وفقا</w:t>
      </w:r>
      <w:r w:rsidR="000D6E6C">
        <w:rPr>
          <w:rFonts w:hint="cs"/>
          <w:rtl/>
          <w:lang w:val="ar-SA" w:eastAsia="zh-TW"/>
        </w:rPr>
        <w:t>ً</w:t>
      </w:r>
      <w:r w:rsidRPr="00242268">
        <w:rPr>
          <w:rtl/>
          <w:lang w:val="ar-SA" w:eastAsia="zh-TW"/>
        </w:rPr>
        <w:t xml:space="preserve"> لولاية المعهد.</w:t>
      </w:r>
    </w:p>
    <w:p w14:paraId="0B259DA1" w14:textId="77777777" w:rsidR="00822B7F" w:rsidRPr="004026FB" w:rsidRDefault="00822B7F" w:rsidP="00242268">
      <w:pPr>
        <w:pStyle w:val="H23GA"/>
        <w:rPr>
          <w:szCs w:val="20"/>
          <w:lang w:val="ar-SA" w:eastAsia="zh-TW" w:bidi="en-GB"/>
        </w:rPr>
      </w:pPr>
      <w:r>
        <w:rPr>
          <w:rtl/>
        </w:rPr>
        <w:tab/>
      </w:r>
      <w:r>
        <w:rPr>
          <w:rtl/>
        </w:rPr>
        <w:tab/>
        <w:t>المعلومات الواردة من المنظمات غير الحكومية:</w:t>
      </w:r>
    </w:p>
    <w:p w14:paraId="3D1CDD1D" w14:textId="77777777" w:rsidR="00822B7F" w:rsidRPr="004026FB" w:rsidRDefault="00822B7F" w:rsidP="00242268">
      <w:pPr>
        <w:pStyle w:val="H4GA"/>
        <w:rPr>
          <w:szCs w:val="20"/>
          <w:lang w:val="ar-SA" w:eastAsia="zh-TW" w:bidi="en-GB"/>
        </w:rPr>
      </w:pPr>
      <w:r>
        <w:rPr>
          <w:rtl/>
        </w:rPr>
        <w:tab/>
      </w:r>
      <w:r>
        <w:rPr>
          <w:rtl/>
        </w:rPr>
        <w:tab/>
        <w:t>الرابطة السويسرية لمكافحة الإفلات من العقاب وكلية الحقوق بجامعة ييل</w:t>
      </w:r>
    </w:p>
    <w:p w14:paraId="540A6DF3" w14:textId="30E37F84" w:rsidR="00242268" w:rsidRPr="00242268" w:rsidRDefault="00242268" w:rsidP="00242268">
      <w:pPr>
        <w:pStyle w:val="SingleTxtGA"/>
        <w:rPr>
          <w:rtl/>
          <w:lang w:val="ar-SA" w:eastAsia="zh-TW"/>
        </w:rPr>
      </w:pPr>
      <w:r>
        <w:rPr>
          <w:rtl/>
          <w:lang w:val="ar-SA" w:eastAsia="zh-TW"/>
        </w:rPr>
        <w:tab/>
      </w:r>
      <w:r w:rsidRPr="00242268">
        <w:rPr>
          <w:rtl/>
          <w:lang w:val="ar-SA" w:eastAsia="zh-TW"/>
        </w:rPr>
        <w:t xml:space="preserve">وقد أدى إخفاق الدولة الطرف التاريخي في التعجيل بمقاضاة مرتكبي جرائم الحرب إلى تراكم عدة مئات من القضايا، مما اضطر الضحايا إلى التماس سبل الانتصاف في نظام المحاكم المدنية. وقد حال تطبيق المحاكم المدنية </w:t>
      </w:r>
      <w:r w:rsidRPr="001331A0">
        <w:rPr>
          <w:i/>
          <w:iCs/>
          <w:rtl/>
          <w:lang w:val="ar-SA" w:eastAsia="zh-TW"/>
        </w:rPr>
        <w:t>لزاستارة</w:t>
      </w:r>
      <w:r w:rsidRPr="00242268">
        <w:rPr>
          <w:rtl/>
          <w:lang w:val="ar-SA" w:eastAsia="zh-TW"/>
        </w:rPr>
        <w:t xml:space="preserve"> (قانون التقادم) لرفض مطالبات الضحايا، إلى جانب فرض تكاليف رسوم قضائية في وقت لاحق، دون سعي الضحايا إلى الانتصاف أو الحصول عليه.</w:t>
      </w:r>
    </w:p>
    <w:p w14:paraId="2F28E73C" w14:textId="06472292" w:rsidR="00242268" w:rsidRPr="00242268" w:rsidRDefault="00242268" w:rsidP="00242268">
      <w:pPr>
        <w:pStyle w:val="SingleTxtGA"/>
        <w:rPr>
          <w:rtl/>
          <w:lang w:val="ar-SA" w:eastAsia="zh-TW"/>
        </w:rPr>
      </w:pPr>
      <w:r w:rsidRPr="00242268">
        <w:rPr>
          <w:rtl/>
          <w:lang w:val="ar-SA" w:eastAsia="zh-TW"/>
        </w:rPr>
        <w:lastRenderedPageBreak/>
        <w:tab/>
        <w:t xml:space="preserve">وفي البوسنة والهرسك، جرت معاودة تعريض الضحايا للصدمة في محطات عديدة في جميع مراحل عملية التماس التعويضات والعدالة. فبالنسبة للضحايا، يمكن لوجودهم في المحكمة ومواجهة من اعتدوا عليهم أن يبعث ذكريات حية ومؤلمة عن الحرب. وقد فاقم العمل </w:t>
      </w:r>
      <w:r w:rsidRPr="001331A0">
        <w:rPr>
          <w:i/>
          <w:iCs/>
          <w:rtl/>
          <w:lang w:val="ar-SA" w:eastAsia="zh-TW"/>
        </w:rPr>
        <w:t>ب</w:t>
      </w:r>
      <w:r w:rsidR="000D6E6C" w:rsidRPr="001331A0">
        <w:rPr>
          <w:rFonts w:hint="cs"/>
          <w:i/>
          <w:iCs/>
          <w:rtl/>
          <w:lang w:val="ar-SA" w:eastAsia="zh-TW"/>
        </w:rPr>
        <w:t>ـ</w:t>
      </w:r>
      <w:r w:rsidRPr="000D6E6C">
        <w:rPr>
          <w:i/>
          <w:iCs/>
          <w:rtl/>
          <w:lang w:val="ar-SA" w:eastAsia="zh-TW"/>
        </w:rPr>
        <w:t>الزاستارة</w:t>
      </w:r>
      <w:r w:rsidRPr="00242268">
        <w:rPr>
          <w:rtl/>
          <w:lang w:val="ar-SA" w:eastAsia="zh-TW"/>
        </w:rPr>
        <w:t xml:space="preserve"> وفرض الرسوم القضائية من معاناة الضحايا.</w:t>
      </w:r>
    </w:p>
    <w:p w14:paraId="4F3BA81C" w14:textId="77777777" w:rsidR="00242268" w:rsidRPr="00242268" w:rsidRDefault="00242268" w:rsidP="00242268">
      <w:pPr>
        <w:pStyle w:val="H4GA"/>
        <w:rPr>
          <w:rtl/>
          <w:lang w:val="ar-SA"/>
        </w:rPr>
      </w:pPr>
      <w:r w:rsidRPr="00242268">
        <w:rPr>
          <w:rtl/>
          <w:lang w:val="ar-SA"/>
        </w:rPr>
        <w:tab/>
      </w:r>
      <w:r w:rsidRPr="00242268">
        <w:rPr>
          <w:rtl/>
          <w:lang w:val="ar-SA"/>
        </w:rPr>
        <w:tab/>
        <w:t>الرابطة السويسرية لمكافحة الإفلات من العقاب</w:t>
      </w:r>
    </w:p>
    <w:p w14:paraId="3EAD26AB" w14:textId="77777777" w:rsidR="00242268" w:rsidRPr="00242268" w:rsidRDefault="00242268" w:rsidP="00242268">
      <w:pPr>
        <w:pStyle w:val="SingleTxtGA"/>
        <w:rPr>
          <w:rtl/>
          <w:lang w:val="ar-SA" w:eastAsia="zh-TW"/>
        </w:rPr>
      </w:pPr>
      <w:r w:rsidRPr="00242268">
        <w:rPr>
          <w:rtl/>
          <w:lang w:val="ar-SA" w:eastAsia="zh-TW"/>
        </w:rPr>
        <w:tab/>
        <w:t xml:space="preserve">على مدى سنتين، لم ينظر مجلس وزراء البوسنة والهرسك في الاستراتيجية الوطنية المنقحة لمحاكمة مرتكبي جرائم الحرب ولا اعتمدها. ولا تزال هذه المسألة من أكثر المسائل إلحاحاً في إصلاح العدالة في الدولة الطرف، ولا سيما إذا ما أُخذ في الاعتبار أن </w:t>
      </w:r>
      <w:r w:rsidRPr="000D6E6C">
        <w:rPr>
          <w:szCs w:val="20"/>
          <w:rtl/>
          <w:lang w:val="ar-SA" w:eastAsia="zh-TW"/>
        </w:rPr>
        <w:t>25</w:t>
      </w:r>
      <w:r w:rsidRPr="00242268">
        <w:rPr>
          <w:rtl/>
          <w:lang w:val="ar-SA" w:eastAsia="zh-TW"/>
        </w:rPr>
        <w:t xml:space="preserve"> سنة قد انصرمت منذ انتهاء الحرب. </w:t>
      </w:r>
    </w:p>
    <w:p w14:paraId="13B14890" w14:textId="25A87A2A" w:rsidR="00242268" w:rsidRPr="00242268" w:rsidRDefault="00242268" w:rsidP="00242268">
      <w:pPr>
        <w:pStyle w:val="SingleTxtGA"/>
        <w:rPr>
          <w:rtl/>
          <w:lang w:val="ar-SA" w:eastAsia="zh-TW"/>
        </w:rPr>
      </w:pPr>
      <w:r w:rsidRPr="00242268">
        <w:rPr>
          <w:rtl/>
          <w:lang w:val="ar-SA" w:eastAsia="zh-TW"/>
        </w:rPr>
        <w:tab/>
        <w:t xml:space="preserve">ونظراً للعدد الهائل من جرائم الحرب التي لم تُحل في الدولة الطرف، وإلى كون عدد متزايد من الشهود والجناة قد وافتهم المنية، مما يعيق الملاحقة القضائية أو يحول دونها، فإنه يتحتم لكي تكافح الدولة الطرف الإفلات من العقاب أن تعتمد الاستراتيجية المنقحة من دون مزيد تأخير. ويتوخى مشروع الاستراتيجية المنقحة الانتهاء من القضايا بحلول عام </w:t>
      </w:r>
      <w:r w:rsidRPr="000D6E6C">
        <w:rPr>
          <w:szCs w:val="20"/>
          <w:rtl/>
          <w:lang w:val="ar-SA" w:eastAsia="zh-TW"/>
        </w:rPr>
        <w:t>2023</w:t>
      </w:r>
      <w:r w:rsidRPr="00242268">
        <w:rPr>
          <w:rtl/>
          <w:lang w:val="ar-SA" w:eastAsia="zh-TW"/>
        </w:rPr>
        <w:t>، ومع ذلك فقد مرت سنتان من دون اعتماد المشروع. ولذلك تنبغي إعادة النظر في تاريخ الانتهاء وتحديثه فورا</w:t>
      </w:r>
      <w:r w:rsidR="00E042BE">
        <w:rPr>
          <w:rFonts w:hint="cs"/>
          <w:rtl/>
          <w:lang w:val="ar-SA" w:eastAsia="zh-TW"/>
        </w:rPr>
        <w:t>ً</w:t>
      </w:r>
      <w:r w:rsidRPr="00242268">
        <w:rPr>
          <w:rtl/>
          <w:lang w:val="ar-SA" w:eastAsia="zh-TW"/>
        </w:rPr>
        <w:t>.</w:t>
      </w:r>
    </w:p>
    <w:p w14:paraId="13397902" w14:textId="77777777" w:rsidR="00242268" w:rsidRPr="00242268" w:rsidRDefault="00242268" w:rsidP="00242268">
      <w:pPr>
        <w:pStyle w:val="SingleTxtGA"/>
        <w:rPr>
          <w:rtl/>
          <w:lang w:val="ar-SA" w:eastAsia="zh-TW"/>
        </w:rPr>
      </w:pPr>
      <w:r w:rsidRPr="00242268">
        <w:rPr>
          <w:rtl/>
          <w:lang w:val="ar-SA" w:eastAsia="zh-TW"/>
        </w:rPr>
        <w:tab/>
        <w:t>وإلى جانب العدد الكبير من القضايا التي لم تجر فيها المقاضاة بعد، كان على المجتمع في البوسنة والهرسك التعامل لفترة طويلة مع إنكار الإبادة الجماعية والجرائم ضد الإنسانية وجرائم الحرب والتقليل من شأنها وتبريرها والتغاضي عنها.</w:t>
      </w:r>
    </w:p>
    <w:p w14:paraId="1EE3FA26" w14:textId="4B6374A0" w:rsidR="00242268" w:rsidRPr="00242268" w:rsidRDefault="00242268" w:rsidP="00242268">
      <w:pPr>
        <w:pStyle w:val="SingleTxtGA"/>
        <w:rPr>
          <w:rtl/>
          <w:lang w:val="ar-SA" w:eastAsia="zh-TW"/>
        </w:rPr>
      </w:pPr>
      <w:r w:rsidRPr="00242268">
        <w:rPr>
          <w:rtl/>
          <w:lang w:val="ar-SA" w:eastAsia="zh-TW"/>
        </w:rPr>
        <w:tab/>
        <w:t>ولا يزال نظام المساعدة القانونية المجانية مجزّأ</w:t>
      </w:r>
      <w:r w:rsidR="00E042BE">
        <w:rPr>
          <w:rFonts w:hint="cs"/>
          <w:rtl/>
          <w:lang w:val="ar-SA" w:eastAsia="zh-TW"/>
        </w:rPr>
        <w:t>ً</w:t>
      </w:r>
      <w:r w:rsidRPr="00242268">
        <w:rPr>
          <w:rtl/>
          <w:lang w:val="ar-SA" w:eastAsia="zh-TW"/>
        </w:rPr>
        <w:t xml:space="preserve"> ويفتقر إلى التنسيق في جميع أنحاء البلد. وقد أقرت الدولة الطرف، باعتمادها قانوناً بشأن تقديم المساعدة القانونية المجانية، بضرورة تنظيم هذه المسألة، وهو أمر يستحق الثناء. ومع ذلك، فإن المكتب المسؤول عن تقديم هذه المعونة، داخل وزارة العدل، يعاني من نقص حاد في الموظفين، مما يحول دون حصول الضحايا على المساعدة القانونية المجانية. وعلى الرغم من اعتماد قانون تقديم المساعدة القانونية المجانية عام </w:t>
      </w:r>
      <w:r w:rsidRPr="000D6E6C">
        <w:rPr>
          <w:szCs w:val="20"/>
          <w:rtl/>
          <w:lang w:val="ar-SA" w:eastAsia="zh-TW"/>
        </w:rPr>
        <w:t>2016</w:t>
      </w:r>
      <w:r w:rsidRPr="00242268">
        <w:rPr>
          <w:rtl/>
          <w:lang w:val="ar-SA" w:eastAsia="zh-TW"/>
        </w:rPr>
        <w:t>، لا يزال مكتب المساعدة القانونية لا يعمل بشكل فعال.</w:t>
      </w:r>
    </w:p>
    <w:p w14:paraId="2B005507" w14:textId="77777777" w:rsidR="00242268" w:rsidRPr="00242268" w:rsidRDefault="00242268" w:rsidP="00242268">
      <w:pPr>
        <w:pStyle w:val="SingleTxtGA"/>
        <w:rPr>
          <w:rtl/>
          <w:lang w:val="ar-SA" w:eastAsia="zh-TW"/>
        </w:rPr>
      </w:pPr>
      <w:r w:rsidRPr="00242268">
        <w:rPr>
          <w:rtl/>
          <w:lang w:val="ar-SA" w:eastAsia="zh-TW"/>
        </w:rPr>
        <w:tab/>
        <w:t>ولا تزال لا توجد أي ضمانة بأن السلطات القضائية على مستوى الدولة والكيان تبذل جهوداً لمواءمة الاجتهاد القضائي بشأن الجرائم المرتكبة أثناء النزاع، ولا سيما فيما يتعلق بالعنف الجنسي المرتبط بالنزاع. فمعدل إصدار الأحكام على هذه الجرائم في البوسنة والهرسك منخفض، والأحكام غير متسقة. وتخلق أوجه التفاوت بين نُهج المحاكم في جميع أنحاء البلد، ولا سيما بين الهيئات على مستوى الدولة والهيئات على مستوى الكيانات، شعوراً بالتعسف ومناخاً من عدم الثقة في نظام العدالة.</w:t>
      </w:r>
    </w:p>
    <w:p w14:paraId="46CAC37C" w14:textId="77777777" w:rsidR="00242268" w:rsidRPr="00242268" w:rsidRDefault="00242268" w:rsidP="00242268">
      <w:pPr>
        <w:pStyle w:val="SingleTxtGA"/>
        <w:rPr>
          <w:rtl/>
          <w:lang w:val="ar-SA" w:eastAsia="zh-TW"/>
        </w:rPr>
      </w:pPr>
      <w:r w:rsidRPr="00242268">
        <w:rPr>
          <w:rtl/>
          <w:lang w:val="ar-SA" w:eastAsia="zh-TW"/>
        </w:rPr>
        <w:tab/>
        <w:t>ولم تعتمد الدولة الطرف تدابير تشريعية وعملية لضمان حصول الناجين بأرواحهم من التعذيب والعنف الجنسي على سبل انتصاف فعالة. ولا تزال البوسنة والهرسك تطبق قانون التقادم على المطالبات المدنية بالتعويض عن الأضرار غير المالية لزمن الحرب، وقد أيدت المحكمة الدستورية هذا التطبيق باستمرار. وإضافة إلى ذلك، لا يزال العديد من الضحايا يواجهون ارتفاع الرسوم القضائية وإجراءات الإنفاذ، حيث لا تزال هناك قضايا كثيرة فرضت فيها رسوم قضائية.</w:t>
      </w:r>
    </w:p>
    <w:p w14:paraId="6BBA52FF" w14:textId="77777777" w:rsidR="00242268" w:rsidRPr="00242268" w:rsidRDefault="00242268" w:rsidP="00242268">
      <w:pPr>
        <w:pStyle w:val="H23GA"/>
        <w:rPr>
          <w:rtl/>
          <w:lang w:val="ar-SA"/>
        </w:rPr>
      </w:pPr>
      <w:r w:rsidRPr="00242268">
        <w:rPr>
          <w:rtl/>
          <w:lang w:val="ar-SA"/>
        </w:rPr>
        <w:lastRenderedPageBreak/>
        <w:tab/>
      </w:r>
      <w:r w:rsidRPr="00242268">
        <w:rPr>
          <w:rtl/>
          <w:lang w:val="ar-SA"/>
        </w:rPr>
        <w:tab/>
        <w:t>تقييم اللجنة</w:t>
      </w:r>
    </w:p>
    <w:p w14:paraId="660EF081" w14:textId="77777777" w:rsidR="00242268" w:rsidRPr="00242268" w:rsidRDefault="00242268" w:rsidP="00242268">
      <w:pPr>
        <w:pStyle w:val="SingleTxtGA"/>
        <w:rPr>
          <w:rtl/>
          <w:lang w:val="ar-SA" w:eastAsia="zh-TW"/>
        </w:rPr>
      </w:pPr>
      <w:r w:rsidRPr="00242268">
        <w:rPr>
          <w:b/>
          <w:bCs/>
          <w:rtl/>
          <w:lang w:val="ar-SA" w:eastAsia="zh-TW"/>
        </w:rPr>
        <w:t>[جيم]</w:t>
      </w:r>
      <w:r w:rsidRPr="00242268">
        <w:rPr>
          <w:rtl/>
          <w:lang w:val="ar-SA" w:eastAsia="zh-TW"/>
        </w:rPr>
        <w:t xml:space="preserve">: تأسف اللجنة لأن الدولة الطرف لم تتخذ أي تدابير محددة لتنفيذ توصيتها. وفي هذا الصدد، تطلب اللجنة معلومات عن مضمون الاستراتيجية الوطنية المنقحة لمحاكمة مرتكبي جرائم الحرب، بما في ذلك معلومات عن مدى امتثالها للعهد وعن التدابير المتخذة للتعجيل باعتمادها. كما تطلب اللجنة </w:t>
      </w:r>
      <w:r w:rsidRPr="00ED1E57">
        <w:rPr>
          <w:rtl/>
          <w:lang w:val="ar-SA" w:eastAsia="zh-TW"/>
        </w:rPr>
        <w:t>معلومات عن التدابير المحددة المتخذة لتوفير الدعم الكافي، بما في ذلك الدعم النفسي، وحماية ضحايا وشهود الجرائم ضد الإنسانية وغيرها من الجرائم الدولية، ولا سيما الجرائم المتصلة بالعنف الجنسي؛ وعن</w:t>
      </w:r>
      <w:r w:rsidRPr="00ED1E57">
        <w:rPr>
          <w:spacing w:val="-3"/>
          <w:rtl/>
          <w:lang w:val="ar-SA" w:eastAsia="zh-TW"/>
        </w:rPr>
        <w:t xml:space="preserve"> التدابير المحددة المتخذة للتفعيل الكامل للقانون المتعلق بتقديم المساعدة القانونية المجانية المعتمد عام</w:t>
      </w:r>
      <w:r w:rsidRPr="00242268">
        <w:rPr>
          <w:rtl/>
          <w:lang w:val="ar-SA" w:eastAsia="zh-TW"/>
        </w:rPr>
        <w:t xml:space="preserve"> </w:t>
      </w:r>
      <w:r w:rsidRPr="000D6E6C">
        <w:rPr>
          <w:szCs w:val="20"/>
          <w:rtl/>
          <w:lang w:val="ar-SA" w:eastAsia="zh-TW"/>
        </w:rPr>
        <w:t>2016</w:t>
      </w:r>
      <w:r w:rsidRPr="00242268">
        <w:rPr>
          <w:rtl/>
          <w:lang w:val="ar-SA" w:eastAsia="zh-TW"/>
        </w:rPr>
        <w:t xml:space="preserve">، بما في ذلك عن طريق توفير الموارد المالية والبشرية الكافية لتنفيذه. كما تطلب اللجنة معلومات عن تطبيق المحاكم المدنية قانون التقادم، وعن فرض رسوم قضائية مرتفعة وما يترتب على ذلك من أثر على الضحايا الذين يلتمسون الجبر. </w:t>
      </w:r>
    </w:p>
    <w:p w14:paraId="662D660B" w14:textId="77777777" w:rsidR="00242268" w:rsidRPr="00242268" w:rsidRDefault="00242268" w:rsidP="00242268">
      <w:pPr>
        <w:pStyle w:val="H23GA"/>
        <w:rPr>
          <w:rtl/>
          <w:lang w:val="ar-SA"/>
        </w:rPr>
      </w:pPr>
      <w:r w:rsidRPr="00242268">
        <w:rPr>
          <w:rtl/>
          <w:lang w:val="ar-SA"/>
        </w:rPr>
        <w:tab/>
      </w:r>
      <w:r w:rsidRPr="00242268">
        <w:rPr>
          <w:rtl/>
          <w:lang w:val="ar-SA"/>
        </w:rPr>
        <w:tab/>
        <w:t xml:space="preserve">الفقرة </w:t>
      </w:r>
      <w:r w:rsidRPr="000D6E6C">
        <w:rPr>
          <w:szCs w:val="20"/>
          <w:rtl/>
          <w:lang w:val="ar-SA"/>
        </w:rPr>
        <w:t>20</w:t>
      </w:r>
      <w:r w:rsidRPr="00242268">
        <w:rPr>
          <w:rtl/>
          <w:lang w:val="ar-SA"/>
        </w:rPr>
        <w:t>: الاختفاء القسري والمفقودون</w:t>
      </w:r>
    </w:p>
    <w:p w14:paraId="76B0A463" w14:textId="77777777" w:rsidR="00242268" w:rsidRPr="00242268" w:rsidRDefault="00242268" w:rsidP="00242268">
      <w:pPr>
        <w:pStyle w:val="SingleTxtGA"/>
        <w:rPr>
          <w:b/>
          <w:bCs/>
          <w:rtl/>
          <w:lang w:val="ar-SA" w:eastAsia="zh-TW"/>
        </w:rPr>
      </w:pPr>
      <w:r w:rsidRPr="00242268">
        <w:rPr>
          <w:rtl/>
          <w:lang w:val="ar-SA" w:eastAsia="zh-TW"/>
        </w:rPr>
        <w:tab/>
      </w:r>
      <w:r w:rsidRPr="00242268">
        <w:rPr>
          <w:b/>
          <w:bCs/>
          <w:rtl/>
          <w:lang w:val="ar-SA" w:eastAsia="zh-TW"/>
        </w:rPr>
        <w:t>ينبغي للدولة الطرف أن تعجل بالتحقيق في جميع القضايا التي لم يُبتَّ فيها المتعلقة بمفقودين. وعلاوة على ذلك، ينبغي لها أن تتخذ جميع التدابير اللازمة لضمان تمويل المعهد المعني بالمفقودين تمويلاً كافياً وإقداره على تنفيذ ولايته بالكامل بغية تسوية القضايا على النحو المتوخى في قانون المفقودين. وينبغي للدولة الطرف أن تنشئ، على وجه الاستعجال، صندوقاً لدعم أسر المفقودين من أجل تقديم الدعم الكافي لهذه الأسر.</w:t>
      </w:r>
    </w:p>
    <w:p w14:paraId="719F557C" w14:textId="77777777" w:rsidR="00242268" w:rsidRPr="00242268" w:rsidRDefault="00242268" w:rsidP="00242268">
      <w:pPr>
        <w:pStyle w:val="H23GA"/>
        <w:rPr>
          <w:rtl/>
          <w:lang w:val="ar-SA"/>
        </w:rPr>
      </w:pPr>
      <w:r w:rsidRPr="00242268">
        <w:rPr>
          <w:rtl/>
          <w:lang w:val="ar-SA"/>
        </w:rPr>
        <w:tab/>
      </w:r>
      <w:r w:rsidRPr="00242268">
        <w:rPr>
          <w:rtl/>
          <w:lang w:val="ar-SA"/>
        </w:rPr>
        <w:tab/>
        <w:t xml:space="preserve">موجز ردّ الدولة الطرف </w:t>
      </w:r>
    </w:p>
    <w:p w14:paraId="089F6911" w14:textId="2F93D0B1" w:rsidR="00242268" w:rsidRPr="00242268" w:rsidRDefault="00242268" w:rsidP="00242268">
      <w:pPr>
        <w:pStyle w:val="SingleTxtGA"/>
        <w:rPr>
          <w:rtl/>
          <w:lang w:val="ar-SA" w:eastAsia="zh-TW"/>
        </w:rPr>
      </w:pPr>
      <w:r w:rsidRPr="00242268">
        <w:rPr>
          <w:rtl/>
          <w:lang w:val="ar-SA" w:eastAsia="zh-TW"/>
        </w:rPr>
        <w:tab/>
        <w:t xml:space="preserve">موقف سلطات الدولة الطرف من مسألة المفقودين ليس هو نفسه موقف بلدان أخرى في المنطقة، وإن كان لا يزال هناك </w:t>
      </w:r>
      <w:r w:rsidRPr="000D6E6C">
        <w:rPr>
          <w:szCs w:val="20"/>
          <w:rtl/>
          <w:lang w:val="ar-SA" w:eastAsia="zh-TW"/>
        </w:rPr>
        <w:t>146</w:t>
      </w:r>
      <w:r w:rsidRPr="00242268">
        <w:rPr>
          <w:rtl/>
          <w:lang w:val="ar-SA" w:eastAsia="zh-TW"/>
        </w:rPr>
        <w:t xml:space="preserve"> </w:t>
      </w:r>
      <w:r w:rsidRPr="000D6E6C">
        <w:rPr>
          <w:szCs w:val="20"/>
          <w:rtl/>
          <w:lang w:val="ar-SA" w:eastAsia="zh-TW"/>
        </w:rPr>
        <w:t>7</w:t>
      </w:r>
      <w:r w:rsidRPr="00242268">
        <w:rPr>
          <w:rtl/>
          <w:lang w:val="ar-SA" w:eastAsia="zh-TW"/>
        </w:rPr>
        <w:t xml:space="preserve"> مفقودا</w:t>
      </w:r>
      <w:r w:rsidR="00ED1E57">
        <w:rPr>
          <w:rFonts w:hint="cs"/>
          <w:rtl/>
          <w:lang w:val="ar-SA" w:eastAsia="zh-TW"/>
        </w:rPr>
        <w:t>ً</w:t>
      </w:r>
      <w:r w:rsidRPr="00242268">
        <w:rPr>
          <w:rtl/>
          <w:lang w:val="ar-SA" w:eastAsia="zh-TW"/>
        </w:rPr>
        <w:t xml:space="preserve"> في البوسنة والهرسك. ويتجلى هذا الموقف بوضوح في أن سلطات الدولة الطرف لم تمتثل امتثالاً كاملاً لتوصيات الفريق العامل المعني بحالات الاختفاء القسري أو غير الطوعي.</w:t>
      </w:r>
    </w:p>
    <w:p w14:paraId="668E5DC2" w14:textId="7BBFEC70" w:rsidR="00242268" w:rsidRPr="00242268" w:rsidRDefault="00242268" w:rsidP="00242268">
      <w:pPr>
        <w:pStyle w:val="SingleTxtGA"/>
        <w:rPr>
          <w:rtl/>
          <w:lang w:val="ar-SA" w:eastAsia="zh-TW"/>
        </w:rPr>
      </w:pPr>
      <w:r w:rsidRPr="00ED1E57">
        <w:rPr>
          <w:spacing w:val="-3"/>
          <w:rtl/>
          <w:lang w:val="ar-SA" w:eastAsia="zh-TW"/>
        </w:rPr>
        <w:tab/>
        <w:t xml:space="preserve">وفيما يتعلق بالحالة المالية للمعهد المعني بالمفقودين، يلاحظ وجود اتجاه نحو تخفيض الميزانية بصورة دائمة. وتقدم الدولة الطرف جدولاً يبين بالتفصيل تخفيض الميزانية المعتمدة للمعهد من </w:t>
      </w:r>
      <w:r w:rsidRPr="00ED1E57">
        <w:rPr>
          <w:spacing w:val="-3"/>
          <w:szCs w:val="20"/>
          <w:rtl/>
          <w:lang w:val="ar-SA" w:eastAsia="zh-TW"/>
        </w:rPr>
        <w:t>467</w:t>
      </w:r>
      <w:r w:rsidRPr="00ED1E57">
        <w:rPr>
          <w:spacing w:val="-3"/>
          <w:rtl/>
          <w:lang w:val="ar-SA" w:eastAsia="zh-TW"/>
        </w:rPr>
        <w:t xml:space="preserve"> </w:t>
      </w:r>
      <w:r w:rsidRPr="00ED1E57">
        <w:rPr>
          <w:spacing w:val="-3"/>
          <w:szCs w:val="20"/>
          <w:rtl/>
          <w:lang w:val="ar-SA" w:eastAsia="zh-TW"/>
        </w:rPr>
        <w:t>455</w:t>
      </w:r>
      <w:r w:rsidRPr="00ED1E57">
        <w:rPr>
          <w:spacing w:val="-3"/>
          <w:rtl/>
          <w:lang w:val="ar-SA" w:eastAsia="zh-TW"/>
        </w:rPr>
        <w:t xml:space="preserve"> </w:t>
      </w:r>
      <w:r w:rsidRPr="00ED1E57">
        <w:rPr>
          <w:spacing w:val="-3"/>
          <w:szCs w:val="20"/>
          <w:rtl/>
          <w:lang w:val="ar-SA" w:eastAsia="zh-TW"/>
        </w:rPr>
        <w:t>6</w:t>
      </w:r>
      <w:r w:rsidRPr="00ED1E57">
        <w:rPr>
          <w:spacing w:val="-3"/>
          <w:rtl/>
          <w:lang w:val="ar-SA" w:eastAsia="zh-TW"/>
        </w:rPr>
        <w:t xml:space="preserve"> ماركا</w:t>
      </w:r>
      <w:r w:rsidR="00ED1E57">
        <w:rPr>
          <w:rFonts w:hint="cs"/>
          <w:spacing w:val="-3"/>
          <w:rtl/>
          <w:lang w:val="ar-SA" w:eastAsia="zh-TW"/>
        </w:rPr>
        <w:t>ً</w:t>
      </w:r>
      <w:r w:rsidRPr="00ED1E57">
        <w:rPr>
          <w:spacing w:val="-3"/>
          <w:rtl/>
          <w:lang w:val="ar-SA" w:eastAsia="zh-TW"/>
        </w:rPr>
        <w:t xml:space="preserve"> </w:t>
      </w:r>
      <w:r w:rsidRPr="00242268">
        <w:rPr>
          <w:rtl/>
          <w:lang w:val="ar-SA" w:eastAsia="zh-TW"/>
        </w:rPr>
        <w:t xml:space="preserve">عام </w:t>
      </w:r>
      <w:r w:rsidRPr="000D6E6C">
        <w:rPr>
          <w:szCs w:val="20"/>
          <w:rtl/>
          <w:lang w:val="ar-SA" w:eastAsia="zh-TW"/>
        </w:rPr>
        <w:t>2008</w:t>
      </w:r>
      <w:r w:rsidRPr="00242268">
        <w:rPr>
          <w:rtl/>
          <w:lang w:val="ar-SA" w:eastAsia="zh-TW"/>
        </w:rPr>
        <w:t xml:space="preserve"> إلى </w:t>
      </w:r>
      <w:r w:rsidRPr="000D6E6C">
        <w:rPr>
          <w:szCs w:val="20"/>
          <w:rtl/>
          <w:lang w:val="ar-SA" w:eastAsia="zh-TW"/>
        </w:rPr>
        <w:t>000</w:t>
      </w:r>
      <w:r w:rsidRPr="00242268">
        <w:rPr>
          <w:rtl/>
          <w:lang w:val="ar-SA" w:eastAsia="zh-TW"/>
        </w:rPr>
        <w:t xml:space="preserve"> </w:t>
      </w:r>
      <w:r w:rsidRPr="000D6E6C">
        <w:rPr>
          <w:szCs w:val="20"/>
          <w:rtl/>
          <w:lang w:val="ar-SA" w:eastAsia="zh-TW"/>
        </w:rPr>
        <w:t>004</w:t>
      </w:r>
      <w:r w:rsidRPr="00242268">
        <w:rPr>
          <w:rtl/>
          <w:lang w:val="ar-SA" w:eastAsia="zh-TW"/>
        </w:rPr>
        <w:t xml:space="preserve"> </w:t>
      </w:r>
      <w:r w:rsidRPr="000D6E6C">
        <w:rPr>
          <w:szCs w:val="20"/>
          <w:rtl/>
          <w:lang w:val="ar-SA" w:eastAsia="zh-TW"/>
        </w:rPr>
        <w:t>3</w:t>
      </w:r>
      <w:r w:rsidRPr="00242268">
        <w:rPr>
          <w:rtl/>
          <w:lang w:val="ar-SA" w:eastAsia="zh-TW"/>
        </w:rPr>
        <w:t xml:space="preserve"> ماركا</w:t>
      </w:r>
      <w:r w:rsidR="00ED1E57">
        <w:rPr>
          <w:rFonts w:hint="cs"/>
          <w:rtl/>
          <w:lang w:val="ar-SA" w:eastAsia="zh-TW"/>
        </w:rPr>
        <w:t>ً</w:t>
      </w:r>
      <w:r w:rsidRPr="00242268">
        <w:rPr>
          <w:rtl/>
          <w:lang w:val="ar-SA" w:eastAsia="zh-TW"/>
        </w:rPr>
        <w:t xml:space="preserve"> عام </w:t>
      </w:r>
      <w:r w:rsidRPr="000D6E6C">
        <w:rPr>
          <w:szCs w:val="20"/>
          <w:rtl/>
          <w:lang w:val="ar-SA" w:eastAsia="zh-TW"/>
        </w:rPr>
        <w:t>2018</w:t>
      </w:r>
      <w:r w:rsidRPr="00242268">
        <w:rPr>
          <w:rtl/>
          <w:lang w:val="ar-SA" w:eastAsia="zh-TW"/>
        </w:rPr>
        <w:t>.</w:t>
      </w:r>
    </w:p>
    <w:p w14:paraId="7EAFB83C" w14:textId="77777777" w:rsidR="00242268" w:rsidRPr="00242268" w:rsidRDefault="00242268" w:rsidP="00242268">
      <w:pPr>
        <w:pStyle w:val="SingleTxtGA"/>
        <w:rPr>
          <w:rtl/>
          <w:lang w:val="ar-SA" w:eastAsia="zh-TW"/>
        </w:rPr>
      </w:pPr>
      <w:r w:rsidRPr="00242268">
        <w:rPr>
          <w:rtl/>
          <w:lang w:val="ar-SA" w:eastAsia="zh-TW"/>
        </w:rPr>
        <w:tab/>
        <w:t>ولا يمتلك المعهد أي تكنولوجيا أو معدات حديثة أو متطورة من شأنها أن تسهل عمله وتزيد من كفاءة عمله الميداني.</w:t>
      </w:r>
    </w:p>
    <w:p w14:paraId="363BD10E" w14:textId="77777777" w:rsidR="00242268" w:rsidRPr="00242268" w:rsidRDefault="00242268" w:rsidP="00242268">
      <w:pPr>
        <w:pStyle w:val="H23GA"/>
        <w:rPr>
          <w:rtl/>
          <w:lang w:val="ar-SA"/>
        </w:rPr>
      </w:pPr>
      <w:r w:rsidRPr="00242268">
        <w:rPr>
          <w:rtl/>
          <w:lang w:val="ar-SA"/>
        </w:rPr>
        <w:tab/>
      </w:r>
      <w:r w:rsidRPr="00242268">
        <w:rPr>
          <w:rtl/>
          <w:lang w:val="ar-SA"/>
        </w:rPr>
        <w:tab/>
        <w:t>المعلومات الواردة من المنظمات غير الحكومية</w:t>
      </w:r>
    </w:p>
    <w:p w14:paraId="2FCFD849" w14:textId="77777777" w:rsidR="00242268" w:rsidRPr="00242268" w:rsidRDefault="00242268" w:rsidP="00242268">
      <w:pPr>
        <w:pStyle w:val="H4GA"/>
        <w:rPr>
          <w:rtl/>
          <w:lang w:val="ar-SA" w:eastAsia="zh-TW"/>
        </w:rPr>
      </w:pPr>
      <w:r w:rsidRPr="00242268">
        <w:rPr>
          <w:rtl/>
          <w:lang w:val="ar-SA" w:eastAsia="zh-TW"/>
        </w:rPr>
        <w:tab/>
      </w:r>
      <w:r w:rsidRPr="00242268">
        <w:rPr>
          <w:rtl/>
          <w:lang w:val="ar-SA" w:eastAsia="zh-TW"/>
        </w:rPr>
        <w:tab/>
        <w:t>الرابطة السويسرية لمكافحة الإفلات من العقاب</w:t>
      </w:r>
    </w:p>
    <w:p w14:paraId="53A925F6" w14:textId="77777777" w:rsidR="00242268" w:rsidRPr="00242268" w:rsidRDefault="00242268" w:rsidP="00242268">
      <w:pPr>
        <w:pStyle w:val="SingleTxtGA"/>
        <w:rPr>
          <w:rtl/>
          <w:lang w:val="ar-SA" w:eastAsia="zh-TW"/>
        </w:rPr>
      </w:pPr>
      <w:r w:rsidRPr="00242268">
        <w:rPr>
          <w:rtl/>
          <w:lang w:val="ar-SA" w:eastAsia="zh-TW"/>
        </w:rPr>
        <w:tab/>
        <w:t xml:space="preserve">تشير المنظمة إلى عدة آراء اعتمدتها اللجنة المعنية بحقوق الإنسان بين عامي </w:t>
      </w:r>
      <w:r w:rsidRPr="000D6E6C">
        <w:rPr>
          <w:szCs w:val="20"/>
          <w:rtl/>
          <w:lang w:val="ar-SA" w:eastAsia="zh-TW"/>
        </w:rPr>
        <w:t>2013</w:t>
      </w:r>
      <w:r w:rsidRPr="00242268">
        <w:rPr>
          <w:rtl/>
          <w:lang w:val="ar-SA" w:eastAsia="zh-TW"/>
        </w:rPr>
        <w:t xml:space="preserve"> و</w:t>
      </w:r>
      <w:r w:rsidRPr="000D6E6C">
        <w:rPr>
          <w:szCs w:val="20"/>
          <w:rtl/>
          <w:lang w:val="ar-SA" w:eastAsia="zh-TW"/>
        </w:rPr>
        <w:t>2017</w:t>
      </w:r>
      <w:r w:rsidRPr="00242268">
        <w:rPr>
          <w:rtl/>
          <w:lang w:val="ar-SA" w:eastAsia="zh-TW"/>
        </w:rPr>
        <w:t xml:space="preserve"> بشأن بلاغات فردية متعلقة بحالات اختفاء قسري ارتكبت أثناء النزاع في البوسنة والهرسك. ويؤكد عدم تنفيذ الدولة الطرف لهذه الآراء بشكل غير مباشر عدم تنفيذها توصية اللجنة الواردة في الفقرة </w:t>
      </w:r>
      <w:r w:rsidRPr="000D6E6C">
        <w:rPr>
          <w:szCs w:val="20"/>
          <w:rtl/>
          <w:lang w:val="ar-SA" w:eastAsia="zh-TW"/>
        </w:rPr>
        <w:t>20</w:t>
      </w:r>
      <w:r w:rsidRPr="00242268">
        <w:rPr>
          <w:rtl/>
          <w:lang w:val="ar-SA" w:eastAsia="zh-TW"/>
        </w:rPr>
        <w:t xml:space="preserve"> من ملاحظاتها الختامية. </w:t>
      </w:r>
    </w:p>
    <w:p w14:paraId="1B22261C" w14:textId="77777777" w:rsidR="00242268" w:rsidRPr="00242268" w:rsidRDefault="00242268" w:rsidP="00242268">
      <w:pPr>
        <w:pStyle w:val="H23GA"/>
        <w:rPr>
          <w:rtl/>
          <w:lang w:val="ar-SA"/>
        </w:rPr>
      </w:pPr>
      <w:r w:rsidRPr="00242268">
        <w:rPr>
          <w:rtl/>
          <w:lang w:val="ar-SA"/>
        </w:rPr>
        <w:lastRenderedPageBreak/>
        <w:tab/>
      </w:r>
      <w:r w:rsidRPr="00242268">
        <w:rPr>
          <w:rtl/>
          <w:lang w:val="ar-SA"/>
        </w:rPr>
        <w:tab/>
        <w:t>تقييم اللجنة</w:t>
      </w:r>
    </w:p>
    <w:p w14:paraId="081CCE8D" w14:textId="77777777" w:rsidR="00242268" w:rsidRPr="00242268" w:rsidRDefault="00242268" w:rsidP="00242268">
      <w:pPr>
        <w:pStyle w:val="SingleTxtGA"/>
        <w:rPr>
          <w:rtl/>
          <w:lang w:val="ar-SA" w:eastAsia="zh-TW"/>
        </w:rPr>
      </w:pPr>
      <w:r w:rsidRPr="00242268">
        <w:rPr>
          <w:b/>
          <w:bCs/>
          <w:rtl/>
          <w:lang w:val="ar-SA" w:eastAsia="zh-TW"/>
        </w:rPr>
        <w:t>[جيم]</w:t>
      </w:r>
      <w:r w:rsidRPr="00242268">
        <w:rPr>
          <w:rtl/>
          <w:lang w:val="ar-SA" w:eastAsia="zh-TW"/>
        </w:rPr>
        <w:t>: تأسف اللجنة لعدم اتخاذ تدابير للتعجيل بالتحقيق في جميع القضايا التي لم تحل المتعلقة بمفقودين، ولإنشاء صندوق لدعم أسر المفقودين.</w:t>
      </w:r>
    </w:p>
    <w:p w14:paraId="542CAA8C" w14:textId="77777777" w:rsidR="00242268" w:rsidRPr="00242268" w:rsidRDefault="00242268" w:rsidP="00242268">
      <w:pPr>
        <w:pStyle w:val="SingleTxtGA"/>
        <w:rPr>
          <w:rtl/>
          <w:lang w:val="ar-SA" w:eastAsia="zh-TW"/>
        </w:rPr>
      </w:pPr>
      <w:r w:rsidRPr="00242268">
        <w:rPr>
          <w:rtl/>
          <w:lang w:val="ar-SA" w:eastAsia="zh-TW"/>
        </w:rPr>
        <w:tab/>
        <w:t xml:space="preserve">وتأسف اللجنة للانخفاض المستمر في مخصصات الميزانية المخصصة للمعهد المعني بالمفقودين، وهو ما يتعارض مع توصية اللجنة. وتكرر اللجنة تأكيد توصيتها. </w:t>
      </w:r>
    </w:p>
    <w:p w14:paraId="5097A6F5" w14:textId="77777777" w:rsidR="00242268" w:rsidRPr="00242268" w:rsidRDefault="00242268" w:rsidP="00242268">
      <w:pPr>
        <w:pStyle w:val="H23GA"/>
        <w:rPr>
          <w:rtl/>
          <w:lang w:val="ar-SA"/>
        </w:rPr>
      </w:pPr>
      <w:r w:rsidRPr="00242268">
        <w:rPr>
          <w:rtl/>
          <w:lang w:val="ar-SA"/>
        </w:rPr>
        <w:tab/>
      </w:r>
      <w:r w:rsidRPr="00242268">
        <w:rPr>
          <w:rtl/>
          <w:lang w:val="ar-SA"/>
        </w:rPr>
        <w:tab/>
        <w:t xml:space="preserve">الفقرة </w:t>
      </w:r>
      <w:r w:rsidRPr="000D6E6C">
        <w:rPr>
          <w:szCs w:val="20"/>
          <w:rtl/>
          <w:lang w:val="ar-SA"/>
        </w:rPr>
        <w:t>36</w:t>
      </w:r>
      <w:r w:rsidRPr="00242268">
        <w:rPr>
          <w:rtl/>
          <w:lang w:val="ar-SA"/>
        </w:rPr>
        <w:t>: اللاجئون والمشردون</w:t>
      </w:r>
    </w:p>
    <w:p w14:paraId="64ECE6A2" w14:textId="77777777" w:rsidR="00242268" w:rsidRPr="00242268" w:rsidRDefault="00242268" w:rsidP="00242268">
      <w:pPr>
        <w:pStyle w:val="SingleTxtGA"/>
        <w:rPr>
          <w:b/>
          <w:bCs/>
          <w:rtl/>
          <w:lang w:val="ar-SA" w:eastAsia="zh-TW"/>
        </w:rPr>
      </w:pPr>
      <w:r w:rsidRPr="00242268">
        <w:rPr>
          <w:rtl/>
          <w:lang w:val="ar-SA" w:eastAsia="zh-TW"/>
        </w:rPr>
        <w:tab/>
      </w:r>
      <w:r w:rsidRPr="00242268">
        <w:rPr>
          <w:b/>
          <w:bCs/>
          <w:rtl/>
          <w:lang w:val="ar-SA" w:eastAsia="zh-TW"/>
        </w:rPr>
        <w:t>ينبغي للدولة الطرف أن تعزز جهودها الرامية إلى التنفيذ الكامل للاستراتيجية المنقحة لتنفيذ المرفق السابع لاتفاق دايتون للسلام من أجل تيسير إعادة إدماج العائدين والمشردين داخلياً وتمتعهم بحقوقهم من دون تمييز. وينبغي لها أيضاً أن تواصل جهودها الرامية إلى إغلاق المراكز الجماعية وتوفير حلول سكنية بديلة للمشردين داخلياً وضمان حصول الأشخاص الذين يتمتعون بحماية فرعية دولية على الخدمات على قدم المساواة مع اللاجئين، بما في ذلك الحصول على جمع شمل الأسر ووثائق السفر.</w:t>
      </w:r>
    </w:p>
    <w:p w14:paraId="6F58C8B0" w14:textId="77777777" w:rsidR="00242268" w:rsidRPr="00242268" w:rsidRDefault="00242268" w:rsidP="00242268">
      <w:pPr>
        <w:pStyle w:val="H23GA"/>
        <w:rPr>
          <w:rtl/>
          <w:lang w:val="ar-SA"/>
        </w:rPr>
      </w:pPr>
      <w:r w:rsidRPr="00242268">
        <w:rPr>
          <w:rtl/>
          <w:lang w:val="ar-SA"/>
        </w:rPr>
        <w:tab/>
      </w:r>
      <w:r w:rsidRPr="00242268">
        <w:rPr>
          <w:rtl/>
          <w:lang w:val="ar-SA"/>
        </w:rPr>
        <w:tab/>
        <w:t>ملخص ردّ الدولة الطرف</w:t>
      </w:r>
    </w:p>
    <w:p w14:paraId="3C180119" w14:textId="77777777" w:rsidR="00242268" w:rsidRPr="00242268" w:rsidRDefault="00242268" w:rsidP="00242268">
      <w:pPr>
        <w:pStyle w:val="SingleTxtGA"/>
        <w:rPr>
          <w:rtl/>
          <w:lang w:val="ar-SA" w:eastAsia="zh-TW"/>
        </w:rPr>
      </w:pPr>
      <w:r w:rsidRPr="00242268">
        <w:rPr>
          <w:rtl/>
          <w:lang w:val="ar-SA" w:eastAsia="zh-TW"/>
        </w:rPr>
        <w:tab/>
        <w:t>لم تُقَّدم أي معلومات</w:t>
      </w:r>
      <w:r w:rsidRPr="00242268">
        <w:rPr>
          <w:rFonts w:cs="Times New Roman" w:hint="cs"/>
          <w:rtl/>
          <w:lang w:val="ar-SA" w:eastAsia="zh-TW"/>
        </w:rPr>
        <w:t>‬</w:t>
      </w:r>
      <w:r w:rsidRPr="00242268">
        <w:rPr>
          <w:rtl/>
          <w:lang w:val="ar-SA" w:eastAsia="zh-TW"/>
        </w:rPr>
        <w:t xml:space="preserve">. </w:t>
      </w:r>
    </w:p>
    <w:p w14:paraId="7FEEEAFA" w14:textId="77777777" w:rsidR="00242268" w:rsidRPr="00242268" w:rsidRDefault="00242268" w:rsidP="00810185">
      <w:pPr>
        <w:pStyle w:val="H23GA"/>
        <w:rPr>
          <w:rtl/>
          <w:lang w:val="ar-SA"/>
        </w:rPr>
      </w:pPr>
      <w:r w:rsidRPr="00242268">
        <w:rPr>
          <w:rtl/>
          <w:lang w:val="ar-SA"/>
        </w:rPr>
        <w:tab/>
      </w:r>
      <w:r w:rsidRPr="00242268">
        <w:rPr>
          <w:rtl/>
          <w:lang w:val="ar-SA"/>
        </w:rPr>
        <w:tab/>
        <w:t>تقييم اللجنة</w:t>
      </w:r>
    </w:p>
    <w:p w14:paraId="0BB9834B" w14:textId="77777777" w:rsidR="00242268" w:rsidRPr="00242268" w:rsidRDefault="00242268" w:rsidP="00242268">
      <w:pPr>
        <w:pStyle w:val="SingleTxtGA"/>
        <w:rPr>
          <w:rtl/>
          <w:lang w:val="ar-SA" w:eastAsia="zh-TW"/>
        </w:rPr>
      </w:pPr>
      <w:r w:rsidRPr="00810185">
        <w:rPr>
          <w:b/>
          <w:bCs/>
          <w:rtl/>
          <w:lang w:val="ar-SA" w:eastAsia="zh-TW"/>
        </w:rPr>
        <w:t>[جيم]</w:t>
      </w:r>
      <w:r w:rsidRPr="00242268">
        <w:rPr>
          <w:rtl/>
          <w:lang w:val="ar-SA" w:eastAsia="zh-TW"/>
        </w:rPr>
        <w:t xml:space="preserve">: تأسف اللجنة لعدم تقديم معلومات عن تنفيذ توصيتها. وتكرر اللجنة تأكيد توصيتها. </w:t>
      </w:r>
    </w:p>
    <w:p w14:paraId="66EE7B22" w14:textId="77777777" w:rsidR="00242268" w:rsidRPr="00242268" w:rsidRDefault="00242268" w:rsidP="00242268">
      <w:pPr>
        <w:pStyle w:val="SingleTxtGA"/>
        <w:rPr>
          <w:rtl/>
          <w:lang w:val="ar-SA" w:eastAsia="zh-TW"/>
        </w:rPr>
      </w:pPr>
      <w:r w:rsidRPr="00810185">
        <w:rPr>
          <w:b/>
          <w:bCs/>
          <w:rtl/>
          <w:lang w:val="ar-SA" w:eastAsia="zh-TW"/>
        </w:rPr>
        <w:t>الإجراء الموصى به</w:t>
      </w:r>
      <w:r w:rsidRPr="00242268">
        <w:rPr>
          <w:rtl/>
          <w:lang w:val="ar-SA" w:eastAsia="zh-TW"/>
        </w:rPr>
        <w:t>: ينبغي توجيه رسالة إلى الدولة الطرف لإبلاغها بوقف إجراء المتابعة. وينبغي إدراج المعلومات المطلوبة في التقرير الدوري المقبل للدولة الطرف.</w:t>
      </w:r>
    </w:p>
    <w:p w14:paraId="15FB6E24" w14:textId="65F6AB9B" w:rsidR="00822B7F" w:rsidRDefault="00242268" w:rsidP="00242268">
      <w:pPr>
        <w:pStyle w:val="SingleTxtGA"/>
        <w:rPr>
          <w:lang w:val="ar-SA" w:eastAsia="zh-TW" w:bidi="en-GB"/>
        </w:rPr>
      </w:pPr>
      <w:r w:rsidRPr="00810185">
        <w:rPr>
          <w:b/>
          <w:bCs/>
          <w:rtl/>
          <w:lang w:val="ar-SA" w:eastAsia="zh-TW"/>
        </w:rPr>
        <w:t>التقرير الدوري المقبل</w:t>
      </w:r>
      <w:r w:rsidRPr="00242268">
        <w:rPr>
          <w:rtl/>
          <w:lang w:val="ar-SA" w:eastAsia="zh-TW"/>
        </w:rPr>
        <w:t xml:space="preserve">: </w:t>
      </w:r>
      <w:r w:rsidRPr="000D6E6C">
        <w:rPr>
          <w:szCs w:val="20"/>
          <w:rtl/>
          <w:lang w:val="ar-SA" w:eastAsia="zh-TW"/>
        </w:rPr>
        <w:t>29</w:t>
      </w:r>
      <w:r w:rsidRPr="00242268">
        <w:rPr>
          <w:rtl/>
          <w:lang w:val="ar-SA" w:eastAsia="zh-TW"/>
        </w:rPr>
        <w:t xml:space="preserve"> آذار/مارس </w:t>
      </w:r>
      <w:r w:rsidRPr="000D6E6C">
        <w:rPr>
          <w:szCs w:val="20"/>
          <w:rtl/>
          <w:lang w:val="ar-SA" w:eastAsia="zh-TW"/>
        </w:rPr>
        <w:t>2022</w:t>
      </w:r>
      <w:r w:rsidRPr="00242268">
        <w:rPr>
          <w:rtl/>
          <w:lang w:val="ar-SA" w:eastAsia="zh-TW"/>
        </w:rPr>
        <w:t>.</w:t>
      </w:r>
    </w:p>
    <w:p w14:paraId="638CC0B6" w14:textId="55608EDD" w:rsidR="00693978" w:rsidRPr="00810185" w:rsidRDefault="00810185" w:rsidP="00810185">
      <w:pPr>
        <w:spacing w:before="120"/>
        <w:jc w:val="center"/>
        <w:rPr>
          <w:u w:val="single"/>
          <w:rtl/>
          <w:lang w:val="en-GB"/>
        </w:rPr>
      </w:pPr>
      <w:r>
        <w:rPr>
          <w:u w:val="single"/>
          <w:rtl/>
          <w:lang w:val="en-GB"/>
        </w:rPr>
        <w:tab/>
      </w:r>
      <w:r>
        <w:rPr>
          <w:u w:val="single"/>
          <w:rtl/>
          <w:lang w:val="en-GB"/>
        </w:rPr>
        <w:tab/>
      </w:r>
      <w:r>
        <w:rPr>
          <w:u w:val="single"/>
          <w:rtl/>
          <w:lang w:val="en-GB"/>
        </w:rPr>
        <w:tab/>
      </w:r>
    </w:p>
    <w:sectPr w:rsidR="00693978" w:rsidRPr="00810185" w:rsidSect="00CB5C2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09B819" w14:textId="77777777" w:rsidR="00A15CEC" w:rsidRPr="002901D9" w:rsidRDefault="00A15CEC" w:rsidP="002901D9">
      <w:pPr>
        <w:spacing w:after="60" w:line="240" w:lineRule="auto"/>
        <w:rPr>
          <w:i/>
          <w:iCs/>
        </w:rPr>
      </w:pPr>
      <w:r>
        <w:rPr>
          <w:rFonts w:hint="cs"/>
          <w:i/>
          <w:iCs/>
          <w:rtl/>
        </w:rPr>
        <w:t>الحواشي</w:t>
      </w:r>
    </w:p>
  </w:endnote>
  <w:endnote w:type="continuationSeparator" w:id="0">
    <w:p w14:paraId="00837EF7" w14:textId="77777777" w:rsidR="00A15CEC" w:rsidRDefault="00A15CE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5628D" w14:textId="77777777" w:rsidR="00CB5C2C" w:rsidRPr="00693978" w:rsidRDefault="00693978" w:rsidP="00693978">
    <w:pPr>
      <w:pStyle w:val="Footer"/>
      <w:tabs>
        <w:tab w:val="right" w:pos="9598"/>
      </w:tabs>
      <w:rPr>
        <w:sz w:val="17"/>
      </w:rPr>
    </w:pPr>
    <w:r>
      <w:rPr>
        <w:sz w:val="17"/>
      </w:rPr>
      <w:t>GE.20-11625</w:t>
    </w:r>
    <w:r>
      <w:rPr>
        <w:sz w:val="17"/>
      </w:rPr>
      <w:tab/>
    </w:r>
    <w:r w:rsidRPr="00693978">
      <w:rPr>
        <w:b/>
        <w:sz w:val="18"/>
      </w:rPr>
      <w:fldChar w:fldCharType="begin"/>
    </w:r>
    <w:r w:rsidRPr="00693978">
      <w:rPr>
        <w:b/>
        <w:sz w:val="18"/>
      </w:rPr>
      <w:instrText xml:space="preserve"> PAGE  \* MERGEFORMAT </w:instrText>
    </w:r>
    <w:r w:rsidRPr="00693978">
      <w:rPr>
        <w:b/>
        <w:sz w:val="18"/>
      </w:rPr>
      <w:fldChar w:fldCharType="separate"/>
    </w:r>
    <w:r>
      <w:rPr>
        <w:b/>
        <w:sz w:val="18"/>
      </w:rPr>
      <w:t>2</w:t>
    </w:r>
    <w:r w:rsidRPr="0069397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CB098" w14:textId="77777777" w:rsidR="006959B0" w:rsidRPr="00693978" w:rsidRDefault="00693978" w:rsidP="006959B0">
    <w:pPr>
      <w:pStyle w:val="Footer"/>
      <w:tabs>
        <w:tab w:val="right" w:pos="9599"/>
      </w:tabs>
      <w:jc w:val="left"/>
      <w:rPr>
        <w:b/>
        <w:sz w:val="18"/>
        <w:lang w:val="en-US"/>
      </w:rPr>
    </w:pPr>
    <w:r w:rsidRPr="00693978">
      <w:rPr>
        <w:b/>
        <w:sz w:val="18"/>
        <w:lang w:val="en-US"/>
      </w:rPr>
      <w:fldChar w:fldCharType="begin"/>
    </w:r>
    <w:r w:rsidRPr="00693978">
      <w:rPr>
        <w:b/>
        <w:sz w:val="18"/>
        <w:lang w:val="en-US"/>
      </w:rPr>
      <w:instrText xml:space="preserve"> PAGE  \* MERGEFORMAT </w:instrText>
    </w:r>
    <w:r w:rsidRPr="00693978">
      <w:rPr>
        <w:b/>
        <w:sz w:val="18"/>
        <w:lang w:val="en-US"/>
      </w:rPr>
      <w:fldChar w:fldCharType="separate"/>
    </w:r>
    <w:r w:rsidRPr="00693978">
      <w:rPr>
        <w:b/>
        <w:noProof/>
        <w:sz w:val="18"/>
        <w:lang w:val="en-US"/>
      </w:rPr>
      <w:t>3</w:t>
    </w:r>
    <w:r w:rsidRPr="00693978">
      <w:rPr>
        <w:b/>
        <w:sz w:val="18"/>
        <w:lang w:val="en-US"/>
      </w:rPr>
      <w:fldChar w:fldCharType="end"/>
    </w:r>
    <w:r>
      <w:rPr>
        <w:b/>
        <w:sz w:val="18"/>
        <w:lang w:val="en-US"/>
      </w:rPr>
      <w:tab/>
    </w:r>
    <w:r>
      <w:rPr>
        <w:sz w:val="17"/>
        <w:lang w:val="en-US"/>
      </w:rPr>
      <w:t>GE.20-11625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DC149" w14:textId="4FFCE92C" w:rsidR="00DE50B1" w:rsidRDefault="00CB5C2C" w:rsidP="00982139">
    <w:pPr>
      <w:pStyle w:val="Footer"/>
      <w:spacing w:before="360"/>
      <w:jc w:val="right"/>
      <w:rPr>
        <w:sz w:val="20"/>
        <w:szCs w:val="20"/>
      </w:rPr>
    </w:pPr>
    <w:r>
      <w:rPr>
        <w:sz w:val="20"/>
        <w:szCs w:val="20"/>
      </w:rPr>
      <w:t>GE.20-11625</w:t>
    </w:r>
    <w:r w:rsidR="00ED00A3">
      <w:rPr>
        <w:noProof/>
      </w:rPr>
      <w:drawing>
        <wp:anchor distT="0" distB="0" distL="114300" distR="114300" simplePos="0" relativeHeight="251657728" behindDoc="1" locked="1" layoutInCell="0" allowOverlap="1" wp14:anchorId="6D828C06" wp14:editId="531E645B">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46DCC245" w14:textId="4970A9DE" w:rsidR="00CB5C2C" w:rsidRPr="00CB5C2C" w:rsidRDefault="00CB5C2C" w:rsidP="00CB5C2C">
    <w:pPr>
      <w:pStyle w:val="Footer"/>
      <w:jc w:val="right"/>
      <w:rPr>
        <w:rFonts w:ascii="C39T30Lfz" w:hAnsi="C39T30Lfz"/>
        <w:sz w:val="56"/>
        <w:szCs w:val="20"/>
      </w:rPr>
    </w:pPr>
    <w:r>
      <w:rPr>
        <w:rFonts w:ascii="C39T30Lfz" w:hAnsi="C39T30Lfz"/>
        <w:sz w:val="56"/>
        <w:szCs w:val="20"/>
      </w:rPr>
      <w:t>*2011625*</w:t>
    </w:r>
    <w:r w:rsidR="00ED00A3">
      <w:rPr>
        <w:noProof/>
      </w:rPr>
      <w:drawing>
        <wp:anchor distT="0" distB="0" distL="114300" distR="114300" simplePos="0" relativeHeight="251659776" behindDoc="0" locked="0" layoutInCell="1" allowOverlap="1" wp14:anchorId="4442C528" wp14:editId="45D64DBA">
          <wp:simplePos x="0" y="0"/>
          <wp:positionH relativeFrom="page">
            <wp:posOffset>719455</wp:posOffset>
          </wp:positionH>
          <wp:positionV relativeFrom="page">
            <wp:posOffset>9611995</wp:posOffset>
          </wp:positionV>
          <wp:extent cx="561340" cy="5613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58D5A" w14:textId="56E9CD82" w:rsidR="00A15CEC" w:rsidRPr="000437B8" w:rsidRDefault="00A15CEC" w:rsidP="003B2F8B">
      <w:pPr>
        <w:pStyle w:val="Footer"/>
        <w:bidi/>
        <w:spacing w:after="80" w:line="200" w:lineRule="exact"/>
        <w:ind w:left="680"/>
      </w:pPr>
      <w:r>
        <w:rPr>
          <w:rtl/>
        </w:rPr>
        <w:t>__________</w:t>
      </w:r>
    </w:p>
  </w:footnote>
  <w:footnote w:type="continuationSeparator" w:id="0">
    <w:p w14:paraId="1E60B0EA" w14:textId="77777777" w:rsidR="00A15CEC" w:rsidRDefault="00A15CEC" w:rsidP="00656392">
      <w:pPr>
        <w:spacing w:line="240" w:lineRule="auto"/>
      </w:pPr>
      <w:r>
        <w:continuationSeparator/>
      </w:r>
    </w:p>
  </w:footnote>
  <w:footnote w:id="1">
    <w:p w14:paraId="770757AC" w14:textId="7871ECB7" w:rsidR="00242268" w:rsidRPr="00242268" w:rsidRDefault="00242268" w:rsidP="000D6E6C">
      <w:pPr>
        <w:pStyle w:val="FootnoteText1"/>
      </w:pPr>
      <w:r w:rsidRPr="00242268">
        <w:rPr>
          <w:rtl/>
        </w:rPr>
        <w:t>*</w:t>
      </w:r>
      <w:r w:rsidRPr="00242268">
        <w:rPr>
          <w:rtl/>
        </w:rPr>
        <w:tab/>
        <w:t xml:space="preserve">اعتمدته اللجنة في دورتها </w:t>
      </w:r>
      <w:r w:rsidRPr="000D6E6C">
        <w:rPr>
          <w:szCs w:val="18"/>
          <w:rtl/>
        </w:rPr>
        <w:t>129</w:t>
      </w:r>
      <w:r w:rsidRPr="00242268">
        <w:rPr>
          <w:rtl/>
        </w:rPr>
        <w:t xml:space="preserve"> (</w:t>
      </w:r>
      <w:r w:rsidRPr="000D6E6C">
        <w:rPr>
          <w:szCs w:val="18"/>
          <w:rtl/>
        </w:rPr>
        <w:t>29</w:t>
      </w:r>
      <w:r w:rsidRPr="00242268">
        <w:rPr>
          <w:rtl/>
        </w:rPr>
        <w:t xml:space="preserve"> حزيران/يونيه - </w:t>
      </w:r>
      <w:r w:rsidRPr="000D6E6C">
        <w:rPr>
          <w:szCs w:val="18"/>
          <w:rtl/>
        </w:rPr>
        <w:t>24</w:t>
      </w:r>
      <w:r w:rsidRPr="00242268">
        <w:rPr>
          <w:rtl/>
        </w:rPr>
        <w:t xml:space="preserve"> تموز/يوليه </w:t>
      </w:r>
      <w:r w:rsidRPr="000D6E6C">
        <w:rPr>
          <w:szCs w:val="18"/>
          <w:rtl/>
        </w:rPr>
        <w:t>2020</w:t>
      </w:r>
      <w:r w:rsidRPr="00242268">
        <w:rPr>
          <w:rtl/>
        </w:rPr>
        <w:t>)</w:t>
      </w:r>
      <w:r w:rsidRPr="00242268">
        <w:rPr>
          <w:rFonts w:hint="cs"/>
          <w:rtl/>
        </w:rPr>
        <w:t>.</w:t>
      </w:r>
    </w:p>
  </w:footnote>
  <w:footnote w:id="2">
    <w:p w14:paraId="3CC2FC8D" w14:textId="4637AFD3" w:rsidR="00242268" w:rsidRPr="00242268" w:rsidRDefault="00242268" w:rsidP="000D6E6C">
      <w:pPr>
        <w:pStyle w:val="FootnoteText1"/>
      </w:pPr>
      <w:r w:rsidRPr="00242268">
        <w:rPr>
          <w:rtl/>
        </w:rPr>
        <w:t>(</w:t>
      </w:r>
      <w:r w:rsidRPr="000D6E6C">
        <w:rPr>
          <w:rStyle w:val="FootnoteReference"/>
          <w:rFonts w:cs="Times New Roman"/>
          <w:b w:val="0"/>
          <w:szCs w:val="26"/>
          <w:vertAlign w:val="baseline"/>
        </w:rPr>
        <w:footnoteRef/>
      </w:r>
      <w:r w:rsidRPr="00242268">
        <w:rPr>
          <w:rtl/>
        </w:rPr>
        <w:t>)</w:t>
      </w:r>
      <w:r w:rsidRPr="00242268">
        <w:rPr>
          <w:rtl/>
        </w:rPr>
        <w:tab/>
      </w:r>
      <w:r w:rsidRPr="00242268">
        <w:rPr>
          <w:rFonts w:hint="cs"/>
          <w:rtl/>
        </w:rPr>
        <w:t xml:space="preserve">انظر </w:t>
      </w:r>
      <w:r w:rsidRPr="00242268">
        <w:rPr>
          <w:rtl/>
        </w:rPr>
        <w:tab/>
      </w:r>
      <w:r w:rsidRPr="00242268">
        <w:rPr>
          <w:rtl/>
        </w:rPr>
        <w:br/>
      </w:r>
      <w:r w:rsidRPr="00242268">
        <w:t>https://tbinternet.ohchr.org/_layouts/</w:t>
      </w:r>
      <w:r w:rsidRPr="000D6E6C">
        <w:rPr>
          <w:szCs w:val="18"/>
        </w:rPr>
        <w:t>15</w:t>
      </w:r>
      <w:r w:rsidRPr="00242268">
        <w:t>/treatybodyexternal/Download.aspx?symbolno=INT%</w:t>
      </w:r>
      <w:r w:rsidRPr="000D6E6C">
        <w:rPr>
          <w:szCs w:val="18"/>
        </w:rPr>
        <w:t>2</w:t>
      </w:r>
      <w:r w:rsidRPr="00242268">
        <w:t>fCCPR%</w:t>
      </w:r>
      <w:r w:rsidRPr="000D6E6C">
        <w:rPr>
          <w:szCs w:val="18"/>
        </w:rPr>
        <w:t>2</w:t>
      </w:r>
      <w:r w:rsidRPr="00242268">
        <w:t>fNGS%</w:t>
      </w:r>
      <w:r w:rsidRPr="000D6E6C">
        <w:rPr>
          <w:szCs w:val="18"/>
        </w:rPr>
        <w:t>2</w:t>
      </w:r>
      <w:r w:rsidRPr="00242268">
        <w:t>fBIH%</w:t>
      </w:r>
      <w:r w:rsidRPr="000D6E6C">
        <w:rPr>
          <w:szCs w:val="18"/>
        </w:rPr>
        <w:t>2</w:t>
      </w:r>
      <w:r w:rsidRPr="00242268">
        <w:t>f</w:t>
      </w:r>
      <w:r w:rsidRPr="000D6E6C">
        <w:rPr>
          <w:szCs w:val="18"/>
        </w:rPr>
        <w:t>42053</w:t>
      </w:r>
      <w:r w:rsidRPr="00242268">
        <w:t>&amp;Lang=en</w:t>
      </w:r>
      <w:r w:rsidRPr="00242268">
        <w:rPr>
          <w:rFonts w:hint="cs"/>
          <w:rtl/>
        </w:rPr>
        <w:t>.</w:t>
      </w:r>
      <w:r w:rsidRPr="00242268">
        <w:rPr>
          <w:rtl/>
        </w:rPr>
        <w:t xml:space="preserve"> </w:t>
      </w:r>
    </w:p>
  </w:footnote>
  <w:footnote w:id="3">
    <w:p w14:paraId="2AE00950" w14:textId="07C3B78F" w:rsidR="00242268" w:rsidRPr="00242268" w:rsidRDefault="00242268" w:rsidP="000D6E6C">
      <w:pPr>
        <w:pStyle w:val="FootnoteText1"/>
      </w:pPr>
      <w:r w:rsidRPr="00242268">
        <w:rPr>
          <w:rtl/>
        </w:rPr>
        <w:t>(</w:t>
      </w:r>
      <w:r w:rsidRPr="000D6E6C">
        <w:rPr>
          <w:rStyle w:val="FootnoteReference"/>
          <w:rFonts w:cs="Times New Roman"/>
          <w:b w:val="0"/>
          <w:szCs w:val="26"/>
          <w:vertAlign w:val="baseline"/>
        </w:rPr>
        <w:footnoteRef/>
      </w:r>
      <w:r w:rsidRPr="00242268">
        <w:rPr>
          <w:rtl/>
        </w:rPr>
        <w:t>)</w:t>
      </w:r>
      <w:r w:rsidRPr="00242268">
        <w:rPr>
          <w:rtl/>
        </w:rPr>
        <w:tab/>
      </w:r>
      <w:r w:rsidRPr="00242268">
        <w:rPr>
          <w:rFonts w:hint="cs"/>
          <w:rtl/>
        </w:rPr>
        <w:t xml:space="preserve">انظر </w:t>
      </w:r>
      <w:r w:rsidRPr="00242268">
        <w:rPr>
          <w:rtl/>
        </w:rPr>
        <w:tab/>
      </w:r>
      <w:r w:rsidRPr="00242268">
        <w:rPr>
          <w:rtl/>
        </w:rPr>
        <w:br/>
      </w:r>
      <w:r w:rsidRPr="00242268">
        <w:t>https://tbinternet.ohchr.org/_layouts/</w:t>
      </w:r>
      <w:r w:rsidRPr="000D6E6C">
        <w:rPr>
          <w:szCs w:val="18"/>
        </w:rPr>
        <w:t>15</w:t>
      </w:r>
      <w:r w:rsidRPr="00242268">
        <w:t>/treatybodyexternal/Download.aspx?symbolno=INT%</w:t>
      </w:r>
      <w:r w:rsidRPr="000D6E6C">
        <w:rPr>
          <w:szCs w:val="18"/>
        </w:rPr>
        <w:t>2</w:t>
      </w:r>
      <w:r w:rsidRPr="00242268">
        <w:t>fCCPR%</w:t>
      </w:r>
      <w:r w:rsidRPr="000D6E6C">
        <w:rPr>
          <w:szCs w:val="18"/>
        </w:rPr>
        <w:t>2</w:t>
      </w:r>
      <w:r w:rsidRPr="00242268">
        <w:t>fNGS%</w:t>
      </w:r>
      <w:r w:rsidRPr="000D6E6C">
        <w:rPr>
          <w:szCs w:val="18"/>
        </w:rPr>
        <w:t>2</w:t>
      </w:r>
      <w:r w:rsidRPr="00242268">
        <w:t>fBIH%</w:t>
      </w:r>
      <w:r w:rsidRPr="000D6E6C">
        <w:rPr>
          <w:szCs w:val="18"/>
        </w:rPr>
        <w:t>2</w:t>
      </w:r>
      <w:r w:rsidRPr="00242268">
        <w:t>f</w:t>
      </w:r>
      <w:r w:rsidRPr="000D6E6C">
        <w:rPr>
          <w:szCs w:val="18"/>
        </w:rPr>
        <w:t>30781</w:t>
      </w:r>
      <w:r w:rsidRPr="00242268">
        <w:t>&amp;Lang=en</w:t>
      </w:r>
      <w:r w:rsidRPr="00242268">
        <w:rPr>
          <w:rFonts w:hint="cs"/>
          <w:rtl/>
        </w:rPr>
        <w:t>.</w:t>
      </w:r>
      <w:r w:rsidRPr="00242268">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75EBC" w14:textId="77777777" w:rsidR="00CB5C2C" w:rsidRPr="00693978" w:rsidRDefault="00693978" w:rsidP="00693978">
    <w:pPr>
      <w:pStyle w:val="Header"/>
      <w:jc w:val="right"/>
    </w:pPr>
    <w:r w:rsidRPr="00693978">
      <w:t>CCPR/C/129/2/Add.3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1D689" w14:textId="77777777" w:rsidR="00CB5C2C" w:rsidRPr="00693978" w:rsidRDefault="00693978" w:rsidP="00693978">
    <w:pPr>
      <w:pStyle w:val="Header"/>
      <w:jc w:val="left"/>
    </w:pPr>
    <w:r w:rsidRPr="00693978">
      <w:t>CCPR/C/129/2/Add.3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F0C55CD"/>
    <w:multiLevelType w:val="hybridMultilevel"/>
    <w:tmpl w:val="952641B8"/>
    <w:lvl w:ilvl="0" w:tplc="1ABACF20">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A15CEC"/>
    <w:rsid w:val="000076D5"/>
    <w:rsid w:val="00043663"/>
    <w:rsid w:val="000437B8"/>
    <w:rsid w:val="000505CF"/>
    <w:rsid w:val="000D6E6C"/>
    <w:rsid w:val="000D701C"/>
    <w:rsid w:val="000E2A71"/>
    <w:rsid w:val="001331A0"/>
    <w:rsid w:val="00160263"/>
    <w:rsid w:val="00160D5D"/>
    <w:rsid w:val="00181F96"/>
    <w:rsid w:val="001A1371"/>
    <w:rsid w:val="001B346A"/>
    <w:rsid w:val="001E1CAD"/>
    <w:rsid w:val="001E290D"/>
    <w:rsid w:val="002144FA"/>
    <w:rsid w:val="0023469A"/>
    <w:rsid w:val="00242268"/>
    <w:rsid w:val="00243C8A"/>
    <w:rsid w:val="00267A0E"/>
    <w:rsid w:val="002901D9"/>
    <w:rsid w:val="002976C2"/>
    <w:rsid w:val="00320BB7"/>
    <w:rsid w:val="003260FF"/>
    <w:rsid w:val="00343D95"/>
    <w:rsid w:val="00363A18"/>
    <w:rsid w:val="00374341"/>
    <w:rsid w:val="003B2F8B"/>
    <w:rsid w:val="003D1062"/>
    <w:rsid w:val="00420D7B"/>
    <w:rsid w:val="00450B21"/>
    <w:rsid w:val="00453B63"/>
    <w:rsid w:val="00455780"/>
    <w:rsid w:val="004B0A1C"/>
    <w:rsid w:val="004D298E"/>
    <w:rsid w:val="004E2282"/>
    <w:rsid w:val="00517BC9"/>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3978"/>
    <w:rsid w:val="006959B0"/>
    <w:rsid w:val="006B3E27"/>
    <w:rsid w:val="006B6507"/>
    <w:rsid w:val="006C104C"/>
    <w:rsid w:val="00733704"/>
    <w:rsid w:val="0078071A"/>
    <w:rsid w:val="00787E1E"/>
    <w:rsid w:val="00810185"/>
    <w:rsid w:val="00822B7F"/>
    <w:rsid w:val="00852A9A"/>
    <w:rsid w:val="008F49E1"/>
    <w:rsid w:val="0090370F"/>
    <w:rsid w:val="009269D2"/>
    <w:rsid w:val="00942135"/>
    <w:rsid w:val="009521B0"/>
    <w:rsid w:val="00982139"/>
    <w:rsid w:val="00985082"/>
    <w:rsid w:val="009867A8"/>
    <w:rsid w:val="009A7E9F"/>
    <w:rsid w:val="009E5018"/>
    <w:rsid w:val="00A03700"/>
    <w:rsid w:val="00A12B37"/>
    <w:rsid w:val="00A15CEC"/>
    <w:rsid w:val="00AB6758"/>
    <w:rsid w:val="00B13763"/>
    <w:rsid w:val="00B477A4"/>
    <w:rsid w:val="00B54045"/>
    <w:rsid w:val="00C438D7"/>
    <w:rsid w:val="00C81B50"/>
    <w:rsid w:val="00CB5C2C"/>
    <w:rsid w:val="00CB6622"/>
    <w:rsid w:val="00CD1801"/>
    <w:rsid w:val="00CF65C6"/>
    <w:rsid w:val="00D10EF1"/>
    <w:rsid w:val="00D42810"/>
    <w:rsid w:val="00D914A7"/>
    <w:rsid w:val="00DD13C3"/>
    <w:rsid w:val="00DD596E"/>
    <w:rsid w:val="00DD621E"/>
    <w:rsid w:val="00DE50B1"/>
    <w:rsid w:val="00DF0575"/>
    <w:rsid w:val="00E042BE"/>
    <w:rsid w:val="00E70E04"/>
    <w:rsid w:val="00EC05A7"/>
    <w:rsid w:val="00EC4B6B"/>
    <w:rsid w:val="00ED00A3"/>
    <w:rsid w:val="00ED1E57"/>
    <w:rsid w:val="00ED6CB1"/>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B257927"/>
  <w15:docId w15:val="{B777BB16-B3FC-42DC-A322-58F904594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D1E57"/>
    <w:pPr>
      <w:keepNext/>
      <w:tabs>
        <w:tab w:val="right" w:pos="1021"/>
      </w:tabs>
      <w:spacing w:before="240" w:after="240" w:line="380" w:lineRule="exact"/>
      <w:ind w:left="1253" w:right="1253" w:hanging="1253"/>
    </w:pPr>
    <w:rPr>
      <w:b/>
      <w:bCs/>
      <w:lang w:eastAsia="ar-SA"/>
    </w:rPr>
  </w:style>
  <w:style w:type="paragraph" w:customStyle="1" w:styleId="H4GA">
    <w:name w:val="_ H_4_GA"/>
    <w:basedOn w:val="Normal"/>
    <w:next w:val="Normal"/>
    <w:qFormat/>
    <w:rsid w:val="00160D5D"/>
    <w:pPr>
      <w:keepNext/>
      <w:keepLines/>
      <w:tabs>
        <w:tab w:val="right" w:pos="1021"/>
      </w:tabs>
      <w:suppressAutoHyphens/>
      <w:spacing w:before="240" w:after="240" w:line="380" w:lineRule="exact"/>
      <w:ind w:left="1253" w:right="1253" w:hanging="1253"/>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822B7F"/>
    <w:pPr>
      <w:keepNext/>
      <w:keepLines/>
      <w:tabs>
        <w:tab w:val="right" w:pos="851"/>
      </w:tabs>
      <w:bidi w:val="0"/>
      <w:spacing w:before="360" w:after="240" w:line="300" w:lineRule="exact"/>
      <w:ind w:left="1134" w:right="1134" w:hanging="1134"/>
      <w:jc w:val="left"/>
    </w:pPr>
    <w:rPr>
      <w:rFonts w:eastAsia="SimSun" w:hAnsi="Calibri" w:hint="cs"/>
      <w:b/>
      <w:sz w:val="28"/>
      <w:lang w:val="en-GB" w:eastAsia="zh-CN"/>
    </w:rPr>
  </w:style>
  <w:style w:type="paragraph" w:customStyle="1" w:styleId="H23G">
    <w:name w:val="_ H_2/3_G"/>
    <w:basedOn w:val="Normal"/>
    <w:next w:val="Normal"/>
    <w:rsid w:val="00822B7F"/>
    <w:pPr>
      <w:keepNext/>
      <w:keepLines/>
      <w:tabs>
        <w:tab w:val="right" w:pos="851"/>
      </w:tabs>
      <w:bidi w:val="0"/>
      <w:spacing w:before="240" w:after="120" w:line="240" w:lineRule="exact"/>
      <w:ind w:left="1134" w:right="1134" w:hanging="1134"/>
      <w:jc w:val="left"/>
    </w:pPr>
    <w:rPr>
      <w:rFonts w:eastAsia="SimSun" w:hAnsi="Calibri" w:hint="cs"/>
      <w:b/>
      <w:lang w:val="en-GB" w:eastAsia="zh-CN"/>
    </w:rPr>
  </w:style>
  <w:style w:type="paragraph" w:customStyle="1" w:styleId="H4G">
    <w:name w:val="_ H_4_G"/>
    <w:basedOn w:val="Normal"/>
    <w:next w:val="Normal"/>
    <w:rsid w:val="00822B7F"/>
    <w:pPr>
      <w:keepNext/>
      <w:keepLines/>
      <w:tabs>
        <w:tab w:val="right" w:pos="851"/>
      </w:tabs>
      <w:bidi w:val="0"/>
      <w:spacing w:before="240" w:after="120" w:line="240" w:lineRule="exact"/>
      <w:ind w:left="1134" w:right="1134" w:hanging="1134"/>
      <w:jc w:val="left"/>
    </w:pPr>
    <w:rPr>
      <w:rFonts w:eastAsia="SimSun" w:hAnsi="Calibri" w:hint="cs"/>
      <w:i/>
      <w:lang w:val="en-GB" w:eastAsia="zh-CN"/>
    </w:rPr>
  </w:style>
  <w:style w:type="paragraph" w:customStyle="1" w:styleId="SingleTxtG">
    <w:name w:val="_ Single Txt_G"/>
    <w:basedOn w:val="Normal"/>
    <w:rsid w:val="00822B7F"/>
    <w:pPr>
      <w:bidi w:val="0"/>
      <w:spacing w:after="120" w:line="240" w:lineRule="auto"/>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DA50D-DB5D-47F8-9B3F-AF7CCB3E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1390</Words>
  <Characters>7929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CCPR/C/129/2/Add.3</vt:lpstr>
    </vt:vector>
  </TitlesOfParts>
  <Company>DCM</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GE.2011625A</dc:subject>
  <dc:creator>Jamela CHEDAD/AGH</dc:creator>
  <cp:keywords>ODS No.2022686A</cp:keywords>
  <dc:description>Distribution: General_x000d_
Original: English_x000d_
Date: 8 September 2020</dc:description>
  <cp:lastModifiedBy>Jamela CHEDAD</cp:lastModifiedBy>
  <cp:revision>2</cp:revision>
  <dcterms:created xsi:type="dcterms:W3CDTF">2020-09-17T09:44:00Z</dcterms:created>
  <dcterms:modified xsi:type="dcterms:W3CDTF">2020-09-17T09:44:00Z</dcterms:modified>
  <cp:category>Finale</cp:category>
</cp:coreProperties>
</file>